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3855" w14:textId="77777777" w:rsidR="00742A11" w:rsidRPr="001A4E79" w:rsidRDefault="00EE2AB7" w:rsidP="00EE2AB7">
      <w:pPr>
        <w:spacing w:before="120" w:after="120"/>
        <w:rPr>
          <w:rFonts w:ascii="VIC-Bold" w:hAnsi="VIC-Bold" w:cs="VIC-Bold"/>
          <w:b/>
          <w:bCs/>
          <w:color w:val="B92330"/>
          <w:sz w:val="50"/>
          <w:szCs w:val="50"/>
        </w:rPr>
      </w:pPr>
      <w:bookmarkStart w:id="0" w:name="_GoBack"/>
      <w:bookmarkEnd w:id="0"/>
      <w:r w:rsidRPr="001A4E79">
        <w:rPr>
          <w:rFonts w:ascii="VIC-Bold" w:hAnsi="VIC-Bold" w:cs="VIC-Bold"/>
          <w:b/>
          <w:bCs/>
          <w:color w:val="B92330"/>
          <w:sz w:val="50"/>
          <w:szCs w:val="50"/>
        </w:rPr>
        <w:t>PURPOSEFUL COLLABORATION</w:t>
      </w:r>
    </w:p>
    <w:p w14:paraId="5B43EA72" w14:textId="77777777" w:rsidR="00EE2AB7" w:rsidRPr="001A4E79" w:rsidRDefault="00EE2AB7" w:rsidP="00EE2AB7">
      <w:pPr>
        <w:autoSpaceDE w:val="0"/>
        <w:autoSpaceDN w:val="0"/>
        <w:adjustRightInd w:val="0"/>
        <w:spacing w:before="120" w:after="120" w:line="240" w:lineRule="auto"/>
        <w:rPr>
          <w:rFonts w:ascii="VIC-Bold" w:hAnsi="VIC-Bold" w:cs="VIC-Bold"/>
          <w:b/>
          <w:bCs/>
          <w:color w:val="B92330"/>
          <w:sz w:val="50"/>
          <w:szCs w:val="50"/>
        </w:rPr>
      </w:pPr>
      <w:r w:rsidRPr="001A4E79">
        <w:rPr>
          <w:rFonts w:ascii="VIC-Bold" w:hAnsi="VIC-Bold" w:cs="VIC-Bold"/>
          <w:b/>
          <w:bCs/>
          <w:color w:val="B92330"/>
          <w:sz w:val="50"/>
          <w:szCs w:val="50"/>
        </w:rPr>
        <w:t>COLLECTIVE RESPONSIBILITY</w:t>
      </w:r>
    </w:p>
    <w:p w14:paraId="578601E3" w14:textId="77777777" w:rsidR="00EE2AB7" w:rsidRPr="001A4E79" w:rsidRDefault="00EE2AB7" w:rsidP="00EE2AB7">
      <w:pPr>
        <w:spacing w:before="120" w:after="120"/>
        <w:rPr>
          <w:rFonts w:ascii="VIC-Bold" w:hAnsi="VIC-Bold" w:cs="VIC-Bold"/>
          <w:b/>
          <w:bCs/>
          <w:color w:val="B92330"/>
          <w:sz w:val="50"/>
          <w:szCs w:val="50"/>
        </w:rPr>
      </w:pPr>
      <w:r w:rsidRPr="001A4E79">
        <w:rPr>
          <w:rFonts w:ascii="VIC-Bold" w:hAnsi="VIC-Bold" w:cs="VIC-Bold"/>
          <w:b/>
          <w:bCs/>
          <w:color w:val="B92330"/>
          <w:sz w:val="50"/>
          <w:szCs w:val="50"/>
        </w:rPr>
        <w:t>LEARNING IMPACT</w:t>
      </w:r>
    </w:p>
    <w:p w14:paraId="4B033F93" w14:textId="77777777" w:rsidR="00EE2AB7" w:rsidRDefault="00EE2AB7" w:rsidP="00EE2AB7">
      <w:pPr>
        <w:autoSpaceDE w:val="0"/>
        <w:autoSpaceDN w:val="0"/>
        <w:adjustRightInd w:val="0"/>
        <w:spacing w:after="0" w:line="240" w:lineRule="auto"/>
        <w:rPr>
          <w:rFonts w:ascii="VIC-Medium" w:hAnsi="VIC-Medium" w:cs="VIC-Medium"/>
          <w:sz w:val="36"/>
          <w:szCs w:val="36"/>
        </w:rPr>
      </w:pPr>
    </w:p>
    <w:p w14:paraId="56AAC9A3" w14:textId="77777777" w:rsidR="00EE2AB7" w:rsidRDefault="00EE2AB7" w:rsidP="00EE2AB7">
      <w:pPr>
        <w:autoSpaceDE w:val="0"/>
        <w:autoSpaceDN w:val="0"/>
        <w:adjustRightInd w:val="0"/>
        <w:spacing w:after="0" w:line="240" w:lineRule="auto"/>
        <w:rPr>
          <w:rFonts w:ascii="VIC-Medium" w:hAnsi="VIC-Medium" w:cs="VIC-Medium"/>
          <w:sz w:val="36"/>
          <w:szCs w:val="36"/>
        </w:rPr>
      </w:pPr>
      <w:r>
        <w:rPr>
          <w:rFonts w:ascii="VIC-Medium" w:hAnsi="VIC-Medium" w:cs="VIC-Medium"/>
          <w:sz w:val="36"/>
          <w:szCs w:val="36"/>
        </w:rPr>
        <w:t>PROFESSIONAL PRACTICE ELEMENTS</w:t>
      </w:r>
    </w:p>
    <w:p w14:paraId="710646E2" w14:textId="77777777" w:rsidR="00EE2AB7" w:rsidRDefault="00EE2AB7" w:rsidP="00EE2AB7">
      <w:pPr>
        <w:rPr>
          <w:rFonts w:ascii="VIC-Light" w:hAnsi="VIC-Light" w:cs="VIC-Light"/>
          <w:sz w:val="36"/>
          <w:szCs w:val="36"/>
        </w:rPr>
      </w:pPr>
    </w:p>
    <w:p w14:paraId="18DA2FAF" w14:textId="77777777" w:rsidR="00EE2AB7" w:rsidRDefault="00EE2AB7" w:rsidP="00EE2AB7">
      <w:pPr>
        <w:rPr>
          <w:rFonts w:ascii="VIC-Bold" w:hAnsi="VIC-Bold" w:cs="VIC-Bold"/>
          <w:b/>
          <w:bCs/>
          <w:color w:val="B92330"/>
          <w:sz w:val="64"/>
          <w:szCs w:val="64"/>
        </w:rPr>
      </w:pPr>
      <w:r>
        <w:rPr>
          <w:rFonts w:ascii="VIC-Light" w:hAnsi="VIC-Light" w:cs="VIC-Light"/>
          <w:sz w:val="36"/>
          <w:szCs w:val="36"/>
        </w:rPr>
        <w:t>VICTORIAN GOVERNMENT SCHOOLS AGREEMENT 2017</w:t>
      </w:r>
    </w:p>
    <w:p w14:paraId="05640F7D" w14:textId="77777777" w:rsidR="00EE2AB7" w:rsidRDefault="00EE2AB7">
      <w:r>
        <w:br w:type="page"/>
      </w:r>
    </w:p>
    <w:p w14:paraId="6AB2E9C0"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lastRenderedPageBreak/>
        <w:t>Melbourne August 2017</w:t>
      </w:r>
    </w:p>
    <w:p w14:paraId="6CBE658E"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F4AED9F"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©State of Victoria (Department of Education and Training) 2017</w:t>
      </w:r>
    </w:p>
    <w:p w14:paraId="588AE279"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31F2382"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 </w:t>
      </w:r>
    </w:p>
    <w:p w14:paraId="3CA20D1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FDDF80A" w14:textId="77777777" w:rsidR="00EB4DFC"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71815DB0" w14:textId="77777777" w:rsidR="00EB4DFC" w:rsidRDefault="00EB4DFC" w:rsidP="00EE2AB7">
      <w:pPr>
        <w:autoSpaceDE w:val="0"/>
        <w:autoSpaceDN w:val="0"/>
        <w:adjustRightInd w:val="0"/>
        <w:spacing w:after="0" w:line="240" w:lineRule="auto"/>
        <w:rPr>
          <w:rFonts w:ascii="VIC-Regular" w:hAnsi="VIC-Regular" w:cs="VIC-Regular"/>
          <w:sz w:val="20"/>
          <w:szCs w:val="20"/>
        </w:rPr>
      </w:pPr>
    </w:p>
    <w:p w14:paraId="0AF422C6" w14:textId="77777777" w:rsidR="00EB4DFC"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 xml:space="preserve">Authorised by the Department of Education and Training, </w:t>
      </w:r>
    </w:p>
    <w:p w14:paraId="52E6C6E4" w14:textId="77777777" w:rsidR="00EB4DFC" w:rsidRDefault="00EB4DFC" w:rsidP="00EE2AB7">
      <w:pPr>
        <w:autoSpaceDE w:val="0"/>
        <w:autoSpaceDN w:val="0"/>
        <w:adjustRightInd w:val="0"/>
        <w:spacing w:after="0" w:line="240" w:lineRule="auto"/>
        <w:rPr>
          <w:rFonts w:ascii="VIC-Regular" w:hAnsi="VIC-Regular" w:cs="VIC-Regular"/>
          <w:sz w:val="20"/>
          <w:szCs w:val="20"/>
        </w:rPr>
      </w:pPr>
    </w:p>
    <w:p w14:paraId="7A69052C"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2 Treasury Place, East Melbourne, Victoria, 3002</w:t>
      </w:r>
    </w:p>
    <w:p w14:paraId="29F85BDA"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7E87F35"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D64D2E4"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FFB6F56"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7BEB0F7A"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3BDC857"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2BB5F64"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947322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B5AFBA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C75CD9A"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E5D57C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DFE188F"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800EB90"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6599CF9"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6E7D5FF"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170973C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0AC42FB"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B928A46"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FCF7945"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56C1DBC"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7FBDB50C"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BD781F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5A11309"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F63E5E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676EFF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1BE16B1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1D540D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D24835E"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CD0872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6DD295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D87264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4D526F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7043FCFC"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7B4D3F09"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D78474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A52AD14"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0C6CD0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5B3790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137D1D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579526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A5A656C" w14:textId="77777777" w:rsidR="00EE2AB7" w:rsidRDefault="00EE2AB7">
      <w:pPr>
        <w:rPr>
          <w:rFonts w:ascii="VIC-Regular" w:hAnsi="VIC-Regular" w:cs="VIC-Regular"/>
          <w:sz w:val="20"/>
          <w:szCs w:val="20"/>
        </w:rPr>
      </w:pPr>
      <w:r>
        <w:rPr>
          <w:rFonts w:ascii="VIC-Regular" w:hAnsi="VIC-Regular" w:cs="VIC-Regular"/>
          <w:sz w:val="20"/>
          <w:szCs w:val="20"/>
        </w:rPr>
        <w:br w:type="page"/>
      </w:r>
    </w:p>
    <w:p w14:paraId="58F1C8AF" w14:textId="77777777" w:rsidR="00EE2AB7" w:rsidRDefault="00EE2AB7" w:rsidP="00EE2AB7">
      <w:pPr>
        <w:autoSpaceDE w:val="0"/>
        <w:autoSpaceDN w:val="0"/>
        <w:adjustRightInd w:val="0"/>
        <w:spacing w:after="0" w:line="240" w:lineRule="auto"/>
        <w:rPr>
          <w:rFonts w:ascii="VIC-Medium" w:hAnsi="VIC-Medium" w:cs="VIC-Medium"/>
          <w:color w:val="B92330"/>
          <w:sz w:val="52"/>
          <w:szCs w:val="52"/>
        </w:rPr>
      </w:pPr>
      <w:r>
        <w:rPr>
          <w:rFonts w:ascii="VIC-Medium" w:hAnsi="VIC-Medium" w:cs="VIC-Medium"/>
          <w:color w:val="B92330"/>
          <w:sz w:val="52"/>
          <w:szCs w:val="52"/>
        </w:rPr>
        <w:lastRenderedPageBreak/>
        <w:t>CONTENTS</w:t>
      </w:r>
    </w:p>
    <w:p w14:paraId="4EACC35B" w14:textId="77777777" w:rsidR="00EE2AB7" w:rsidRDefault="00EE2AB7" w:rsidP="00EE2AB7">
      <w:pPr>
        <w:autoSpaceDE w:val="0"/>
        <w:autoSpaceDN w:val="0"/>
        <w:adjustRightInd w:val="0"/>
        <w:spacing w:after="0" w:line="240" w:lineRule="auto"/>
        <w:rPr>
          <w:rFonts w:ascii="VIC-Medium" w:hAnsi="VIC-Medium" w:cs="VIC-Medium"/>
          <w:color w:val="B92330"/>
          <w:sz w:val="52"/>
          <w:szCs w:val="52"/>
        </w:rPr>
      </w:pPr>
    </w:p>
    <w:p w14:paraId="54CF5578"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Foreword .............................................................................................................................. 4</w:t>
      </w:r>
    </w:p>
    <w:p w14:paraId="310ECD8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1FEEEA2A"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professional practice elements ..................................................................................... 5</w:t>
      </w:r>
    </w:p>
    <w:p w14:paraId="2B9A235A"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34B0238"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opportunity for teachers..................................................................................................6</w:t>
      </w:r>
    </w:p>
    <w:p w14:paraId="7FA105F7"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F6EDCF3"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Our children’s future.........................................................................................................…..9</w:t>
      </w:r>
    </w:p>
    <w:p w14:paraId="3B1F38CF"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7D33192"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Professional practice guidance ............................................................................................11</w:t>
      </w:r>
    </w:p>
    <w:p w14:paraId="3C2175BF" w14:textId="77777777" w:rsidR="00EE2AB7" w:rsidRDefault="00EE2AB7">
      <w:pPr>
        <w:rPr>
          <w:rFonts w:ascii="VIC-Regular" w:hAnsi="VIC-Regular" w:cs="VIC-Regular"/>
          <w:sz w:val="20"/>
          <w:szCs w:val="20"/>
        </w:rPr>
      </w:pPr>
      <w:r>
        <w:rPr>
          <w:rFonts w:ascii="VIC-Regular" w:hAnsi="VIC-Regular" w:cs="VIC-Regular"/>
          <w:sz w:val="20"/>
          <w:szCs w:val="20"/>
        </w:rPr>
        <w:br w:type="page"/>
      </w:r>
    </w:p>
    <w:p w14:paraId="6AAEF3B4" w14:textId="77777777" w:rsidR="00EE2AB7" w:rsidRDefault="00EE2AB7" w:rsidP="00EE2AB7">
      <w:pPr>
        <w:autoSpaceDE w:val="0"/>
        <w:autoSpaceDN w:val="0"/>
        <w:adjustRightInd w:val="0"/>
        <w:spacing w:after="120" w:line="240" w:lineRule="auto"/>
        <w:rPr>
          <w:rFonts w:ascii="VIC-SemiBold" w:hAnsi="VIC-SemiBold" w:cs="VIC-SemiBold"/>
          <w:b/>
          <w:bCs/>
          <w:color w:val="B92330"/>
          <w:sz w:val="48"/>
          <w:szCs w:val="48"/>
        </w:rPr>
      </w:pPr>
      <w:r>
        <w:rPr>
          <w:rFonts w:ascii="VIC-SemiBold" w:hAnsi="VIC-SemiBold" w:cs="VIC-SemiBold"/>
          <w:b/>
          <w:bCs/>
          <w:color w:val="B92330"/>
          <w:sz w:val="48"/>
          <w:szCs w:val="48"/>
        </w:rPr>
        <w:lastRenderedPageBreak/>
        <w:t>FOREWORD</w:t>
      </w:r>
    </w:p>
    <w:p w14:paraId="54C83FFE"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When asked why they chose teaching, most teachers say, ‘to make a positive difference to children’s lives.’ Choosing teaching is choosing a moral purpose to help children thrive in our fast changing world. To keep up, children need to learn, adapt and improve throughout their lives. Every teacher preparing them for the future needs to keep learning, adapting and improving too.</w:t>
      </w:r>
    </w:p>
    <w:p w14:paraId="214BD9ED"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75F42D17"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Every Victorian government school teacher can now benefit from the three professional practice elements in the Victorian Government Schools Agreement 2017, which also guarantees teacher pay and conditions. The professional practice elements allocate more time and more support to the continuing task of improving professional practice.</w:t>
      </w:r>
    </w:p>
    <w:p w14:paraId="3372BCF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3C777D7"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three professional practice elements build on school improvement foundations laid by the Education State.</w:t>
      </w:r>
      <w:r>
        <w:rPr>
          <w:rStyle w:val="FootnoteReference"/>
          <w:rFonts w:ascii="VIC-Regular" w:hAnsi="VIC-Regular" w:cs="VIC-Regular"/>
          <w:sz w:val="20"/>
          <w:szCs w:val="20"/>
        </w:rPr>
        <w:footnoteReference w:id="1"/>
      </w:r>
      <w:r>
        <w:rPr>
          <w:rFonts w:ascii="VIC-Regular" w:hAnsi="VIC-Regular" w:cs="VIC-Regular"/>
          <w:sz w:val="20"/>
          <w:szCs w:val="20"/>
        </w:rPr>
        <w:t xml:space="preserve"> The </w:t>
      </w:r>
      <w:r>
        <w:rPr>
          <w:rFonts w:ascii="VIC-Italic" w:hAnsi="VIC-Italic" w:cs="VIC-Italic"/>
          <w:i/>
          <w:iCs/>
          <w:sz w:val="20"/>
          <w:szCs w:val="20"/>
        </w:rPr>
        <w:t>Framework for Improving Student Outcomes</w:t>
      </w:r>
      <w:r>
        <w:rPr>
          <w:rFonts w:ascii="VIC-Regular" w:hAnsi="VIC-Regular" w:cs="VIC-Regular"/>
          <w:sz w:val="20"/>
          <w:szCs w:val="20"/>
        </w:rPr>
        <w:t xml:space="preserve"> has centred every school’s Annual Implementation Plan on student learning. Teachers and school leaders now use the common language of the </w:t>
      </w:r>
      <w:r>
        <w:rPr>
          <w:rFonts w:ascii="VIC-Italic" w:hAnsi="VIC-Italic" w:cs="VIC-Italic"/>
          <w:i/>
          <w:iCs/>
          <w:sz w:val="20"/>
          <w:szCs w:val="20"/>
        </w:rPr>
        <w:t>Framework for Improving Student Outcomes</w:t>
      </w:r>
      <w:r>
        <w:rPr>
          <w:rFonts w:ascii="VIC-Regular" w:hAnsi="VIC-Regular" w:cs="VIC-Regular"/>
          <w:sz w:val="20"/>
          <w:szCs w:val="20"/>
        </w:rPr>
        <w:t xml:space="preserve"> introduced to build practice excellence, and to embed a culture of assessing the learning impact of teaching programs. The innovative Victorian Curriculum F–10 underpins teaching and learning programs that include a strong emphasis on personal and social skills, thinking skills and new areas of learning such as computational thinking.</w:t>
      </w:r>
      <w:r>
        <w:rPr>
          <w:rStyle w:val="FootnoteReference"/>
          <w:rFonts w:ascii="VIC-Regular" w:hAnsi="VIC-Regular" w:cs="VIC-Regular"/>
          <w:sz w:val="20"/>
          <w:szCs w:val="20"/>
        </w:rPr>
        <w:footnoteReference w:id="2"/>
      </w:r>
      <w:r w:rsidR="003A317B">
        <w:rPr>
          <w:rFonts w:ascii="VIC-Regular" w:hAnsi="VIC-Regular" w:cs="VIC-Regular"/>
          <w:sz w:val="20"/>
          <w:szCs w:val="20"/>
        </w:rPr>
        <w:t xml:space="preserve"> </w:t>
      </w:r>
      <w:r>
        <w:rPr>
          <w:rFonts w:ascii="VIC-Regular" w:hAnsi="VIC-Regular" w:cs="VIC-Regular"/>
          <w:sz w:val="20"/>
          <w:szCs w:val="20"/>
        </w:rPr>
        <w:t xml:space="preserve">The newly released </w:t>
      </w:r>
      <w:r>
        <w:rPr>
          <w:rFonts w:ascii="VIC-Italic" w:hAnsi="VIC-Italic" w:cs="VIC-Italic"/>
          <w:i/>
          <w:iCs/>
          <w:sz w:val="20"/>
          <w:szCs w:val="20"/>
        </w:rPr>
        <w:t>Literacy and Numeracy Strategy</w:t>
      </w:r>
      <w:r>
        <w:rPr>
          <w:rFonts w:ascii="VIC-Regular" w:hAnsi="VIC-Regular" w:cs="VIC-Regular"/>
          <w:sz w:val="20"/>
          <w:szCs w:val="20"/>
        </w:rPr>
        <w:t xml:space="preserve">, and </w:t>
      </w:r>
      <w:r>
        <w:rPr>
          <w:rFonts w:ascii="VIC-Italic" w:hAnsi="VIC-Italic" w:cs="VIC-Italic"/>
          <w:i/>
          <w:iCs/>
          <w:sz w:val="20"/>
          <w:szCs w:val="20"/>
        </w:rPr>
        <w:t>High Impact Teaching Strategies</w:t>
      </w:r>
      <w:r>
        <w:rPr>
          <w:rFonts w:ascii="VIC-Regular" w:hAnsi="VIC-Regular" w:cs="VIC-Regular"/>
          <w:sz w:val="20"/>
          <w:szCs w:val="20"/>
        </w:rPr>
        <w:t>,</w:t>
      </w:r>
      <w:r>
        <w:rPr>
          <w:rFonts w:ascii="VIC-Italic" w:hAnsi="VIC-Italic" w:cs="VIC-Italic"/>
          <w:i/>
          <w:iCs/>
          <w:sz w:val="20"/>
          <w:szCs w:val="20"/>
        </w:rPr>
        <w:t xml:space="preserve"> </w:t>
      </w:r>
      <w:r>
        <w:rPr>
          <w:rFonts w:ascii="VIC-Regular" w:hAnsi="VIC-Regular" w:cs="VIC-Regular"/>
          <w:sz w:val="20"/>
          <w:szCs w:val="20"/>
        </w:rPr>
        <w:t>offer grounded support for effective teaching of</w:t>
      </w:r>
      <w:r>
        <w:rPr>
          <w:rFonts w:ascii="VIC-Italic" w:hAnsi="VIC-Italic" w:cs="VIC-Italic"/>
          <w:i/>
          <w:iCs/>
          <w:sz w:val="20"/>
          <w:szCs w:val="20"/>
        </w:rPr>
        <w:t xml:space="preserve"> </w:t>
      </w:r>
      <w:r>
        <w:rPr>
          <w:rFonts w:ascii="VIC-Regular" w:hAnsi="VIC-Regular" w:cs="VIC-Regular"/>
          <w:sz w:val="20"/>
          <w:szCs w:val="20"/>
        </w:rPr>
        <w:t>foundational literacy and numeracy skills.</w:t>
      </w:r>
    </w:p>
    <w:p w14:paraId="506C75A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6BE9BB17"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Education State initiatives like these are based on the best available evidence about what works to lift student outcomes. These initiatives bring Victoria to the cusp of a period of extraordinary opportunity for teachers and students. The three professional practice elemen</w:t>
      </w:r>
      <w:r w:rsidR="003A317B">
        <w:rPr>
          <w:rFonts w:ascii="VIC-Regular" w:hAnsi="VIC-Regular" w:cs="VIC-Regular"/>
          <w:sz w:val="20"/>
          <w:szCs w:val="20"/>
        </w:rPr>
        <w:t xml:space="preserve">ts are strategic and practical. </w:t>
      </w:r>
      <w:r>
        <w:rPr>
          <w:rFonts w:ascii="VIC-Regular" w:hAnsi="VIC-Regular" w:cs="VIC-Regular"/>
          <w:sz w:val="20"/>
          <w:szCs w:val="20"/>
        </w:rPr>
        <w:t>Together, the elements create opportunities for teachers to improve their professional practice by increasing time available for this important work, and by supporting teachers to collaborate.</w:t>
      </w:r>
    </w:p>
    <w:p w14:paraId="00BB492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2BF166DC"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Collaborative professional practice heightens the impact individual teachers—even the most accomplished—have on student learning. By inquiring as part of a team about how to improve their teaching and engaging in peer observation, individual teachers benefit from sharing their insights and experiences with colleagues.</w:t>
      </w:r>
    </w:p>
    <w:p w14:paraId="6703C0AA"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16032EB0"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collective appetite for professional practice is the difference between good and great teaching.</w:t>
      </w:r>
      <w:r w:rsidR="003A317B">
        <w:rPr>
          <w:rFonts w:ascii="VIC-Regular" w:hAnsi="VIC-Regular" w:cs="VIC-Regular"/>
          <w:sz w:val="20"/>
          <w:szCs w:val="20"/>
        </w:rPr>
        <w:t xml:space="preserve"> </w:t>
      </w:r>
      <w:r>
        <w:rPr>
          <w:rFonts w:ascii="VIC-Regular" w:hAnsi="VIC-Regular" w:cs="VIC-Regular"/>
          <w:sz w:val="20"/>
          <w:szCs w:val="20"/>
        </w:rPr>
        <w:t>Extended to every school in Victoria, it is the difference between a good and a great school system.</w:t>
      </w:r>
    </w:p>
    <w:p w14:paraId="1322C78B"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384DDC6A" w14:textId="77777777" w:rsidR="00EE2AB7"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Our children’s futures depend on our professional expertise and our collective commitment to ensure all students learn and progress.</w:t>
      </w:r>
    </w:p>
    <w:p w14:paraId="1E0D9BD6"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B20259B" w14:textId="77777777" w:rsidR="00EE2AB7" w:rsidRDefault="00EE2AB7" w:rsidP="00D55EC7">
      <w:pPr>
        <w:autoSpaceDE w:val="0"/>
        <w:autoSpaceDN w:val="0"/>
        <w:adjustRightInd w:val="0"/>
        <w:spacing w:after="120" w:line="240" w:lineRule="auto"/>
        <w:rPr>
          <w:rFonts w:ascii="VIC-SemiBold" w:hAnsi="VIC-SemiBold" w:cs="VIC-SemiBold"/>
          <w:b/>
          <w:bCs/>
          <w:sz w:val="20"/>
          <w:szCs w:val="20"/>
        </w:rPr>
      </w:pPr>
      <w:r>
        <w:rPr>
          <w:rFonts w:ascii="VIC-SemiBold" w:hAnsi="VIC-SemiBold" w:cs="VIC-SemiBold"/>
          <w:b/>
          <w:bCs/>
          <w:sz w:val="20"/>
          <w:szCs w:val="20"/>
        </w:rPr>
        <w:t>Bruce Armstrong</w:t>
      </w:r>
    </w:p>
    <w:p w14:paraId="6B4F5C02" w14:textId="77777777" w:rsidR="00EE2AB7" w:rsidRDefault="00EE2AB7" w:rsidP="00EE2AB7">
      <w:pPr>
        <w:autoSpaceDE w:val="0"/>
        <w:autoSpaceDN w:val="0"/>
        <w:adjustRightInd w:val="0"/>
        <w:spacing w:after="0" w:line="240" w:lineRule="auto"/>
        <w:rPr>
          <w:rFonts w:ascii="VIC-Medium" w:hAnsi="VIC-Medium" w:cs="VIC-Medium"/>
          <w:sz w:val="20"/>
          <w:szCs w:val="20"/>
        </w:rPr>
      </w:pPr>
      <w:r>
        <w:rPr>
          <w:rFonts w:ascii="VIC-Medium" w:hAnsi="VIC-Medium" w:cs="VIC-Medium"/>
          <w:sz w:val="20"/>
          <w:szCs w:val="20"/>
        </w:rPr>
        <w:t>Deputy Secretary</w:t>
      </w:r>
    </w:p>
    <w:p w14:paraId="5E89BB7A" w14:textId="77777777" w:rsidR="00EE2AB7" w:rsidRDefault="00EE2AB7" w:rsidP="00EE2AB7">
      <w:pPr>
        <w:autoSpaceDE w:val="0"/>
        <w:autoSpaceDN w:val="0"/>
        <w:adjustRightInd w:val="0"/>
        <w:spacing w:after="0" w:line="240" w:lineRule="auto"/>
        <w:rPr>
          <w:rFonts w:ascii="VIC-Medium" w:hAnsi="VIC-Medium" w:cs="VIC-Medium"/>
          <w:sz w:val="20"/>
          <w:szCs w:val="20"/>
        </w:rPr>
      </w:pPr>
      <w:r>
        <w:rPr>
          <w:rFonts w:ascii="VIC-Medium" w:hAnsi="VIC-Medium" w:cs="VIC-Medium"/>
          <w:sz w:val="20"/>
          <w:szCs w:val="20"/>
        </w:rPr>
        <w:t>Regional Services Group</w:t>
      </w:r>
    </w:p>
    <w:p w14:paraId="64EA0FCF" w14:textId="77777777" w:rsidR="00EE2AB7" w:rsidRDefault="00EE2AB7">
      <w:pPr>
        <w:rPr>
          <w:rFonts w:ascii="VIC-Medium" w:hAnsi="VIC-Medium" w:cs="VIC-Medium"/>
          <w:sz w:val="20"/>
          <w:szCs w:val="20"/>
        </w:rPr>
      </w:pPr>
      <w:r>
        <w:rPr>
          <w:rFonts w:ascii="VIC-Medium" w:hAnsi="VIC-Medium" w:cs="VIC-Medium"/>
          <w:sz w:val="20"/>
          <w:szCs w:val="20"/>
        </w:rPr>
        <w:br w:type="page"/>
      </w:r>
    </w:p>
    <w:p w14:paraId="026D65E6" w14:textId="77777777" w:rsidR="00EE2AB7" w:rsidRDefault="00EE2AB7" w:rsidP="00EE2AB7">
      <w:pPr>
        <w:autoSpaceDE w:val="0"/>
        <w:autoSpaceDN w:val="0"/>
        <w:adjustRightInd w:val="0"/>
        <w:spacing w:after="0" w:line="240" w:lineRule="auto"/>
        <w:rPr>
          <w:rFonts w:ascii="VIC-SemiBold" w:hAnsi="VIC-SemiBold" w:cs="VIC-SemiBold"/>
          <w:b/>
          <w:bCs/>
          <w:color w:val="B92330"/>
          <w:sz w:val="48"/>
          <w:szCs w:val="48"/>
        </w:rPr>
      </w:pPr>
      <w:r>
        <w:rPr>
          <w:rFonts w:ascii="VIC-SemiBold" w:hAnsi="VIC-SemiBold" w:cs="VIC-SemiBold"/>
          <w:b/>
          <w:bCs/>
          <w:color w:val="B92330"/>
          <w:sz w:val="48"/>
          <w:szCs w:val="48"/>
        </w:rPr>
        <w:lastRenderedPageBreak/>
        <w:t>THE PROFESSIONAL PRACTICE ELEMENTS</w:t>
      </w:r>
    </w:p>
    <w:p w14:paraId="39EAD909" w14:textId="77777777" w:rsidR="00EE2AB7" w:rsidRDefault="00EE2AB7" w:rsidP="00EE2AB7">
      <w:pPr>
        <w:autoSpaceDE w:val="0"/>
        <w:autoSpaceDN w:val="0"/>
        <w:adjustRightInd w:val="0"/>
        <w:spacing w:after="0" w:line="240" w:lineRule="auto"/>
        <w:rPr>
          <w:rFonts w:ascii="VIC-SemiBold" w:hAnsi="VIC-SemiBold" w:cs="VIC-SemiBold"/>
          <w:b/>
          <w:bCs/>
          <w:color w:val="B92330"/>
          <w:sz w:val="48"/>
          <w:szCs w:val="48"/>
        </w:rPr>
      </w:pPr>
    </w:p>
    <w:p w14:paraId="0194F5C2" w14:textId="77777777" w:rsidR="00EE2AB7" w:rsidRDefault="00EE2AB7" w:rsidP="00EE2AB7">
      <w:pPr>
        <w:autoSpaceDE w:val="0"/>
        <w:autoSpaceDN w:val="0"/>
        <w:adjustRightInd w:val="0"/>
        <w:spacing w:after="0" w:line="240" w:lineRule="auto"/>
        <w:rPr>
          <w:rFonts w:ascii="VIC-SemiBold" w:hAnsi="VIC-SemiBold" w:cs="VIC-SemiBold"/>
          <w:b/>
          <w:bCs/>
          <w:color w:val="B92330"/>
          <w:sz w:val="24"/>
          <w:szCs w:val="24"/>
        </w:rPr>
      </w:pPr>
      <w:r>
        <w:rPr>
          <w:rFonts w:ascii="VIC-SemiBold" w:hAnsi="VIC-SemiBold" w:cs="VIC-SemiBold"/>
          <w:b/>
          <w:bCs/>
          <w:color w:val="B92330"/>
          <w:sz w:val="24"/>
          <w:szCs w:val="24"/>
        </w:rPr>
        <w:t>VICTORIAN GOVERNMENT SCHOOLS AGREEMENT 2017</w:t>
      </w:r>
    </w:p>
    <w:p w14:paraId="4AA4C288" w14:textId="77777777" w:rsidR="00EE2AB7" w:rsidRDefault="00EE2AB7" w:rsidP="00EE2AB7">
      <w:pPr>
        <w:autoSpaceDE w:val="0"/>
        <w:autoSpaceDN w:val="0"/>
        <w:adjustRightInd w:val="0"/>
        <w:spacing w:after="0" w:line="240" w:lineRule="auto"/>
        <w:rPr>
          <w:rFonts w:ascii="VIC-SemiBold" w:hAnsi="VIC-SemiBold" w:cs="VIC-SemiBold"/>
          <w:b/>
          <w:bCs/>
          <w:color w:val="B92330"/>
          <w:sz w:val="24"/>
          <w:szCs w:val="24"/>
        </w:rPr>
      </w:pPr>
    </w:p>
    <w:p w14:paraId="2DC7B7F2" w14:textId="77777777" w:rsidR="00EE2AB7" w:rsidRDefault="00EE2AB7" w:rsidP="00EE2AB7">
      <w:pPr>
        <w:autoSpaceDE w:val="0"/>
        <w:autoSpaceDN w:val="0"/>
        <w:adjustRightInd w:val="0"/>
        <w:spacing w:after="0" w:line="240" w:lineRule="auto"/>
        <w:rPr>
          <w:rFonts w:ascii="VIC-SemiBoldItalic" w:hAnsi="VIC-SemiBoldItalic" w:cs="VIC-SemiBoldItalic"/>
          <w:b/>
          <w:bCs/>
          <w:i/>
          <w:iCs/>
          <w:color w:val="F9981F"/>
          <w:sz w:val="20"/>
          <w:szCs w:val="20"/>
        </w:rPr>
      </w:pPr>
      <w:r>
        <w:rPr>
          <w:rFonts w:ascii="VIC-SemiBold" w:hAnsi="VIC-SemiBold" w:cs="VIC-SemiBold"/>
          <w:b/>
          <w:bCs/>
          <w:color w:val="F9981F"/>
          <w:sz w:val="20"/>
          <w:szCs w:val="20"/>
        </w:rPr>
        <w:t xml:space="preserve">Four days a year for </w:t>
      </w:r>
      <w:r>
        <w:rPr>
          <w:rFonts w:ascii="VIC-SemiBoldItalic" w:hAnsi="VIC-SemiBoldItalic" w:cs="VIC-SemiBoldItalic"/>
          <w:b/>
          <w:bCs/>
          <w:i/>
          <w:iCs/>
          <w:color w:val="F9981F"/>
          <w:sz w:val="20"/>
          <w:szCs w:val="20"/>
        </w:rPr>
        <w:t>professional practice</w:t>
      </w:r>
    </w:p>
    <w:p w14:paraId="61E88A5D" w14:textId="77777777" w:rsidR="00EE2AB7" w:rsidRDefault="00EE2AB7" w:rsidP="00EE2AB7">
      <w:pPr>
        <w:autoSpaceDE w:val="0"/>
        <w:autoSpaceDN w:val="0"/>
        <w:adjustRightInd w:val="0"/>
        <w:spacing w:after="0" w:line="240" w:lineRule="auto"/>
        <w:rPr>
          <w:rFonts w:ascii="VIC-SemiBoldItalic" w:hAnsi="VIC-SemiBoldItalic" w:cs="VIC-SemiBoldItalic"/>
          <w:b/>
          <w:bCs/>
          <w:i/>
          <w:iCs/>
          <w:color w:val="F9981F"/>
          <w:sz w:val="20"/>
          <w:szCs w:val="20"/>
        </w:rPr>
      </w:pPr>
    </w:p>
    <w:p w14:paraId="31110E9E" w14:textId="77777777" w:rsidR="00EE2AB7" w:rsidRPr="00EE2AB7" w:rsidRDefault="00EE2AB7" w:rsidP="00EE2AB7">
      <w:pPr>
        <w:pStyle w:val="ListParagraph"/>
        <w:numPr>
          <w:ilvl w:val="0"/>
          <w:numId w:val="1"/>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Teachers have four days a year (one per term) released from scheduled duties to further focus on the improved delivery of high quality teaching and learning.</w:t>
      </w:r>
    </w:p>
    <w:p w14:paraId="766A8E66"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70E5D870" w14:textId="77777777" w:rsidR="00EE2AB7" w:rsidRPr="00EE2AB7" w:rsidRDefault="00EE2AB7" w:rsidP="00EE2AB7">
      <w:pPr>
        <w:pStyle w:val="ListParagraph"/>
        <w:numPr>
          <w:ilvl w:val="0"/>
          <w:numId w:val="1"/>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These days are in addition to existing student-free days.</w:t>
      </w:r>
    </w:p>
    <w:p w14:paraId="3CAD246B"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95AEDB8" w14:textId="77777777" w:rsidR="00EE2AB7" w:rsidRDefault="00EE2AB7" w:rsidP="00EE2AB7">
      <w:pPr>
        <w:autoSpaceDE w:val="0"/>
        <w:autoSpaceDN w:val="0"/>
        <w:adjustRightInd w:val="0"/>
        <w:spacing w:after="0" w:line="240" w:lineRule="auto"/>
        <w:rPr>
          <w:rFonts w:ascii="VIC-SemiBoldItalic" w:hAnsi="VIC-SemiBoldItalic" w:cs="VIC-SemiBoldItalic"/>
          <w:b/>
          <w:bCs/>
          <w:i/>
          <w:iCs/>
          <w:color w:val="F9981F"/>
          <w:sz w:val="20"/>
          <w:szCs w:val="20"/>
        </w:rPr>
      </w:pPr>
      <w:r>
        <w:rPr>
          <w:rFonts w:ascii="VIC-SemiBold" w:hAnsi="VIC-SemiBold" w:cs="VIC-SemiBold"/>
          <w:b/>
          <w:bCs/>
          <w:color w:val="F9981F"/>
          <w:sz w:val="20"/>
          <w:szCs w:val="20"/>
        </w:rPr>
        <w:t xml:space="preserve">Reconfiguring the working week to </w:t>
      </w:r>
      <w:r>
        <w:rPr>
          <w:rFonts w:ascii="VIC-SemiBoldItalic" w:hAnsi="VIC-SemiBoldItalic" w:cs="VIC-SemiBoldItalic"/>
          <w:b/>
          <w:bCs/>
          <w:i/>
          <w:iCs/>
          <w:color w:val="F9981F"/>
          <w:sz w:val="20"/>
          <w:szCs w:val="20"/>
        </w:rPr>
        <w:t>focus on teaching</w:t>
      </w:r>
    </w:p>
    <w:p w14:paraId="105E8550" w14:textId="77777777" w:rsidR="00EE2AB7" w:rsidRDefault="00EE2AB7" w:rsidP="00EE2AB7">
      <w:pPr>
        <w:autoSpaceDE w:val="0"/>
        <w:autoSpaceDN w:val="0"/>
        <w:adjustRightInd w:val="0"/>
        <w:spacing w:after="0" w:line="240" w:lineRule="auto"/>
        <w:rPr>
          <w:rFonts w:ascii="VIC-SemiBoldItalic" w:hAnsi="VIC-SemiBoldItalic" w:cs="VIC-SemiBoldItalic"/>
          <w:b/>
          <w:bCs/>
          <w:i/>
          <w:iCs/>
          <w:color w:val="F9981F"/>
          <w:sz w:val="20"/>
          <w:szCs w:val="20"/>
        </w:rPr>
      </w:pPr>
    </w:p>
    <w:p w14:paraId="152CFCE5" w14:textId="77777777" w:rsidR="00EE2AB7" w:rsidRPr="00EE2AB7" w:rsidRDefault="00EE2AB7" w:rsidP="00EE2AB7">
      <w:pPr>
        <w:pStyle w:val="ListParagraph"/>
        <w:numPr>
          <w:ilvl w:val="0"/>
          <w:numId w:val="2"/>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The new model provides time (30 hours for teachers with the maximum face-to-face teaching load) for teachers to focus on the work directly related to the teaching and learning program of their students and class(es).</w:t>
      </w:r>
    </w:p>
    <w:p w14:paraId="79EEA4D2"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335FF01" w14:textId="77777777" w:rsidR="00EE2AB7" w:rsidRPr="00EE2AB7" w:rsidRDefault="00EE2AB7" w:rsidP="00EE2AB7">
      <w:pPr>
        <w:pStyle w:val="ListParagraph"/>
        <w:numPr>
          <w:ilvl w:val="0"/>
          <w:numId w:val="2"/>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The existing limit on face-to-face teaching is retained.</w:t>
      </w:r>
    </w:p>
    <w:p w14:paraId="5984A6CC"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50FFCD5B" w14:textId="77777777" w:rsidR="00EE2AB7" w:rsidRPr="00EE2AB7" w:rsidRDefault="00EE2AB7" w:rsidP="00EE2AB7">
      <w:pPr>
        <w:pStyle w:val="ListParagraph"/>
        <w:numPr>
          <w:ilvl w:val="0"/>
          <w:numId w:val="2"/>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The remaining eight hours in the working week for a full time teacher (pro rata for part time teachers) is available for other activities (such as yard duty, meetings, other duties and lunch). This time can be increased for teachers with leadership, management, or other significant responsibilities by reducing their face-to-face teaching load.</w:t>
      </w:r>
    </w:p>
    <w:p w14:paraId="0075EF75"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7701559" w14:textId="77777777" w:rsidR="00EE2AB7" w:rsidRDefault="00EE2AB7" w:rsidP="00EE2AB7">
      <w:pPr>
        <w:autoSpaceDE w:val="0"/>
        <w:autoSpaceDN w:val="0"/>
        <w:adjustRightInd w:val="0"/>
        <w:spacing w:after="0" w:line="240" w:lineRule="auto"/>
        <w:rPr>
          <w:rFonts w:ascii="VIC-SemiBoldItalic" w:hAnsi="VIC-SemiBoldItalic" w:cs="VIC-SemiBoldItalic"/>
          <w:b/>
          <w:bCs/>
          <w:i/>
          <w:iCs/>
          <w:color w:val="F9981F"/>
          <w:sz w:val="20"/>
          <w:szCs w:val="20"/>
        </w:rPr>
      </w:pPr>
      <w:r>
        <w:rPr>
          <w:rFonts w:ascii="VIC-SemiBold" w:hAnsi="VIC-SemiBold" w:cs="VIC-SemiBold"/>
          <w:b/>
          <w:bCs/>
          <w:color w:val="F9981F"/>
          <w:sz w:val="20"/>
          <w:szCs w:val="20"/>
        </w:rPr>
        <w:t xml:space="preserve">New classroom-based learning specialists to </w:t>
      </w:r>
      <w:r>
        <w:rPr>
          <w:rFonts w:ascii="VIC-SemiBoldItalic" w:hAnsi="VIC-SemiBoldItalic" w:cs="VIC-SemiBoldItalic"/>
          <w:b/>
          <w:bCs/>
          <w:i/>
          <w:iCs/>
          <w:color w:val="F9981F"/>
          <w:sz w:val="20"/>
          <w:szCs w:val="20"/>
        </w:rPr>
        <w:t>support teachers to improve their practice</w:t>
      </w:r>
    </w:p>
    <w:p w14:paraId="31EFD9DD" w14:textId="77777777" w:rsidR="00EE2AB7" w:rsidRDefault="00EE2AB7" w:rsidP="00EE2AB7">
      <w:pPr>
        <w:autoSpaceDE w:val="0"/>
        <w:autoSpaceDN w:val="0"/>
        <w:adjustRightInd w:val="0"/>
        <w:spacing w:after="0" w:line="240" w:lineRule="auto"/>
        <w:rPr>
          <w:rFonts w:ascii="VIC-SemiBoldItalic" w:hAnsi="VIC-SemiBoldItalic" w:cs="VIC-SemiBoldItalic"/>
          <w:b/>
          <w:bCs/>
          <w:i/>
          <w:iCs/>
          <w:color w:val="F9981F"/>
          <w:sz w:val="20"/>
          <w:szCs w:val="20"/>
        </w:rPr>
      </w:pPr>
    </w:p>
    <w:p w14:paraId="5985D31E" w14:textId="77777777" w:rsidR="00EE2AB7" w:rsidRPr="00EE2AB7" w:rsidRDefault="00EE2AB7" w:rsidP="00EE2AB7">
      <w:pPr>
        <w:pStyle w:val="ListParagraph"/>
        <w:numPr>
          <w:ilvl w:val="0"/>
          <w:numId w:val="3"/>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The new classification provides a career pathway for highly skilled teachers who want to stay in the classroom and work with other teachers to improve their practice.</w:t>
      </w:r>
    </w:p>
    <w:p w14:paraId="7E010BF3"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09345241" w14:textId="77777777" w:rsidR="00EE2AB7" w:rsidRDefault="00EE2AB7" w:rsidP="00EE2AB7">
      <w:pPr>
        <w:pStyle w:val="ListParagraph"/>
        <w:numPr>
          <w:ilvl w:val="0"/>
          <w:numId w:val="3"/>
        </w:numPr>
        <w:autoSpaceDE w:val="0"/>
        <w:autoSpaceDN w:val="0"/>
        <w:adjustRightInd w:val="0"/>
        <w:spacing w:after="0" w:line="240" w:lineRule="auto"/>
        <w:rPr>
          <w:rFonts w:ascii="VIC-Regular" w:hAnsi="VIC-Regular" w:cs="VIC-Regular"/>
          <w:sz w:val="20"/>
          <w:szCs w:val="20"/>
        </w:rPr>
      </w:pPr>
      <w:r w:rsidRPr="00EE2AB7">
        <w:rPr>
          <w:rFonts w:ascii="VIC-Regular" w:hAnsi="VIC-Regular" w:cs="VIC-Regular"/>
          <w:sz w:val="20"/>
          <w:szCs w:val="20"/>
        </w:rPr>
        <w:t>Across the system 3,000 learning specialists will be appointed.</w:t>
      </w:r>
    </w:p>
    <w:p w14:paraId="37444D86" w14:textId="77777777" w:rsidR="00EE2AB7" w:rsidRPr="00EE2AB7" w:rsidRDefault="00EE2AB7" w:rsidP="00EE2AB7">
      <w:pPr>
        <w:pStyle w:val="ListParagraph"/>
        <w:rPr>
          <w:rFonts w:ascii="VIC-Regular" w:hAnsi="VIC-Regular" w:cs="VIC-Regular"/>
          <w:sz w:val="20"/>
          <w:szCs w:val="20"/>
        </w:rPr>
      </w:pPr>
    </w:p>
    <w:p w14:paraId="525ED336" w14:textId="77777777" w:rsidR="00262D18" w:rsidRDefault="00EE2AB7" w:rsidP="00EE2AB7">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professional practice elements outlined above must be implemented consistent with the relevant Victorian Government Schools Agreement 2017 clauses. Taken together, the professional practice elements create a ground breaking opportunity to place quality teaching at the heart of our approach to making Victoria the Education State. They recognise that all teachers need to be provided with time and support to focus on delivering high quality teaching and learning for all students.</w:t>
      </w:r>
    </w:p>
    <w:p w14:paraId="1AD9AE0A" w14:textId="77777777" w:rsidR="00262D18" w:rsidRDefault="00262D18">
      <w:pPr>
        <w:rPr>
          <w:rFonts w:ascii="VIC-Regular" w:hAnsi="VIC-Regular" w:cs="VIC-Regular"/>
          <w:sz w:val="20"/>
          <w:szCs w:val="20"/>
        </w:rPr>
      </w:pPr>
      <w:r>
        <w:rPr>
          <w:rFonts w:ascii="VIC-Regular" w:hAnsi="VIC-Regular" w:cs="VIC-Regular"/>
          <w:sz w:val="20"/>
          <w:szCs w:val="20"/>
        </w:rPr>
        <w:br w:type="page"/>
      </w:r>
    </w:p>
    <w:p w14:paraId="2BF66CEE" w14:textId="77777777" w:rsidR="00EE2AB7" w:rsidRDefault="00262D18" w:rsidP="00262D18">
      <w:pPr>
        <w:autoSpaceDE w:val="0"/>
        <w:autoSpaceDN w:val="0"/>
        <w:adjustRightInd w:val="0"/>
        <w:spacing w:after="120" w:line="240" w:lineRule="auto"/>
        <w:rPr>
          <w:rFonts w:ascii="VIC-SemiBold" w:hAnsi="VIC-SemiBold" w:cs="VIC-SemiBold"/>
          <w:b/>
          <w:bCs/>
          <w:color w:val="B92330"/>
          <w:sz w:val="48"/>
          <w:szCs w:val="48"/>
        </w:rPr>
      </w:pPr>
      <w:r>
        <w:rPr>
          <w:rFonts w:ascii="VIC-SemiBold" w:hAnsi="VIC-SemiBold" w:cs="VIC-SemiBold"/>
          <w:b/>
          <w:bCs/>
          <w:color w:val="B92330"/>
          <w:sz w:val="48"/>
          <w:szCs w:val="48"/>
        </w:rPr>
        <w:lastRenderedPageBreak/>
        <w:t>THE OPPORTUNITY FOR TEACHERS</w:t>
      </w:r>
    </w:p>
    <w:p w14:paraId="27BDC240" w14:textId="77777777" w:rsidR="00262D18" w:rsidRDefault="00262D18" w:rsidP="00262D18">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In the Education State, every member of the system—teachers, education support staff, school leaders, regional and central staff supporting schools—is working collaboratively to improve the quality of education experienced by our students.</w:t>
      </w:r>
      <w:r w:rsidR="003A3729">
        <w:rPr>
          <w:rFonts w:ascii="VIC-Regular" w:hAnsi="VIC-Regular" w:cs="VIC-Regular"/>
          <w:sz w:val="20"/>
          <w:szCs w:val="20"/>
        </w:rPr>
        <w:t xml:space="preserve"> </w:t>
      </w:r>
      <w:r>
        <w:rPr>
          <w:rFonts w:ascii="VIC-Regular" w:hAnsi="VIC-Regular" w:cs="VIC-Regular"/>
          <w:sz w:val="20"/>
          <w:szCs w:val="20"/>
        </w:rPr>
        <w:t>We have a common motivation for working together. Only together can we fulfil a shared moral purpose of ensuring every student develops the knowledge, capabilities and attributes that position them to manage their distinctive futures with confidence.</w:t>
      </w:r>
    </w:p>
    <w:p w14:paraId="35D1D848" w14:textId="77777777" w:rsidR="00EE2AB7" w:rsidRDefault="00EE2AB7" w:rsidP="00EE2AB7">
      <w:pPr>
        <w:autoSpaceDE w:val="0"/>
        <w:autoSpaceDN w:val="0"/>
        <w:adjustRightInd w:val="0"/>
        <w:spacing w:after="0" w:line="240" w:lineRule="auto"/>
        <w:rPr>
          <w:rFonts w:ascii="VIC-Regular" w:hAnsi="VIC-Regular" w:cs="VIC-Regular"/>
          <w:sz w:val="20"/>
          <w:szCs w:val="20"/>
        </w:rPr>
      </w:pPr>
    </w:p>
    <w:p w14:paraId="4E63237D" w14:textId="77777777" w:rsidR="00262D18" w:rsidRDefault="00262D18" w:rsidP="00262D18">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 xml:space="preserve">Many schools have already invested significant time, planning and resources into improving their school and teaching practice. Some schools are already participating in a more formal approach to collaborative professional practice through the Victorian Professional Learning Communities initiative. These schools’ Annual Implementation Plans set the improvement focus of teacher teams—the building blocks of Professional Learning Communities. In turn, these teams use the </w:t>
      </w:r>
      <w:r>
        <w:rPr>
          <w:rFonts w:ascii="VIC-Italic" w:hAnsi="VIC-Italic" w:cs="VIC-Italic"/>
          <w:i/>
          <w:iCs/>
          <w:sz w:val="20"/>
          <w:szCs w:val="20"/>
        </w:rPr>
        <w:t>Framework for Improving</w:t>
      </w:r>
      <w:r>
        <w:rPr>
          <w:rFonts w:ascii="VIC-Regular" w:hAnsi="VIC-Regular" w:cs="VIC-Regular"/>
          <w:sz w:val="20"/>
          <w:szCs w:val="20"/>
        </w:rPr>
        <w:t xml:space="preserve"> </w:t>
      </w:r>
      <w:r>
        <w:rPr>
          <w:rFonts w:ascii="VIC-Italic" w:hAnsi="VIC-Italic" w:cs="VIC-Italic"/>
          <w:i/>
          <w:iCs/>
          <w:sz w:val="20"/>
          <w:szCs w:val="20"/>
        </w:rPr>
        <w:t xml:space="preserve">Student Outcomes </w:t>
      </w:r>
      <w:r>
        <w:rPr>
          <w:rFonts w:ascii="VIC-Regular" w:hAnsi="VIC-Regular" w:cs="VIC-Regular"/>
          <w:sz w:val="20"/>
          <w:szCs w:val="20"/>
        </w:rPr>
        <w:t>improvement cycle to connect gaps in students’ learning with gaps in teachers’ learning. They identify learning opportunities to close these gaps. The new teacher professional practice opportunities build on the foundations laid by these Education State initiatives and provide the time and supports for all schools to enhance student learning through collaborative professional practice.</w:t>
      </w:r>
    </w:p>
    <w:p w14:paraId="4C554A60" w14:textId="77777777" w:rsidR="00262D18" w:rsidRDefault="00262D18" w:rsidP="00262D18">
      <w:pPr>
        <w:autoSpaceDE w:val="0"/>
        <w:autoSpaceDN w:val="0"/>
        <w:adjustRightInd w:val="0"/>
        <w:spacing w:after="0" w:line="240" w:lineRule="auto"/>
        <w:rPr>
          <w:rFonts w:ascii="VIC-Regular" w:hAnsi="VIC-Regular" w:cs="VIC-Regular"/>
          <w:sz w:val="20"/>
          <w:szCs w:val="20"/>
        </w:rPr>
      </w:pPr>
    </w:p>
    <w:p w14:paraId="7F132827" w14:textId="77777777" w:rsidR="003A3729" w:rsidRDefault="00262D18" w:rsidP="00262D18">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 xml:space="preserve">In your school, collaborative practice builds upon and informs the individual practice of each teacher, and the professional practice elements of the Victorian Government Schools Agreement 2017 reflect increased support for individual teachers. </w:t>
      </w:r>
    </w:p>
    <w:p w14:paraId="1CF853DC" w14:textId="77777777" w:rsidR="003A3729" w:rsidRDefault="003A3729" w:rsidP="00262D18">
      <w:pPr>
        <w:autoSpaceDE w:val="0"/>
        <w:autoSpaceDN w:val="0"/>
        <w:adjustRightInd w:val="0"/>
        <w:spacing w:after="0" w:line="240" w:lineRule="auto"/>
        <w:rPr>
          <w:rFonts w:ascii="VIC-Regular" w:hAnsi="VIC-Regular" w:cs="VIC-Regular"/>
          <w:sz w:val="20"/>
          <w:szCs w:val="20"/>
        </w:rPr>
      </w:pPr>
    </w:p>
    <w:p w14:paraId="7DB5E3C7" w14:textId="77777777" w:rsidR="00262D18" w:rsidRDefault="00262D18" w:rsidP="00262D18">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This support is provided in a context that recognises the increasingly complex role of teachers. This role involves deploying an array of pedagogies to accommodate the range of student learning needs and continuously reflecting on the impact they are having on student learning. Also recognised is the overwhelming evidence that tells us that the most effective teaching practice is built through an active and focused collaborative culture.</w:t>
      </w:r>
    </w:p>
    <w:p w14:paraId="45F046B9" w14:textId="77777777" w:rsidR="00262D18" w:rsidRDefault="00262D18" w:rsidP="00262D18">
      <w:pPr>
        <w:autoSpaceDE w:val="0"/>
        <w:autoSpaceDN w:val="0"/>
        <w:adjustRightInd w:val="0"/>
        <w:spacing w:after="0" w:line="240" w:lineRule="auto"/>
        <w:rPr>
          <w:rFonts w:ascii="VIC-Regular" w:hAnsi="VIC-Regular" w:cs="VIC-Regular"/>
          <w:sz w:val="20"/>
          <w:szCs w:val="20"/>
        </w:rPr>
      </w:pPr>
    </w:p>
    <w:p w14:paraId="2DD603BF" w14:textId="77777777" w:rsidR="00262D18" w:rsidRDefault="00262D18" w:rsidP="00262D18">
      <w:pPr>
        <w:autoSpaceDE w:val="0"/>
        <w:autoSpaceDN w:val="0"/>
        <w:adjustRightInd w:val="0"/>
        <w:spacing w:after="0" w:line="240" w:lineRule="auto"/>
        <w:rPr>
          <w:rFonts w:ascii="VIC-Regular" w:hAnsi="VIC-Regular" w:cs="VIC-Regular"/>
          <w:sz w:val="12"/>
          <w:szCs w:val="12"/>
        </w:rPr>
      </w:pPr>
      <w:r>
        <w:rPr>
          <w:rFonts w:ascii="VIC-Regular" w:hAnsi="VIC-Regular" w:cs="VIC-Regular"/>
          <w:sz w:val="20"/>
          <w:szCs w:val="20"/>
        </w:rPr>
        <w:t>The professional practice elements support the development of both individual and collective competencies. Their inclusion in the Agreement is a recognition that all teachers need to be supported by their school and the system to have the time, tools and training in order to deliver high quality teaching and learning for every student. High quality teaching that uses evidence of student learning to inform and improve teaching practice involves a balance between consistent practice (achieved through collective agreement on what quality teaching practice entails) and individual teacher practice.</w:t>
      </w:r>
      <w:r w:rsidR="00C930EB">
        <w:rPr>
          <w:rStyle w:val="FootnoteReference"/>
          <w:rFonts w:ascii="VIC-Regular" w:hAnsi="VIC-Regular" w:cs="VIC-Regular"/>
          <w:sz w:val="20"/>
          <w:szCs w:val="20"/>
        </w:rPr>
        <w:footnoteReference w:id="3"/>
      </w:r>
    </w:p>
    <w:p w14:paraId="577C1F5C" w14:textId="77777777" w:rsidR="00262D18" w:rsidRDefault="00262D18" w:rsidP="00262D18">
      <w:pPr>
        <w:autoSpaceDE w:val="0"/>
        <w:autoSpaceDN w:val="0"/>
        <w:adjustRightInd w:val="0"/>
        <w:spacing w:after="0" w:line="240" w:lineRule="auto"/>
        <w:rPr>
          <w:rFonts w:ascii="VIC-Regular" w:hAnsi="VIC-Regular" w:cs="VIC-Regular"/>
          <w:sz w:val="12"/>
          <w:szCs w:val="12"/>
        </w:rPr>
      </w:pPr>
    </w:p>
    <w:p w14:paraId="4FCBE822" w14:textId="77777777" w:rsidR="00262D18" w:rsidRDefault="00262D18" w:rsidP="00262D18">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three professional practice elements explicitly recognise that more students can achieve excellence throughout their lives if all our work is organised around supporting professional practice that privileges purposeful collaboration, collective responsibility and learning impact.</w:t>
      </w:r>
    </w:p>
    <w:p w14:paraId="5C9546C7" w14:textId="77777777" w:rsidR="00262D18" w:rsidRDefault="00262D18" w:rsidP="00262D18">
      <w:pPr>
        <w:autoSpaceDE w:val="0"/>
        <w:autoSpaceDN w:val="0"/>
        <w:adjustRightInd w:val="0"/>
        <w:spacing w:after="0" w:line="240" w:lineRule="auto"/>
        <w:rPr>
          <w:rFonts w:ascii="VIC-Regular" w:hAnsi="VIC-Regular" w:cs="VIC-Regular"/>
          <w:sz w:val="20"/>
          <w:szCs w:val="20"/>
        </w:rPr>
      </w:pPr>
    </w:p>
    <w:p w14:paraId="65C925BE" w14:textId="77777777" w:rsidR="00262D18" w:rsidRDefault="00262D18" w:rsidP="00D55EC7">
      <w:pPr>
        <w:autoSpaceDE w:val="0"/>
        <w:autoSpaceDN w:val="0"/>
        <w:adjustRightInd w:val="0"/>
        <w:spacing w:after="120" w:line="240" w:lineRule="auto"/>
        <w:rPr>
          <w:rFonts w:ascii="VIC-SemiBold" w:hAnsi="VIC-SemiBold" w:cs="VIC-SemiBold"/>
          <w:b/>
          <w:bCs/>
          <w:color w:val="B92330"/>
          <w:sz w:val="20"/>
          <w:szCs w:val="20"/>
        </w:rPr>
      </w:pPr>
      <w:r>
        <w:rPr>
          <w:rFonts w:ascii="VIC-SemiBold" w:hAnsi="VIC-SemiBold" w:cs="VIC-SemiBold"/>
          <w:b/>
          <w:bCs/>
          <w:color w:val="B92330"/>
          <w:sz w:val="20"/>
          <w:szCs w:val="20"/>
        </w:rPr>
        <w:t>Purposeful collaboration</w:t>
      </w:r>
    </w:p>
    <w:p w14:paraId="70B9E7FA" w14:textId="77777777" w:rsidR="00262D18" w:rsidRDefault="00D55EC7" w:rsidP="00D55EC7">
      <w:pPr>
        <w:autoSpaceDE w:val="0"/>
        <w:autoSpaceDN w:val="0"/>
        <w:adjustRightInd w:val="0"/>
        <w:spacing w:after="60" w:line="240" w:lineRule="auto"/>
        <w:rPr>
          <w:rFonts w:ascii="VIC-Italic" w:hAnsi="VIC-Italic" w:cs="VIC-Italic"/>
          <w:i/>
          <w:iCs/>
          <w:color w:val="000000"/>
          <w:sz w:val="20"/>
          <w:szCs w:val="20"/>
        </w:rPr>
      </w:pPr>
      <w:r>
        <w:rPr>
          <w:rFonts w:ascii="VIC-Italic" w:hAnsi="VIC-Italic" w:cs="VIC-Italic"/>
          <w:i/>
          <w:iCs/>
          <w:color w:val="000000"/>
          <w:sz w:val="20"/>
          <w:szCs w:val="20"/>
        </w:rPr>
        <w:t>“</w:t>
      </w:r>
      <w:r w:rsidR="00262D18">
        <w:rPr>
          <w:rFonts w:ascii="VIC-Italic" w:hAnsi="VIC-Italic" w:cs="VIC-Italic"/>
          <w:i/>
          <w:iCs/>
          <w:color w:val="000000"/>
          <w:sz w:val="20"/>
          <w:szCs w:val="20"/>
        </w:rPr>
        <w:t>Collaboration is a powerful way to deepen educator capacity, to increase the total value of the professional capital in the school, and to harness the power of the collective.</w:t>
      </w:r>
      <w:r>
        <w:rPr>
          <w:rFonts w:ascii="VIC-Italic" w:hAnsi="VIC-Italic" w:cs="VIC-Italic"/>
          <w:i/>
          <w:iCs/>
          <w:color w:val="000000"/>
          <w:sz w:val="20"/>
          <w:szCs w:val="20"/>
        </w:rPr>
        <w:t>”</w:t>
      </w:r>
    </w:p>
    <w:p w14:paraId="270548A0" w14:textId="77777777" w:rsidR="00262D18" w:rsidRDefault="00262D18" w:rsidP="00262D18">
      <w:pPr>
        <w:autoSpaceDE w:val="0"/>
        <w:autoSpaceDN w:val="0"/>
        <w:adjustRightInd w:val="0"/>
        <w:spacing w:after="0" w:line="240" w:lineRule="auto"/>
        <w:rPr>
          <w:rFonts w:ascii="VIC-Regular" w:hAnsi="VIC-Regular" w:cs="VIC-Regular"/>
          <w:color w:val="000000"/>
          <w:sz w:val="12"/>
          <w:szCs w:val="12"/>
        </w:rPr>
      </w:pPr>
      <w:r>
        <w:rPr>
          <w:rFonts w:ascii="VIC-Regular" w:hAnsi="VIC-Regular" w:cs="VIC-Regular"/>
          <w:color w:val="000000"/>
          <w:sz w:val="20"/>
          <w:szCs w:val="20"/>
        </w:rPr>
        <w:lastRenderedPageBreak/>
        <w:t>Lyn Sharratt and Beate Planche</w:t>
      </w:r>
      <w:r w:rsidR="00C930EB">
        <w:rPr>
          <w:rStyle w:val="FootnoteReference"/>
          <w:rFonts w:ascii="VIC-Regular" w:hAnsi="VIC-Regular" w:cs="VIC-Regular"/>
          <w:color w:val="000000"/>
          <w:sz w:val="20"/>
          <w:szCs w:val="20"/>
        </w:rPr>
        <w:footnoteReference w:id="4"/>
      </w:r>
    </w:p>
    <w:p w14:paraId="2BA8B8A7" w14:textId="77777777" w:rsidR="00262D18" w:rsidRDefault="00262D18" w:rsidP="00262D18">
      <w:pPr>
        <w:autoSpaceDE w:val="0"/>
        <w:autoSpaceDN w:val="0"/>
        <w:adjustRightInd w:val="0"/>
        <w:spacing w:after="0" w:line="240" w:lineRule="auto"/>
        <w:rPr>
          <w:rFonts w:ascii="VIC-Regular" w:hAnsi="VIC-Regular" w:cs="VIC-Regular"/>
          <w:color w:val="000000"/>
          <w:sz w:val="12"/>
          <w:szCs w:val="12"/>
        </w:rPr>
      </w:pPr>
    </w:p>
    <w:p w14:paraId="02C0A0FC" w14:textId="77777777" w:rsidR="00262D18" w:rsidRDefault="00262D18" w:rsidP="00262D18">
      <w:pPr>
        <w:autoSpaceDE w:val="0"/>
        <w:autoSpaceDN w:val="0"/>
        <w:adjustRightInd w:val="0"/>
        <w:spacing w:after="0" w:line="240" w:lineRule="auto"/>
        <w:rPr>
          <w:rFonts w:ascii="VIC-Regular" w:hAnsi="VIC-Regular" w:cs="VIC-Regular"/>
          <w:sz w:val="12"/>
          <w:szCs w:val="12"/>
        </w:rPr>
      </w:pPr>
      <w:r>
        <w:rPr>
          <w:rFonts w:ascii="VIC-Regular" w:hAnsi="VIC-Regular" w:cs="VIC-Regular"/>
          <w:sz w:val="20"/>
          <w:szCs w:val="20"/>
        </w:rPr>
        <w:t>Collaborative professional practice has a clear moral purpose: to increase student learning. It creates a culture of improvement, underpinned by a shared commitment to, and understanding of, high quality teaching practice. A common language of learning standards and progress enables teachers to work together to challenge and support each other, and track student progress over time. To improve the capacity of all teachers to deliver consistent, high quality teaching and learning in every classroom, teachers need to work together to collect and evaluate evidence of student learning and use this to make informed decisions about their teaching.</w:t>
      </w:r>
      <w:r w:rsidR="00C930EB">
        <w:rPr>
          <w:rStyle w:val="FootnoteReference"/>
          <w:rFonts w:ascii="VIC-Regular" w:hAnsi="VIC-Regular" w:cs="VIC-Regular"/>
          <w:sz w:val="20"/>
          <w:szCs w:val="20"/>
        </w:rPr>
        <w:footnoteReference w:id="5"/>
      </w:r>
    </w:p>
    <w:p w14:paraId="37FD8347" w14:textId="77777777" w:rsidR="00C930EB" w:rsidRP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This kind of purposeful, supportive collaboration extends teacher practice to heights impossible to scale alone.</w:t>
      </w:r>
      <w:r>
        <w:rPr>
          <w:rStyle w:val="FootnoteReference"/>
          <w:rFonts w:ascii="VIC-Regular" w:hAnsi="VIC-Regular" w:cs="VIC-Regular"/>
          <w:sz w:val="20"/>
          <w:szCs w:val="20"/>
        </w:rPr>
        <w:footnoteReference w:id="6"/>
      </w:r>
    </w:p>
    <w:p w14:paraId="4D518D43" w14:textId="77777777" w:rsidR="00C930EB" w:rsidRDefault="00C930EB" w:rsidP="00C930EB">
      <w:pPr>
        <w:autoSpaceDE w:val="0"/>
        <w:autoSpaceDN w:val="0"/>
        <w:adjustRightInd w:val="0"/>
        <w:spacing w:after="0" w:line="240" w:lineRule="auto"/>
        <w:rPr>
          <w:rFonts w:ascii="VIC-Regular" w:hAnsi="VIC-Regular" w:cs="VIC-Regular"/>
          <w:sz w:val="20"/>
          <w:szCs w:val="20"/>
        </w:rPr>
      </w:pPr>
    </w:p>
    <w:p w14:paraId="4CA5292B" w14:textId="77777777" w:rsid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In collaborating with purpose teachers can, for example:</w:t>
      </w:r>
    </w:p>
    <w:p w14:paraId="77292AB0" w14:textId="77777777" w:rsidR="00C930EB" w:rsidRPr="00C930EB" w:rsidRDefault="00C930EB" w:rsidP="00C930EB">
      <w:pPr>
        <w:pStyle w:val="ListParagraph"/>
        <w:numPr>
          <w:ilvl w:val="0"/>
          <w:numId w:val="4"/>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reflect on their current practice to identify both strengths and areas for improvement, share their strengths with their teams, and collaboratively design opportunities for improvement</w:t>
      </w:r>
    </w:p>
    <w:p w14:paraId="01579A80" w14:textId="77777777" w:rsidR="00C930EB" w:rsidRPr="00C930EB" w:rsidRDefault="00C930EB" w:rsidP="00C930EB">
      <w:pPr>
        <w:pStyle w:val="ListParagraph"/>
        <w:numPr>
          <w:ilvl w:val="0"/>
          <w:numId w:val="4"/>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jointly create a unit of work to develop deep learning experiences, common assessment tasks, and a consistent approach to moderating student work</w:t>
      </w:r>
    </w:p>
    <w:p w14:paraId="18CEDE05" w14:textId="77777777" w:rsidR="00C930EB" w:rsidRDefault="00C930EB" w:rsidP="00C930EB">
      <w:pPr>
        <w:pStyle w:val="ListParagraph"/>
        <w:numPr>
          <w:ilvl w:val="0"/>
          <w:numId w:val="4"/>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gather evidence from several classrooms, including through peer observation, about how a particular literacy or numeracy skill is currently taught. Then with their colleagues design a common teaching approach comprising both current strategies that are working, and new strategies drawn from best practice research.</w:t>
      </w:r>
    </w:p>
    <w:p w14:paraId="53281E2A" w14:textId="77777777" w:rsidR="00C930EB" w:rsidRPr="00C930EB" w:rsidRDefault="00C930EB" w:rsidP="00D55EC7">
      <w:pPr>
        <w:autoSpaceDE w:val="0"/>
        <w:autoSpaceDN w:val="0"/>
        <w:adjustRightInd w:val="0"/>
        <w:spacing w:after="120" w:line="240" w:lineRule="auto"/>
        <w:rPr>
          <w:rFonts w:ascii="VIC-SemiBold" w:hAnsi="VIC-SemiBold" w:cs="VIC-SemiBold"/>
          <w:b/>
          <w:bCs/>
          <w:color w:val="B92330"/>
          <w:sz w:val="20"/>
          <w:szCs w:val="20"/>
        </w:rPr>
      </w:pPr>
      <w:r w:rsidRPr="00C930EB">
        <w:rPr>
          <w:rFonts w:ascii="VIC-SemiBold" w:hAnsi="VIC-SemiBold" w:cs="VIC-SemiBold"/>
          <w:b/>
          <w:bCs/>
          <w:color w:val="B92330"/>
          <w:sz w:val="20"/>
          <w:szCs w:val="20"/>
        </w:rPr>
        <w:t>Collective responsibility</w:t>
      </w:r>
    </w:p>
    <w:p w14:paraId="451A0703" w14:textId="77777777" w:rsidR="00C930EB" w:rsidRPr="00C930EB" w:rsidRDefault="00C930EB" w:rsidP="00D55EC7">
      <w:pPr>
        <w:autoSpaceDE w:val="0"/>
        <w:autoSpaceDN w:val="0"/>
        <w:adjustRightInd w:val="0"/>
        <w:spacing w:after="60" w:line="240" w:lineRule="auto"/>
        <w:rPr>
          <w:rFonts w:ascii="VIC-Italic" w:hAnsi="VIC-Italic" w:cs="VIC-Italic"/>
          <w:i/>
          <w:iCs/>
          <w:color w:val="000000"/>
          <w:sz w:val="20"/>
          <w:szCs w:val="20"/>
        </w:rPr>
      </w:pPr>
      <w:r w:rsidRPr="00C930EB">
        <w:rPr>
          <w:rFonts w:ascii="VIC-Italic" w:hAnsi="VIC-Italic" w:cs="VIC-Italic"/>
          <w:i/>
          <w:iCs/>
          <w:color w:val="000000"/>
          <w:sz w:val="20"/>
          <w:szCs w:val="20"/>
        </w:rPr>
        <w:t>A strong normative environment inside the</w:t>
      </w:r>
      <w:r>
        <w:rPr>
          <w:rFonts w:ascii="VIC-Italic" w:hAnsi="VIC-Italic" w:cs="VIC-Italic"/>
          <w:i/>
          <w:iCs/>
          <w:color w:val="000000"/>
          <w:sz w:val="20"/>
          <w:szCs w:val="20"/>
        </w:rPr>
        <w:t xml:space="preserve"> </w:t>
      </w:r>
      <w:r w:rsidRPr="00C930EB">
        <w:rPr>
          <w:rFonts w:ascii="VIC-Italic" w:hAnsi="VIC-Italic" w:cs="VIC-Italic"/>
          <w:i/>
          <w:iCs/>
          <w:color w:val="000000"/>
          <w:sz w:val="20"/>
          <w:szCs w:val="20"/>
        </w:rPr>
        <w:t>school, based on a belief in the capacity and</w:t>
      </w:r>
      <w:r>
        <w:rPr>
          <w:rFonts w:ascii="VIC-Italic" w:hAnsi="VIC-Italic" w:cs="VIC-Italic"/>
          <w:i/>
          <w:iCs/>
          <w:color w:val="000000"/>
          <w:sz w:val="20"/>
          <w:szCs w:val="20"/>
        </w:rPr>
        <w:t xml:space="preserve"> </w:t>
      </w:r>
      <w:r w:rsidRPr="00C930EB">
        <w:rPr>
          <w:rFonts w:ascii="VIC-Italic" w:hAnsi="VIC-Italic" w:cs="VIC-Italic"/>
          <w:i/>
          <w:iCs/>
          <w:color w:val="000000"/>
          <w:sz w:val="20"/>
          <w:szCs w:val="20"/>
        </w:rPr>
        <w:t>efficacy of teachers and principals to influence</w:t>
      </w:r>
      <w:r>
        <w:rPr>
          <w:rFonts w:ascii="VIC-Italic" w:hAnsi="VIC-Italic" w:cs="VIC-Italic"/>
          <w:i/>
          <w:iCs/>
          <w:color w:val="000000"/>
          <w:sz w:val="20"/>
          <w:szCs w:val="20"/>
        </w:rPr>
        <w:t xml:space="preserve"> </w:t>
      </w:r>
      <w:r w:rsidRPr="00C930EB">
        <w:rPr>
          <w:rFonts w:ascii="VIC-Italic" w:hAnsi="VIC-Italic" w:cs="VIC-Italic"/>
          <w:i/>
          <w:iCs/>
          <w:color w:val="000000"/>
          <w:sz w:val="20"/>
          <w:szCs w:val="20"/>
        </w:rPr>
        <w:t>student learning, coupled with the knowledge</w:t>
      </w:r>
      <w:r>
        <w:rPr>
          <w:rFonts w:ascii="VIC-Italic" w:hAnsi="VIC-Italic" w:cs="VIC-Italic"/>
          <w:i/>
          <w:iCs/>
          <w:color w:val="000000"/>
          <w:sz w:val="20"/>
          <w:szCs w:val="20"/>
        </w:rPr>
        <w:t xml:space="preserve"> </w:t>
      </w:r>
      <w:r w:rsidRPr="00C930EB">
        <w:rPr>
          <w:rFonts w:ascii="VIC-Italic" w:hAnsi="VIC-Italic" w:cs="VIC-Italic"/>
          <w:i/>
          <w:iCs/>
          <w:color w:val="000000"/>
          <w:sz w:val="20"/>
          <w:szCs w:val="20"/>
        </w:rPr>
        <w:t>and skills necessary to act on those beliefs are</w:t>
      </w:r>
      <w:r>
        <w:rPr>
          <w:rFonts w:ascii="VIC-Italic" w:hAnsi="VIC-Italic" w:cs="VIC-Italic"/>
          <w:i/>
          <w:iCs/>
          <w:color w:val="000000"/>
          <w:sz w:val="20"/>
          <w:szCs w:val="20"/>
        </w:rPr>
        <w:t xml:space="preserve"> </w:t>
      </w:r>
      <w:r w:rsidRPr="00C930EB">
        <w:rPr>
          <w:rFonts w:ascii="VIC-Italic" w:hAnsi="VIC-Italic" w:cs="VIC-Italic"/>
          <w:i/>
          <w:iCs/>
          <w:color w:val="000000"/>
          <w:sz w:val="20"/>
          <w:szCs w:val="20"/>
        </w:rPr>
        <w:t>prior conditions…</w:t>
      </w:r>
    </w:p>
    <w:p w14:paraId="128BE6D8" w14:textId="77777777" w:rsidR="00C930EB" w:rsidRDefault="00C930EB" w:rsidP="00C930EB">
      <w:pPr>
        <w:autoSpaceDE w:val="0"/>
        <w:autoSpaceDN w:val="0"/>
        <w:adjustRightInd w:val="0"/>
        <w:spacing w:after="0" w:line="240" w:lineRule="auto"/>
        <w:rPr>
          <w:rFonts w:ascii="VIC-Regular" w:hAnsi="VIC-Regular" w:cs="VIC-Regular"/>
          <w:color w:val="000000"/>
          <w:sz w:val="12"/>
          <w:szCs w:val="12"/>
        </w:rPr>
      </w:pPr>
      <w:r w:rsidRPr="00C930EB">
        <w:rPr>
          <w:rFonts w:ascii="VIC-Regular" w:hAnsi="VIC-Regular" w:cs="VIC-Regular"/>
          <w:color w:val="000000"/>
          <w:sz w:val="20"/>
          <w:szCs w:val="20"/>
        </w:rPr>
        <w:t>Charles Abelmann and Richard Elmore</w:t>
      </w:r>
      <w:r>
        <w:rPr>
          <w:rStyle w:val="FootnoteReference"/>
          <w:rFonts w:ascii="VIC-Regular" w:hAnsi="VIC-Regular" w:cs="VIC-Regular"/>
          <w:color w:val="000000"/>
          <w:sz w:val="20"/>
          <w:szCs w:val="20"/>
        </w:rPr>
        <w:footnoteReference w:id="7"/>
      </w:r>
    </w:p>
    <w:p w14:paraId="1D5A1CFC" w14:textId="77777777" w:rsidR="00C930EB" w:rsidRDefault="00C930EB" w:rsidP="00C930EB">
      <w:pPr>
        <w:autoSpaceDE w:val="0"/>
        <w:autoSpaceDN w:val="0"/>
        <w:adjustRightInd w:val="0"/>
        <w:spacing w:after="0" w:line="240" w:lineRule="auto"/>
        <w:rPr>
          <w:rFonts w:ascii="VIC-Regular" w:hAnsi="VIC-Regular" w:cs="VIC-Regular"/>
          <w:color w:val="000000"/>
          <w:sz w:val="12"/>
          <w:szCs w:val="12"/>
        </w:rPr>
      </w:pPr>
    </w:p>
    <w:p w14:paraId="2516BB9A" w14:textId="77777777" w:rsid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Teachers believe they make a difference to children’s lives and feel personal responsibility for every student in their classes. When teachers share what they are doing in their own classes with colleagues, and look for opportunities for purposeful collaboration, they contribute to a school culture of collective responsibility.</w:t>
      </w:r>
    </w:p>
    <w:p w14:paraId="7427C46E" w14:textId="77777777" w:rsidR="00C930EB" w:rsidRDefault="00C930EB" w:rsidP="00C930EB">
      <w:pPr>
        <w:autoSpaceDE w:val="0"/>
        <w:autoSpaceDN w:val="0"/>
        <w:adjustRightInd w:val="0"/>
        <w:spacing w:after="0" w:line="240" w:lineRule="auto"/>
        <w:rPr>
          <w:rFonts w:ascii="VIC-Regular" w:hAnsi="VIC-Regular" w:cs="VIC-Regular"/>
          <w:sz w:val="20"/>
          <w:szCs w:val="20"/>
        </w:rPr>
      </w:pPr>
    </w:p>
    <w:p w14:paraId="34A7A6B9" w14:textId="77777777" w:rsidR="00C930EB" w:rsidRDefault="00C930EB" w:rsidP="00C930EB">
      <w:pPr>
        <w:autoSpaceDE w:val="0"/>
        <w:autoSpaceDN w:val="0"/>
        <w:adjustRightInd w:val="0"/>
        <w:spacing w:after="0" w:line="240" w:lineRule="auto"/>
        <w:rPr>
          <w:rFonts w:ascii="VIC-Regular" w:hAnsi="VIC-Regular" w:cs="VIC-Regular"/>
          <w:sz w:val="12"/>
          <w:szCs w:val="12"/>
        </w:rPr>
      </w:pPr>
      <w:r>
        <w:rPr>
          <w:rFonts w:ascii="VIC-Regular" w:hAnsi="VIC-Regular" w:cs="VIC-Regular"/>
          <w:sz w:val="20"/>
          <w:szCs w:val="20"/>
        </w:rPr>
        <w:t>Collective responsibility is the important shift towards improving instructional practices. Teacher collective responsibility lays the foundations for collective efficacy and, therefore, gains in student achievement.</w:t>
      </w:r>
      <w:r>
        <w:rPr>
          <w:rStyle w:val="FootnoteReference"/>
          <w:rFonts w:ascii="VIC-Regular" w:hAnsi="VIC-Regular" w:cs="VIC-Regular"/>
          <w:sz w:val="20"/>
          <w:szCs w:val="20"/>
        </w:rPr>
        <w:footnoteReference w:id="8"/>
      </w:r>
    </w:p>
    <w:p w14:paraId="753DA17F" w14:textId="77777777" w:rsidR="00C930EB" w:rsidRDefault="00C930EB" w:rsidP="00C930EB">
      <w:pPr>
        <w:autoSpaceDE w:val="0"/>
        <w:autoSpaceDN w:val="0"/>
        <w:adjustRightInd w:val="0"/>
        <w:spacing w:after="0" w:line="240" w:lineRule="auto"/>
        <w:rPr>
          <w:rFonts w:ascii="VIC-Regular" w:hAnsi="VIC-Regular" w:cs="VIC-Regular"/>
          <w:sz w:val="12"/>
          <w:szCs w:val="12"/>
        </w:rPr>
      </w:pPr>
    </w:p>
    <w:p w14:paraId="58696CC3" w14:textId="77777777" w:rsid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lastRenderedPageBreak/>
        <w:t xml:space="preserve">School leaders will work with teachers in their schools to identify professional practice priorities that are consistent with departmental and school priorities. In the Education State, this means improvement initiatives drawn from the </w:t>
      </w:r>
      <w:r>
        <w:rPr>
          <w:rFonts w:ascii="VIC-Italic" w:hAnsi="VIC-Italic" w:cs="VIC-Italic"/>
          <w:i/>
          <w:iCs/>
          <w:sz w:val="20"/>
          <w:szCs w:val="20"/>
        </w:rPr>
        <w:t>Framework for Improving Student Outcomes</w:t>
      </w:r>
      <w:r>
        <w:rPr>
          <w:rFonts w:ascii="VIC-Regular" w:hAnsi="VIC-Regular" w:cs="VIC-Regular"/>
          <w:sz w:val="20"/>
          <w:szCs w:val="20"/>
        </w:rPr>
        <w:t>, captured in the school’s Strategic and Annual Implementation Plans, and reflected in everyone’s Performance and Development Plans.</w:t>
      </w:r>
    </w:p>
    <w:p w14:paraId="5F7E56C5" w14:textId="77777777" w:rsidR="00C930EB" w:rsidRDefault="00C930EB" w:rsidP="00C930EB">
      <w:pPr>
        <w:autoSpaceDE w:val="0"/>
        <w:autoSpaceDN w:val="0"/>
        <w:adjustRightInd w:val="0"/>
        <w:spacing w:after="0" w:line="240" w:lineRule="auto"/>
        <w:rPr>
          <w:rFonts w:ascii="VIC-Regular" w:hAnsi="VIC-Regular" w:cs="VIC-Regular"/>
          <w:sz w:val="20"/>
          <w:szCs w:val="20"/>
        </w:rPr>
      </w:pPr>
    </w:p>
    <w:p w14:paraId="0CD3ACEB" w14:textId="77777777" w:rsid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In contributing to school improvement priorities, individual teachers could:</w:t>
      </w:r>
    </w:p>
    <w:p w14:paraId="2F9D75AF" w14:textId="77777777" w:rsidR="00C930EB" w:rsidRPr="00C930EB" w:rsidRDefault="00C930EB" w:rsidP="00C930EB">
      <w:pPr>
        <w:pStyle w:val="ListParagraph"/>
        <w:numPr>
          <w:ilvl w:val="0"/>
          <w:numId w:val="5"/>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use peer observation and feedback, student feedback and self-reflection to extend their professional practice</w:t>
      </w:r>
    </w:p>
    <w:p w14:paraId="46B88AE6" w14:textId="77777777" w:rsidR="00C930EB" w:rsidRPr="00C930EB" w:rsidRDefault="00C930EB" w:rsidP="00C930EB">
      <w:pPr>
        <w:pStyle w:val="ListParagraph"/>
        <w:numPr>
          <w:ilvl w:val="0"/>
          <w:numId w:val="5"/>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co-design learning programs using the Victorian Curriculum F–10 to establish learning goals and extend all students</w:t>
      </w:r>
    </w:p>
    <w:p w14:paraId="30B5689B" w14:textId="77777777" w:rsidR="00C930EB" w:rsidRPr="00C930EB" w:rsidRDefault="00C930EB" w:rsidP="00C930EB">
      <w:pPr>
        <w:pStyle w:val="ListParagraph"/>
        <w:numPr>
          <w:ilvl w:val="0"/>
          <w:numId w:val="5"/>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reflect on their own planning for assessment, including the use of explicit criteria, and work with colleagues to moderate the assessment tasks to strengthen accuracy and validity</w:t>
      </w:r>
    </w:p>
    <w:p w14:paraId="3A7ACDFD" w14:textId="77777777" w:rsidR="00C930EB" w:rsidRPr="00C930EB" w:rsidRDefault="00C930EB" w:rsidP="00C930EB">
      <w:pPr>
        <w:pStyle w:val="ListParagraph"/>
        <w:numPr>
          <w:ilvl w:val="0"/>
          <w:numId w:val="5"/>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work with a colleague with specialist data expertise to interpret data from multiple sources, including the Insight Assessment Platform, to identify student achievement levels and determine future student learning needs</w:t>
      </w:r>
    </w:p>
    <w:p w14:paraId="143D27EC" w14:textId="77777777" w:rsidR="00C930EB" w:rsidRDefault="00C930EB" w:rsidP="00C930EB">
      <w:pPr>
        <w:pStyle w:val="ListParagraph"/>
        <w:numPr>
          <w:ilvl w:val="0"/>
          <w:numId w:val="5"/>
        </w:numPr>
        <w:autoSpaceDE w:val="0"/>
        <w:autoSpaceDN w:val="0"/>
        <w:adjustRightInd w:val="0"/>
        <w:spacing w:before="120" w:after="120" w:line="240" w:lineRule="auto"/>
        <w:ind w:left="714" w:hanging="357"/>
        <w:contextualSpacing w:val="0"/>
        <w:rPr>
          <w:rFonts w:ascii="VIC-Regular" w:hAnsi="VIC-Regular" w:cs="VIC-Regular"/>
          <w:sz w:val="20"/>
          <w:szCs w:val="20"/>
        </w:rPr>
      </w:pPr>
      <w:r w:rsidRPr="00C930EB">
        <w:rPr>
          <w:rFonts w:ascii="VIC-Regular" w:hAnsi="VIC-Regular" w:cs="VIC-Regular"/>
          <w:sz w:val="20"/>
          <w:szCs w:val="20"/>
        </w:rPr>
        <w:t xml:space="preserve">build on their existing knowledge and skill in relation to one or two of the </w:t>
      </w:r>
      <w:r w:rsidRPr="00C930EB">
        <w:rPr>
          <w:rFonts w:ascii="VIC-Italic" w:hAnsi="VIC-Italic" w:cs="VIC-Italic"/>
          <w:i/>
          <w:iCs/>
          <w:sz w:val="20"/>
          <w:szCs w:val="20"/>
        </w:rPr>
        <w:t>High Impact</w:t>
      </w:r>
      <w:r>
        <w:rPr>
          <w:rFonts w:ascii="VIC-Italic" w:hAnsi="VIC-Italic" w:cs="VIC-Italic"/>
          <w:i/>
          <w:iCs/>
          <w:sz w:val="20"/>
          <w:szCs w:val="20"/>
        </w:rPr>
        <w:t xml:space="preserve"> </w:t>
      </w:r>
      <w:r w:rsidRPr="00C930EB">
        <w:rPr>
          <w:rFonts w:ascii="VIC-Italic" w:hAnsi="VIC-Italic" w:cs="VIC-Italic"/>
          <w:i/>
          <w:iCs/>
          <w:sz w:val="20"/>
          <w:szCs w:val="20"/>
        </w:rPr>
        <w:t>Teaching Strategies</w:t>
      </w:r>
      <w:r>
        <w:rPr>
          <w:rStyle w:val="FootnoteReference"/>
          <w:rFonts w:ascii="VIC-Italic" w:hAnsi="VIC-Italic" w:cs="VIC-Italic"/>
          <w:i/>
          <w:iCs/>
          <w:sz w:val="20"/>
          <w:szCs w:val="20"/>
        </w:rPr>
        <w:footnoteReference w:id="9"/>
      </w:r>
      <w:r w:rsidRPr="00C930EB">
        <w:rPr>
          <w:rFonts w:ascii="VIC-Regular" w:hAnsi="VIC-Regular" w:cs="VIC-Regular"/>
          <w:sz w:val="12"/>
          <w:szCs w:val="12"/>
        </w:rPr>
        <w:t xml:space="preserve"> </w:t>
      </w:r>
      <w:r w:rsidRPr="00C930EB">
        <w:rPr>
          <w:rFonts w:ascii="VIC-Regular" w:hAnsi="VIC-Regular" w:cs="VIC-Regular"/>
          <w:sz w:val="20"/>
          <w:szCs w:val="20"/>
        </w:rPr>
        <w:t>work with students to empower them to take</w:t>
      </w:r>
      <w:r w:rsidRPr="00C930EB">
        <w:rPr>
          <w:rFonts w:ascii="VIC-Regular" w:hAnsi="VIC-Regular" w:cs="VIC-Regular"/>
          <w:sz w:val="12"/>
          <w:szCs w:val="12"/>
        </w:rPr>
        <w:t xml:space="preserve"> </w:t>
      </w:r>
      <w:r w:rsidRPr="00C930EB">
        <w:rPr>
          <w:rFonts w:ascii="VIC-Regular" w:hAnsi="VIC-Regular" w:cs="VIC-Regular"/>
          <w:sz w:val="20"/>
          <w:szCs w:val="20"/>
        </w:rPr>
        <w:t>ownership of their own learning, supporting</w:t>
      </w:r>
      <w:r w:rsidRPr="00C930EB">
        <w:rPr>
          <w:rFonts w:ascii="VIC-Regular" w:hAnsi="VIC-Regular" w:cs="VIC-Regular"/>
          <w:sz w:val="12"/>
          <w:szCs w:val="12"/>
        </w:rPr>
        <w:t xml:space="preserve"> </w:t>
      </w:r>
      <w:r w:rsidRPr="00C930EB">
        <w:rPr>
          <w:rFonts w:ascii="VIC-Regular" w:hAnsi="VIC-Regular" w:cs="VIC-Regular"/>
          <w:sz w:val="20"/>
          <w:szCs w:val="20"/>
        </w:rPr>
        <w:t>self-regulation and building self-efficacy.</w:t>
      </w:r>
    </w:p>
    <w:p w14:paraId="428C0205" w14:textId="77777777" w:rsidR="00C930EB" w:rsidRDefault="00C930EB" w:rsidP="00B62D2E">
      <w:pPr>
        <w:autoSpaceDE w:val="0"/>
        <w:autoSpaceDN w:val="0"/>
        <w:adjustRightInd w:val="0"/>
        <w:spacing w:after="120" w:line="240" w:lineRule="auto"/>
        <w:rPr>
          <w:rFonts w:ascii="VIC-SemiBold" w:hAnsi="VIC-SemiBold" w:cs="VIC-SemiBold"/>
          <w:b/>
          <w:bCs/>
          <w:color w:val="B92330"/>
          <w:sz w:val="20"/>
          <w:szCs w:val="20"/>
        </w:rPr>
      </w:pPr>
      <w:r>
        <w:rPr>
          <w:rFonts w:ascii="VIC-SemiBold" w:hAnsi="VIC-SemiBold" w:cs="VIC-SemiBold"/>
          <w:b/>
          <w:bCs/>
          <w:color w:val="B92330"/>
          <w:sz w:val="20"/>
          <w:szCs w:val="20"/>
        </w:rPr>
        <w:t>Impacting learning</w:t>
      </w:r>
    </w:p>
    <w:p w14:paraId="103652FC" w14:textId="77777777" w:rsidR="00C930EB" w:rsidRDefault="00C930EB" w:rsidP="00B62D2E">
      <w:pPr>
        <w:autoSpaceDE w:val="0"/>
        <w:autoSpaceDN w:val="0"/>
        <w:adjustRightInd w:val="0"/>
        <w:spacing w:after="60" w:line="240" w:lineRule="auto"/>
        <w:rPr>
          <w:rFonts w:ascii="VIC-Italic" w:hAnsi="VIC-Italic" w:cs="VIC-Italic"/>
          <w:i/>
          <w:iCs/>
          <w:color w:val="000000"/>
          <w:sz w:val="20"/>
          <w:szCs w:val="20"/>
        </w:rPr>
      </w:pPr>
      <w:r>
        <w:rPr>
          <w:rFonts w:ascii="VIC-Italic" w:hAnsi="VIC-Italic" w:cs="VIC-Italic"/>
          <w:i/>
          <w:iCs/>
          <w:color w:val="000000"/>
          <w:sz w:val="20"/>
          <w:szCs w:val="20"/>
        </w:rPr>
        <w:t>Accomplishing the maximum impact on student learning depends on teams of teachers working together, with excellent leaders or coaches, agreeing on worthwhile outcomes, setting high expectations, knowing the students’ starting and desired success in learning, seeking evidence continually about their impact on all students, modifying their teaching in light of this evaluation, and joining in the success of truly making a difference to student outcomes.</w:t>
      </w:r>
    </w:p>
    <w:p w14:paraId="0F1A46DF" w14:textId="77777777" w:rsidR="00C930EB" w:rsidRDefault="00C930EB" w:rsidP="00C930EB">
      <w:pPr>
        <w:autoSpaceDE w:val="0"/>
        <w:autoSpaceDN w:val="0"/>
        <w:adjustRightInd w:val="0"/>
        <w:spacing w:before="120" w:after="120" w:line="240" w:lineRule="auto"/>
        <w:rPr>
          <w:rFonts w:ascii="VIC-Regular" w:hAnsi="VIC-Regular" w:cs="VIC-Regular"/>
          <w:color w:val="000000"/>
          <w:sz w:val="12"/>
          <w:szCs w:val="12"/>
        </w:rPr>
      </w:pPr>
      <w:r>
        <w:rPr>
          <w:rFonts w:ascii="VIC-Regular" w:hAnsi="VIC-Regular" w:cs="VIC-Regular"/>
          <w:color w:val="000000"/>
          <w:sz w:val="20"/>
          <w:szCs w:val="20"/>
        </w:rPr>
        <w:t>John Hattie</w:t>
      </w:r>
      <w:r>
        <w:rPr>
          <w:rStyle w:val="FootnoteReference"/>
          <w:rFonts w:ascii="VIC-Regular" w:hAnsi="VIC-Regular" w:cs="VIC-Regular"/>
          <w:color w:val="000000"/>
          <w:sz w:val="20"/>
          <w:szCs w:val="20"/>
        </w:rPr>
        <w:footnoteReference w:id="10"/>
      </w:r>
    </w:p>
    <w:p w14:paraId="4E614C0E" w14:textId="77777777" w:rsid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 rate of student learning increases when teachers in collaborative teams support one another to develop their skills in specific teaching strategies. Students learn even faster when highly skilled teachers lead collaborative teams focused on understanding what is working and why.</w:t>
      </w:r>
      <w:r w:rsidR="003A3729">
        <w:rPr>
          <w:rFonts w:ascii="VIC-Regular" w:hAnsi="VIC-Regular" w:cs="VIC-Regular"/>
          <w:sz w:val="20"/>
          <w:szCs w:val="20"/>
        </w:rPr>
        <w:t xml:space="preserve"> </w:t>
      </w:r>
      <w:r>
        <w:rPr>
          <w:rFonts w:ascii="VIC-Regular" w:hAnsi="VIC-Regular" w:cs="VIC-Regular"/>
          <w:sz w:val="20"/>
          <w:szCs w:val="20"/>
        </w:rPr>
        <w:t>They then proactively intervene with evidence-based approaches when students are behind the expected level to ensure that they make progress.</w:t>
      </w:r>
    </w:p>
    <w:p w14:paraId="05AFA09D" w14:textId="77777777" w:rsidR="00C930EB" w:rsidRP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br/>
        <w:t>The new learning specialist role opens up a career pathway for highly skilled teachers who want more opportunities to demonstrate and model high quality teaching practice in their classroom, to support their colleagues to deepen their professional knowledge, expand their pedagogical repertoire and foster an ethic of reflective practice focused on continuous improvement.</w:t>
      </w:r>
    </w:p>
    <w:p w14:paraId="3DB14D40" w14:textId="77777777" w:rsidR="00C930EB" w:rsidRDefault="00C930EB" w:rsidP="00C930EB">
      <w:pPr>
        <w:autoSpaceDE w:val="0"/>
        <w:autoSpaceDN w:val="0"/>
        <w:adjustRightInd w:val="0"/>
        <w:spacing w:after="0" w:line="240" w:lineRule="auto"/>
        <w:rPr>
          <w:rFonts w:ascii="VIC-Regular" w:hAnsi="VIC-Regular" w:cs="VIC-Regular"/>
          <w:color w:val="000000"/>
          <w:sz w:val="12"/>
          <w:szCs w:val="12"/>
        </w:rPr>
      </w:pPr>
      <w:r>
        <w:rPr>
          <w:rFonts w:ascii="VIC-Regular" w:hAnsi="VIC-Regular" w:cs="VIC-Regular"/>
          <w:color w:val="000000"/>
          <w:sz w:val="12"/>
          <w:szCs w:val="12"/>
        </w:rPr>
        <w:t xml:space="preserve"> </w:t>
      </w:r>
    </w:p>
    <w:p w14:paraId="55ED5C27" w14:textId="77777777" w:rsidR="00C930EB"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School leadership and the values, systems and supports that they promote and embed within their everyday work will lay the foundations for learning specialists to lead teacher learning. Their activity could involve, for example:</w:t>
      </w:r>
    </w:p>
    <w:p w14:paraId="0DF51E16" w14:textId="77777777" w:rsidR="00C930EB" w:rsidRDefault="00C930EB" w:rsidP="00C930EB">
      <w:pPr>
        <w:autoSpaceDE w:val="0"/>
        <w:autoSpaceDN w:val="0"/>
        <w:adjustRightInd w:val="0"/>
        <w:spacing w:after="0" w:line="240" w:lineRule="auto"/>
        <w:rPr>
          <w:rFonts w:ascii="VIC-Regular" w:hAnsi="VIC-Regular" w:cs="VIC-Regular"/>
          <w:sz w:val="20"/>
          <w:szCs w:val="20"/>
        </w:rPr>
      </w:pPr>
    </w:p>
    <w:p w14:paraId="0F8FE446" w14:textId="77777777" w:rsidR="00C930EB" w:rsidRPr="00C930EB" w:rsidRDefault="00C930EB" w:rsidP="00C930EB">
      <w:pPr>
        <w:pStyle w:val="ListParagraph"/>
        <w:numPr>
          <w:ilvl w:val="0"/>
          <w:numId w:val="8"/>
        </w:numPr>
        <w:autoSpaceDE w:val="0"/>
        <w:autoSpaceDN w:val="0"/>
        <w:adjustRightInd w:val="0"/>
        <w:spacing w:after="0" w:line="240" w:lineRule="auto"/>
        <w:rPr>
          <w:rFonts w:ascii="VIC-Regular" w:hAnsi="VIC-Regular" w:cs="VIC-Regular"/>
          <w:sz w:val="20"/>
          <w:szCs w:val="20"/>
        </w:rPr>
      </w:pPr>
      <w:r w:rsidRPr="00C930EB">
        <w:rPr>
          <w:rFonts w:ascii="VIC-Regular" w:hAnsi="VIC-Regular" w:cs="VIC-Regular"/>
          <w:sz w:val="20"/>
          <w:szCs w:val="20"/>
        </w:rPr>
        <w:lastRenderedPageBreak/>
        <w:t xml:space="preserve">modelling a research-based teaching strategy, such as one of the </w:t>
      </w:r>
      <w:r w:rsidRPr="00C930EB">
        <w:rPr>
          <w:rFonts w:ascii="VIC-Italic" w:hAnsi="VIC-Italic" w:cs="VIC-Italic"/>
          <w:i/>
          <w:iCs/>
          <w:sz w:val="20"/>
          <w:szCs w:val="20"/>
        </w:rPr>
        <w:t>High Impact Teaching</w:t>
      </w:r>
      <w:r w:rsidRPr="00C930EB">
        <w:rPr>
          <w:rFonts w:ascii="VIC-Regular" w:hAnsi="VIC-Regular" w:cs="VIC-Regular"/>
          <w:sz w:val="20"/>
          <w:szCs w:val="20"/>
        </w:rPr>
        <w:t xml:space="preserve"> </w:t>
      </w:r>
      <w:r w:rsidRPr="00C930EB">
        <w:rPr>
          <w:rFonts w:ascii="VIC-Italic" w:hAnsi="VIC-Italic" w:cs="VIC-Italic"/>
          <w:i/>
          <w:iCs/>
          <w:sz w:val="20"/>
          <w:szCs w:val="20"/>
        </w:rPr>
        <w:t>Strategies</w:t>
      </w:r>
      <w:r>
        <w:rPr>
          <w:rStyle w:val="FootnoteReference"/>
          <w:rFonts w:ascii="VIC-Italic" w:hAnsi="VIC-Italic" w:cs="VIC-Italic"/>
          <w:i/>
          <w:iCs/>
          <w:sz w:val="20"/>
          <w:szCs w:val="20"/>
        </w:rPr>
        <w:footnoteReference w:id="11"/>
      </w:r>
      <w:r w:rsidRPr="00C930EB">
        <w:rPr>
          <w:rFonts w:ascii="VIC-Regular" w:hAnsi="VIC-Regular" w:cs="VIC-Regular"/>
          <w:sz w:val="20"/>
          <w:szCs w:val="20"/>
        </w:rPr>
        <w:t>,</w:t>
      </w:r>
      <w:r w:rsidRPr="00C930EB">
        <w:rPr>
          <w:rFonts w:ascii="VIC-Regular" w:hAnsi="VIC-Regular" w:cs="VIC-Regular"/>
          <w:sz w:val="12"/>
          <w:szCs w:val="12"/>
        </w:rPr>
        <w:t xml:space="preserve"> </w:t>
      </w:r>
      <w:r w:rsidRPr="00C930EB">
        <w:rPr>
          <w:rFonts w:ascii="VIC-Regular" w:hAnsi="VIC-Regular" w:cs="VIC-Regular"/>
          <w:sz w:val="20"/>
          <w:szCs w:val="20"/>
        </w:rPr>
        <w:t>and working with colleagues to incorporate into their teaching practice</w:t>
      </w:r>
    </w:p>
    <w:p w14:paraId="725AB1D7" w14:textId="77777777" w:rsidR="00C930EB" w:rsidRDefault="00C930EB" w:rsidP="00C930EB">
      <w:pPr>
        <w:autoSpaceDE w:val="0"/>
        <w:autoSpaceDN w:val="0"/>
        <w:adjustRightInd w:val="0"/>
        <w:spacing w:after="0" w:line="240" w:lineRule="auto"/>
        <w:rPr>
          <w:rFonts w:ascii="VIC-Regular" w:hAnsi="VIC-Regular" w:cs="VIC-Regular"/>
          <w:sz w:val="20"/>
          <w:szCs w:val="20"/>
        </w:rPr>
      </w:pPr>
    </w:p>
    <w:p w14:paraId="1C6573B4" w14:textId="77777777" w:rsidR="00C930EB" w:rsidRPr="00C930EB" w:rsidRDefault="00C930EB" w:rsidP="00C930EB">
      <w:pPr>
        <w:pStyle w:val="ListParagraph"/>
        <w:numPr>
          <w:ilvl w:val="0"/>
          <w:numId w:val="8"/>
        </w:numPr>
        <w:autoSpaceDE w:val="0"/>
        <w:autoSpaceDN w:val="0"/>
        <w:adjustRightInd w:val="0"/>
        <w:spacing w:after="0" w:line="240" w:lineRule="auto"/>
        <w:rPr>
          <w:rFonts w:ascii="VIC-Regular" w:hAnsi="VIC-Regular" w:cs="VIC-Regular"/>
          <w:sz w:val="20"/>
          <w:szCs w:val="20"/>
        </w:rPr>
      </w:pPr>
      <w:r w:rsidRPr="00C930EB">
        <w:rPr>
          <w:rFonts w:ascii="VIC-Regular" w:hAnsi="VIC-Regular" w:cs="VIC-Regular"/>
          <w:sz w:val="20"/>
          <w:szCs w:val="20"/>
        </w:rPr>
        <w:t>improving their colleagues’ capacity to use assessment data to inform teaching and interventions that ensure student progress</w:t>
      </w:r>
    </w:p>
    <w:p w14:paraId="7B1477C2" w14:textId="77777777" w:rsidR="00C930EB" w:rsidRDefault="00C930EB" w:rsidP="00C930EB">
      <w:pPr>
        <w:autoSpaceDE w:val="0"/>
        <w:autoSpaceDN w:val="0"/>
        <w:adjustRightInd w:val="0"/>
        <w:spacing w:after="0" w:line="240" w:lineRule="auto"/>
        <w:rPr>
          <w:rFonts w:ascii="VIC-Regular" w:hAnsi="VIC-Regular" w:cs="VIC-Regular"/>
          <w:sz w:val="20"/>
          <w:szCs w:val="20"/>
        </w:rPr>
      </w:pPr>
    </w:p>
    <w:p w14:paraId="5B435698" w14:textId="77777777" w:rsidR="00C930EB" w:rsidRDefault="00C930EB" w:rsidP="00C930EB">
      <w:pPr>
        <w:pStyle w:val="ListParagraph"/>
        <w:numPr>
          <w:ilvl w:val="0"/>
          <w:numId w:val="8"/>
        </w:numPr>
        <w:autoSpaceDE w:val="0"/>
        <w:autoSpaceDN w:val="0"/>
        <w:adjustRightInd w:val="0"/>
        <w:spacing w:after="0" w:line="240" w:lineRule="auto"/>
        <w:rPr>
          <w:rFonts w:ascii="VIC-Regular" w:hAnsi="VIC-Regular" w:cs="VIC-Regular"/>
          <w:sz w:val="20"/>
          <w:szCs w:val="20"/>
        </w:rPr>
      </w:pPr>
      <w:r w:rsidRPr="00C930EB">
        <w:rPr>
          <w:rFonts w:ascii="VIC-Regular" w:hAnsi="VIC-Regular" w:cs="VIC-Regular"/>
          <w:sz w:val="20"/>
          <w:szCs w:val="20"/>
        </w:rPr>
        <w:t>developing common assessment tasks and moderation proc</w:t>
      </w:r>
      <w:r w:rsidR="009A4A11">
        <w:rPr>
          <w:rFonts w:ascii="VIC-Regular" w:hAnsi="VIC-Regular" w:cs="VIC-Regular"/>
          <w:sz w:val="20"/>
          <w:szCs w:val="20"/>
        </w:rPr>
        <w:t xml:space="preserve">esses that increase consistency </w:t>
      </w:r>
      <w:r w:rsidRPr="00C930EB">
        <w:rPr>
          <w:rFonts w:ascii="VIC-Regular" w:hAnsi="VIC-Regular" w:cs="VIC-Regular"/>
          <w:sz w:val="20"/>
          <w:szCs w:val="20"/>
        </w:rPr>
        <w:t>and validity of teacher judgements relating to Victorian Curriculum F–10 learning progressions. These activities are best pursued as part of professional learning communities, where teachers can learn in a culture characterised by positivity, curiosity, creativity and human flourishing.</w:t>
      </w:r>
    </w:p>
    <w:p w14:paraId="415DEEA5" w14:textId="77777777" w:rsidR="00C930EB" w:rsidRPr="00C930EB" w:rsidRDefault="00C930EB" w:rsidP="00C930EB">
      <w:pPr>
        <w:pStyle w:val="ListParagraph"/>
        <w:rPr>
          <w:rFonts w:ascii="VIC-Regular" w:hAnsi="VIC-Regular" w:cs="VIC-Regular"/>
          <w:sz w:val="20"/>
          <w:szCs w:val="20"/>
        </w:rPr>
      </w:pPr>
    </w:p>
    <w:p w14:paraId="4B98F939" w14:textId="77777777" w:rsidR="003A3729" w:rsidRDefault="003A3729" w:rsidP="003A3729">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These activities are best pursued as part of professional learning communities, where teachers can learn in a culture characterised by positivity, curiosity, creativity and human flourishing.</w:t>
      </w:r>
      <w:r>
        <w:rPr>
          <w:rFonts w:ascii="VIC-Regular" w:hAnsi="VIC-Regular" w:cs="VIC-Regular"/>
          <w:sz w:val="20"/>
          <w:szCs w:val="20"/>
        </w:rPr>
        <w:br w:type="page"/>
      </w:r>
    </w:p>
    <w:p w14:paraId="469DCBE9" w14:textId="77777777" w:rsidR="00C930EB" w:rsidRDefault="00C930EB">
      <w:pPr>
        <w:rPr>
          <w:rFonts w:ascii="VIC-Regular" w:hAnsi="VIC-Regular" w:cs="VIC-Regular"/>
          <w:sz w:val="20"/>
          <w:szCs w:val="20"/>
        </w:rPr>
      </w:pPr>
    </w:p>
    <w:p w14:paraId="2EA47912" w14:textId="77777777" w:rsidR="00C930EB" w:rsidRDefault="00C930EB" w:rsidP="009A4A11">
      <w:pPr>
        <w:autoSpaceDE w:val="0"/>
        <w:autoSpaceDN w:val="0"/>
        <w:adjustRightInd w:val="0"/>
        <w:spacing w:after="120" w:line="240" w:lineRule="auto"/>
        <w:rPr>
          <w:rFonts w:ascii="VIC-SemiBold" w:hAnsi="VIC-SemiBold" w:cs="VIC-SemiBold"/>
          <w:b/>
          <w:bCs/>
          <w:color w:val="B92330"/>
          <w:sz w:val="48"/>
          <w:szCs w:val="48"/>
        </w:rPr>
      </w:pPr>
      <w:r>
        <w:rPr>
          <w:rFonts w:ascii="VIC-SemiBold" w:hAnsi="VIC-SemiBold" w:cs="VIC-SemiBold"/>
          <w:b/>
          <w:bCs/>
          <w:color w:val="B92330"/>
          <w:sz w:val="48"/>
          <w:szCs w:val="48"/>
        </w:rPr>
        <w:t>OUR CHILDREN’S FUTURE</w:t>
      </w:r>
    </w:p>
    <w:p w14:paraId="76C56FB1" w14:textId="77777777" w:rsidR="00742A11" w:rsidRDefault="00C930EB" w:rsidP="00C930EB">
      <w:pPr>
        <w:autoSpaceDE w:val="0"/>
        <w:autoSpaceDN w:val="0"/>
        <w:adjustRightInd w:val="0"/>
        <w:spacing w:after="0" w:line="240" w:lineRule="auto"/>
        <w:rPr>
          <w:rFonts w:ascii="VIC-Regular" w:hAnsi="VIC-Regular" w:cs="VIC-Regular"/>
          <w:sz w:val="20"/>
          <w:szCs w:val="20"/>
        </w:rPr>
      </w:pPr>
      <w:r>
        <w:rPr>
          <w:rFonts w:ascii="VIC-Regular" w:hAnsi="VIC-Regular" w:cs="VIC-Regular"/>
          <w:sz w:val="20"/>
          <w:szCs w:val="20"/>
        </w:rPr>
        <w:t xml:space="preserve">Our moral purpose is clear: to enhance the learning of every student and break the link between background and achievement. The </w:t>
      </w:r>
      <w:r>
        <w:rPr>
          <w:rFonts w:ascii="VIC-Italic" w:hAnsi="VIC-Italic" w:cs="VIC-Italic"/>
          <w:i/>
          <w:iCs/>
          <w:sz w:val="20"/>
          <w:szCs w:val="20"/>
        </w:rPr>
        <w:t xml:space="preserve">Framework for Improving Student Outcomes </w:t>
      </w:r>
      <w:r>
        <w:rPr>
          <w:rFonts w:ascii="VIC-Regular" w:hAnsi="VIC-Regular" w:cs="VIC-Regular"/>
          <w:sz w:val="20"/>
          <w:szCs w:val="20"/>
        </w:rPr>
        <w:t xml:space="preserve">gives schools clear direction to focus on a limited number of high impact improvement priorities. Using the </w:t>
      </w:r>
      <w:r>
        <w:rPr>
          <w:rFonts w:ascii="VIC-Italic" w:hAnsi="VIC-Italic" w:cs="VIC-Italic"/>
          <w:i/>
          <w:iCs/>
          <w:sz w:val="20"/>
          <w:szCs w:val="20"/>
        </w:rPr>
        <w:t>Framework for</w:t>
      </w:r>
      <w:r>
        <w:rPr>
          <w:rFonts w:ascii="VIC-Regular" w:hAnsi="VIC-Regular" w:cs="VIC-Regular"/>
          <w:sz w:val="20"/>
          <w:szCs w:val="20"/>
        </w:rPr>
        <w:t xml:space="preserve"> </w:t>
      </w:r>
      <w:r>
        <w:rPr>
          <w:rFonts w:ascii="VIC-Italic" w:hAnsi="VIC-Italic" w:cs="VIC-Italic"/>
          <w:i/>
          <w:iCs/>
          <w:sz w:val="20"/>
          <w:szCs w:val="20"/>
        </w:rPr>
        <w:t xml:space="preserve">Improving Student Outcomes </w:t>
      </w:r>
      <w:r>
        <w:rPr>
          <w:rFonts w:ascii="VIC-Regular" w:hAnsi="VIC-Regular" w:cs="VIC-Regular"/>
          <w:sz w:val="20"/>
          <w:szCs w:val="20"/>
        </w:rPr>
        <w:t>improvement cycle, schools combine robust evidence with effective inquiry processes to highlight strengths and identify areas of existing practice that need improvement.</w:t>
      </w:r>
    </w:p>
    <w:p w14:paraId="0F5AD66F" w14:textId="77777777" w:rsidR="00742A11" w:rsidRDefault="00742A11" w:rsidP="00C930EB">
      <w:pPr>
        <w:autoSpaceDE w:val="0"/>
        <w:autoSpaceDN w:val="0"/>
        <w:adjustRightInd w:val="0"/>
        <w:spacing w:after="0" w:line="240" w:lineRule="auto"/>
        <w:rPr>
          <w:rFonts w:ascii="VIC-Regular" w:hAnsi="VIC-Regular" w:cs="VIC-Regular"/>
          <w:sz w:val="20"/>
          <w:szCs w:val="20"/>
        </w:rPr>
      </w:pPr>
    </w:p>
    <w:p w14:paraId="2AE120FD" w14:textId="77777777" w:rsidR="00742A11" w:rsidRDefault="00742A11" w:rsidP="00742A11">
      <w:pPr>
        <w:autoSpaceDE w:val="0"/>
        <w:autoSpaceDN w:val="0"/>
        <w:adjustRightInd w:val="0"/>
        <w:spacing w:before="120" w:after="120" w:line="240" w:lineRule="auto"/>
        <w:jc w:val="center"/>
        <w:rPr>
          <w:rFonts w:ascii="VIC-SemiBold" w:hAnsi="VIC-SemiBold" w:cs="VIC-SemiBold"/>
          <w:b/>
          <w:bCs/>
          <w:color w:val="F9981F"/>
          <w:sz w:val="20"/>
          <w:szCs w:val="20"/>
        </w:rPr>
      </w:pPr>
      <w:r>
        <w:rPr>
          <w:rFonts w:ascii="VIC-SemiBold" w:hAnsi="VIC-SemiBold" w:cs="VIC-SemiBold"/>
          <w:b/>
          <w:bCs/>
          <w:color w:val="F9981F"/>
          <w:sz w:val="20"/>
          <w:szCs w:val="20"/>
        </w:rPr>
        <w:t>FRAMEWORK FOR IMPROVING STUDENT OUTCOMES</w:t>
      </w:r>
    </w:p>
    <w:p w14:paraId="19BB5A63" w14:textId="77777777" w:rsidR="00742A11" w:rsidRDefault="00742A11" w:rsidP="00742A11">
      <w:pPr>
        <w:autoSpaceDE w:val="0"/>
        <w:autoSpaceDN w:val="0"/>
        <w:adjustRightInd w:val="0"/>
        <w:spacing w:before="120" w:after="120" w:line="240" w:lineRule="auto"/>
        <w:jc w:val="center"/>
        <w:rPr>
          <w:rFonts w:ascii="VIC-Regular" w:hAnsi="VIC-Regular" w:cs="VIC-Regular"/>
          <w:sz w:val="20"/>
          <w:szCs w:val="20"/>
        </w:rPr>
      </w:pPr>
      <w:r>
        <w:rPr>
          <w:rFonts w:ascii="VIC-SemiBold" w:hAnsi="VIC-SemiBold" w:cs="VIC-SemiBold"/>
          <w:b/>
          <w:bCs/>
          <w:color w:val="F9981F"/>
          <w:sz w:val="20"/>
          <w:szCs w:val="20"/>
        </w:rPr>
        <w:t xml:space="preserve">Emphasis on </w:t>
      </w:r>
      <w:r>
        <w:rPr>
          <w:rFonts w:ascii="VIC-SemiBoldItalic" w:hAnsi="VIC-SemiBoldItalic" w:cs="VIC-SemiBoldItalic"/>
          <w:b/>
          <w:bCs/>
          <w:i/>
          <w:iCs/>
          <w:color w:val="F9981F"/>
          <w:sz w:val="20"/>
          <w:szCs w:val="20"/>
        </w:rPr>
        <w:t>Excellence in teaching and learning</w:t>
      </w:r>
    </w:p>
    <w:p w14:paraId="43873E96" w14:textId="77777777" w:rsidR="00742A11" w:rsidRDefault="00742A11" w:rsidP="009A4A11">
      <w:pPr>
        <w:autoSpaceDE w:val="0"/>
        <w:autoSpaceDN w:val="0"/>
        <w:adjustRightInd w:val="0"/>
        <w:spacing w:after="0" w:line="240" w:lineRule="auto"/>
        <w:jc w:val="center"/>
        <w:rPr>
          <w:rFonts w:ascii="VIC-Regular" w:hAnsi="VIC-Regular" w:cs="VIC-Regular"/>
          <w:sz w:val="20"/>
          <w:szCs w:val="20"/>
        </w:rPr>
      </w:pPr>
      <w:r w:rsidRPr="00742A11">
        <w:rPr>
          <w:rFonts w:ascii="VIC-Regular" w:hAnsi="VIC-Regular" w:cs="VIC-Regular"/>
          <w:noProof/>
          <w:sz w:val="20"/>
          <w:szCs w:val="20"/>
          <w:lang w:eastAsia="en-AU"/>
        </w:rPr>
        <w:drawing>
          <wp:inline distT="0" distB="0" distL="0" distR="0" wp14:anchorId="3CDEBB05" wp14:editId="07777777">
            <wp:extent cx="4871924" cy="406002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4758" cy="4070719"/>
                    </a:xfrm>
                    <a:prstGeom prst="rect">
                      <a:avLst/>
                    </a:prstGeom>
                    <a:noFill/>
                    <a:ln>
                      <a:noFill/>
                    </a:ln>
                  </pic:spPr>
                </pic:pic>
              </a:graphicData>
            </a:graphic>
          </wp:inline>
        </w:drawing>
      </w:r>
    </w:p>
    <w:p w14:paraId="3678EA4B" w14:textId="77777777" w:rsidR="00742A11" w:rsidRDefault="009A4A11">
      <w:pPr>
        <w:rPr>
          <w:rFonts w:ascii="VIC-Regular" w:hAnsi="VIC-Regular" w:cs="VIC-Regular"/>
          <w:sz w:val="20"/>
          <w:szCs w:val="20"/>
        </w:rPr>
      </w:pPr>
      <w:r>
        <w:rPr>
          <w:noProof/>
          <w:lang w:eastAsia="en-AU"/>
        </w:rPr>
        <w:drawing>
          <wp:anchor distT="0" distB="0" distL="114300" distR="114300" simplePos="0" relativeHeight="251658240" behindDoc="0" locked="0" layoutInCell="1" allowOverlap="1" wp14:anchorId="3485F8A2" wp14:editId="07777777">
            <wp:simplePos x="0" y="0"/>
            <wp:positionH relativeFrom="column">
              <wp:posOffset>467868</wp:posOffset>
            </wp:positionH>
            <wp:positionV relativeFrom="paragraph">
              <wp:posOffset>253644</wp:posOffset>
            </wp:positionV>
            <wp:extent cx="4657208" cy="1103159"/>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57208" cy="1103159"/>
                    </a:xfrm>
                    <a:prstGeom prst="rect">
                      <a:avLst/>
                    </a:prstGeom>
                  </pic:spPr>
                </pic:pic>
              </a:graphicData>
            </a:graphic>
            <wp14:sizeRelH relativeFrom="page">
              <wp14:pctWidth>0</wp14:pctWidth>
            </wp14:sizeRelH>
            <wp14:sizeRelV relativeFrom="page">
              <wp14:pctHeight>0</wp14:pctHeight>
            </wp14:sizeRelV>
          </wp:anchor>
        </w:drawing>
      </w:r>
      <w:r w:rsidR="00742A11">
        <w:rPr>
          <w:rFonts w:ascii="VIC-Regular" w:hAnsi="VIC-Regular" w:cs="VIC-Regular"/>
          <w:sz w:val="20"/>
          <w:szCs w:val="20"/>
        </w:rPr>
        <w:br w:type="page"/>
      </w:r>
    </w:p>
    <w:p w14:paraId="57C10501" w14:textId="77777777" w:rsidR="00742A11" w:rsidRDefault="00742A11" w:rsidP="00742A11">
      <w:pPr>
        <w:autoSpaceDE w:val="0"/>
        <w:autoSpaceDN w:val="0"/>
        <w:adjustRightInd w:val="0"/>
        <w:spacing w:after="0" w:line="240" w:lineRule="auto"/>
        <w:rPr>
          <w:rFonts w:ascii="VIC-Regular" w:hAnsi="VIC-Regular" w:cs="VIC-Regular"/>
          <w:color w:val="FFFFFF"/>
          <w:sz w:val="18"/>
          <w:szCs w:val="18"/>
        </w:rPr>
      </w:pPr>
      <w:r>
        <w:rPr>
          <w:rFonts w:ascii="VIC-Regular" w:hAnsi="VIC-Regular" w:cs="VIC-Regular"/>
          <w:color w:val="FFFFFF"/>
          <w:sz w:val="18"/>
          <w:szCs w:val="18"/>
        </w:rPr>
        <w:lastRenderedPageBreak/>
        <w:t>10</w:t>
      </w:r>
    </w:p>
    <w:p w14:paraId="22E9D553" w14:textId="77777777" w:rsidR="00095B40" w:rsidRDefault="00742A11" w:rsidP="00742A11">
      <w:pPr>
        <w:autoSpaceDE w:val="0"/>
        <w:autoSpaceDN w:val="0"/>
        <w:adjustRightInd w:val="0"/>
        <w:spacing w:after="0" w:line="240" w:lineRule="auto"/>
        <w:rPr>
          <w:rFonts w:ascii="VIC-Regular" w:hAnsi="VIC-Regular" w:cs="VIC-Regular"/>
          <w:color w:val="000000"/>
          <w:sz w:val="20"/>
          <w:szCs w:val="20"/>
        </w:rPr>
      </w:pPr>
      <w:r>
        <w:rPr>
          <w:rFonts w:ascii="VIC-Regular" w:hAnsi="VIC-Regular" w:cs="VIC-Regular"/>
          <w:color w:val="000000"/>
          <w:sz w:val="20"/>
          <w:szCs w:val="20"/>
        </w:rPr>
        <w:t xml:space="preserve">In contributing to the school’s Annual Implementation Plan, teachers can use the Agreement’s three professional practice elements to reflect on and refine their individual practice across the core areas of curriculum, pedagogy and assessment of student learning. The reflections and subsequent professional learning activities such as observation, peer review and moderation, will contribute to their goals for improvement in their Performance and Development Plans. </w:t>
      </w:r>
    </w:p>
    <w:p w14:paraId="7FA9A272" w14:textId="77777777" w:rsidR="00095B40" w:rsidRDefault="00095B40" w:rsidP="00742A11">
      <w:pPr>
        <w:autoSpaceDE w:val="0"/>
        <w:autoSpaceDN w:val="0"/>
        <w:adjustRightInd w:val="0"/>
        <w:spacing w:after="0" w:line="240" w:lineRule="auto"/>
        <w:rPr>
          <w:rFonts w:ascii="VIC-Regular" w:hAnsi="VIC-Regular" w:cs="VIC-Regular"/>
          <w:color w:val="000000"/>
          <w:sz w:val="20"/>
          <w:szCs w:val="20"/>
        </w:rPr>
      </w:pPr>
    </w:p>
    <w:p w14:paraId="29C9F2B1" w14:textId="77777777" w:rsidR="00742A11" w:rsidRDefault="00742A11" w:rsidP="00742A11">
      <w:pPr>
        <w:autoSpaceDE w:val="0"/>
        <w:autoSpaceDN w:val="0"/>
        <w:adjustRightInd w:val="0"/>
        <w:spacing w:after="0" w:line="240" w:lineRule="auto"/>
        <w:rPr>
          <w:rFonts w:ascii="VIC-Regular" w:hAnsi="VIC-Regular" w:cs="VIC-Regular"/>
          <w:color w:val="000000"/>
          <w:sz w:val="20"/>
          <w:szCs w:val="20"/>
        </w:rPr>
      </w:pPr>
      <w:r>
        <w:rPr>
          <w:rFonts w:ascii="VIC-Regular" w:hAnsi="VIC-Regular" w:cs="VIC-Regular"/>
          <w:color w:val="000000"/>
          <w:sz w:val="20"/>
          <w:szCs w:val="20"/>
        </w:rPr>
        <w:t>Teachers help establish and maintain a student-centred professional learning culture by working together to learn and apply new and better approaches to improve student learning.Cultures like this recognise that effective teacher professional learning is a core lever for improving student learning, and that the most effective teacher professional learning is achieved through purposeful collaboration, collective responsibility and a focus on learning impact.</w:t>
      </w:r>
    </w:p>
    <w:p w14:paraId="43702CC5" w14:textId="77777777" w:rsidR="00742A11" w:rsidRDefault="00742A11" w:rsidP="00742A11">
      <w:pPr>
        <w:autoSpaceDE w:val="0"/>
        <w:autoSpaceDN w:val="0"/>
        <w:adjustRightInd w:val="0"/>
        <w:spacing w:after="0" w:line="240" w:lineRule="auto"/>
        <w:rPr>
          <w:rFonts w:ascii="VIC-Regular" w:hAnsi="VIC-Regular" w:cs="VIC-Regular"/>
          <w:color w:val="000000"/>
          <w:sz w:val="20"/>
          <w:szCs w:val="20"/>
        </w:rPr>
      </w:pPr>
    </w:p>
    <w:p w14:paraId="41724B72" w14:textId="77777777" w:rsidR="00742A11" w:rsidRDefault="00742A11" w:rsidP="00742A11">
      <w:pPr>
        <w:autoSpaceDE w:val="0"/>
        <w:autoSpaceDN w:val="0"/>
        <w:adjustRightInd w:val="0"/>
        <w:spacing w:after="0" w:line="240" w:lineRule="auto"/>
        <w:rPr>
          <w:rFonts w:ascii="VIC-Regular" w:hAnsi="VIC-Regular" w:cs="VIC-Regular"/>
          <w:color w:val="000000"/>
          <w:sz w:val="20"/>
          <w:szCs w:val="20"/>
        </w:rPr>
      </w:pPr>
      <w:r>
        <w:rPr>
          <w:rFonts w:ascii="VIC-Regular" w:hAnsi="VIC-Regular" w:cs="VIC-Regular"/>
          <w:color w:val="000000"/>
          <w:sz w:val="20"/>
          <w:szCs w:val="20"/>
        </w:rPr>
        <w:t>In high performance learning cultures, teachers are inquisitive, increasingly knowledgeable and well informed about becoming better practitioners together.</w:t>
      </w:r>
      <w:r w:rsidR="002A0606">
        <w:rPr>
          <w:rStyle w:val="FootnoteReference"/>
          <w:rFonts w:ascii="VIC-Regular" w:hAnsi="VIC-Regular" w:cs="VIC-Regular"/>
          <w:color w:val="000000"/>
          <w:sz w:val="20"/>
          <w:szCs w:val="20"/>
        </w:rPr>
        <w:footnoteReference w:id="12"/>
      </w:r>
      <w:r>
        <w:rPr>
          <w:rFonts w:ascii="VIC-Regular" w:hAnsi="VIC-Regular" w:cs="VIC-Regular"/>
          <w:color w:val="000000"/>
          <w:sz w:val="12"/>
          <w:szCs w:val="12"/>
        </w:rPr>
        <w:t xml:space="preserve"> </w:t>
      </w:r>
      <w:r>
        <w:rPr>
          <w:rFonts w:ascii="VIC-Regular" w:hAnsi="VIC-Regular" w:cs="VIC-Regular"/>
          <w:color w:val="000000"/>
          <w:sz w:val="20"/>
          <w:szCs w:val="20"/>
        </w:rPr>
        <w:t>In being open to continually improving their practice to better prepare students for an uncertain but exciting future, teachers are at the forefront of our collective effort to create the next generation of curious, confident and competent citizens. Our children’s futures depend on our expertise, and our collective commitment to ensure all students learn and progress.</w:t>
      </w:r>
    </w:p>
    <w:p w14:paraId="201BFED2" w14:textId="77777777" w:rsidR="00742A11" w:rsidRDefault="00742A11" w:rsidP="00742A11">
      <w:pPr>
        <w:autoSpaceDE w:val="0"/>
        <w:autoSpaceDN w:val="0"/>
        <w:adjustRightInd w:val="0"/>
        <w:spacing w:after="0" w:line="240" w:lineRule="auto"/>
        <w:rPr>
          <w:rFonts w:ascii="VIC-SemiBold" w:hAnsi="VIC-SemiBold" w:cs="VIC-SemiBold"/>
          <w:b/>
          <w:bCs/>
          <w:color w:val="000000"/>
          <w:sz w:val="20"/>
          <w:szCs w:val="20"/>
        </w:rPr>
      </w:pPr>
    </w:p>
    <w:p w14:paraId="6D0B8971" w14:textId="77777777" w:rsidR="00C90182" w:rsidRDefault="00742A11" w:rsidP="00742A11">
      <w:pPr>
        <w:autoSpaceDE w:val="0"/>
        <w:autoSpaceDN w:val="0"/>
        <w:adjustRightInd w:val="0"/>
        <w:spacing w:after="0" w:line="240" w:lineRule="auto"/>
        <w:rPr>
          <w:rFonts w:ascii="VIC-Medium" w:hAnsi="VIC-Medium" w:cs="VIC-Medium"/>
          <w:color w:val="B92330"/>
          <w:sz w:val="20"/>
          <w:szCs w:val="20"/>
        </w:rPr>
      </w:pPr>
      <w:r>
        <w:rPr>
          <w:rFonts w:ascii="VIC-SemiBold" w:hAnsi="VIC-SemiBold" w:cs="VIC-SemiBold"/>
          <w:b/>
          <w:bCs/>
          <w:color w:val="000000"/>
          <w:sz w:val="20"/>
          <w:szCs w:val="20"/>
        </w:rPr>
        <w:t xml:space="preserve">We welcome your views on the professional practice elements. To share your ideas and experiences, please get in touch by email: </w:t>
      </w:r>
      <w:hyperlink r:id="rId13" w:history="1">
        <w:r w:rsidRPr="00837A32">
          <w:rPr>
            <w:rStyle w:val="Hyperlink"/>
            <w:rFonts w:ascii="VIC-Medium" w:hAnsi="VIC-Medium" w:cs="VIC-Medium"/>
            <w:sz w:val="20"/>
            <w:szCs w:val="20"/>
          </w:rPr>
          <w:t>professional.practice@edumail.vic.gov.au</w:t>
        </w:r>
      </w:hyperlink>
      <w:r>
        <w:rPr>
          <w:rFonts w:ascii="VIC-Medium" w:hAnsi="VIC-Medium" w:cs="VIC-Medium"/>
          <w:color w:val="B92330"/>
          <w:sz w:val="20"/>
          <w:szCs w:val="20"/>
        </w:rPr>
        <w:t xml:space="preserve"> </w:t>
      </w:r>
    </w:p>
    <w:p w14:paraId="6EA49501" w14:textId="77777777" w:rsidR="00C90182" w:rsidRDefault="00C90182">
      <w:pPr>
        <w:rPr>
          <w:rFonts w:ascii="VIC-Medium" w:hAnsi="VIC-Medium" w:cs="VIC-Medium"/>
          <w:color w:val="B92330"/>
          <w:sz w:val="20"/>
          <w:szCs w:val="20"/>
        </w:rPr>
      </w:pPr>
      <w:r>
        <w:rPr>
          <w:rFonts w:ascii="VIC-Medium" w:hAnsi="VIC-Medium" w:cs="VIC-Medium"/>
          <w:color w:val="B92330"/>
          <w:sz w:val="20"/>
          <w:szCs w:val="20"/>
        </w:rPr>
        <w:br w:type="page"/>
      </w:r>
    </w:p>
    <w:p w14:paraId="3AF5495D" w14:textId="77777777" w:rsidR="00C930EB" w:rsidRDefault="00C90182" w:rsidP="00742A11">
      <w:pPr>
        <w:autoSpaceDE w:val="0"/>
        <w:autoSpaceDN w:val="0"/>
        <w:adjustRightInd w:val="0"/>
        <w:spacing w:after="0" w:line="240" w:lineRule="auto"/>
        <w:rPr>
          <w:rFonts w:ascii="VIC-SemiBold" w:hAnsi="VIC-SemiBold" w:cs="VIC-SemiBold"/>
          <w:b/>
          <w:bCs/>
          <w:color w:val="B92330"/>
          <w:sz w:val="48"/>
          <w:szCs w:val="48"/>
        </w:rPr>
      </w:pPr>
      <w:r>
        <w:rPr>
          <w:rFonts w:ascii="VIC-SemiBold" w:hAnsi="VIC-SemiBold" w:cs="VIC-SemiBold"/>
          <w:b/>
          <w:bCs/>
          <w:color w:val="B92330"/>
          <w:sz w:val="48"/>
          <w:szCs w:val="48"/>
        </w:rPr>
        <w:lastRenderedPageBreak/>
        <w:t>PROFESSIONAL PRACTICE GUIDANCE</w:t>
      </w:r>
    </w:p>
    <w:p w14:paraId="6F0C5451" w14:textId="77777777" w:rsidR="00C90182" w:rsidRDefault="00C90182" w:rsidP="00742A11">
      <w:pPr>
        <w:autoSpaceDE w:val="0"/>
        <w:autoSpaceDN w:val="0"/>
        <w:adjustRightInd w:val="0"/>
        <w:spacing w:after="0" w:line="240" w:lineRule="auto"/>
        <w:rPr>
          <w:rFonts w:ascii="VIC-SemiBold" w:hAnsi="VIC-SemiBold" w:cs="VIC-SemiBold"/>
          <w:b/>
          <w:bCs/>
          <w:color w:val="B92330"/>
          <w:sz w:val="48"/>
          <w:szCs w:val="48"/>
        </w:rPr>
      </w:pPr>
    </w:p>
    <w:tbl>
      <w:tblPr>
        <w:tblStyle w:val="TableGrid"/>
        <w:tblW w:w="0" w:type="auto"/>
        <w:tblLook w:val="04A0" w:firstRow="1" w:lastRow="0" w:firstColumn="1" w:lastColumn="0" w:noHBand="0" w:noVBand="1"/>
      </w:tblPr>
      <w:tblGrid>
        <w:gridCol w:w="3005"/>
        <w:gridCol w:w="3653"/>
        <w:gridCol w:w="1984"/>
      </w:tblGrid>
      <w:tr w:rsidR="00C90182" w14:paraId="354FA326" w14:textId="77777777" w:rsidTr="001D7F7C">
        <w:tc>
          <w:tcPr>
            <w:tcW w:w="3005" w:type="dxa"/>
            <w:shd w:val="clear" w:color="auto" w:fill="C00000"/>
          </w:tcPr>
          <w:p w14:paraId="470B97F8" w14:textId="77777777" w:rsidR="00C90182" w:rsidRPr="001D7F7C" w:rsidRDefault="00C90182" w:rsidP="00742A11">
            <w:pPr>
              <w:autoSpaceDE w:val="0"/>
              <w:autoSpaceDN w:val="0"/>
              <w:adjustRightInd w:val="0"/>
              <w:rPr>
                <w:rFonts w:ascii="VIC-SemiBold" w:hAnsi="VIC-SemiBold" w:cs="VIC-SemiBold"/>
                <w:b/>
                <w:bCs/>
                <w:color w:val="000000"/>
                <w:sz w:val="19"/>
                <w:szCs w:val="19"/>
              </w:rPr>
            </w:pPr>
            <w:r w:rsidRPr="001D7F7C">
              <w:rPr>
                <w:rFonts w:ascii="VIC-Medium" w:hAnsi="VIC-Medium" w:cs="VIC-Medium"/>
                <w:b/>
                <w:sz w:val="19"/>
                <w:szCs w:val="19"/>
              </w:rPr>
              <w:t>To learn more about…</w:t>
            </w:r>
          </w:p>
        </w:tc>
        <w:tc>
          <w:tcPr>
            <w:tcW w:w="3653" w:type="dxa"/>
            <w:shd w:val="clear" w:color="auto" w:fill="C00000"/>
          </w:tcPr>
          <w:p w14:paraId="22D1D857" w14:textId="77777777" w:rsidR="00C90182" w:rsidRPr="001D7F7C" w:rsidRDefault="00C90182" w:rsidP="00742A11">
            <w:pPr>
              <w:autoSpaceDE w:val="0"/>
              <w:autoSpaceDN w:val="0"/>
              <w:adjustRightInd w:val="0"/>
              <w:rPr>
                <w:rFonts w:ascii="VIC-SemiBold" w:hAnsi="VIC-SemiBold" w:cs="VIC-SemiBold"/>
                <w:b/>
                <w:bCs/>
                <w:sz w:val="19"/>
                <w:szCs w:val="19"/>
              </w:rPr>
            </w:pPr>
            <w:r w:rsidRPr="001D7F7C">
              <w:rPr>
                <w:rFonts w:ascii="VIC-Medium" w:hAnsi="VIC-Medium" w:cs="VIC-Medium"/>
                <w:b/>
                <w:sz w:val="19"/>
                <w:szCs w:val="19"/>
              </w:rPr>
              <w:t>Resource</w:t>
            </w:r>
          </w:p>
        </w:tc>
        <w:tc>
          <w:tcPr>
            <w:tcW w:w="1984" w:type="dxa"/>
            <w:shd w:val="clear" w:color="auto" w:fill="C00000"/>
          </w:tcPr>
          <w:p w14:paraId="676553E0" w14:textId="77777777" w:rsidR="00C90182" w:rsidRPr="001D7F7C" w:rsidRDefault="00C90182" w:rsidP="00742A11">
            <w:pPr>
              <w:autoSpaceDE w:val="0"/>
              <w:autoSpaceDN w:val="0"/>
              <w:adjustRightInd w:val="0"/>
              <w:rPr>
                <w:rFonts w:ascii="VIC-SemiBold" w:hAnsi="VIC-SemiBold" w:cs="VIC-SemiBold"/>
                <w:b/>
                <w:bCs/>
                <w:sz w:val="19"/>
                <w:szCs w:val="19"/>
              </w:rPr>
            </w:pPr>
            <w:r w:rsidRPr="001D7F7C">
              <w:rPr>
                <w:rFonts w:ascii="VIC-Medium" w:hAnsi="VIC-Medium" w:cs="VIC-Medium"/>
                <w:b/>
                <w:sz w:val="19"/>
                <w:szCs w:val="19"/>
              </w:rPr>
              <w:t>Availability</w:t>
            </w:r>
          </w:p>
        </w:tc>
      </w:tr>
      <w:tr w:rsidR="00C90182" w14:paraId="75396BF6" w14:textId="77777777" w:rsidTr="00290041">
        <w:tc>
          <w:tcPr>
            <w:tcW w:w="3005" w:type="dxa"/>
          </w:tcPr>
          <w:p w14:paraId="4B32BC6D" w14:textId="77777777" w:rsidR="00C90182" w:rsidRDefault="00C90182" w:rsidP="00C90182">
            <w:pPr>
              <w:autoSpaceDE w:val="0"/>
              <w:autoSpaceDN w:val="0"/>
              <w:adjustRightInd w:val="0"/>
              <w:rPr>
                <w:rFonts w:ascii="VIC-Regular" w:hAnsi="VIC-Regular" w:cs="VIC-Regular"/>
                <w:color w:val="B92330"/>
                <w:sz w:val="19"/>
                <w:szCs w:val="19"/>
              </w:rPr>
            </w:pPr>
            <w:r>
              <w:rPr>
                <w:rFonts w:ascii="VIC-Regular" w:hAnsi="VIC-Regular" w:cs="VIC-Regular"/>
                <w:color w:val="B92330"/>
                <w:sz w:val="19"/>
                <w:szCs w:val="19"/>
              </w:rPr>
              <w:t>Planning and implementing</w:t>
            </w:r>
          </w:p>
          <w:p w14:paraId="74737058" w14:textId="77777777" w:rsidR="00C90182" w:rsidRDefault="00C90182" w:rsidP="00C90182">
            <w:pPr>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learning programs</w:t>
            </w:r>
          </w:p>
        </w:tc>
        <w:tc>
          <w:tcPr>
            <w:tcW w:w="3653" w:type="dxa"/>
          </w:tcPr>
          <w:p w14:paraId="0BA9DC81" w14:textId="77777777" w:rsidR="00C90182" w:rsidRDefault="00C90182" w:rsidP="00C90182">
            <w:pPr>
              <w:autoSpaceDE w:val="0"/>
              <w:autoSpaceDN w:val="0"/>
              <w:adjustRightInd w:val="0"/>
              <w:rPr>
                <w:rFonts w:ascii="VIC-Italic" w:hAnsi="VIC-Italic" w:cs="VIC-Italic"/>
                <w:i/>
                <w:iCs/>
                <w:sz w:val="19"/>
                <w:szCs w:val="19"/>
              </w:rPr>
            </w:pPr>
            <w:r>
              <w:rPr>
                <w:rFonts w:ascii="VIC-Italic" w:hAnsi="VIC-Italic" w:cs="VIC-Italic"/>
                <w:i/>
                <w:iCs/>
                <w:sz w:val="19"/>
                <w:szCs w:val="19"/>
              </w:rPr>
              <w:t>High Impact Teaching Strategies</w:t>
            </w:r>
          </w:p>
          <w:p w14:paraId="0E7CF025" w14:textId="77777777" w:rsidR="00C90182" w:rsidRDefault="00C90182" w:rsidP="00C90182">
            <w:pPr>
              <w:autoSpaceDE w:val="0"/>
              <w:autoSpaceDN w:val="0"/>
              <w:adjustRightInd w:val="0"/>
              <w:rPr>
                <w:rFonts w:ascii="VIC-Regular" w:hAnsi="VIC-Regular" w:cs="VIC-Regular"/>
                <w:sz w:val="19"/>
                <w:szCs w:val="19"/>
              </w:rPr>
            </w:pPr>
          </w:p>
          <w:p w14:paraId="6A158684" w14:textId="77777777" w:rsidR="00C90182" w:rsidRPr="00290041" w:rsidRDefault="00C90182" w:rsidP="00C90182">
            <w:pPr>
              <w:autoSpaceDE w:val="0"/>
              <w:autoSpaceDN w:val="0"/>
              <w:adjustRightInd w:val="0"/>
              <w:rPr>
                <w:rFonts w:ascii="VIC-Regular" w:hAnsi="VIC-Regular" w:cs="VIC-Regular"/>
                <w:sz w:val="19"/>
                <w:szCs w:val="19"/>
              </w:rPr>
            </w:pPr>
            <w:r>
              <w:rPr>
                <w:rFonts w:ascii="VIC-Regular" w:hAnsi="VIC-Regular" w:cs="VIC-Regular"/>
                <w:sz w:val="19"/>
                <w:szCs w:val="19"/>
              </w:rPr>
              <w:t>Literacy Teaching Resource—F-6 core reading strategies and expert videos</w:t>
            </w:r>
          </w:p>
        </w:tc>
        <w:tc>
          <w:tcPr>
            <w:tcW w:w="1984" w:type="dxa"/>
          </w:tcPr>
          <w:p w14:paraId="56D6764E" w14:textId="77777777" w:rsidR="00290041" w:rsidRDefault="00290041" w:rsidP="00290041">
            <w:pPr>
              <w:autoSpaceDE w:val="0"/>
              <w:autoSpaceDN w:val="0"/>
              <w:adjustRightInd w:val="0"/>
              <w:rPr>
                <w:rFonts w:ascii="VIC-Regular" w:hAnsi="VIC-Regular" w:cs="VIC-Regular"/>
                <w:sz w:val="11"/>
                <w:szCs w:val="11"/>
              </w:rPr>
            </w:pPr>
            <w:r>
              <w:rPr>
                <w:rFonts w:ascii="VIC-Regular" w:hAnsi="VIC-Regular" w:cs="VIC-Regular"/>
                <w:sz w:val="19"/>
                <w:szCs w:val="19"/>
              </w:rPr>
              <w:t>Available now</w:t>
            </w:r>
            <w:r w:rsidR="00FD576E">
              <w:rPr>
                <w:rStyle w:val="FootnoteReference"/>
                <w:rFonts w:ascii="VIC-Regular" w:hAnsi="VIC-Regular" w:cs="VIC-Regular"/>
                <w:sz w:val="19"/>
                <w:szCs w:val="19"/>
              </w:rPr>
              <w:footnoteReference w:id="13"/>
            </w:r>
          </w:p>
          <w:p w14:paraId="25D7AE10" w14:textId="77777777" w:rsidR="00290041" w:rsidRDefault="00290041" w:rsidP="00290041">
            <w:pPr>
              <w:autoSpaceDE w:val="0"/>
              <w:autoSpaceDN w:val="0"/>
              <w:adjustRightInd w:val="0"/>
              <w:rPr>
                <w:rFonts w:ascii="VIC-Regular" w:hAnsi="VIC-Regular" w:cs="VIC-Regular"/>
                <w:sz w:val="19"/>
                <w:szCs w:val="19"/>
              </w:rPr>
            </w:pPr>
          </w:p>
          <w:p w14:paraId="5E3D6ADC" w14:textId="77777777" w:rsidR="00C90182" w:rsidRDefault="00290041" w:rsidP="0029004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Term 4, 2017</w:t>
            </w:r>
          </w:p>
        </w:tc>
      </w:tr>
      <w:tr w:rsidR="00C90182" w14:paraId="18D20055" w14:textId="77777777" w:rsidTr="00290041">
        <w:tc>
          <w:tcPr>
            <w:tcW w:w="3005" w:type="dxa"/>
          </w:tcPr>
          <w:p w14:paraId="36EFA7BE" w14:textId="77777777" w:rsidR="00C90182" w:rsidRDefault="00C90182" w:rsidP="00742A11">
            <w:pPr>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Teaching literacy and numeracy</w:t>
            </w:r>
          </w:p>
        </w:tc>
        <w:tc>
          <w:tcPr>
            <w:tcW w:w="3653" w:type="dxa"/>
          </w:tcPr>
          <w:p w14:paraId="2302E2BE" w14:textId="77777777" w:rsidR="00C90182" w:rsidRDefault="00C90182" w:rsidP="00C90182">
            <w:pPr>
              <w:autoSpaceDE w:val="0"/>
              <w:autoSpaceDN w:val="0"/>
              <w:adjustRightInd w:val="0"/>
              <w:rPr>
                <w:rFonts w:ascii="VIC-Regular" w:hAnsi="VIC-Regular" w:cs="VIC-Regular"/>
                <w:sz w:val="19"/>
                <w:szCs w:val="19"/>
              </w:rPr>
            </w:pPr>
            <w:r>
              <w:rPr>
                <w:rFonts w:ascii="VIC-Regular" w:hAnsi="VIC-Regular" w:cs="VIC-Regular"/>
                <w:sz w:val="19"/>
                <w:szCs w:val="19"/>
              </w:rPr>
              <w:t>Victorian Literacy Portal</w:t>
            </w:r>
          </w:p>
          <w:p w14:paraId="40C147C6" w14:textId="77777777" w:rsidR="00C90182" w:rsidRDefault="00C90182" w:rsidP="00C90182">
            <w:pPr>
              <w:autoSpaceDE w:val="0"/>
              <w:autoSpaceDN w:val="0"/>
              <w:adjustRightInd w:val="0"/>
              <w:rPr>
                <w:rFonts w:ascii="VIC-Regular" w:hAnsi="VIC-Regular" w:cs="VIC-Regular"/>
                <w:sz w:val="19"/>
                <w:szCs w:val="19"/>
              </w:rPr>
            </w:pPr>
          </w:p>
          <w:p w14:paraId="51EB4BF9" w14:textId="77777777" w:rsidR="00C90182" w:rsidRDefault="00C90182" w:rsidP="00C90182">
            <w:pPr>
              <w:autoSpaceDE w:val="0"/>
              <w:autoSpaceDN w:val="0"/>
              <w:adjustRightInd w:val="0"/>
              <w:rPr>
                <w:rFonts w:ascii="VIC-Regular" w:hAnsi="VIC-Regular" w:cs="VIC-Regular"/>
                <w:sz w:val="19"/>
                <w:szCs w:val="19"/>
              </w:rPr>
            </w:pPr>
            <w:r>
              <w:rPr>
                <w:rFonts w:ascii="VIC-Regular" w:hAnsi="VIC-Regular" w:cs="VIC-Regular"/>
                <w:sz w:val="19"/>
                <w:szCs w:val="19"/>
              </w:rPr>
              <w:t>Victorian Numeracy Portal</w:t>
            </w:r>
          </w:p>
          <w:p w14:paraId="4ACE6F84" w14:textId="77777777" w:rsidR="00C90182" w:rsidRDefault="00C90182" w:rsidP="00C90182">
            <w:pPr>
              <w:autoSpaceDE w:val="0"/>
              <w:autoSpaceDN w:val="0"/>
              <w:adjustRightInd w:val="0"/>
              <w:rPr>
                <w:rFonts w:ascii="VIC-Regular" w:hAnsi="VIC-Regular" w:cs="VIC-Regular"/>
                <w:sz w:val="19"/>
                <w:szCs w:val="19"/>
              </w:rPr>
            </w:pPr>
          </w:p>
          <w:p w14:paraId="6C98EF8B" w14:textId="77777777" w:rsidR="00C90182" w:rsidRDefault="00C90182" w:rsidP="00C90182">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Wolfram Software Suite</w:t>
            </w:r>
          </w:p>
        </w:tc>
        <w:tc>
          <w:tcPr>
            <w:tcW w:w="1984" w:type="dxa"/>
          </w:tcPr>
          <w:p w14:paraId="422AAA79" w14:textId="77777777" w:rsidR="00290041" w:rsidRDefault="00290041" w:rsidP="00290041">
            <w:pPr>
              <w:autoSpaceDE w:val="0"/>
              <w:autoSpaceDN w:val="0"/>
              <w:adjustRightInd w:val="0"/>
              <w:rPr>
                <w:rFonts w:ascii="VIC-Regular" w:hAnsi="VIC-Regular" w:cs="VIC-Regular"/>
                <w:sz w:val="11"/>
                <w:szCs w:val="11"/>
              </w:rPr>
            </w:pPr>
            <w:r>
              <w:rPr>
                <w:rFonts w:ascii="VIC-Regular" w:hAnsi="VIC-Regular" w:cs="VIC-Regular"/>
                <w:sz w:val="19"/>
                <w:szCs w:val="19"/>
              </w:rPr>
              <w:t>Available now</w:t>
            </w:r>
            <w:r w:rsidR="00FD576E">
              <w:rPr>
                <w:rStyle w:val="FootnoteReference"/>
                <w:rFonts w:ascii="VIC-Regular" w:hAnsi="VIC-Regular" w:cs="VIC-Regular"/>
                <w:sz w:val="19"/>
                <w:szCs w:val="19"/>
              </w:rPr>
              <w:footnoteReference w:id="14"/>
            </w:r>
          </w:p>
          <w:p w14:paraId="54DBAD5F" w14:textId="77777777" w:rsidR="00290041" w:rsidRDefault="00290041" w:rsidP="00290041">
            <w:pPr>
              <w:autoSpaceDE w:val="0"/>
              <w:autoSpaceDN w:val="0"/>
              <w:adjustRightInd w:val="0"/>
              <w:rPr>
                <w:rFonts w:ascii="VIC-Regular" w:hAnsi="VIC-Regular" w:cs="VIC-Regular"/>
                <w:sz w:val="19"/>
                <w:szCs w:val="19"/>
              </w:rPr>
            </w:pPr>
          </w:p>
          <w:p w14:paraId="0A96F1C1" w14:textId="77777777" w:rsidR="00290041" w:rsidRDefault="00290041" w:rsidP="00290041">
            <w:pPr>
              <w:autoSpaceDE w:val="0"/>
              <w:autoSpaceDN w:val="0"/>
              <w:adjustRightInd w:val="0"/>
              <w:rPr>
                <w:rFonts w:ascii="VIC-Regular" w:hAnsi="VIC-Regular" w:cs="VIC-Regular"/>
                <w:sz w:val="11"/>
                <w:szCs w:val="11"/>
              </w:rPr>
            </w:pPr>
            <w:r>
              <w:rPr>
                <w:rFonts w:ascii="VIC-Regular" w:hAnsi="VIC-Regular" w:cs="VIC-Regular"/>
                <w:sz w:val="19"/>
                <w:szCs w:val="19"/>
              </w:rPr>
              <w:t>Available now</w:t>
            </w:r>
            <w:r w:rsidR="00FD576E">
              <w:rPr>
                <w:rStyle w:val="FootnoteReference"/>
                <w:rFonts w:ascii="VIC-Regular" w:hAnsi="VIC-Regular" w:cs="VIC-Regular"/>
                <w:sz w:val="19"/>
                <w:szCs w:val="19"/>
              </w:rPr>
              <w:footnoteReference w:id="15"/>
            </w:r>
          </w:p>
          <w:p w14:paraId="33FF290A" w14:textId="77777777" w:rsidR="00290041" w:rsidRDefault="00290041" w:rsidP="00290041">
            <w:pPr>
              <w:autoSpaceDE w:val="0"/>
              <w:autoSpaceDN w:val="0"/>
              <w:adjustRightInd w:val="0"/>
              <w:rPr>
                <w:rFonts w:ascii="VIC-Regular" w:hAnsi="VIC-Regular" w:cs="VIC-Regular"/>
                <w:sz w:val="19"/>
                <w:szCs w:val="19"/>
              </w:rPr>
            </w:pPr>
          </w:p>
          <w:p w14:paraId="5ED63ED8" w14:textId="77777777" w:rsidR="00C90182" w:rsidRDefault="00290041" w:rsidP="0029004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Available now</w:t>
            </w:r>
            <w:r w:rsidR="00FD576E">
              <w:rPr>
                <w:rStyle w:val="FootnoteReference"/>
                <w:rFonts w:ascii="VIC-Regular" w:hAnsi="VIC-Regular" w:cs="VIC-Regular"/>
                <w:sz w:val="19"/>
                <w:szCs w:val="19"/>
              </w:rPr>
              <w:footnoteReference w:id="16"/>
            </w:r>
          </w:p>
        </w:tc>
      </w:tr>
      <w:tr w:rsidR="00C90182" w14:paraId="658656CA" w14:textId="77777777" w:rsidTr="00290041">
        <w:tc>
          <w:tcPr>
            <w:tcW w:w="3005" w:type="dxa"/>
          </w:tcPr>
          <w:p w14:paraId="4B638CFA" w14:textId="77777777" w:rsidR="00C90182" w:rsidRDefault="00C90182" w:rsidP="00742A11">
            <w:pPr>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Assessing student learning</w:t>
            </w:r>
          </w:p>
        </w:tc>
        <w:tc>
          <w:tcPr>
            <w:tcW w:w="3653" w:type="dxa"/>
          </w:tcPr>
          <w:p w14:paraId="45243354" w14:textId="77777777" w:rsidR="00C90182" w:rsidRDefault="00C90182" w:rsidP="00C90182">
            <w:pPr>
              <w:autoSpaceDE w:val="0"/>
              <w:autoSpaceDN w:val="0"/>
              <w:adjustRightInd w:val="0"/>
              <w:rPr>
                <w:rFonts w:ascii="VIC-Regular" w:hAnsi="VIC-Regular" w:cs="VIC-Regular"/>
                <w:sz w:val="19"/>
                <w:szCs w:val="19"/>
              </w:rPr>
            </w:pPr>
            <w:r>
              <w:rPr>
                <w:rFonts w:ascii="VIC-Italic" w:hAnsi="VIC-Italic" w:cs="VIC-Italic"/>
                <w:i/>
                <w:iCs/>
                <w:sz w:val="19"/>
                <w:szCs w:val="19"/>
              </w:rPr>
              <w:t xml:space="preserve">Evaluating My Impact </w:t>
            </w:r>
            <w:r w:rsidR="00290041">
              <w:rPr>
                <w:rFonts w:ascii="VIC-Regular" w:hAnsi="VIC-Regular" w:cs="VIC-Regular"/>
                <w:sz w:val="19"/>
                <w:szCs w:val="19"/>
              </w:rPr>
              <w:t xml:space="preserve">for Professional Learning </w:t>
            </w:r>
            <w:r>
              <w:rPr>
                <w:rFonts w:ascii="VIC-Regular" w:hAnsi="VIC-Regular" w:cs="VIC-Regular"/>
                <w:sz w:val="19"/>
                <w:szCs w:val="19"/>
              </w:rPr>
              <w:t>Communities—</w:t>
            </w:r>
            <w:r w:rsidR="00290041">
              <w:rPr>
                <w:rFonts w:ascii="VIC-Regular" w:hAnsi="VIC-Regular" w:cs="VIC-Regular"/>
                <w:sz w:val="19"/>
                <w:szCs w:val="19"/>
              </w:rPr>
              <w:t xml:space="preserve">Teacher assessments of student </w:t>
            </w:r>
            <w:r>
              <w:rPr>
                <w:rFonts w:ascii="VIC-Regular" w:hAnsi="VIC-Regular" w:cs="VIC-Regular"/>
                <w:sz w:val="19"/>
                <w:szCs w:val="19"/>
              </w:rPr>
              <w:t>learning</w:t>
            </w:r>
          </w:p>
          <w:p w14:paraId="18D1F58F" w14:textId="77777777" w:rsidR="00290041" w:rsidRDefault="00290041" w:rsidP="00C90182">
            <w:pPr>
              <w:autoSpaceDE w:val="0"/>
              <w:autoSpaceDN w:val="0"/>
              <w:adjustRightInd w:val="0"/>
              <w:rPr>
                <w:rFonts w:ascii="VIC-Regular" w:hAnsi="VIC-Regular" w:cs="VIC-Regular"/>
                <w:sz w:val="19"/>
                <w:szCs w:val="19"/>
              </w:rPr>
            </w:pPr>
          </w:p>
          <w:p w14:paraId="49C632D5" w14:textId="77777777" w:rsidR="00C90182" w:rsidRDefault="00C90182" w:rsidP="00C90182">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Literacy and Numeracy Assessment and Data Guide</w:t>
            </w:r>
          </w:p>
        </w:tc>
        <w:tc>
          <w:tcPr>
            <w:tcW w:w="1984" w:type="dxa"/>
          </w:tcPr>
          <w:p w14:paraId="539904F2" w14:textId="77777777" w:rsidR="00C90182" w:rsidRDefault="00290041" w:rsidP="00742A11">
            <w:pPr>
              <w:autoSpaceDE w:val="0"/>
              <w:autoSpaceDN w:val="0"/>
              <w:adjustRightInd w:val="0"/>
              <w:rPr>
                <w:rFonts w:ascii="VIC-Regular" w:hAnsi="VIC-Regular" w:cs="VIC-Regular"/>
                <w:sz w:val="19"/>
                <w:szCs w:val="19"/>
              </w:rPr>
            </w:pPr>
            <w:r>
              <w:rPr>
                <w:rFonts w:ascii="VIC-Regular" w:hAnsi="VIC-Regular" w:cs="VIC-Regular"/>
                <w:sz w:val="19"/>
                <w:szCs w:val="19"/>
              </w:rPr>
              <w:t>Term 4, 2017</w:t>
            </w:r>
          </w:p>
          <w:p w14:paraId="305FA383" w14:textId="77777777" w:rsidR="00290041" w:rsidRDefault="00290041" w:rsidP="00742A11">
            <w:pPr>
              <w:autoSpaceDE w:val="0"/>
              <w:autoSpaceDN w:val="0"/>
              <w:adjustRightInd w:val="0"/>
              <w:rPr>
                <w:rFonts w:ascii="VIC-Regular" w:hAnsi="VIC-Regular" w:cs="VIC-Regular"/>
                <w:sz w:val="19"/>
                <w:szCs w:val="19"/>
              </w:rPr>
            </w:pPr>
          </w:p>
          <w:p w14:paraId="6010AC22" w14:textId="77777777" w:rsidR="00290041" w:rsidRDefault="00290041" w:rsidP="00742A11">
            <w:pPr>
              <w:autoSpaceDE w:val="0"/>
              <w:autoSpaceDN w:val="0"/>
              <w:adjustRightInd w:val="0"/>
              <w:rPr>
                <w:rFonts w:ascii="VIC-Regular" w:hAnsi="VIC-Regular" w:cs="VIC-Regular"/>
                <w:sz w:val="19"/>
                <w:szCs w:val="19"/>
              </w:rPr>
            </w:pPr>
          </w:p>
          <w:p w14:paraId="7AA8827E" w14:textId="77777777" w:rsidR="00290041" w:rsidRDefault="00290041" w:rsidP="00742A11">
            <w:pPr>
              <w:autoSpaceDE w:val="0"/>
              <w:autoSpaceDN w:val="0"/>
              <w:adjustRightInd w:val="0"/>
              <w:rPr>
                <w:rFonts w:ascii="VIC-Regular" w:hAnsi="VIC-Regular" w:cs="VIC-Regular"/>
                <w:sz w:val="19"/>
                <w:szCs w:val="19"/>
              </w:rPr>
            </w:pPr>
          </w:p>
          <w:p w14:paraId="2DA31C6D" w14:textId="77777777" w:rsidR="00290041" w:rsidRDefault="00290041" w:rsidP="00742A1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Term 4, 2017</w:t>
            </w:r>
          </w:p>
        </w:tc>
      </w:tr>
      <w:tr w:rsidR="00C90182" w14:paraId="12DC62C8" w14:textId="77777777" w:rsidTr="00290041">
        <w:tc>
          <w:tcPr>
            <w:tcW w:w="3005" w:type="dxa"/>
          </w:tcPr>
          <w:p w14:paraId="6DBC7160" w14:textId="77777777" w:rsidR="00C90182" w:rsidRDefault="00C90182" w:rsidP="00C90182">
            <w:pPr>
              <w:autoSpaceDE w:val="0"/>
              <w:autoSpaceDN w:val="0"/>
              <w:adjustRightInd w:val="0"/>
              <w:rPr>
                <w:rFonts w:ascii="VIC-Regular" w:hAnsi="VIC-Regular" w:cs="VIC-Regular"/>
                <w:color w:val="B92330"/>
                <w:sz w:val="19"/>
                <w:szCs w:val="19"/>
              </w:rPr>
            </w:pPr>
            <w:r>
              <w:rPr>
                <w:rFonts w:ascii="VIC-Regular" w:hAnsi="VIC-Regular" w:cs="VIC-Regular"/>
                <w:color w:val="B92330"/>
                <w:sz w:val="19"/>
                <w:szCs w:val="19"/>
              </w:rPr>
              <w:t>Identifying and planning</w:t>
            </w:r>
          </w:p>
          <w:p w14:paraId="71566296" w14:textId="77777777" w:rsidR="00C90182" w:rsidRDefault="00C90182" w:rsidP="00C90182">
            <w:pPr>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professional learning needs</w:t>
            </w:r>
          </w:p>
        </w:tc>
        <w:tc>
          <w:tcPr>
            <w:tcW w:w="3653" w:type="dxa"/>
          </w:tcPr>
          <w:p w14:paraId="1A11184B" w14:textId="77777777" w:rsidR="00290041" w:rsidRDefault="00290041" w:rsidP="00290041">
            <w:pPr>
              <w:autoSpaceDE w:val="0"/>
              <w:autoSpaceDN w:val="0"/>
              <w:adjustRightInd w:val="0"/>
              <w:rPr>
                <w:rFonts w:ascii="VIC-Regular" w:hAnsi="VIC-Regular" w:cs="VIC-Regular"/>
                <w:sz w:val="19"/>
                <w:szCs w:val="19"/>
              </w:rPr>
            </w:pPr>
            <w:r>
              <w:rPr>
                <w:rFonts w:ascii="VIC-Regular" w:hAnsi="VIC-Regular" w:cs="VIC-Regular"/>
                <w:sz w:val="19"/>
                <w:szCs w:val="19"/>
              </w:rPr>
              <w:t>E</w:t>
            </w:r>
            <w:r>
              <w:rPr>
                <w:rFonts w:ascii="VIC-Italic" w:hAnsi="VIC-Italic" w:cs="VIC-Italic"/>
                <w:i/>
                <w:iCs/>
                <w:sz w:val="19"/>
                <w:szCs w:val="19"/>
              </w:rPr>
              <w:t xml:space="preserve">valuating My Impact </w:t>
            </w:r>
            <w:r>
              <w:rPr>
                <w:rFonts w:ascii="VIC-Regular" w:hAnsi="VIC-Regular" w:cs="VIC-Regular"/>
                <w:sz w:val="19"/>
                <w:szCs w:val="19"/>
              </w:rPr>
              <w:t>for Professional Learning Communities—Student perception</w:t>
            </w:r>
          </w:p>
          <w:p w14:paraId="1CDDBC35" w14:textId="77777777" w:rsidR="00290041" w:rsidRDefault="00290041" w:rsidP="00290041">
            <w:pPr>
              <w:autoSpaceDE w:val="0"/>
              <w:autoSpaceDN w:val="0"/>
              <w:adjustRightInd w:val="0"/>
              <w:rPr>
                <w:rFonts w:ascii="VIC-Regular" w:hAnsi="VIC-Regular" w:cs="VIC-Regular"/>
                <w:sz w:val="19"/>
                <w:szCs w:val="19"/>
              </w:rPr>
            </w:pPr>
          </w:p>
          <w:p w14:paraId="0189F142" w14:textId="77777777" w:rsidR="00C90182" w:rsidRPr="00290041" w:rsidRDefault="00290041" w:rsidP="00290041">
            <w:pPr>
              <w:autoSpaceDE w:val="0"/>
              <w:autoSpaceDN w:val="0"/>
              <w:adjustRightInd w:val="0"/>
              <w:rPr>
                <w:rFonts w:ascii="VIC-Regular" w:hAnsi="VIC-Regular" w:cs="VIC-Regular"/>
                <w:sz w:val="19"/>
                <w:szCs w:val="19"/>
              </w:rPr>
            </w:pPr>
            <w:r>
              <w:rPr>
                <w:rFonts w:ascii="VIC-Regular" w:hAnsi="VIC-Regular" w:cs="VIC-Regular"/>
                <w:sz w:val="19"/>
                <w:szCs w:val="19"/>
              </w:rPr>
              <w:t>Guidance on the effective use of professional practice days</w:t>
            </w:r>
          </w:p>
        </w:tc>
        <w:tc>
          <w:tcPr>
            <w:tcW w:w="1984" w:type="dxa"/>
          </w:tcPr>
          <w:p w14:paraId="23F926B4" w14:textId="77777777" w:rsidR="00C90182" w:rsidRDefault="00290041" w:rsidP="00742A11">
            <w:pPr>
              <w:autoSpaceDE w:val="0"/>
              <w:autoSpaceDN w:val="0"/>
              <w:adjustRightInd w:val="0"/>
              <w:rPr>
                <w:rFonts w:ascii="VIC-Regular" w:hAnsi="VIC-Regular" w:cs="VIC-Regular"/>
                <w:sz w:val="19"/>
                <w:szCs w:val="19"/>
              </w:rPr>
            </w:pPr>
            <w:r>
              <w:rPr>
                <w:rFonts w:ascii="VIC-Regular" w:hAnsi="VIC-Regular" w:cs="VIC-Regular"/>
                <w:sz w:val="19"/>
                <w:szCs w:val="19"/>
              </w:rPr>
              <w:t>Term 4, 2017</w:t>
            </w:r>
          </w:p>
          <w:p w14:paraId="284E83F0" w14:textId="77777777" w:rsidR="00290041" w:rsidRDefault="00290041" w:rsidP="00742A11">
            <w:pPr>
              <w:autoSpaceDE w:val="0"/>
              <w:autoSpaceDN w:val="0"/>
              <w:adjustRightInd w:val="0"/>
              <w:rPr>
                <w:rFonts w:ascii="VIC-Regular" w:hAnsi="VIC-Regular" w:cs="VIC-Regular"/>
                <w:sz w:val="19"/>
                <w:szCs w:val="19"/>
              </w:rPr>
            </w:pPr>
          </w:p>
          <w:p w14:paraId="6728442C" w14:textId="77777777" w:rsidR="00290041" w:rsidRDefault="00290041" w:rsidP="00742A11">
            <w:pPr>
              <w:autoSpaceDE w:val="0"/>
              <w:autoSpaceDN w:val="0"/>
              <w:adjustRightInd w:val="0"/>
              <w:rPr>
                <w:rFonts w:ascii="VIC-Regular" w:hAnsi="VIC-Regular" w:cs="VIC-Regular"/>
                <w:sz w:val="19"/>
                <w:szCs w:val="19"/>
              </w:rPr>
            </w:pPr>
          </w:p>
          <w:p w14:paraId="0ECC341A" w14:textId="77777777" w:rsidR="00290041" w:rsidRDefault="00290041" w:rsidP="00742A11">
            <w:pPr>
              <w:autoSpaceDE w:val="0"/>
              <w:autoSpaceDN w:val="0"/>
              <w:adjustRightInd w:val="0"/>
              <w:rPr>
                <w:rFonts w:ascii="VIC-Regular" w:hAnsi="VIC-Regular" w:cs="VIC-Regular"/>
                <w:sz w:val="19"/>
                <w:szCs w:val="19"/>
              </w:rPr>
            </w:pPr>
          </w:p>
          <w:p w14:paraId="4AF778A6" w14:textId="77777777" w:rsidR="00290041" w:rsidRDefault="00290041" w:rsidP="00742A1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Term 3, 2017</w:t>
            </w:r>
          </w:p>
        </w:tc>
      </w:tr>
      <w:tr w:rsidR="00C90182" w14:paraId="2280F23B" w14:textId="77777777" w:rsidTr="00290041">
        <w:tc>
          <w:tcPr>
            <w:tcW w:w="3005" w:type="dxa"/>
          </w:tcPr>
          <w:p w14:paraId="2BC64A68" w14:textId="77777777" w:rsidR="00C90182" w:rsidRDefault="00C90182" w:rsidP="00C90182">
            <w:pPr>
              <w:autoSpaceDE w:val="0"/>
              <w:autoSpaceDN w:val="0"/>
              <w:adjustRightInd w:val="0"/>
              <w:rPr>
                <w:rFonts w:ascii="VIC-Regular" w:hAnsi="VIC-Regular" w:cs="VIC-Regular"/>
                <w:color w:val="B92330"/>
                <w:sz w:val="19"/>
                <w:szCs w:val="19"/>
              </w:rPr>
            </w:pPr>
            <w:r>
              <w:rPr>
                <w:rFonts w:ascii="VIC-Regular" w:hAnsi="VIC-Regular" w:cs="VIC-Regular"/>
                <w:color w:val="B92330"/>
                <w:sz w:val="19"/>
                <w:szCs w:val="19"/>
              </w:rPr>
              <w:t>Working with colleagues to</w:t>
            </w:r>
          </w:p>
          <w:p w14:paraId="712130A6" w14:textId="77777777" w:rsidR="00C90182" w:rsidRDefault="00C90182" w:rsidP="00C90182">
            <w:pPr>
              <w:tabs>
                <w:tab w:val="left" w:pos="2039"/>
              </w:tabs>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improve practice</w:t>
            </w:r>
          </w:p>
        </w:tc>
        <w:tc>
          <w:tcPr>
            <w:tcW w:w="3653" w:type="dxa"/>
          </w:tcPr>
          <w:p w14:paraId="21544B57" w14:textId="77777777" w:rsidR="00C90182" w:rsidRDefault="00290041" w:rsidP="00742A1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Collaborative practice protocols</w:t>
            </w:r>
          </w:p>
        </w:tc>
        <w:tc>
          <w:tcPr>
            <w:tcW w:w="1984" w:type="dxa"/>
          </w:tcPr>
          <w:p w14:paraId="39DB05F9" w14:textId="77777777" w:rsidR="00C90182" w:rsidRDefault="00290041" w:rsidP="00742A1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Term 4, 2017</w:t>
            </w:r>
          </w:p>
        </w:tc>
      </w:tr>
      <w:tr w:rsidR="00C90182" w14:paraId="7585A264" w14:textId="77777777" w:rsidTr="00290041">
        <w:tc>
          <w:tcPr>
            <w:tcW w:w="3005" w:type="dxa"/>
          </w:tcPr>
          <w:p w14:paraId="47D993EE" w14:textId="77777777" w:rsidR="00C90182" w:rsidRDefault="00C90182" w:rsidP="00C90182">
            <w:pPr>
              <w:autoSpaceDE w:val="0"/>
              <w:autoSpaceDN w:val="0"/>
              <w:adjustRightInd w:val="0"/>
              <w:rPr>
                <w:rFonts w:ascii="VIC-Regular" w:hAnsi="VIC-Regular" w:cs="VIC-Regular"/>
                <w:color w:val="B92330"/>
                <w:sz w:val="19"/>
                <w:szCs w:val="19"/>
              </w:rPr>
            </w:pPr>
            <w:r>
              <w:rPr>
                <w:rFonts w:ascii="VIC-Regular" w:hAnsi="VIC-Regular" w:cs="VIC-Regular"/>
                <w:color w:val="B92330"/>
                <w:sz w:val="19"/>
                <w:szCs w:val="19"/>
              </w:rPr>
              <w:t>Improving particular aspects of</w:t>
            </w:r>
          </w:p>
          <w:p w14:paraId="010CEAC8" w14:textId="77777777" w:rsidR="00C90182" w:rsidRDefault="00C90182" w:rsidP="00C90182">
            <w:pPr>
              <w:autoSpaceDE w:val="0"/>
              <w:autoSpaceDN w:val="0"/>
              <w:adjustRightInd w:val="0"/>
              <w:rPr>
                <w:rFonts w:ascii="VIC-Regular" w:hAnsi="VIC-Regular" w:cs="VIC-Regular"/>
                <w:color w:val="B92330"/>
                <w:sz w:val="19"/>
                <w:szCs w:val="19"/>
              </w:rPr>
            </w:pPr>
            <w:r>
              <w:rPr>
                <w:rFonts w:ascii="VIC-Regular" w:hAnsi="VIC-Regular" w:cs="VIC-Regular"/>
                <w:color w:val="B92330"/>
                <w:sz w:val="19"/>
                <w:szCs w:val="19"/>
              </w:rPr>
              <w:t>practice by observing, and being</w:t>
            </w:r>
          </w:p>
          <w:p w14:paraId="67979B8C" w14:textId="77777777" w:rsidR="00C90182" w:rsidRDefault="00C90182" w:rsidP="00C90182">
            <w:pPr>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observed by, colleagues</w:t>
            </w:r>
          </w:p>
        </w:tc>
        <w:tc>
          <w:tcPr>
            <w:tcW w:w="3653" w:type="dxa"/>
          </w:tcPr>
          <w:p w14:paraId="3E374019" w14:textId="77777777" w:rsidR="00C90182" w:rsidRDefault="00290041" w:rsidP="00290041">
            <w:pPr>
              <w:autoSpaceDE w:val="0"/>
              <w:autoSpaceDN w:val="0"/>
              <w:adjustRightInd w:val="0"/>
              <w:rPr>
                <w:rFonts w:ascii="VIC-Regular" w:hAnsi="VIC-Regular" w:cs="VIC-Regular"/>
                <w:sz w:val="19"/>
                <w:szCs w:val="19"/>
              </w:rPr>
            </w:pPr>
            <w:r>
              <w:rPr>
                <w:rFonts w:ascii="VIC-Italic" w:hAnsi="VIC-Italic" w:cs="VIC-Italic"/>
                <w:i/>
                <w:iCs/>
                <w:sz w:val="19"/>
                <w:szCs w:val="19"/>
              </w:rPr>
              <w:t xml:space="preserve">Evaluating My Impact </w:t>
            </w:r>
            <w:r>
              <w:rPr>
                <w:rFonts w:ascii="VIC-Regular" w:hAnsi="VIC-Regular" w:cs="VIC-Regular"/>
                <w:sz w:val="19"/>
                <w:szCs w:val="19"/>
              </w:rPr>
              <w:t>for Professional Learning Communities—Classroom observation</w:t>
            </w:r>
          </w:p>
          <w:p w14:paraId="68A2D626" w14:textId="77777777" w:rsidR="00290041" w:rsidRDefault="00290041" w:rsidP="00290041">
            <w:pPr>
              <w:autoSpaceDE w:val="0"/>
              <w:autoSpaceDN w:val="0"/>
              <w:adjustRightInd w:val="0"/>
              <w:rPr>
                <w:rFonts w:ascii="VIC-Regular" w:hAnsi="VIC-Regular" w:cs="VIC-Regular"/>
                <w:sz w:val="19"/>
                <w:szCs w:val="19"/>
              </w:rPr>
            </w:pPr>
          </w:p>
          <w:p w14:paraId="49FE4C31" w14:textId="77777777" w:rsidR="00290041" w:rsidRDefault="00290041" w:rsidP="0029004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Guidance on peer observation</w:t>
            </w:r>
          </w:p>
        </w:tc>
        <w:tc>
          <w:tcPr>
            <w:tcW w:w="1984" w:type="dxa"/>
          </w:tcPr>
          <w:p w14:paraId="3BBDCC37" w14:textId="77777777" w:rsidR="00C90182" w:rsidRDefault="00290041" w:rsidP="00742A11">
            <w:pPr>
              <w:autoSpaceDE w:val="0"/>
              <w:autoSpaceDN w:val="0"/>
              <w:adjustRightInd w:val="0"/>
              <w:rPr>
                <w:rFonts w:ascii="VIC-Regular" w:hAnsi="VIC-Regular" w:cs="VIC-Regular"/>
                <w:sz w:val="19"/>
                <w:szCs w:val="19"/>
              </w:rPr>
            </w:pPr>
            <w:r>
              <w:rPr>
                <w:rFonts w:ascii="VIC-Regular" w:hAnsi="VIC-Regular" w:cs="VIC-Regular"/>
                <w:sz w:val="19"/>
                <w:szCs w:val="19"/>
              </w:rPr>
              <w:t>Term 4, 2017</w:t>
            </w:r>
          </w:p>
          <w:p w14:paraId="7B5040B4" w14:textId="77777777" w:rsidR="00290041" w:rsidRDefault="00290041" w:rsidP="00742A11">
            <w:pPr>
              <w:autoSpaceDE w:val="0"/>
              <w:autoSpaceDN w:val="0"/>
              <w:adjustRightInd w:val="0"/>
              <w:rPr>
                <w:rFonts w:ascii="VIC-Regular" w:hAnsi="VIC-Regular" w:cs="VIC-Regular"/>
                <w:sz w:val="19"/>
                <w:szCs w:val="19"/>
              </w:rPr>
            </w:pPr>
          </w:p>
          <w:p w14:paraId="50CF3AB7" w14:textId="77777777" w:rsidR="00290041" w:rsidRDefault="00290041" w:rsidP="00742A11">
            <w:pPr>
              <w:autoSpaceDE w:val="0"/>
              <w:autoSpaceDN w:val="0"/>
              <w:adjustRightInd w:val="0"/>
              <w:rPr>
                <w:rFonts w:ascii="VIC-Regular" w:hAnsi="VIC-Regular" w:cs="VIC-Regular"/>
                <w:sz w:val="19"/>
                <w:szCs w:val="19"/>
              </w:rPr>
            </w:pPr>
          </w:p>
          <w:p w14:paraId="390C6C1A" w14:textId="77777777" w:rsidR="00290041" w:rsidRDefault="00290041" w:rsidP="00742A11">
            <w:pPr>
              <w:autoSpaceDE w:val="0"/>
              <w:autoSpaceDN w:val="0"/>
              <w:adjustRightInd w:val="0"/>
              <w:rPr>
                <w:rFonts w:ascii="VIC-Regular" w:hAnsi="VIC-Regular" w:cs="VIC-Regular"/>
                <w:sz w:val="19"/>
                <w:szCs w:val="19"/>
              </w:rPr>
            </w:pPr>
          </w:p>
          <w:p w14:paraId="2C9BF152" w14:textId="77777777" w:rsidR="00290041" w:rsidRDefault="00290041" w:rsidP="00742A1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Term 4, 2017</w:t>
            </w:r>
          </w:p>
        </w:tc>
      </w:tr>
      <w:tr w:rsidR="00C90182" w14:paraId="322A54A3" w14:textId="77777777" w:rsidTr="00290041">
        <w:tc>
          <w:tcPr>
            <w:tcW w:w="3005" w:type="dxa"/>
          </w:tcPr>
          <w:p w14:paraId="22B3BABC" w14:textId="77777777" w:rsidR="00C90182" w:rsidRDefault="00C90182" w:rsidP="00C90182">
            <w:pPr>
              <w:autoSpaceDE w:val="0"/>
              <w:autoSpaceDN w:val="0"/>
              <w:adjustRightInd w:val="0"/>
              <w:rPr>
                <w:rFonts w:ascii="VIC-Regular" w:hAnsi="VIC-Regular" w:cs="VIC-Regular"/>
                <w:color w:val="B92330"/>
                <w:sz w:val="19"/>
                <w:szCs w:val="19"/>
              </w:rPr>
            </w:pPr>
            <w:r>
              <w:rPr>
                <w:rFonts w:ascii="VIC-Regular" w:hAnsi="VIC-Regular" w:cs="VIC-Regular"/>
                <w:color w:val="B92330"/>
                <w:sz w:val="19"/>
                <w:szCs w:val="19"/>
              </w:rPr>
              <w:t>Supporting the learning of other</w:t>
            </w:r>
          </w:p>
          <w:p w14:paraId="640F810E" w14:textId="77777777" w:rsidR="00C90182" w:rsidRDefault="00C90182" w:rsidP="00C90182">
            <w:pPr>
              <w:autoSpaceDE w:val="0"/>
              <w:autoSpaceDN w:val="0"/>
              <w:adjustRightInd w:val="0"/>
              <w:rPr>
                <w:rFonts w:ascii="VIC-SemiBold" w:hAnsi="VIC-SemiBold" w:cs="VIC-SemiBold"/>
                <w:b/>
                <w:bCs/>
                <w:color w:val="000000"/>
                <w:sz w:val="20"/>
                <w:szCs w:val="20"/>
              </w:rPr>
            </w:pPr>
            <w:r>
              <w:rPr>
                <w:rFonts w:ascii="VIC-Regular" w:hAnsi="VIC-Regular" w:cs="VIC-Regular"/>
                <w:color w:val="B92330"/>
                <w:sz w:val="19"/>
                <w:szCs w:val="19"/>
              </w:rPr>
              <w:t>teachers</w:t>
            </w:r>
          </w:p>
        </w:tc>
        <w:tc>
          <w:tcPr>
            <w:tcW w:w="3653" w:type="dxa"/>
          </w:tcPr>
          <w:p w14:paraId="41D6F038" w14:textId="77777777" w:rsidR="00C90182" w:rsidRDefault="00290041" w:rsidP="00742A11">
            <w:pPr>
              <w:autoSpaceDE w:val="0"/>
              <w:autoSpaceDN w:val="0"/>
              <w:adjustRightInd w:val="0"/>
              <w:rPr>
                <w:rFonts w:ascii="VIC-Regular" w:hAnsi="VIC-Regular" w:cs="VIC-Regular"/>
                <w:sz w:val="19"/>
                <w:szCs w:val="19"/>
              </w:rPr>
            </w:pPr>
            <w:r>
              <w:rPr>
                <w:rFonts w:ascii="VIC-Regular" w:hAnsi="VIC-Regular" w:cs="VIC-Regular"/>
                <w:sz w:val="19"/>
                <w:szCs w:val="19"/>
              </w:rPr>
              <w:t>Capability support for learning specialists</w:t>
            </w:r>
          </w:p>
          <w:p w14:paraId="6DCA7107" w14:textId="77777777" w:rsidR="00290041" w:rsidRDefault="00290041" w:rsidP="00742A11">
            <w:pPr>
              <w:autoSpaceDE w:val="0"/>
              <w:autoSpaceDN w:val="0"/>
              <w:adjustRightInd w:val="0"/>
              <w:rPr>
                <w:rFonts w:ascii="VIC-Regular" w:hAnsi="VIC-Regular" w:cs="VIC-Regular"/>
                <w:sz w:val="19"/>
                <w:szCs w:val="19"/>
              </w:rPr>
            </w:pPr>
          </w:p>
          <w:p w14:paraId="0A5F0DD6" w14:textId="77777777" w:rsidR="00290041" w:rsidRPr="001A4E79" w:rsidRDefault="00290041" w:rsidP="00290041">
            <w:pPr>
              <w:autoSpaceDE w:val="0"/>
              <w:autoSpaceDN w:val="0"/>
              <w:adjustRightInd w:val="0"/>
              <w:rPr>
                <w:rFonts w:ascii="VIC-Regular" w:hAnsi="VIC-Regular" w:cs="VIC-Regular"/>
                <w:sz w:val="19"/>
                <w:szCs w:val="19"/>
              </w:rPr>
            </w:pPr>
            <w:r>
              <w:rPr>
                <w:rFonts w:ascii="VIC-Regular" w:hAnsi="VIC-Regular" w:cs="VIC-Regular"/>
                <w:sz w:val="19"/>
                <w:szCs w:val="19"/>
              </w:rPr>
              <w:t xml:space="preserve">Leading </w:t>
            </w:r>
            <w:r w:rsidR="001A4E79">
              <w:rPr>
                <w:rFonts w:ascii="VIC-Regular" w:hAnsi="VIC-Regular" w:cs="VIC-Regular"/>
                <w:sz w:val="19"/>
                <w:szCs w:val="19"/>
              </w:rPr>
              <w:t xml:space="preserve">Effective Professional Learning </w:t>
            </w:r>
            <w:r>
              <w:rPr>
                <w:rFonts w:ascii="VIC-Regular" w:hAnsi="VIC-Regular" w:cs="VIC-Regular"/>
                <w:sz w:val="19"/>
                <w:szCs w:val="19"/>
              </w:rPr>
              <w:t>Communities: Guidance</w:t>
            </w:r>
          </w:p>
        </w:tc>
        <w:tc>
          <w:tcPr>
            <w:tcW w:w="1984" w:type="dxa"/>
          </w:tcPr>
          <w:p w14:paraId="7BA27A9E" w14:textId="77777777" w:rsidR="00C90182" w:rsidRDefault="00290041" w:rsidP="00742A11">
            <w:pPr>
              <w:autoSpaceDE w:val="0"/>
              <w:autoSpaceDN w:val="0"/>
              <w:adjustRightInd w:val="0"/>
              <w:rPr>
                <w:rFonts w:ascii="VIC-Regular" w:hAnsi="VIC-Regular" w:cs="VIC-Regular"/>
                <w:sz w:val="19"/>
                <w:szCs w:val="19"/>
              </w:rPr>
            </w:pPr>
            <w:r>
              <w:rPr>
                <w:rFonts w:ascii="VIC-Regular" w:hAnsi="VIC-Regular" w:cs="VIC-Regular"/>
                <w:sz w:val="19"/>
                <w:szCs w:val="19"/>
              </w:rPr>
              <w:t>Term 1, 2018</w:t>
            </w:r>
          </w:p>
          <w:p w14:paraId="2347023A" w14:textId="77777777" w:rsidR="00290041" w:rsidRDefault="00290041" w:rsidP="00742A11">
            <w:pPr>
              <w:autoSpaceDE w:val="0"/>
              <w:autoSpaceDN w:val="0"/>
              <w:adjustRightInd w:val="0"/>
              <w:rPr>
                <w:rFonts w:ascii="VIC-Regular" w:hAnsi="VIC-Regular" w:cs="VIC-Regular"/>
                <w:sz w:val="19"/>
                <w:szCs w:val="19"/>
              </w:rPr>
            </w:pPr>
          </w:p>
          <w:p w14:paraId="762D243D" w14:textId="77777777" w:rsidR="00290041" w:rsidRDefault="00290041" w:rsidP="00742A11">
            <w:pPr>
              <w:autoSpaceDE w:val="0"/>
              <w:autoSpaceDN w:val="0"/>
              <w:adjustRightInd w:val="0"/>
              <w:rPr>
                <w:rFonts w:ascii="VIC-Regular" w:hAnsi="VIC-Regular" w:cs="VIC-Regular"/>
                <w:sz w:val="19"/>
                <w:szCs w:val="19"/>
              </w:rPr>
            </w:pPr>
          </w:p>
          <w:p w14:paraId="3CD428B4" w14:textId="77777777" w:rsidR="00290041" w:rsidRDefault="00290041" w:rsidP="00742A11">
            <w:pPr>
              <w:autoSpaceDE w:val="0"/>
              <w:autoSpaceDN w:val="0"/>
              <w:adjustRightInd w:val="0"/>
              <w:rPr>
                <w:rFonts w:ascii="VIC-SemiBold" w:hAnsi="VIC-SemiBold" w:cs="VIC-SemiBold"/>
                <w:b/>
                <w:bCs/>
                <w:color w:val="000000"/>
                <w:sz w:val="20"/>
                <w:szCs w:val="20"/>
              </w:rPr>
            </w:pPr>
            <w:r>
              <w:rPr>
                <w:rFonts w:ascii="VIC-Regular" w:hAnsi="VIC-Regular" w:cs="VIC-Regular"/>
                <w:sz w:val="19"/>
                <w:szCs w:val="19"/>
              </w:rPr>
              <w:t>2018</w:t>
            </w:r>
          </w:p>
        </w:tc>
      </w:tr>
    </w:tbl>
    <w:p w14:paraId="1CFDC37D" w14:textId="77777777" w:rsidR="00C90182" w:rsidRDefault="00C90182" w:rsidP="00742A11">
      <w:pPr>
        <w:autoSpaceDE w:val="0"/>
        <w:autoSpaceDN w:val="0"/>
        <w:adjustRightInd w:val="0"/>
        <w:spacing w:after="0" w:line="240" w:lineRule="auto"/>
        <w:rPr>
          <w:rFonts w:ascii="VIC-SemiBold" w:hAnsi="VIC-SemiBold" w:cs="VIC-SemiBold"/>
          <w:b/>
          <w:bCs/>
          <w:color w:val="000000"/>
          <w:sz w:val="20"/>
          <w:szCs w:val="20"/>
        </w:rPr>
      </w:pPr>
    </w:p>
    <w:p w14:paraId="4E4156D2" w14:textId="77777777" w:rsidR="00B60BEE" w:rsidRDefault="00FD576E" w:rsidP="00742A11">
      <w:pPr>
        <w:autoSpaceDE w:val="0"/>
        <w:autoSpaceDN w:val="0"/>
        <w:adjustRightInd w:val="0"/>
        <w:spacing w:after="0" w:line="240" w:lineRule="auto"/>
        <w:rPr>
          <w:rFonts w:ascii="VIC-SemiBold" w:hAnsi="VIC-SemiBold" w:cs="VIC-SemiBold"/>
          <w:b/>
          <w:bCs/>
          <w:color w:val="000000"/>
          <w:sz w:val="20"/>
          <w:szCs w:val="20"/>
        </w:rPr>
      </w:pPr>
      <w:r>
        <w:rPr>
          <w:noProof/>
          <w:lang w:eastAsia="en-AU"/>
        </w:rPr>
        <w:lastRenderedPageBreak/>
        <w:drawing>
          <wp:inline distT="0" distB="0" distL="0" distR="0" wp14:anchorId="0DAE85D4" wp14:editId="3959A91C">
            <wp:extent cx="5731510" cy="13392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339215"/>
                    </a:xfrm>
                    <a:prstGeom prst="rect">
                      <a:avLst/>
                    </a:prstGeom>
                  </pic:spPr>
                </pic:pic>
              </a:graphicData>
            </a:graphic>
          </wp:inline>
        </w:drawing>
      </w:r>
    </w:p>
    <w:p w14:paraId="3BAC89E9" w14:textId="77777777" w:rsidR="00B60BEE" w:rsidRDefault="00B60BEE">
      <w:pPr>
        <w:rPr>
          <w:rFonts w:ascii="VIC-SemiBold" w:hAnsi="VIC-SemiBold" w:cs="VIC-SemiBold"/>
          <w:b/>
          <w:bCs/>
          <w:color w:val="000000"/>
          <w:sz w:val="20"/>
          <w:szCs w:val="20"/>
        </w:rPr>
      </w:pPr>
      <w:r>
        <w:rPr>
          <w:rFonts w:ascii="VIC-SemiBold" w:hAnsi="VIC-SemiBold" w:cs="VIC-SemiBold"/>
          <w:b/>
          <w:bCs/>
          <w:color w:val="000000"/>
          <w:sz w:val="20"/>
          <w:szCs w:val="20"/>
        </w:rPr>
        <w:br w:type="page"/>
      </w:r>
    </w:p>
    <w:p w14:paraId="65337E64"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SemiBoldItalic" w:hAnsi="VIC-SemiBoldItalic" w:cs="VIC-SemiBoldItalic"/>
          <w:b/>
          <w:bCs/>
          <w:i/>
          <w:iCs/>
          <w:color w:val="B92330"/>
          <w:sz w:val="41"/>
          <w:szCs w:val="41"/>
        </w:rPr>
        <w:lastRenderedPageBreak/>
        <w:t xml:space="preserve">Our children’s futures </w:t>
      </w:r>
      <w:r>
        <w:rPr>
          <w:rFonts w:ascii="VIC-Italic" w:hAnsi="VIC-Italic" w:cs="VIC-Italic"/>
          <w:i/>
          <w:iCs/>
          <w:color w:val="B92330"/>
          <w:sz w:val="41"/>
          <w:szCs w:val="41"/>
        </w:rPr>
        <w:t>and that of the</w:t>
      </w:r>
    </w:p>
    <w:p w14:paraId="0384BEDD"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Italic" w:hAnsi="VIC-Italic" w:cs="VIC-Italic"/>
          <w:i/>
          <w:iCs/>
          <w:color w:val="B92330"/>
          <w:sz w:val="41"/>
          <w:szCs w:val="41"/>
        </w:rPr>
        <w:t>planet on which we live demands a system</w:t>
      </w:r>
    </w:p>
    <w:p w14:paraId="169AD36B"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Italic" w:hAnsi="VIC-Italic" w:cs="VIC-Italic"/>
          <w:i/>
          <w:iCs/>
          <w:color w:val="B92330"/>
          <w:sz w:val="41"/>
          <w:szCs w:val="41"/>
        </w:rPr>
        <w:t>of education that produces young people</w:t>
      </w:r>
    </w:p>
    <w:p w14:paraId="4CAD6D03" w14:textId="77777777" w:rsidR="00B60BEE" w:rsidRDefault="00B60BEE" w:rsidP="00B60BEE">
      <w:pPr>
        <w:autoSpaceDE w:val="0"/>
        <w:autoSpaceDN w:val="0"/>
        <w:adjustRightInd w:val="0"/>
        <w:spacing w:after="0" w:line="240" w:lineRule="auto"/>
        <w:rPr>
          <w:rFonts w:ascii="VIC-SemiBoldItalic" w:hAnsi="VIC-SemiBoldItalic" w:cs="VIC-SemiBoldItalic"/>
          <w:b/>
          <w:bCs/>
          <w:i/>
          <w:iCs/>
          <w:color w:val="B92330"/>
          <w:sz w:val="41"/>
          <w:szCs w:val="41"/>
        </w:rPr>
      </w:pPr>
      <w:r>
        <w:rPr>
          <w:rFonts w:ascii="VIC-Italic" w:hAnsi="VIC-Italic" w:cs="VIC-Italic"/>
          <w:i/>
          <w:iCs/>
          <w:color w:val="B92330"/>
          <w:sz w:val="41"/>
          <w:szCs w:val="41"/>
        </w:rPr>
        <w:t xml:space="preserve">who are </w:t>
      </w:r>
      <w:r>
        <w:rPr>
          <w:rFonts w:ascii="VIC-SemiBoldItalic" w:hAnsi="VIC-SemiBoldItalic" w:cs="VIC-SemiBoldItalic"/>
          <w:b/>
          <w:bCs/>
          <w:i/>
          <w:iCs/>
          <w:color w:val="B92330"/>
          <w:sz w:val="41"/>
          <w:szCs w:val="41"/>
        </w:rPr>
        <w:t>creative, critical, cultured,</w:t>
      </w:r>
    </w:p>
    <w:p w14:paraId="343BEE52"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SemiBoldItalic" w:hAnsi="VIC-SemiBoldItalic" w:cs="VIC-SemiBoldItalic"/>
          <w:b/>
          <w:bCs/>
          <w:i/>
          <w:iCs/>
          <w:color w:val="B92330"/>
          <w:sz w:val="41"/>
          <w:szCs w:val="41"/>
        </w:rPr>
        <w:t>compassionate and courageous</w:t>
      </w:r>
      <w:r>
        <w:rPr>
          <w:rFonts w:ascii="VIC-Italic" w:hAnsi="VIC-Italic" w:cs="VIC-Italic"/>
          <w:i/>
          <w:iCs/>
          <w:color w:val="B92330"/>
          <w:sz w:val="41"/>
          <w:szCs w:val="41"/>
        </w:rPr>
        <w:t>; and are</w:t>
      </w:r>
    </w:p>
    <w:p w14:paraId="7A329EA5"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Italic" w:hAnsi="VIC-Italic" w:cs="VIC-Italic"/>
          <w:i/>
          <w:iCs/>
          <w:color w:val="B92330"/>
          <w:sz w:val="41"/>
          <w:szCs w:val="41"/>
        </w:rPr>
        <w:t>able to demonstrate that in their daily lives.</w:t>
      </w:r>
    </w:p>
    <w:p w14:paraId="02FD1E80"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Italic" w:hAnsi="VIC-Italic" w:cs="VIC-Italic"/>
          <w:i/>
          <w:iCs/>
          <w:color w:val="B92330"/>
          <w:sz w:val="41"/>
          <w:szCs w:val="41"/>
        </w:rPr>
        <w:t>On their behalf, as educators and parents</w:t>
      </w:r>
    </w:p>
    <w:p w14:paraId="4387C009" w14:textId="77777777" w:rsidR="00B60BEE" w:rsidRDefault="00B60BEE" w:rsidP="00B60BEE">
      <w:pPr>
        <w:autoSpaceDE w:val="0"/>
        <w:autoSpaceDN w:val="0"/>
        <w:adjustRightInd w:val="0"/>
        <w:spacing w:after="0" w:line="240" w:lineRule="auto"/>
        <w:rPr>
          <w:rFonts w:ascii="VIC-Italic" w:hAnsi="VIC-Italic" w:cs="VIC-Italic"/>
          <w:i/>
          <w:iCs/>
          <w:color w:val="B92330"/>
          <w:sz w:val="41"/>
          <w:szCs w:val="41"/>
        </w:rPr>
      </w:pPr>
      <w:r>
        <w:rPr>
          <w:rFonts w:ascii="VIC-SemiBoldItalic" w:hAnsi="VIC-SemiBoldItalic" w:cs="VIC-SemiBoldItalic"/>
          <w:b/>
          <w:bCs/>
          <w:i/>
          <w:iCs/>
          <w:color w:val="B92330"/>
          <w:sz w:val="41"/>
          <w:szCs w:val="41"/>
        </w:rPr>
        <w:t>we should settle for nothing less</w:t>
      </w:r>
      <w:r>
        <w:rPr>
          <w:rFonts w:ascii="VIC-Italic" w:hAnsi="VIC-Italic" w:cs="VIC-Italic"/>
          <w:i/>
          <w:iCs/>
          <w:color w:val="B92330"/>
          <w:sz w:val="41"/>
          <w:szCs w:val="41"/>
        </w:rPr>
        <w:t>.</w:t>
      </w:r>
    </w:p>
    <w:p w14:paraId="49DEE134" w14:textId="77777777" w:rsidR="00FD576E" w:rsidRPr="00742A11" w:rsidRDefault="00B60BEE" w:rsidP="00B60BEE">
      <w:pPr>
        <w:autoSpaceDE w:val="0"/>
        <w:autoSpaceDN w:val="0"/>
        <w:adjustRightInd w:val="0"/>
        <w:spacing w:after="0" w:line="240" w:lineRule="auto"/>
        <w:rPr>
          <w:rFonts w:ascii="VIC-SemiBold" w:hAnsi="VIC-SemiBold" w:cs="VIC-SemiBold"/>
          <w:b/>
          <w:bCs/>
          <w:color w:val="000000"/>
          <w:sz w:val="20"/>
          <w:szCs w:val="20"/>
        </w:rPr>
      </w:pPr>
      <w:r>
        <w:rPr>
          <w:rFonts w:ascii="VIC-Regular" w:hAnsi="VIC-Regular" w:cs="VIC-Regular"/>
          <w:color w:val="B92330"/>
          <w:sz w:val="32"/>
          <w:szCs w:val="32"/>
        </w:rPr>
        <w:t>Joan Dalton and David Anderson</w:t>
      </w:r>
      <w:r>
        <w:rPr>
          <w:rStyle w:val="FootnoteReference"/>
          <w:rFonts w:ascii="VIC-Regular" w:hAnsi="VIC-Regular" w:cs="VIC-Regular"/>
          <w:color w:val="B92330"/>
          <w:sz w:val="32"/>
          <w:szCs w:val="32"/>
        </w:rPr>
        <w:footnoteReference w:id="17"/>
      </w:r>
    </w:p>
    <w:sectPr w:rsidR="00FD576E" w:rsidRPr="00742A11" w:rsidSect="00BC6E17">
      <w:footerReference w:type="first" r:id="rId15"/>
      <w:pgSz w:w="11906" w:h="16838"/>
      <w:pgMar w:top="1247" w:right="1440"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E607A" w14:textId="77777777" w:rsidR="00EE5ADE" w:rsidRDefault="00EE5ADE" w:rsidP="00EE2AB7">
      <w:pPr>
        <w:spacing w:after="0" w:line="240" w:lineRule="auto"/>
      </w:pPr>
      <w:r>
        <w:separator/>
      </w:r>
    </w:p>
  </w:endnote>
  <w:endnote w:type="continuationSeparator" w:id="0">
    <w:p w14:paraId="6497EF20" w14:textId="77777777" w:rsidR="00EE5ADE" w:rsidRDefault="00EE5ADE" w:rsidP="00EE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Bold">
    <w:panose1 w:val="00000000000000000000"/>
    <w:charset w:val="00"/>
    <w:family w:val="swiss"/>
    <w:notTrueType/>
    <w:pitch w:val="default"/>
    <w:sig w:usb0="00000003" w:usb1="00000000" w:usb2="00000000" w:usb3="00000000" w:csb0="00000001" w:csb1="00000000"/>
  </w:font>
  <w:font w:name="VIC-Medium">
    <w:panose1 w:val="00000000000000000000"/>
    <w:charset w:val="00"/>
    <w:family w:val="swiss"/>
    <w:notTrueType/>
    <w:pitch w:val="default"/>
    <w:sig w:usb0="00000003" w:usb1="00000000" w:usb2="00000000" w:usb3="00000000" w:csb0="00000001" w:csb1="00000000"/>
  </w:font>
  <w:font w:name="VIC-Light">
    <w:panose1 w:val="00000000000000000000"/>
    <w:charset w:val="00"/>
    <w:family w:val="swiss"/>
    <w:notTrueType/>
    <w:pitch w:val="default"/>
    <w:sig w:usb0="00000003" w:usb1="00000000" w:usb2="00000000" w:usb3="00000000" w:csb0="00000001" w:csb1="00000000"/>
  </w:font>
  <w:font w:name="VIC-SemiBold">
    <w:panose1 w:val="00000000000000000000"/>
    <w:charset w:val="00"/>
    <w:family w:val="swiss"/>
    <w:notTrueType/>
    <w:pitch w:val="default"/>
    <w:sig w:usb0="00000003" w:usb1="00000000" w:usb2="00000000" w:usb3="00000000" w:csb0="00000001" w:csb1="00000000"/>
  </w:font>
  <w:font w:name="VIC-Italic">
    <w:panose1 w:val="00000000000000000000"/>
    <w:charset w:val="00"/>
    <w:family w:val="swiss"/>
    <w:notTrueType/>
    <w:pitch w:val="default"/>
    <w:sig w:usb0="00000003" w:usb1="00000000" w:usb2="00000000" w:usb3="00000000" w:csb0="00000001" w:csb1="00000000"/>
  </w:font>
  <w:font w:name="VIC-Sem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A825" w14:textId="77777777" w:rsidR="00BC6E17" w:rsidRDefault="00BC6E17">
    <w:pPr>
      <w:pStyle w:val="Footer"/>
    </w:pPr>
    <w:r>
      <w:rPr>
        <w:noProof/>
        <w:lang w:eastAsia="en-AU"/>
      </w:rPr>
      <w:drawing>
        <wp:inline distT="0" distB="0" distL="0" distR="0" wp14:anchorId="5DD39C40" wp14:editId="1A1E3106">
          <wp:extent cx="5731510" cy="70358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03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B6170" w14:textId="77777777" w:rsidR="00EE5ADE" w:rsidRDefault="00EE5ADE" w:rsidP="00EE2AB7">
      <w:pPr>
        <w:spacing w:after="0" w:line="240" w:lineRule="auto"/>
      </w:pPr>
      <w:r>
        <w:separator/>
      </w:r>
    </w:p>
  </w:footnote>
  <w:footnote w:type="continuationSeparator" w:id="0">
    <w:p w14:paraId="5C660943" w14:textId="77777777" w:rsidR="00EE5ADE" w:rsidRDefault="00EE5ADE" w:rsidP="00EE2AB7">
      <w:pPr>
        <w:spacing w:after="0" w:line="240" w:lineRule="auto"/>
      </w:pPr>
      <w:r>
        <w:continuationSeparator/>
      </w:r>
    </w:p>
  </w:footnote>
  <w:footnote w:id="1">
    <w:p w14:paraId="6FC51DF7" w14:textId="2A068CC8" w:rsidR="00742A11" w:rsidRPr="00BD0A80" w:rsidRDefault="00742A11">
      <w:pPr>
        <w:pStyle w:val="FootnoteText"/>
        <w:rPr>
          <w:rFonts w:ascii="VIC-Medium" w:hAnsi="VIC-Medium" w:cs="VIC-Medium"/>
          <w:color w:val="B92330"/>
          <w:sz w:val="16"/>
          <w:szCs w:val="16"/>
        </w:rPr>
      </w:pPr>
      <w:r>
        <w:rPr>
          <w:rStyle w:val="FootnoteReference"/>
        </w:rPr>
        <w:footnoteRef/>
      </w:r>
      <w:r>
        <w:t xml:space="preserve"> </w:t>
      </w:r>
      <w:r>
        <w:rPr>
          <w:rFonts w:ascii="VIC-Italic" w:hAnsi="VIC-Italic" w:cs="VIC-Italic"/>
          <w:i/>
          <w:iCs/>
          <w:color w:val="000000"/>
          <w:sz w:val="16"/>
          <w:szCs w:val="16"/>
        </w:rPr>
        <w:t>Education State</w:t>
      </w:r>
      <w:r>
        <w:rPr>
          <w:rFonts w:ascii="VIC-Regular" w:hAnsi="VIC-Regular" w:cs="VIC-Regular"/>
          <w:color w:val="000000"/>
          <w:sz w:val="16"/>
          <w:szCs w:val="16"/>
        </w:rPr>
        <w:t xml:space="preserve">: </w:t>
      </w:r>
      <w:hyperlink r:id="rId1" w:history="1">
        <w:r w:rsidRPr="00837A32">
          <w:rPr>
            <w:rStyle w:val="Hyperlink"/>
            <w:rFonts w:ascii="VIC-Medium" w:hAnsi="VIC-Medium" w:cs="VIC-Medium"/>
            <w:sz w:val="16"/>
            <w:szCs w:val="16"/>
          </w:rPr>
          <w:t>http://www.education.vic.gov.au/about/educationstate/Pages/default.aspx</w:t>
        </w:r>
      </w:hyperlink>
    </w:p>
  </w:footnote>
  <w:footnote w:id="2">
    <w:p w14:paraId="781B922D" w14:textId="77777777" w:rsidR="00742A11" w:rsidRDefault="00742A11">
      <w:pPr>
        <w:pStyle w:val="FootnoteText"/>
      </w:pPr>
      <w:r>
        <w:rPr>
          <w:rStyle w:val="FootnoteReference"/>
        </w:rPr>
        <w:footnoteRef/>
      </w:r>
      <w:r>
        <w:t xml:space="preserve"> </w:t>
      </w:r>
      <w:r>
        <w:rPr>
          <w:rFonts w:ascii="VIC-Italic" w:hAnsi="VIC-Italic" w:cs="VIC-Italic"/>
          <w:i/>
          <w:iCs/>
          <w:color w:val="000000"/>
          <w:sz w:val="16"/>
          <w:szCs w:val="16"/>
        </w:rPr>
        <w:t>Computational thinking</w:t>
      </w:r>
      <w:r>
        <w:rPr>
          <w:rFonts w:ascii="VIC-Regular" w:hAnsi="VIC-Regular" w:cs="VIC-Regular"/>
          <w:color w:val="000000"/>
          <w:sz w:val="16"/>
          <w:szCs w:val="16"/>
        </w:rPr>
        <w:t xml:space="preserve">: </w:t>
      </w:r>
      <w:hyperlink r:id="rId2" w:history="1">
        <w:r w:rsidRPr="00837A32">
          <w:rPr>
            <w:rStyle w:val="Hyperlink"/>
            <w:rFonts w:ascii="VIC-Medium" w:hAnsi="VIC-Medium" w:cs="VIC-Medium"/>
            <w:sz w:val="16"/>
            <w:szCs w:val="16"/>
          </w:rPr>
          <w:t>http://www.bastow.vic.edu.au/Research/Bastow-Horizon-Thought-Leadership-ebook-Issue-6.pdf</w:t>
        </w:r>
      </w:hyperlink>
      <w:r>
        <w:rPr>
          <w:rFonts w:ascii="VIC-Medium" w:hAnsi="VIC-Medium" w:cs="VIC-Medium"/>
          <w:color w:val="B92330"/>
          <w:sz w:val="16"/>
          <w:szCs w:val="16"/>
        </w:rPr>
        <w:t xml:space="preserve"> </w:t>
      </w:r>
    </w:p>
  </w:footnote>
  <w:footnote w:id="3">
    <w:p w14:paraId="73177BD1" w14:textId="1F6642A1" w:rsidR="00742A11" w:rsidRPr="00151A36" w:rsidRDefault="00742A11">
      <w:pPr>
        <w:pStyle w:val="FootnoteText"/>
        <w:rPr>
          <w:rFonts w:ascii="VIC-Regular" w:hAnsi="VIC-Regular" w:cs="VIC-Regular"/>
          <w:sz w:val="16"/>
          <w:szCs w:val="16"/>
        </w:rPr>
      </w:pPr>
      <w:r>
        <w:rPr>
          <w:rStyle w:val="FootnoteReference"/>
        </w:rPr>
        <w:footnoteRef/>
      </w:r>
      <w:r>
        <w:t xml:space="preserve"> </w:t>
      </w:r>
      <w:r>
        <w:rPr>
          <w:rFonts w:ascii="VIC-Regular" w:hAnsi="VIC-Regular" w:cs="VIC-Regular"/>
          <w:sz w:val="16"/>
          <w:szCs w:val="16"/>
        </w:rPr>
        <w:t xml:space="preserve">Goss, P. &amp; Hunter, J. 2015, </w:t>
      </w:r>
      <w:r>
        <w:rPr>
          <w:rFonts w:ascii="VIC-Italic" w:hAnsi="VIC-Italic" w:cs="VIC-Italic"/>
          <w:i/>
          <w:iCs/>
          <w:sz w:val="16"/>
          <w:szCs w:val="16"/>
        </w:rPr>
        <w:t xml:space="preserve">Targeted teaching: How better use of data can improve student learning. </w:t>
      </w:r>
      <w:r>
        <w:rPr>
          <w:rFonts w:ascii="VIC-Regular" w:hAnsi="VIC-Regular" w:cs="VIC-Regular"/>
          <w:sz w:val="16"/>
          <w:szCs w:val="16"/>
        </w:rPr>
        <w:t>Grattan Institute.</w:t>
      </w:r>
    </w:p>
  </w:footnote>
  <w:footnote w:id="4">
    <w:p w14:paraId="037424BF" w14:textId="0385D7B6" w:rsidR="00742A11" w:rsidRPr="00151A36" w:rsidRDefault="00742A11">
      <w:pPr>
        <w:pStyle w:val="FootnoteText"/>
        <w:rPr>
          <w:rFonts w:ascii="VIC-Regular" w:hAnsi="VIC-Regular" w:cs="VIC-Regular"/>
          <w:sz w:val="16"/>
          <w:szCs w:val="16"/>
        </w:rPr>
      </w:pPr>
      <w:r>
        <w:rPr>
          <w:rStyle w:val="FootnoteReference"/>
        </w:rPr>
        <w:footnoteRef/>
      </w:r>
      <w:r>
        <w:t xml:space="preserve"> </w:t>
      </w:r>
      <w:r>
        <w:rPr>
          <w:rFonts w:ascii="VIC-Regular" w:hAnsi="VIC-Regular" w:cs="VIC-Regular"/>
          <w:sz w:val="16"/>
          <w:szCs w:val="16"/>
        </w:rPr>
        <w:t xml:space="preserve">Sharratt, L. &amp; Planche, B. 2016, </w:t>
      </w:r>
      <w:r>
        <w:rPr>
          <w:rFonts w:ascii="VIC-Italic" w:hAnsi="VIC-Italic" w:cs="VIC-Italic"/>
          <w:i/>
          <w:iCs/>
          <w:sz w:val="16"/>
          <w:szCs w:val="16"/>
        </w:rPr>
        <w:t xml:space="preserve">Leading Collaborative Learning: Empowering Excellence. </w:t>
      </w:r>
      <w:r>
        <w:rPr>
          <w:rFonts w:ascii="VIC-Regular" w:hAnsi="VIC-Regular" w:cs="VIC-Regular"/>
          <w:sz w:val="16"/>
          <w:szCs w:val="16"/>
        </w:rPr>
        <w:t>Thousand Oaks, California: Corwin.</w:t>
      </w:r>
    </w:p>
  </w:footnote>
  <w:footnote w:id="5">
    <w:p w14:paraId="19B2654B" w14:textId="77777777" w:rsidR="00742A11" w:rsidRPr="00C930EB" w:rsidRDefault="00742A11">
      <w:pPr>
        <w:pStyle w:val="FootnoteText"/>
        <w:rPr>
          <w:rFonts w:ascii="VIC-Regular" w:hAnsi="VIC-Regular" w:cs="VIC-Regular"/>
          <w:sz w:val="16"/>
          <w:szCs w:val="16"/>
        </w:rPr>
      </w:pPr>
      <w:r>
        <w:rPr>
          <w:rStyle w:val="FootnoteReference"/>
        </w:rPr>
        <w:footnoteRef/>
      </w:r>
      <w:r>
        <w:t xml:space="preserve"> </w:t>
      </w:r>
      <w:r>
        <w:rPr>
          <w:rFonts w:ascii="VIC-Regular" w:hAnsi="VIC-Regular" w:cs="VIC-Regular"/>
          <w:sz w:val="16"/>
          <w:szCs w:val="16"/>
        </w:rPr>
        <w:t xml:space="preserve">Goss, P. &amp; Hunter, J. 2015, </w:t>
      </w:r>
      <w:r>
        <w:rPr>
          <w:rFonts w:ascii="VIC-Italic" w:hAnsi="VIC-Italic" w:cs="VIC-Italic"/>
          <w:i/>
          <w:iCs/>
          <w:sz w:val="16"/>
          <w:szCs w:val="16"/>
        </w:rPr>
        <w:t xml:space="preserve">Targeted teaching: How better use of data can improve student learning. </w:t>
      </w:r>
      <w:r>
        <w:rPr>
          <w:rFonts w:ascii="VIC-Regular" w:hAnsi="VIC-Regular" w:cs="VIC-Regular"/>
          <w:sz w:val="16"/>
          <w:szCs w:val="16"/>
        </w:rPr>
        <w:t>Grattan Institute, pp. 41.</w:t>
      </w:r>
    </w:p>
  </w:footnote>
  <w:footnote w:id="6">
    <w:p w14:paraId="6BE4A0AC" w14:textId="77777777" w:rsidR="00742A11" w:rsidRDefault="00742A11" w:rsidP="00C930EB">
      <w:pPr>
        <w:autoSpaceDE w:val="0"/>
        <w:autoSpaceDN w:val="0"/>
        <w:adjustRightInd w:val="0"/>
        <w:spacing w:after="0" w:line="240" w:lineRule="auto"/>
        <w:rPr>
          <w:rFonts w:ascii="VIC-Regular" w:hAnsi="VIC-Regular" w:cs="VIC-Regular"/>
          <w:sz w:val="16"/>
          <w:szCs w:val="16"/>
        </w:rPr>
      </w:pPr>
      <w:r>
        <w:rPr>
          <w:rStyle w:val="FootnoteReference"/>
        </w:rPr>
        <w:footnoteRef/>
      </w:r>
      <w:r>
        <w:t xml:space="preserve"> </w:t>
      </w:r>
      <w:r>
        <w:rPr>
          <w:rFonts w:ascii="VIC-Regular" w:hAnsi="VIC-Regular" w:cs="VIC-Regular"/>
          <w:sz w:val="16"/>
          <w:szCs w:val="16"/>
        </w:rPr>
        <w:t xml:space="preserve">Hattie, J. 2015, ‘The applicability of visible learning to higher education’, </w:t>
      </w:r>
      <w:r>
        <w:rPr>
          <w:rFonts w:ascii="VIC-Italic" w:hAnsi="VIC-Italic" w:cs="VIC-Italic"/>
          <w:i/>
          <w:iCs/>
          <w:sz w:val="16"/>
          <w:szCs w:val="16"/>
        </w:rPr>
        <w:t>Scholarship of Teaching and Learning in Psychology</w:t>
      </w:r>
      <w:r>
        <w:rPr>
          <w:rFonts w:ascii="VIC-Regular" w:hAnsi="VIC-Regular" w:cs="VIC-Regular"/>
          <w:sz w:val="16"/>
          <w:szCs w:val="16"/>
        </w:rPr>
        <w:t>,</w:t>
      </w:r>
    </w:p>
    <w:p w14:paraId="3CF4C9B1" w14:textId="77777777" w:rsidR="00742A11" w:rsidRDefault="00742A11" w:rsidP="00C930EB">
      <w:pPr>
        <w:pStyle w:val="FootnoteText"/>
      </w:pPr>
      <w:r>
        <w:rPr>
          <w:rFonts w:ascii="VIC-Regular" w:hAnsi="VIC-Regular" w:cs="VIC-Regular"/>
          <w:sz w:val="16"/>
          <w:szCs w:val="16"/>
        </w:rPr>
        <w:t>vol. 1, no. 1, pp. 79-91.</w:t>
      </w:r>
    </w:p>
  </w:footnote>
  <w:footnote w:id="7">
    <w:p w14:paraId="15EA51A9" w14:textId="77777777" w:rsidR="00742A11" w:rsidRPr="00C930EB" w:rsidRDefault="00742A11" w:rsidP="00C930EB">
      <w:pPr>
        <w:autoSpaceDE w:val="0"/>
        <w:autoSpaceDN w:val="0"/>
        <w:adjustRightInd w:val="0"/>
        <w:spacing w:after="0" w:line="240" w:lineRule="auto"/>
        <w:rPr>
          <w:rFonts w:ascii="VIC-Regular" w:hAnsi="VIC-Regular" w:cs="VIC-Regular"/>
          <w:color w:val="000000"/>
          <w:sz w:val="16"/>
          <w:szCs w:val="16"/>
        </w:rPr>
      </w:pPr>
      <w:r>
        <w:rPr>
          <w:rStyle w:val="FootnoteReference"/>
        </w:rPr>
        <w:footnoteRef/>
      </w:r>
      <w:r>
        <w:t xml:space="preserve"> </w:t>
      </w:r>
      <w:r>
        <w:rPr>
          <w:rFonts w:ascii="VIC-Regular" w:hAnsi="VIC-Regular" w:cs="VIC-Regular"/>
          <w:color w:val="000000"/>
          <w:sz w:val="16"/>
          <w:szCs w:val="16"/>
        </w:rPr>
        <w:t xml:space="preserve">Abelmann, C. &amp; Elmore, R. 1999, </w:t>
      </w:r>
      <w:r>
        <w:rPr>
          <w:rFonts w:ascii="VIC-Italic" w:hAnsi="VIC-Italic" w:cs="VIC-Italic"/>
          <w:i/>
          <w:iCs/>
          <w:color w:val="000000"/>
          <w:sz w:val="16"/>
          <w:szCs w:val="16"/>
        </w:rPr>
        <w:t xml:space="preserve">When accountability knocks, will anyone answer? </w:t>
      </w:r>
      <w:r>
        <w:rPr>
          <w:rFonts w:ascii="VIC-Regular" w:hAnsi="VIC-Regular" w:cs="VIC-Regular"/>
          <w:color w:val="000000"/>
          <w:sz w:val="16"/>
          <w:szCs w:val="16"/>
        </w:rPr>
        <w:t xml:space="preserve">Philadelphia: Consortium for Policy Research in Education, pp. 43. Retrieved from: </w:t>
      </w:r>
      <w:hyperlink r:id="rId3" w:history="1">
        <w:r w:rsidRPr="00837A32">
          <w:rPr>
            <w:rStyle w:val="Hyperlink"/>
            <w:rFonts w:ascii="VIC-Medium" w:hAnsi="VIC-Medium" w:cs="VIC-Medium"/>
            <w:sz w:val="16"/>
            <w:szCs w:val="16"/>
          </w:rPr>
          <w:t>http://repository.upenn.edu/cpre researchreports/93</w:t>
        </w:r>
      </w:hyperlink>
      <w:r>
        <w:rPr>
          <w:rFonts w:ascii="VIC-Medium" w:hAnsi="VIC-Medium" w:cs="VIC-Medium"/>
          <w:color w:val="B92330"/>
          <w:sz w:val="16"/>
          <w:szCs w:val="16"/>
        </w:rPr>
        <w:t xml:space="preserve"> </w:t>
      </w:r>
    </w:p>
  </w:footnote>
  <w:footnote w:id="8">
    <w:p w14:paraId="594B8960" w14:textId="77777777" w:rsidR="00742A11" w:rsidRDefault="00742A11" w:rsidP="00C930EB">
      <w:pPr>
        <w:autoSpaceDE w:val="0"/>
        <w:autoSpaceDN w:val="0"/>
        <w:adjustRightInd w:val="0"/>
        <w:spacing w:after="0" w:line="240" w:lineRule="auto"/>
        <w:rPr>
          <w:rFonts w:ascii="VIC-Regular" w:hAnsi="VIC-Regular" w:cs="VIC-Regular"/>
          <w:sz w:val="16"/>
          <w:szCs w:val="16"/>
        </w:rPr>
      </w:pPr>
      <w:r>
        <w:rPr>
          <w:rStyle w:val="FootnoteReference"/>
        </w:rPr>
        <w:footnoteRef/>
      </w:r>
      <w:r>
        <w:t xml:space="preserve"> </w:t>
      </w:r>
      <w:r>
        <w:rPr>
          <w:rFonts w:ascii="VIC-Regular" w:hAnsi="VIC-Regular" w:cs="VIC-Regular"/>
          <w:sz w:val="16"/>
          <w:szCs w:val="16"/>
        </w:rPr>
        <w:t>Goddard, R. D., Goddard, Y.L., Kim, E. S. &amp; Miller, R. 2015, ‘A theoretical and empirical analysis of the roles of instructional</w:t>
      </w:r>
    </w:p>
    <w:p w14:paraId="41E1FE91" w14:textId="77777777" w:rsidR="00742A11" w:rsidRDefault="00742A11" w:rsidP="00C930EB">
      <w:pPr>
        <w:autoSpaceDE w:val="0"/>
        <w:autoSpaceDN w:val="0"/>
        <w:adjustRightInd w:val="0"/>
        <w:spacing w:after="0" w:line="240" w:lineRule="auto"/>
        <w:rPr>
          <w:rFonts w:ascii="VIC-Italic" w:hAnsi="VIC-Italic" w:cs="VIC-Italic"/>
          <w:i/>
          <w:iCs/>
          <w:sz w:val="16"/>
          <w:szCs w:val="16"/>
        </w:rPr>
      </w:pPr>
      <w:r>
        <w:rPr>
          <w:rFonts w:ascii="VIC-Regular" w:hAnsi="VIC-Regular" w:cs="VIC-Regular"/>
          <w:sz w:val="16"/>
          <w:szCs w:val="16"/>
        </w:rPr>
        <w:t xml:space="preserve">leadership, teacher collaboration, and collective efficacy beliefs in support of student learning’, </w:t>
      </w:r>
      <w:r>
        <w:rPr>
          <w:rFonts w:ascii="VIC-Italic" w:hAnsi="VIC-Italic" w:cs="VIC-Italic"/>
          <w:i/>
          <w:iCs/>
          <w:sz w:val="16"/>
          <w:szCs w:val="16"/>
        </w:rPr>
        <w:t>American Journal of</w:t>
      </w:r>
    </w:p>
    <w:p w14:paraId="15EFE096" w14:textId="77777777" w:rsidR="00742A11" w:rsidRDefault="00742A11" w:rsidP="00C930EB">
      <w:pPr>
        <w:pStyle w:val="FootnoteText"/>
      </w:pPr>
      <w:r>
        <w:rPr>
          <w:rFonts w:ascii="VIC-Italic" w:hAnsi="VIC-Italic" w:cs="VIC-Italic"/>
          <w:i/>
          <w:iCs/>
          <w:sz w:val="16"/>
          <w:szCs w:val="16"/>
        </w:rPr>
        <w:t>Education</w:t>
      </w:r>
      <w:r>
        <w:rPr>
          <w:rFonts w:ascii="VIC-Regular" w:hAnsi="VIC-Regular" w:cs="VIC-Regular"/>
          <w:sz w:val="16"/>
          <w:szCs w:val="16"/>
        </w:rPr>
        <w:t>, vol. 121, pp. 501-530.</w:t>
      </w:r>
    </w:p>
  </w:footnote>
  <w:footnote w:id="9">
    <w:p w14:paraId="2E87A127" w14:textId="77777777" w:rsidR="00742A11" w:rsidRPr="00C930EB" w:rsidRDefault="00742A11" w:rsidP="00C930EB">
      <w:pPr>
        <w:autoSpaceDE w:val="0"/>
        <w:autoSpaceDN w:val="0"/>
        <w:adjustRightInd w:val="0"/>
        <w:spacing w:after="0" w:line="240" w:lineRule="auto"/>
        <w:rPr>
          <w:rFonts w:ascii="VIC-Medium" w:hAnsi="VIC-Medium" w:cs="VIC-Medium"/>
          <w:color w:val="B92330"/>
          <w:sz w:val="16"/>
          <w:szCs w:val="16"/>
        </w:rPr>
      </w:pPr>
      <w:r>
        <w:rPr>
          <w:rStyle w:val="FootnoteReference"/>
        </w:rPr>
        <w:footnoteRef/>
      </w:r>
      <w:r>
        <w:t xml:space="preserve"> </w:t>
      </w:r>
      <w:r>
        <w:rPr>
          <w:rFonts w:ascii="VIC-Italic" w:hAnsi="VIC-Italic" w:cs="VIC-Italic"/>
          <w:i/>
          <w:iCs/>
          <w:color w:val="000000"/>
          <w:sz w:val="16"/>
          <w:szCs w:val="16"/>
        </w:rPr>
        <w:t xml:space="preserve">High Impact Teaching Strategies: </w:t>
      </w:r>
      <w:hyperlink r:id="rId4" w:history="1">
        <w:r w:rsidRPr="00837A32">
          <w:rPr>
            <w:rStyle w:val="Hyperlink"/>
            <w:rFonts w:ascii="VIC-Medium" w:hAnsi="VIC-Medium" w:cs="VIC-Medium"/>
            <w:sz w:val="16"/>
            <w:szCs w:val="16"/>
          </w:rPr>
          <w:t>http://www.education.vic.gov.au/Documents/school/teachers/support/highimpactteachstrat.pdf</w:t>
        </w:r>
      </w:hyperlink>
      <w:r>
        <w:rPr>
          <w:rFonts w:ascii="VIC-Medium" w:hAnsi="VIC-Medium" w:cs="VIC-Medium"/>
          <w:color w:val="B92330"/>
          <w:sz w:val="16"/>
          <w:szCs w:val="16"/>
        </w:rPr>
        <w:t xml:space="preserve">   </w:t>
      </w:r>
      <w:r>
        <w:rPr>
          <w:rFonts w:ascii="VIC-Medium" w:hAnsi="VIC-Medium" w:cs="VIC-Medium"/>
          <w:color w:val="B92330"/>
          <w:sz w:val="16"/>
          <w:szCs w:val="16"/>
        </w:rPr>
        <w:tab/>
        <w:t xml:space="preserve"> </w:t>
      </w:r>
    </w:p>
  </w:footnote>
  <w:footnote w:id="10">
    <w:p w14:paraId="243E13A9" w14:textId="77777777" w:rsidR="00742A11" w:rsidRDefault="00742A11">
      <w:pPr>
        <w:pStyle w:val="FootnoteText"/>
      </w:pPr>
      <w:r>
        <w:rPr>
          <w:rStyle w:val="FootnoteReference"/>
        </w:rPr>
        <w:footnoteRef/>
      </w:r>
      <w:r>
        <w:t xml:space="preserve"> </w:t>
      </w:r>
      <w:r>
        <w:rPr>
          <w:rFonts w:ascii="VIC-Regular" w:hAnsi="VIC-Regular" w:cs="VIC-Regular"/>
          <w:sz w:val="16"/>
          <w:szCs w:val="16"/>
        </w:rPr>
        <w:t xml:space="preserve">Hattie, J. 2012, </w:t>
      </w:r>
      <w:r>
        <w:rPr>
          <w:rFonts w:ascii="VIC-Italic" w:hAnsi="VIC-Italic" w:cs="VIC-Italic"/>
          <w:i/>
          <w:iCs/>
          <w:sz w:val="16"/>
          <w:szCs w:val="16"/>
        </w:rPr>
        <w:t>Visible learning for teachers: Maximizing impact on learning</w:t>
      </w:r>
      <w:r>
        <w:rPr>
          <w:rFonts w:ascii="VIC-Regular" w:hAnsi="VIC-Regular" w:cs="VIC-Regular"/>
          <w:sz w:val="16"/>
          <w:szCs w:val="16"/>
        </w:rPr>
        <w:t>. Oxford: Routledge.</w:t>
      </w:r>
    </w:p>
  </w:footnote>
  <w:footnote w:id="11">
    <w:p w14:paraId="7C850099" w14:textId="77777777" w:rsidR="00742A11" w:rsidRPr="00C930EB" w:rsidRDefault="00742A11" w:rsidP="00C930EB">
      <w:pPr>
        <w:autoSpaceDE w:val="0"/>
        <w:autoSpaceDN w:val="0"/>
        <w:adjustRightInd w:val="0"/>
        <w:spacing w:after="0" w:line="240" w:lineRule="auto"/>
        <w:rPr>
          <w:rFonts w:ascii="VIC-Medium" w:hAnsi="VIC-Medium" w:cs="VIC-Medium"/>
          <w:color w:val="B92330"/>
          <w:sz w:val="16"/>
          <w:szCs w:val="16"/>
        </w:rPr>
      </w:pPr>
      <w:r>
        <w:rPr>
          <w:rStyle w:val="FootnoteReference"/>
        </w:rPr>
        <w:footnoteRef/>
      </w:r>
      <w:r>
        <w:t xml:space="preserve"> </w:t>
      </w:r>
      <w:r>
        <w:rPr>
          <w:rFonts w:ascii="VIC-Italic" w:hAnsi="VIC-Italic" w:cs="VIC-Italic"/>
          <w:i/>
          <w:iCs/>
          <w:color w:val="000000"/>
          <w:sz w:val="16"/>
          <w:szCs w:val="16"/>
        </w:rPr>
        <w:t>High Impact Teaching Strategies</w:t>
      </w:r>
      <w:r>
        <w:rPr>
          <w:rFonts w:ascii="VIC-Regular" w:hAnsi="VIC-Regular" w:cs="VIC-Regular"/>
          <w:color w:val="000000"/>
          <w:sz w:val="16"/>
          <w:szCs w:val="16"/>
        </w:rPr>
        <w:t xml:space="preserve">: </w:t>
      </w:r>
      <w:hyperlink r:id="rId5" w:history="1">
        <w:r w:rsidRPr="00837A32">
          <w:rPr>
            <w:rStyle w:val="Hyperlink"/>
            <w:rFonts w:ascii="VIC-Medium" w:hAnsi="VIC-Medium" w:cs="VIC-Medium"/>
            <w:sz w:val="16"/>
            <w:szCs w:val="16"/>
          </w:rPr>
          <w:t>http://www.education.vic.gov.au/Documents/school/teachers/support/highimpactteachstrat.pdf</w:t>
        </w:r>
      </w:hyperlink>
      <w:r>
        <w:rPr>
          <w:rFonts w:ascii="VIC-Medium" w:hAnsi="VIC-Medium" w:cs="VIC-Medium"/>
          <w:color w:val="B92330"/>
          <w:sz w:val="16"/>
          <w:szCs w:val="16"/>
        </w:rPr>
        <w:t xml:space="preserve"> </w:t>
      </w:r>
    </w:p>
  </w:footnote>
  <w:footnote w:id="12">
    <w:p w14:paraId="1574F55B" w14:textId="77777777" w:rsidR="002A0606" w:rsidRPr="002A0606" w:rsidRDefault="002A0606" w:rsidP="002A0606">
      <w:pPr>
        <w:autoSpaceDE w:val="0"/>
        <w:autoSpaceDN w:val="0"/>
        <w:adjustRightInd w:val="0"/>
        <w:spacing w:after="0" w:line="240" w:lineRule="auto"/>
        <w:rPr>
          <w:rFonts w:ascii="VIC-Regular" w:hAnsi="VIC-Regular" w:cs="VIC-Regular"/>
          <w:sz w:val="16"/>
          <w:szCs w:val="16"/>
        </w:rPr>
      </w:pPr>
      <w:r>
        <w:rPr>
          <w:rStyle w:val="FootnoteReference"/>
        </w:rPr>
        <w:footnoteRef/>
      </w:r>
      <w:r>
        <w:t xml:space="preserve"> </w:t>
      </w:r>
      <w:r>
        <w:rPr>
          <w:rFonts w:ascii="VIC-Regular" w:hAnsi="VIC-Regular" w:cs="VIC-Regular"/>
          <w:sz w:val="16"/>
          <w:szCs w:val="16"/>
        </w:rPr>
        <w:t xml:space="preserve">Hargreaves, A. &amp; Fullan, M. 2012, </w:t>
      </w:r>
      <w:r>
        <w:rPr>
          <w:rFonts w:ascii="VIC-Italic" w:hAnsi="VIC-Italic" w:cs="VIC-Italic"/>
          <w:i/>
          <w:iCs/>
          <w:sz w:val="16"/>
          <w:szCs w:val="16"/>
        </w:rPr>
        <w:t>Professional Capital: Transforming Teaching in Every School</w:t>
      </w:r>
      <w:r>
        <w:rPr>
          <w:rFonts w:ascii="VIC-Regular" w:hAnsi="VIC-Regular" w:cs="VIC-Regular"/>
          <w:sz w:val="16"/>
          <w:szCs w:val="16"/>
        </w:rPr>
        <w:t>. Teachers College Press, New York &amp; Toronto, pp. 127.</w:t>
      </w:r>
    </w:p>
  </w:footnote>
  <w:footnote w:id="13">
    <w:p w14:paraId="42F55CA1" w14:textId="77777777" w:rsidR="00FD576E" w:rsidRPr="00FD576E" w:rsidRDefault="00FD576E" w:rsidP="00FD576E">
      <w:pPr>
        <w:autoSpaceDE w:val="0"/>
        <w:autoSpaceDN w:val="0"/>
        <w:adjustRightInd w:val="0"/>
        <w:spacing w:after="0" w:line="240" w:lineRule="auto"/>
        <w:rPr>
          <w:rFonts w:ascii="VIC-Medium" w:hAnsi="VIC-Medium" w:cs="VIC-Medium"/>
          <w:color w:val="B92330"/>
          <w:sz w:val="16"/>
          <w:szCs w:val="16"/>
        </w:rPr>
      </w:pPr>
      <w:r>
        <w:rPr>
          <w:rStyle w:val="FootnoteReference"/>
        </w:rPr>
        <w:footnoteRef/>
      </w:r>
      <w:r>
        <w:t xml:space="preserve"> </w:t>
      </w:r>
      <w:r>
        <w:rPr>
          <w:rFonts w:ascii="VIC-Italic" w:hAnsi="VIC-Italic" w:cs="VIC-Italic"/>
          <w:i/>
          <w:iCs/>
          <w:color w:val="000000"/>
          <w:sz w:val="16"/>
          <w:szCs w:val="16"/>
        </w:rPr>
        <w:t xml:space="preserve">High Impact Teaching Strategies: </w:t>
      </w:r>
      <w:hyperlink r:id="rId6" w:history="1">
        <w:r w:rsidRPr="00837A32">
          <w:rPr>
            <w:rStyle w:val="Hyperlink"/>
            <w:rFonts w:ascii="VIC-Medium" w:hAnsi="VIC-Medium" w:cs="VIC-Medium"/>
            <w:sz w:val="16"/>
            <w:szCs w:val="16"/>
          </w:rPr>
          <w:t>http://www.education.vic.gov.au/Documents/school/teachers/support/highimpactteachstrat.pdf</w:t>
        </w:r>
      </w:hyperlink>
      <w:r>
        <w:rPr>
          <w:rFonts w:ascii="VIC-Medium" w:hAnsi="VIC-Medium" w:cs="VIC-Medium"/>
          <w:color w:val="B92330"/>
          <w:sz w:val="16"/>
          <w:szCs w:val="16"/>
        </w:rPr>
        <w:t xml:space="preserve"> </w:t>
      </w:r>
    </w:p>
  </w:footnote>
  <w:footnote w:id="14">
    <w:p w14:paraId="59EF6BA5" w14:textId="77777777" w:rsidR="00FD576E" w:rsidRPr="00FD576E" w:rsidRDefault="00FD576E">
      <w:pPr>
        <w:pStyle w:val="FootnoteText"/>
        <w:rPr>
          <w:rFonts w:ascii="VIC-Medium" w:hAnsi="VIC-Medium" w:cs="VIC-Medium"/>
          <w:color w:val="B92330"/>
          <w:sz w:val="16"/>
          <w:szCs w:val="16"/>
        </w:rPr>
      </w:pPr>
      <w:r>
        <w:rPr>
          <w:rStyle w:val="FootnoteReference"/>
        </w:rPr>
        <w:footnoteRef/>
      </w:r>
      <w:r>
        <w:t xml:space="preserve"> </w:t>
      </w:r>
      <w:r>
        <w:rPr>
          <w:rFonts w:ascii="VIC-Italic" w:hAnsi="VIC-Italic" w:cs="VIC-Italic"/>
          <w:i/>
          <w:iCs/>
          <w:color w:val="000000"/>
          <w:sz w:val="16"/>
          <w:szCs w:val="16"/>
        </w:rPr>
        <w:t xml:space="preserve">Victorian Literacy Portal: </w:t>
      </w:r>
      <w:hyperlink r:id="rId7" w:history="1">
        <w:r w:rsidRPr="00837A32">
          <w:rPr>
            <w:rStyle w:val="Hyperlink"/>
            <w:rFonts w:ascii="VIC-Medium" w:hAnsi="VIC-Medium" w:cs="VIC-Medium"/>
            <w:sz w:val="16"/>
            <w:szCs w:val="16"/>
          </w:rPr>
          <w:t>http://www.education.vic.gov.au/school/teachers/support/literacy/Pages/default.aspx?Redirect=1</w:t>
        </w:r>
      </w:hyperlink>
    </w:p>
  </w:footnote>
  <w:footnote w:id="15">
    <w:p w14:paraId="51018D01" w14:textId="77777777" w:rsidR="00FD576E" w:rsidRPr="00FD576E" w:rsidRDefault="00FD576E">
      <w:pPr>
        <w:pStyle w:val="FootnoteText"/>
        <w:rPr>
          <w:rFonts w:ascii="VIC-Medium" w:hAnsi="VIC-Medium" w:cs="VIC-Medium"/>
          <w:color w:val="B92330"/>
          <w:sz w:val="16"/>
          <w:szCs w:val="16"/>
        </w:rPr>
      </w:pPr>
      <w:r>
        <w:rPr>
          <w:rStyle w:val="FootnoteReference"/>
        </w:rPr>
        <w:footnoteRef/>
      </w:r>
      <w:r>
        <w:t xml:space="preserve"> </w:t>
      </w:r>
      <w:r>
        <w:rPr>
          <w:rFonts w:ascii="VIC-Italic" w:hAnsi="VIC-Italic" w:cs="VIC-Italic"/>
          <w:i/>
          <w:iCs/>
          <w:color w:val="000000"/>
          <w:sz w:val="16"/>
          <w:szCs w:val="16"/>
        </w:rPr>
        <w:t xml:space="preserve">Victorian Numeracy Portal: </w:t>
      </w:r>
      <w:hyperlink r:id="rId8" w:history="1">
        <w:r w:rsidRPr="00837A32">
          <w:rPr>
            <w:rStyle w:val="Hyperlink"/>
            <w:rFonts w:ascii="VIC-Medium" w:hAnsi="VIC-Medium" w:cs="VIC-Medium"/>
            <w:sz w:val="16"/>
            <w:szCs w:val="16"/>
          </w:rPr>
          <w:t>http://www.education.vic.gov.au/about/programs/learningdev/vicstem/Pages/numeracyportal.aspx</w:t>
        </w:r>
      </w:hyperlink>
    </w:p>
  </w:footnote>
  <w:footnote w:id="16">
    <w:p w14:paraId="438B4710" w14:textId="77777777" w:rsidR="00FD576E" w:rsidRDefault="00FD576E">
      <w:pPr>
        <w:pStyle w:val="FootnoteText"/>
      </w:pPr>
      <w:r>
        <w:rPr>
          <w:rStyle w:val="FootnoteReference"/>
        </w:rPr>
        <w:footnoteRef/>
      </w:r>
      <w:r>
        <w:t xml:space="preserve"> </w:t>
      </w:r>
      <w:r>
        <w:rPr>
          <w:rFonts w:ascii="VIC-Regular" w:hAnsi="VIC-Regular" w:cs="VIC-Regular"/>
          <w:color w:val="000000"/>
          <w:sz w:val="16"/>
          <w:szCs w:val="16"/>
        </w:rPr>
        <w:t>W</w:t>
      </w:r>
      <w:r>
        <w:rPr>
          <w:rFonts w:ascii="VIC-Italic" w:hAnsi="VIC-Italic" w:cs="VIC-Italic"/>
          <w:i/>
          <w:iCs/>
          <w:color w:val="000000"/>
          <w:sz w:val="16"/>
          <w:szCs w:val="16"/>
        </w:rPr>
        <w:t xml:space="preserve">olfram Software Suite: </w:t>
      </w:r>
      <w:hyperlink r:id="rId9" w:history="1">
        <w:r w:rsidRPr="00837A32">
          <w:rPr>
            <w:rStyle w:val="Hyperlink"/>
            <w:rFonts w:ascii="VIC-Medium" w:hAnsi="VIC-Medium" w:cs="VIC-Medium"/>
            <w:sz w:val="16"/>
            <w:szCs w:val="16"/>
          </w:rPr>
          <w:t>http://www.education.vic.gov.au/about/programs/learningdev/vicstem/Pages/wolframsoftware.aspx</w:t>
        </w:r>
      </w:hyperlink>
      <w:r>
        <w:rPr>
          <w:rFonts w:ascii="VIC-Medium" w:hAnsi="VIC-Medium" w:cs="VIC-Medium"/>
          <w:color w:val="B92330"/>
          <w:sz w:val="16"/>
          <w:szCs w:val="16"/>
        </w:rPr>
        <w:t xml:space="preserve"> </w:t>
      </w:r>
    </w:p>
  </w:footnote>
  <w:footnote w:id="17">
    <w:p w14:paraId="513219A3" w14:textId="77777777" w:rsidR="00B60BEE" w:rsidRDefault="00B60BEE">
      <w:pPr>
        <w:pStyle w:val="FootnoteText"/>
      </w:pPr>
      <w:r>
        <w:rPr>
          <w:rStyle w:val="FootnoteReference"/>
        </w:rPr>
        <w:footnoteRef/>
      </w:r>
      <w:r>
        <w:t xml:space="preserve"> </w:t>
      </w:r>
      <w:r>
        <w:rPr>
          <w:rFonts w:ascii="VIC-Regular" w:hAnsi="VIC-Regular" w:cs="VIC-Regular"/>
          <w:sz w:val="16"/>
          <w:szCs w:val="16"/>
        </w:rPr>
        <w:t>Directors, Leading Adult Learning, Victoria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5147A"/>
    <w:multiLevelType w:val="hybridMultilevel"/>
    <w:tmpl w:val="A7C4B2B2"/>
    <w:lvl w:ilvl="0" w:tplc="0C090001">
      <w:start w:val="1"/>
      <w:numFmt w:val="bullet"/>
      <w:lvlText w:val=""/>
      <w:lvlJc w:val="left"/>
      <w:pPr>
        <w:ind w:left="720" w:hanging="360"/>
      </w:pPr>
      <w:rPr>
        <w:rFonts w:ascii="Symbol" w:hAnsi="Symbol" w:hint="default"/>
      </w:rPr>
    </w:lvl>
    <w:lvl w:ilvl="1" w:tplc="ECFE6614">
      <w:numFmt w:val="bullet"/>
      <w:lvlText w:val="•"/>
      <w:lvlJc w:val="left"/>
      <w:pPr>
        <w:ind w:left="1440" w:hanging="360"/>
      </w:pPr>
      <w:rPr>
        <w:rFonts w:ascii="VIC-Regular" w:eastAsiaTheme="minorHAnsi" w:hAnsi="VIC-Regular" w:cs="VIC-Regular"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C84A7E"/>
    <w:multiLevelType w:val="hybridMultilevel"/>
    <w:tmpl w:val="2450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8294C"/>
    <w:multiLevelType w:val="hybridMultilevel"/>
    <w:tmpl w:val="2062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DB4B94"/>
    <w:multiLevelType w:val="hybridMultilevel"/>
    <w:tmpl w:val="494A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034D0D"/>
    <w:multiLevelType w:val="hybridMultilevel"/>
    <w:tmpl w:val="45E8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B1AF6"/>
    <w:multiLevelType w:val="hybridMultilevel"/>
    <w:tmpl w:val="F388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267D85"/>
    <w:multiLevelType w:val="hybridMultilevel"/>
    <w:tmpl w:val="6A06C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C651AE"/>
    <w:multiLevelType w:val="hybridMultilevel"/>
    <w:tmpl w:val="77F46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D8"/>
    <w:rsid w:val="00095B40"/>
    <w:rsid w:val="00151A36"/>
    <w:rsid w:val="001A4E79"/>
    <w:rsid w:val="001D7F7C"/>
    <w:rsid w:val="00262D18"/>
    <w:rsid w:val="00290041"/>
    <w:rsid w:val="002909D8"/>
    <w:rsid w:val="002A0606"/>
    <w:rsid w:val="003A317B"/>
    <w:rsid w:val="003A3729"/>
    <w:rsid w:val="00413930"/>
    <w:rsid w:val="00665884"/>
    <w:rsid w:val="00742A11"/>
    <w:rsid w:val="00887BB5"/>
    <w:rsid w:val="009A4A11"/>
    <w:rsid w:val="00B60BEE"/>
    <w:rsid w:val="00B62D2E"/>
    <w:rsid w:val="00BC6E17"/>
    <w:rsid w:val="00BD0A80"/>
    <w:rsid w:val="00C90182"/>
    <w:rsid w:val="00C930EB"/>
    <w:rsid w:val="00CA151F"/>
    <w:rsid w:val="00D55EC7"/>
    <w:rsid w:val="00DA02EF"/>
    <w:rsid w:val="00EB4DFC"/>
    <w:rsid w:val="00EE2AB7"/>
    <w:rsid w:val="00EE5ADE"/>
    <w:rsid w:val="00FD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82AE"/>
  <w15:chartTrackingRefBased/>
  <w15:docId w15:val="{8D3C1F77-0446-49C7-9DF4-5458D425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2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AB7"/>
    <w:rPr>
      <w:sz w:val="20"/>
      <w:szCs w:val="20"/>
    </w:rPr>
  </w:style>
  <w:style w:type="character" w:styleId="FootnoteReference">
    <w:name w:val="footnote reference"/>
    <w:basedOn w:val="DefaultParagraphFont"/>
    <w:uiPriority w:val="99"/>
    <w:semiHidden/>
    <w:unhideWhenUsed/>
    <w:rsid w:val="00EE2AB7"/>
    <w:rPr>
      <w:vertAlign w:val="superscript"/>
    </w:rPr>
  </w:style>
  <w:style w:type="character" w:styleId="Hyperlink">
    <w:name w:val="Hyperlink"/>
    <w:basedOn w:val="DefaultParagraphFont"/>
    <w:uiPriority w:val="99"/>
    <w:unhideWhenUsed/>
    <w:rsid w:val="00EE2AB7"/>
    <w:rPr>
      <w:color w:val="0563C1" w:themeColor="hyperlink"/>
      <w:u w:val="single"/>
    </w:rPr>
  </w:style>
  <w:style w:type="paragraph" w:styleId="ListParagraph">
    <w:name w:val="List Paragraph"/>
    <w:basedOn w:val="Normal"/>
    <w:uiPriority w:val="34"/>
    <w:qFormat/>
    <w:rsid w:val="00EE2AB7"/>
    <w:pPr>
      <w:ind w:left="720"/>
      <w:contextualSpacing/>
    </w:pPr>
  </w:style>
  <w:style w:type="table" w:styleId="TableGrid">
    <w:name w:val="Table Grid"/>
    <w:basedOn w:val="TableNormal"/>
    <w:uiPriority w:val="39"/>
    <w:rsid w:val="00C9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E17"/>
  </w:style>
  <w:style w:type="paragraph" w:styleId="Footer">
    <w:name w:val="footer"/>
    <w:basedOn w:val="Normal"/>
    <w:link w:val="FooterChar"/>
    <w:uiPriority w:val="99"/>
    <w:unhideWhenUsed/>
    <w:rsid w:val="00BC6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E17"/>
  </w:style>
  <w:style w:type="paragraph" w:styleId="BalloonText">
    <w:name w:val="Balloon Text"/>
    <w:basedOn w:val="Normal"/>
    <w:link w:val="BalloonTextChar"/>
    <w:uiPriority w:val="99"/>
    <w:semiHidden/>
    <w:unhideWhenUsed/>
    <w:rsid w:val="001A4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fessional.practice@edumail.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education.vic.gov.au/about/programs/learningdev/vicstem/Pages/numeracyportal.aspx" TargetMode="External"/><Relationship Id="rId3" Type="http://schemas.openxmlformats.org/officeDocument/2006/relationships/hyperlink" Target="http://repository.upenn.edu/cpre%20researchreports/93" TargetMode="External"/><Relationship Id="rId7" Type="http://schemas.openxmlformats.org/officeDocument/2006/relationships/hyperlink" Target="http://www.education.vic.gov.au/school/teachers/support/literacy/Pages/default.aspx?Redirect=1" TargetMode="External"/><Relationship Id="rId2" Type="http://schemas.openxmlformats.org/officeDocument/2006/relationships/hyperlink" Target="http://www.bastow.vic.edu.au/Research/Bastow-Horizon-Thought-Leadership-ebook-Issue-6.pdf" TargetMode="External"/><Relationship Id="rId1" Type="http://schemas.openxmlformats.org/officeDocument/2006/relationships/hyperlink" Target="http://www.education.vic.gov.au/about/educationstate/Pages/default.aspx" TargetMode="External"/><Relationship Id="rId6" Type="http://schemas.openxmlformats.org/officeDocument/2006/relationships/hyperlink" Target="http://www.education.vic.gov.au/Documents/school/teachers/support/highimpactteachstrat.pdf" TargetMode="External"/><Relationship Id="rId5" Type="http://schemas.openxmlformats.org/officeDocument/2006/relationships/hyperlink" Target="http://www.education.vic.gov.au/Documents/school/teachers/support/highimpactteachstrat.pdf" TargetMode="External"/><Relationship Id="rId4" Type="http://schemas.openxmlformats.org/officeDocument/2006/relationships/hyperlink" Target="http://www.education.vic.gov.au/Documents/school/teachers/support/highimpactteachstrat.pdf" TargetMode="External"/><Relationship Id="rId9" Type="http://schemas.openxmlformats.org/officeDocument/2006/relationships/hyperlink" Target="http://www.education.vic.gov.au/about/programs/learningdev/vicstem/Pages/wolframsoftwa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D440F-CE2C-49A3-8D1A-01C5CDD4D5A0}"/>
</file>

<file path=customXml/itemProps2.xml><?xml version="1.0" encoding="utf-8"?>
<ds:datastoreItem xmlns:ds="http://schemas.openxmlformats.org/officeDocument/2006/customXml" ds:itemID="{3A41CCCB-639E-4F45-9356-2CB1AD23F4AD}"/>
</file>

<file path=customXml/itemProps3.xml><?xml version="1.0" encoding="utf-8"?>
<ds:datastoreItem xmlns:ds="http://schemas.openxmlformats.org/officeDocument/2006/customXml" ds:itemID="{0529E38B-C831-4F48-AB31-532030219694}"/>
</file>

<file path=customXml/itemProps4.xml><?xml version="1.0" encoding="utf-8"?>
<ds:datastoreItem xmlns:ds="http://schemas.openxmlformats.org/officeDocument/2006/customXml" ds:itemID="{AEC47091-2844-4AB5-A69F-16DBD795785A}"/>
</file>

<file path=docProps/app.xml><?xml version="1.0" encoding="utf-8"?>
<Properties xmlns="http://schemas.openxmlformats.org/officeDocument/2006/extended-properties" xmlns:vt="http://schemas.openxmlformats.org/officeDocument/2006/docPropsVTypes">
  <Template>Normal</Template>
  <TotalTime>0</TotalTime>
  <Pages>15</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Stayner, James D</dc:creator>
  <cp:keywords/>
  <dc:description/>
  <cp:lastModifiedBy>Copal, Kristine D</cp:lastModifiedBy>
  <cp:revision>2</cp:revision>
  <cp:lastPrinted>2017-08-30T01:40:00Z</cp:lastPrinted>
  <dcterms:created xsi:type="dcterms:W3CDTF">2018-04-05T04:26:00Z</dcterms:created>
  <dcterms:modified xsi:type="dcterms:W3CDTF">2018-04-05T04:26:00Z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TaxHTField0">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{4ed98063-68cf-4209-bd54-8b8eaa5f272c}</vt:lpwstr>
  </property>
  <property fmtid="{D5CDD505-2E9C-101B-9397-08002B2CF9AE}" pid="9" name="RecordPoint_ActiveItemUniqueId">
    <vt:lpwstr>{04ee609a-a0bb-41d5-9ff4-8b262f80937c}</vt:lpwstr>
  </property>
  <property fmtid="{D5CDD505-2E9C-101B-9397-08002B2CF9AE}" pid="10" name="RecordPoint_ActiveItemWebId">
    <vt:lpwstr>{69c6d17e-4966-4cea-b47f-eb6dea2170e9}</vt:lpwstr>
  </property>
  <property fmtid="{D5CDD505-2E9C-101B-9397-08002B2CF9AE}" pid="11" name="RecordPoint_RecordNumberSubmitted">
    <vt:lpwstr>R0000996080</vt:lpwstr>
  </property>
  <property fmtid="{D5CDD505-2E9C-101B-9397-08002B2CF9AE}" pid="12" name="RecordPoint_SubmissionCompleted">
    <vt:lpwstr>2017-08-30T12:58:40.8235581+10:00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