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D42" w14:textId="42C3921F" w:rsidR="00410DB2" w:rsidRPr="00600EB1" w:rsidRDefault="00A96D25" w:rsidP="00410DB2">
      <w:pPr>
        <w:pStyle w:val="Subtitle"/>
      </w:pPr>
      <w:r w:rsidRPr="00A96D25">
        <w:rPr>
          <w:b/>
          <w:iCs/>
          <w:color w:val="AF272F"/>
          <w:spacing w:val="5"/>
          <w:kern w:val="28"/>
          <w:sz w:val="44"/>
          <w:szCs w:val="52"/>
        </w:rPr>
        <w:t xml:space="preserve">Syllable </w:t>
      </w:r>
      <w:r w:rsidR="003C0214">
        <w:rPr>
          <w:b/>
          <w:iCs/>
          <w:color w:val="AF272F"/>
          <w:spacing w:val="5"/>
          <w:kern w:val="28"/>
          <w:sz w:val="44"/>
          <w:szCs w:val="52"/>
        </w:rPr>
        <w:t>a</w:t>
      </w:r>
      <w:r w:rsidR="003C0214" w:rsidRPr="00A96D25">
        <w:rPr>
          <w:b/>
          <w:iCs/>
          <w:color w:val="AF272F"/>
          <w:spacing w:val="5"/>
          <w:kern w:val="28"/>
          <w:sz w:val="44"/>
          <w:szCs w:val="52"/>
        </w:rPr>
        <w:t>wareness</w:t>
      </w:r>
    </w:p>
    <w:p w14:paraId="3625A5C0" w14:textId="77777777" w:rsidR="003C0214" w:rsidRDefault="003C0214" w:rsidP="003C0214">
      <w:pPr>
        <w:spacing w:before="120"/>
        <w:rPr>
          <w:lang w:eastAsia="en-AU"/>
        </w:rPr>
      </w:pPr>
      <w:bookmarkStart w:id="0" w:name="_Hlk125544733"/>
      <w:r w:rsidRPr="00F11FD8">
        <w:rPr>
          <w:lang w:eastAsia="en-AU"/>
        </w:rPr>
        <w:t xml:space="preserve">The </w:t>
      </w:r>
      <w:r w:rsidRPr="003858CB">
        <w:rPr>
          <w:lang w:eastAsia="en-AU"/>
        </w:rPr>
        <w:t xml:space="preserve">adapted </w:t>
      </w:r>
      <w:r w:rsidRPr="00F11FD8">
        <w:rPr>
          <w:lang w:eastAsia="en-AU"/>
        </w:rPr>
        <w:t xml:space="preserve">diagram below </w:t>
      </w:r>
      <w:r>
        <w:rPr>
          <w:lang w:eastAsia="en-AU"/>
        </w:rPr>
        <w:t xml:space="preserve">indicates </w:t>
      </w:r>
      <w:r w:rsidRPr="003858CB">
        <w:rPr>
          <w:lang w:eastAsia="en-AU"/>
        </w:rPr>
        <w:t>words into syllables is the least complex phonological awareness skill.</w:t>
      </w:r>
    </w:p>
    <w:bookmarkEnd w:id="0"/>
    <w:p w14:paraId="009D48F2" w14:textId="2FB2A141" w:rsidR="00203264" w:rsidRDefault="003C0214" w:rsidP="003C0214">
      <w:pPr>
        <w:jc w:val="center"/>
      </w:pPr>
      <w:r>
        <w:rPr>
          <w:noProof/>
        </w:rPr>
        <w:drawing>
          <wp:inline distT="0" distB="0" distL="0" distR="0" wp14:anchorId="72E106AA" wp14:editId="73B027D8">
            <wp:extent cx="4842345" cy="340669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6424" cy="340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88242" w14:textId="672E7FD9" w:rsidR="00A96D25" w:rsidRPr="00A96D25" w:rsidRDefault="00A96D25" w:rsidP="00A96D25">
      <w:r w:rsidRPr="00A96D25">
        <w:t>Syllable awareness involves activities like counting, tapping, blending, or segmenting words into their</w:t>
      </w:r>
      <w:r>
        <w:t xml:space="preserve"> </w:t>
      </w:r>
      <w:r w:rsidRPr="00A96D25">
        <w:t>syllables.</w:t>
      </w:r>
    </w:p>
    <w:p w14:paraId="69C7D96C" w14:textId="53F93A2F" w:rsidR="00A96D25" w:rsidRDefault="00A96D25" w:rsidP="00A96D25">
      <w:r w:rsidRPr="00A96D25">
        <w:t xml:space="preserve">Every word can be broken down into syllables. Every syllable has at least a </w:t>
      </w:r>
      <w:r w:rsidRPr="00A96D25">
        <w:rPr>
          <w:b/>
        </w:rPr>
        <w:t xml:space="preserve">nucleus </w:t>
      </w:r>
      <w:r w:rsidRPr="00A96D25">
        <w:t xml:space="preserve">(vowel). Most syllables will also have an </w:t>
      </w:r>
      <w:r w:rsidRPr="00A96D25">
        <w:rPr>
          <w:b/>
        </w:rPr>
        <w:t xml:space="preserve">onset </w:t>
      </w:r>
      <w:r w:rsidRPr="00A96D25">
        <w:t xml:space="preserve">(consonants before vowel), and </w:t>
      </w:r>
      <w:r w:rsidRPr="00A96D25">
        <w:rPr>
          <w:b/>
        </w:rPr>
        <w:t xml:space="preserve">coda </w:t>
      </w:r>
      <w:r w:rsidRPr="00A96D25">
        <w:t>(consonants after the vowel). The nucleus and coda together make up</w:t>
      </w:r>
      <w:r>
        <w:t xml:space="preserve"> </w:t>
      </w:r>
      <w:r w:rsidRPr="00A96D25">
        <w:t xml:space="preserve">the </w:t>
      </w:r>
      <w:r w:rsidRPr="00A96D25">
        <w:rPr>
          <w:b/>
        </w:rPr>
        <w:t xml:space="preserve">rime </w:t>
      </w:r>
      <w:r w:rsidRPr="00A96D25">
        <w:t xml:space="preserve">of the syllable (the part </w:t>
      </w:r>
      <w:proofErr w:type="gramStart"/>
      <w:r w:rsidRPr="00A96D25">
        <w:t>that  rhymes</w:t>
      </w:r>
      <w:proofErr w:type="gramEnd"/>
      <w:r w:rsidRPr="00A96D25">
        <w:t>).</w:t>
      </w:r>
    </w:p>
    <w:p w14:paraId="001360BF" w14:textId="5808B7C3" w:rsidR="00A96D25" w:rsidRPr="00A96D25" w:rsidRDefault="00A96D25" w:rsidP="00A96D25">
      <w:r>
        <w:rPr>
          <w:noProof/>
          <w:lang w:val="en-AU" w:eastAsia="en-AU"/>
        </w:rPr>
        <w:drawing>
          <wp:anchor distT="0" distB="0" distL="0" distR="0" simplePos="0" relativeHeight="251662335" behindDoc="0" locked="0" layoutInCell="1" allowOverlap="1" wp14:anchorId="19A3CC41" wp14:editId="0AEDCFBA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3459480" cy="2486025"/>
            <wp:effectExtent l="0" t="0" r="7620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D14E8" w14:textId="47F57EA8" w:rsidR="00A96D25" w:rsidRDefault="00A96D25" w:rsidP="00A96D25">
      <w:r w:rsidRPr="00A96D25">
        <w:lastRenderedPageBreak/>
        <w:t>Recognising syllable boundaries, counting the number of syllables in words, and blending separate syllables to make words are all important introductions to phonological awareness.</w:t>
      </w:r>
    </w:p>
    <w:p w14:paraId="3383AB0F" w14:textId="793BF452" w:rsidR="00A96D25" w:rsidRPr="00A96D25" w:rsidRDefault="00A96D25" w:rsidP="00A96D25">
      <w:r w:rsidRPr="00A96D25">
        <w:t xml:space="preserve">Words can be </w:t>
      </w:r>
      <w:proofErr w:type="spellStart"/>
      <w:r w:rsidRPr="00A96D25">
        <w:t>characterised</w:t>
      </w:r>
      <w:proofErr w:type="spellEnd"/>
      <w:r w:rsidRPr="00A96D25">
        <w:t xml:space="preserve"> as monosyllabic or multisyllabic (see table</w:t>
      </w:r>
      <w:r>
        <w:t xml:space="preserve"> </w:t>
      </w:r>
      <w:r w:rsidRPr="00A96D25">
        <w:t>below).</w:t>
      </w:r>
    </w:p>
    <w:tbl>
      <w:tblPr>
        <w:tblStyle w:val="ListTable3-Accent2"/>
        <w:tblW w:w="0" w:type="auto"/>
        <w:tblLayout w:type="fixed"/>
        <w:tblLook w:val="0020" w:firstRow="1" w:lastRow="0" w:firstColumn="0" w:lastColumn="0" w:noHBand="0" w:noVBand="0"/>
      </w:tblPr>
      <w:tblGrid>
        <w:gridCol w:w="1413"/>
        <w:gridCol w:w="2041"/>
        <w:gridCol w:w="4532"/>
      </w:tblGrid>
      <w:tr w:rsidR="00A96D25" w14:paraId="5C4E519F" w14:textId="77777777" w:rsidTr="00A96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5B6F3FC9" w14:textId="77777777" w:rsidR="00A96D25" w:rsidRDefault="00A96D25" w:rsidP="002A002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Syllable</w:t>
            </w:r>
          </w:p>
        </w:tc>
        <w:tc>
          <w:tcPr>
            <w:tcW w:w="2041" w:type="dxa"/>
          </w:tcPr>
          <w:p w14:paraId="55EEDC88" w14:textId="77777777" w:rsidR="00A96D25" w:rsidRDefault="00A96D25" w:rsidP="002A002B">
            <w:pPr>
              <w:pStyle w:val="TableParagraph"/>
              <w:ind w:left="52" w:right="10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Number of Syllables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</w:tcPr>
          <w:p w14:paraId="478F376E" w14:textId="77777777" w:rsidR="00A96D25" w:rsidRDefault="00A96D25" w:rsidP="002A002B">
            <w:pPr>
              <w:pStyle w:val="TableParagraph"/>
              <w:ind w:left="471" w:right="561"/>
              <w:rPr>
                <w:sz w:val="20"/>
              </w:rPr>
            </w:pPr>
            <w:r>
              <w:rPr>
                <w:sz w:val="20"/>
              </w:rPr>
              <w:t>Examples (with syllable breaks)</w:t>
            </w:r>
          </w:p>
        </w:tc>
      </w:tr>
      <w:tr w:rsidR="00A96D25" w14:paraId="7FD0021E" w14:textId="77777777" w:rsidTr="00A96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439E38B9" w14:textId="77777777" w:rsidR="00A96D25" w:rsidRDefault="00A96D25" w:rsidP="002A002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Monosyllabic</w:t>
            </w:r>
          </w:p>
        </w:tc>
        <w:tc>
          <w:tcPr>
            <w:tcW w:w="2041" w:type="dxa"/>
          </w:tcPr>
          <w:p w14:paraId="27F2E3A1" w14:textId="77777777" w:rsidR="00A96D25" w:rsidRDefault="00A96D25" w:rsidP="002A002B">
            <w:pPr>
              <w:pStyle w:val="TableParagraph"/>
              <w:ind w:left="0"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</w:tcPr>
          <w:p w14:paraId="2C1369D6" w14:textId="6764C41A" w:rsidR="00A96D25" w:rsidRDefault="00A96D25" w:rsidP="002A002B">
            <w:pPr>
              <w:pStyle w:val="TableParagraph"/>
              <w:ind w:left="471" w:right="515"/>
              <w:rPr>
                <w:sz w:val="20"/>
              </w:rPr>
            </w:pPr>
            <w:r>
              <w:rPr>
                <w:sz w:val="20"/>
              </w:rPr>
              <w:t>jump thought cup range fifths</w:t>
            </w:r>
          </w:p>
        </w:tc>
      </w:tr>
      <w:tr w:rsidR="00A96D25" w14:paraId="7401D704" w14:textId="77777777" w:rsidTr="00A96D25">
        <w:trPr>
          <w:trHeight w:hRule="exact"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69EE2EC2" w14:textId="77777777" w:rsidR="00A96D25" w:rsidRDefault="00A96D25" w:rsidP="002A002B">
            <w:pPr>
              <w:pStyle w:val="TableParagraph"/>
              <w:spacing w:line="247" w:lineRule="auto"/>
              <w:jc w:val="left"/>
              <w:rPr>
                <w:sz w:val="20"/>
              </w:rPr>
            </w:pPr>
            <w:r>
              <w:rPr>
                <w:sz w:val="20"/>
              </w:rPr>
              <w:t>Multisyllabic: Disyllabic</w:t>
            </w:r>
          </w:p>
        </w:tc>
        <w:tc>
          <w:tcPr>
            <w:tcW w:w="2041" w:type="dxa"/>
          </w:tcPr>
          <w:p w14:paraId="7184BE09" w14:textId="77777777" w:rsidR="00A96D25" w:rsidRDefault="00A96D25" w:rsidP="002A002B">
            <w:pPr>
              <w:pStyle w:val="TableParagraph"/>
              <w:ind w:left="0" w:righ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</w:tcPr>
          <w:p w14:paraId="0C7B5F40" w14:textId="0087081A" w:rsidR="00A96D25" w:rsidRDefault="00A96D25" w:rsidP="002A002B">
            <w:pPr>
              <w:pStyle w:val="TableParagraph"/>
              <w:spacing w:line="247" w:lineRule="auto"/>
              <w:ind w:left="740" w:right="507" w:hanging="38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ki.tten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ab.sent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fo.ssil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co.met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ha.bit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sun.set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vel.vet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tid.bit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zig.zag</w:t>
            </w:r>
            <w:proofErr w:type="spellEnd"/>
          </w:p>
        </w:tc>
      </w:tr>
      <w:tr w:rsidR="00A96D25" w14:paraId="26483F17" w14:textId="77777777" w:rsidTr="00A96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05A29A36" w14:textId="77777777" w:rsidR="00A96D25" w:rsidRDefault="00A96D25" w:rsidP="002A002B">
            <w:pPr>
              <w:pStyle w:val="TableParagraph"/>
              <w:spacing w:line="247" w:lineRule="auto"/>
              <w:jc w:val="left"/>
              <w:rPr>
                <w:sz w:val="20"/>
              </w:rPr>
            </w:pPr>
            <w:r>
              <w:rPr>
                <w:sz w:val="20"/>
              </w:rPr>
              <w:t>Multisyllabic: Trisyllabic</w:t>
            </w:r>
          </w:p>
        </w:tc>
        <w:tc>
          <w:tcPr>
            <w:tcW w:w="2041" w:type="dxa"/>
          </w:tcPr>
          <w:p w14:paraId="4A02B081" w14:textId="77777777" w:rsidR="00A96D25" w:rsidRDefault="00A96D25" w:rsidP="002A002B">
            <w:pPr>
              <w:pStyle w:val="TableParagraph"/>
              <w:ind w:left="0" w:right="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</w:tcPr>
          <w:p w14:paraId="643A291E" w14:textId="77777777" w:rsidR="00A96D25" w:rsidRDefault="00A96D25" w:rsidP="002A002B">
            <w:pPr>
              <w:pStyle w:val="TableParagraph"/>
              <w:spacing w:line="247" w:lineRule="auto"/>
              <w:ind w:left="259" w:right="441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ma.gi.cal</w:t>
            </w:r>
            <w:proofErr w:type="spellEnd"/>
            <w:r>
              <w:rPr>
                <w:sz w:val="20"/>
              </w:rPr>
              <w:t xml:space="preserve"> In.di.an </w:t>
            </w:r>
            <w:proofErr w:type="spellStart"/>
            <w:r>
              <w:rPr>
                <w:sz w:val="20"/>
              </w:rPr>
              <w:t>cen.</w:t>
            </w:r>
            <w:proofErr w:type="gramStart"/>
            <w:r>
              <w:rPr>
                <w:sz w:val="20"/>
              </w:rPr>
              <w:t>tu.ry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vi.si.tor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po.pu.lar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i.ma.gine</w:t>
            </w:r>
            <w:proofErr w:type="spellEnd"/>
            <w:r>
              <w:rPr>
                <w:sz w:val="20"/>
              </w:rPr>
              <w:t xml:space="preserve"> per.son.al </w:t>
            </w:r>
            <w:proofErr w:type="spellStart"/>
            <w:r>
              <w:rPr>
                <w:sz w:val="20"/>
              </w:rPr>
              <w:t>op.po.site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ex.er.cise</w:t>
            </w:r>
            <w:proofErr w:type="spellEnd"/>
          </w:p>
        </w:tc>
      </w:tr>
      <w:tr w:rsidR="00A96D25" w14:paraId="71B4025A" w14:textId="77777777" w:rsidTr="00A96D25">
        <w:trPr>
          <w:trHeight w:hRule="exact" w:val="17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" w:type="dxa"/>
          </w:tcPr>
          <w:p w14:paraId="3CA90B01" w14:textId="77777777" w:rsidR="00A96D25" w:rsidRDefault="00A96D25" w:rsidP="002A002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Multisyllabic</w:t>
            </w:r>
          </w:p>
        </w:tc>
        <w:tc>
          <w:tcPr>
            <w:tcW w:w="2041" w:type="dxa"/>
          </w:tcPr>
          <w:p w14:paraId="3C18014D" w14:textId="77777777" w:rsidR="00A96D25" w:rsidRDefault="00A96D25" w:rsidP="002A002B">
            <w:pPr>
              <w:pStyle w:val="TableParagraph"/>
              <w:ind w:left="52"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2" w:type="dxa"/>
          </w:tcPr>
          <w:p w14:paraId="7FF6BBF0" w14:textId="7902776C" w:rsidR="00A96D25" w:rsidRDefault="00A96D25" w:rsidP="002A002B">
            <w:pPr>
              <w:pStyle w:val="TableParagraph"/>
              <w:spacing w:line="247" w:lineRule="auto"/>
              <w:ind w:left="471" w:right="607"/>
              <w:rPr>
                <w:sz w:val="20"/>
              </w:rPr>
            </w:pPr>
            <w:proofErr w:type="spellStart"/>
            <w:r>
              <w:rPr>
                <w:sz w:val="20"/>
              </w:rPr>
              <w:t>ki.lo.me.ter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in.te.res.ted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me.cha.ni.cal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ad.van.ta.ges</w:t>
            </w:r>
            <w:proofErr w:type="spellEnd"/>
            <w:r>
              <w:rPr>
                <w:sz w:val="20"/>
              </w:rPr>
              <w:t xml:space="preserve"> es.pe.cial.ly </w:t>
            </w:r>
            <w:proofErr w:type="spellStart"/>
            <w:r>
              <w:rPr>
                <w:sz w:val="20"/>
              </w:rPr>
              <w:t>im.me.di.ate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e.qua.</w:t>
            </w:r>
            <w:proofErr w:type="gramStart"/>
            <w:r>
              <w:rPr>
                <w:sz w:val="20"/>
              </w:rPr>
              <w:t>li.ty</w:t>
            </w:r>
            <w:proofErr w:type="spellEnd"/>
            <w:proofErr w:type="gramEnd"/>
            <w:r>
              <w:rPr>
                <w:sz w:val="20"/>
              </w:rPr>
              <w:t xml:space="preserve">  u.su.al.ly</w:t>
            </w:r>
          </w:p>
          <w:p w14:paraId="3794E5A4" w14:textId="77777777" w:rsidR="00A96D25" w:rsidRDefault="00A96D25" w:rsidP="002A002B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663A9D5E" w14:textId="77777777" w:rsidR="00A96D25" w:rsidRDefault="00A96D25" w:rsidP="002A002B">
            <w:pPr>
              <w:pStyle w:val="TableParagraph"/>
              <w:tabs>
                <w:tab w:val="left" w:pos="1465"/>
                <w:tab w:val="left" w:pos="1500"/>
                <w:tab w:val="left" w:pos="2639"/>
                <w:tab w:val="left" w:pos="2709"/>
              </w:tabs>
              <w:spacing w:before="0" w:line="247" w:lineRule="auto"/>
              <w:ind w:left="80" w:right="12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per.son.al.</w:t>
            </w:r>
            <w:proofErr w:type="gramStart"/>
            <w:r>
              <w:rPr>
                <w:sz w:val="20"/>
              </w:rPr>
              <w:t>i.ty</w:t>
            </w:r>
            <w:proofErr w:type="spellEnd"/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el.ec.tri.ci.ty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a.ppre.ci.a.ted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i.ma.gin.a.tion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cu.ri.o.si.ty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com.mu.ni.ca.tion</w:t>
            </w:r>
            <w:proofErr w:type="spellEnd"/>
          </w:p>
        </w:tc>
      </w:tr>
    </w:tbl>
    <w:p w14:paraId="790711EB" w14:textId="21CB236B" w:rsidR="00A96D25" w:rsidRDefault="00A96D25" w:rsidP="00A96D25">
      <w:pPr>
        <w:rPr>
          <w:i/>
        </w:rPr>
      </w:pPr>
    </w:p>
    <w:p w14:paraId="09EFFF0D" w14:textId="5CD2FC17" w:rsidR="00A96D25" w:rsidRPr="00A96D25" w:rsidRDefault="00A96D25" w:rsidP="00A96D25">
      <w:r w:rsidRPr="00A96D25">
        <w:rPr>
          <w:b/>
          <w:u w:val="single"/>
        </w:rPr>
        <w:t xml:space="preserve">Compound words </w:t>
      </w:r>
      <w:r w:rsidR="003C0214" w:rsidRPr="003C0214">
        <w:t xml:space="preserve">are words that combine two separate words to create a new </w:t>
      </w:r>
      <w:proofErr w:type="spellStart"/>
      <w:proofErr w:type="gramStart"/>
      <w:r w:rsidR="003C0214" w:rsidRPr="003C0214">
        <w:t>word,for</w:t>
      </w:r>
      <w:proofErr w:type="spellEnd"/>
      <w:proofErr w:type="gramEnd"/>
      <w:r w:rsidR="003C0214" w:rsidRPr="003C0214">
        <w:t xml:space="preserve"> example, doghouse, footpath, lifetime. Compound words can be a good starting point to introduce syllable awareness, as teachers can present two words separately and show how they </w:t>
      </w:r>
      <w:proofErr w:type="gramStart"/>
      <w:r w:rsidR="003C0214" w:rsidRPr="003C0214">
        <w:t>blend together</w:t>
      </w:r>
      <w:proofErr w:type="gramEnd"/>
      <w:r w:rsidR="003C0214" w:rsidRPr="003C0214">
        <w:t xml:space="preserve"> to make one word with two syllables.</w:t>
      </w:r>
    </w:p>
    <w:p w14:paraId="57FC8F5F" w14:textId="22927A2B" w:rsidR="00A96D25" w:rsidRPr="00A96D25" w:rsidRDefault="00A96D25" w:rsidP="00A96D25">
      <w:pPr>
        <w:ind w:left="1440" w:hanging="1440"/>
      </w:pPr>
      <w:r w:rsidRPr="00A96D25">
        <w:t xml:space="preserve">For example </w:t>
      </w:r>
      <w:r>
        <w:tab/>
      </w:r>
      <w:proofErr w:type="spellStart"/>
      <w:r w:rsidRPr="00A96D25">
        <w:t>dog+house</w:t>
      </w:r>
      <w:proofErr w:type="spellEnd"/>
      <w:r w:rsidRPr="00A96D25">
        <w:t xml:space="preserve"> g </w:t>
      </w:r>
      <w:proofErr w:type="spellStart"/>
      <w:proofErr w:type="gramStart"/>
      <w:r w:rsidRPr="00A96D25">
        <w:t>dog.house</w:t>
      </w:r>
      <w:proofErr w:type="spellEnd"/>
      <w:proofErr w:type="gramEnd"/>
      <w:r w:rsidRPr="00A96D25">
        <w:t xml:space="preserve"> (2 syllables/beats)</w:t>
      </w:r>
      <w:r w:rsidRPr="00A96D25">
        <w:tab/>
      </w:r>
      <w:r>
        <w:tab/>
      </w:r>
      <w:proofErr w:type="spellStart"/>
      <w:r w:rsidRPr="00A96D25">
        <w:t>foot+path</w:t>
      </w:r>
      <w:proofErr w:type="spellEnd"/>
      <w:r w:rsidRPr="00A96D25">
        <w:t xml:space="preserve"> g </w:t>
      </w:r>
      <w:proofErr w:type="spellStart"/>
      <w:r w:rsidRPr="00A96D25">
        <w:t>foot.path</w:t>
      </w:r>
      <w:proofErr w:type="spellEnd"/>
      <w:r w:rsidRPr="00A96D25">
        <w:t xml:space="preserve"> (2 syllables/beats) </w:t>
      </w:r>
      <w:r>
        <w:br/>
      </w:r>
      <w:proofErr w:type="spellStart"/>
      <w:r w:rsidRPr="00A96D25">
        <w:t>life+time</w:t>
      </w:r>
      <w:proofErr w:type="spellEnd"/>
      <w:r w:rsidRPr="00A96D25">
        <w:t xml:space="preserve"> g </w:t>
      </w:r>
      <w:proofErr w:type="spellStart"/>
      <w:r w:rsidRPr="00A96D25">
        <w:t>life.time</w:t>
      </w:r>
      <w:proofErr w:type="spellEnd"/>
      <w:r w:rsidRPr="00A96D25">
        <w:t xml:space="preserve"> (2 syllables/beats)</w:t>
      </w:r>
    </w:p>
    <w:p w14:paraId="0F1525FA" w14:textId="23876D43" w:rsidR="00A96D25" w:rsidRPr="00A96D25" w:rsidRDefault="00A96D25" w:rsidP="00A96D25">
      <w:r w:rsidRPr="00A96D25">
        <w:t xml:space="preserve">Activities for syllable awareness can take place </w:t>
      </w:r>
      <w:r w:rsidRPr="00A96D25">
        <w:rPr>
          <w:b/>
        </w:rPr>
        <w:t xml:space="preserve">without </w:t>
      </w:r>
      <w:r w:rsidRPr="00A96D25">
        <w:t xml:space="preserve">any written words. In the early years of primary school and beyond, phonological awareness activities can be progressively embedded </w:t>
      </w:r>
      <w:r w:rsidRPr="00A96D25">
        <w:rPr>
          <w:b/>
        </w:rPr>
        <w:t xml:space="preserve">within written language activities </w:t>
      </w:r>
      <w:r w:rsidRPr="00A96D25">
        <w:t>using the written word as well.</w:t>
      </w:r>
    </w:p>
    <w:p w14:paraId="091A88EE" w14:textId="77777777" w:rsidR="00A96D25" w:rsidRPr="00A96D25" w:rsidRDefault="00A96D25" w:rsidP="00A96D25">
      <w:pPr>
        <w:rPr>
          <w:i/>
        </w:rPr>
      </w:pPr>
    </w:p>
    <w:p w14:paraId="69DEFD6C" w14:textId="77777777" w:rsidR="00E532CA" w:rsidRPr="00E532CA" w:rsidRDefault="00E532CA" w:rsidP="00E532CA">
      <w:pPr>
        <w:rPr>
          <w:b/>
          <w:bCs/>
        </w:rPr>
      </w:pPr>
      <w:r w:rsidRPr="00E532CA">
        <w:rPr>
          <w:b/>
          <w:bCs/>
        </w:rPr>
        <w:t>References</w:t>
      </w:r>
    </w:p>
    <w:p w14:paraId="733DB440" w14:textId="77777777" w:rsidR="003C0214" w:rsidRPr="003C0214" w:rsidRDefault="003C0214" w:rsidP="003C0214">
      <w:r w:rsidRPr="003C0214">
        <w:t xml:space="preserve">Diagram above adapted from </w:t>
      </w:r>
      <w:proofErr w:type="spellStart"/>
      <w:r w:rsidRPr="003C0214">
        <w:t>Schuele</w:t>
      </w:r>
      <w:proofErr w:type="spellEnd"/>
      <w:r w:rsidRPr="003C0214">
        <w:t xml:space="preserve"> &amp; Boudreau (2008). Phonological Awareness Intervention: Beyond the Basics. </w:t>
      </w:r>
      <w:r w:rsidRPr="003C0214">
        <w:rPr>
          <w:i/>
          <w:iCs/>
        </w:rPr>
        <w:t>Language, Speech, and Hearing Services in Schools 39</w:t>
      </w:r>
      <w:r w:rsidRPr="003C0214">
        <w:t>, 3-20.</w:t>
      </w:r>
    </w:p>
    <w:p w14:paraId="54B53B72" w14:textId="77777777" w:rsidR="00E532CA" w:rsidRDefault="00E532CA" w:rsidP="00203264"/>
    <w:sectPr w:rsidR="00E532CA" w:rsidSect="00F530BD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0F45" w14:textId="77777777" w:rsidR="00C201FE" w:rsidRDefault="00C201FE" w:rsidP="008766A4">
      <w:r>
        <w:separator/>
      </w:r>
    </w:p>
  </w:endnote>
  <w:endnote w:type="continuationSeparator" w:id="0">
    <w:p w14:paraId="0516AFFD" w14:textId="77777777" w:rsidR="00C201FE" w:rsidRDefault="00C201FE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45B8" w14:textId="77777777" w:rsidR="00C201FE" w:rsidRDefault="00C201FE" w:rsidP="008766A4">
      <w:r>
        <w:separator/>
      </w:r>
    </w:p>
  </w:footnote>
  <w:footnote w:type="continuationSeparator" w:id="0">
    <w:p w14:paraId="04A22BC9" w14:textId="77777777" w:rsidR="00C201FE" w:rsidRDefault="00C201FE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C1B05"/>
    <w:multiLevelType w:val="hybridMultilevel"/>
    <w:tmpl w:val="67E2D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35EF"/>
    <w:multiLevelType w:val="hybridMultilevel"/>
    <w:tmpl w:val="A5AE8FB4"/>
    <w:lvl w:ilvl="0" w:tplc="8B78F3A0">
      <w:start w:val="1"/>
      <w:numFmt w:val="decimal"/>
      <w:lvlText w:val="%1."/>
      <w:lvlJc w:val="left"/>
      <w:pPr>
        <w:ind w:left="4407" w:hanging="204"/>
        <w:jc w:val="right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D9A89B9C">
      <w:numFmt w:val="bullet"/>
      <w:lvlText w:val="•"/>
      <w:lvlJc w:val="left"/>
      <w:pPr>
        <w:ind w:left="6123" w:hanging="204"/>
      </w:pPr>
      <w:rPr>
        <w:rFonts w:hint="default"/>
      </w:rPr>
    </w:lvl>
    <w:lvl w:ilvl="2" w:tplc="1A602468">
      <w:numFmt w:val="bullet"/>
      <w:lvlText w:val="•"/>
      <w:lvlJc w:val="left"/>
      <w:pPr>
        <w:ind w:left="7846" w:hanging="204"/>
      </w:pPr>
      <w:rPr>
        <w:rFonts w:hint="default"/>
      </w:rPr>
    </w:lvl>
    <w:lvl w:ilvl="3" w:tplc="FFA89886">
      <w:numFmt w:val="bullet"/>
      <w:lvlText w:val="•"/>
      <w:lvlJc w:val="left"/>
      <w:pPr>
        <w:ind w:left="9569" w:hanging="204"/>
      </w:pPr>
      <w:rPr>
        <w:rFonts w:hint="default"/>
      </w:rPr>
    </w:lvl>
    <w:lvl w:ilvl="4" w:tplc="CB68E364">
      <w:numFmt w:val="bullet"/>
      <w:lvlText w:val="•"/>
      <w:lvlJc w:val="left"/>
      <w:pPr>
        <w:ind w:left="11292" w:hanging="204"/>
      </w:pPr>
      <w:rPr>
        <w:rFonts w:hint="default"/>
      </w:rPr>
    </w:lvl>
    <w:lvl w:ilvl="5" w:tplc="312A6BC6">
      <w:numFmt w:val="bullet"/>
      <w:lvlText w:val="•"/>
      <w:lvlJc w:val="left"/>
      <w:pPr>
        <w:ind w:left="13015" w:hanging="204"/>
      </w:pPr>
      <w:rPr>
        <w:rFonts w:hint="default"/>
      </w:rPr>
    </w:lvl>
    <w:lvl w:ilvl="6" w:tplc="219A5F72">
      <w:numFmt w:val="bullet"/>
      <w:lvlText w:val="•"/>
      <w:lvlJc w:val="left"/>
      <w:pPr>
        <w:ind w:left="14738" w:hanging="204"/>
      </w:pPr>
      <w:rPr>
        <w:rFonts w:hint="default"/>
      </w:rPr>
    </w:lvl>
    <w:lvl w:ilvl="7" w:tplc="1464B08A">
      <w:numFmt w:val="bullet"/>
      <w:lvlText w:val="•"/>
      <w:lvlJc w:val="left"/>
      <w:pPr>
        <w:ind w:left="16461" w:hanging="204"/>
      </w:pPr>
      <w:rPr>
        <w:rFonts w:hint="default"/>
      </w:rPr>
    </w:lvl>
    <w:lvl w:ilvl="8" w:tplc="512A1C56">
      <w:numFmt w:val="bullet"/>
      <w:lvlText w:val="•"/>
      <w:lvlJc w:val="left"/>
      <w:pPr>
        <w:ind w:left="18185" w:hanging="204"/>
      </w:pPr>
      <w:rPr>
        <w:rFonts w:hint="default"/>
      </w:rPr>
    </w:lvl>
  </w:abstractNum>
  <w:num w:numId="1" w16cid:durableId="192690700">
    <w:abstractNumId w:val="10"/>
  </w:num>
  <w:num w:numId="2" w16cid:durableId="1587034733">
    <w:abstractNumId w:val="8"/>
  </w:num>
  <w:num w:numId="3" w16cid:durableId="1778326244">
    <w:abstractNumId w:val="7"/>
  </w:num>
  <w:num w:numId="4" w16cid:durableId="433941911">
    <w:abstractNumId w:val="6"/>
  </w:num>
  <w:num w:numId="5" w16cid:durableId="1082944966">
    <w:abstractNumId w:val="5"/>
  </w:num>
  <w:num w:numId="6" w16cid:durableId="2141873525">
    <w:abstractNumId w:val="9"/>
  </w:num>
  <w:num w:numId="7" w16cid:durableId="694845130">
    <w:abstractNumId w:val="4"/>
  </w:num>
  <w:num w:numId="8" w16cid:durableId="141389885">
    <w:abstractNumId w:val="3"/>
  </w:num>
  <w:num w:numId="9" w16cid:durableId="1020469771">
    <w:abstractNumId w:val="2"/>
  </w:num>
  <w:num w:numId="10" w16cid:durableId="1511145208">
    <w:abstractNumId w:val="1"/>
  </w:num>
  <w:num w:numId="11" w16cid:durableId="1765492734">
    <w:abstractNumId w:val="0"/>
  </w:num>
  <w:num w:numId="12" w16cid:durableId="1040319589">
    <w:abstractNumId w:val="12"/>
  </w:num>
  <w:num w:numId="13" w16cid:durableId="1691829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C499D"/>
    <w:rsid w:val="00124763"/>
    <w:rsid w:val="0014310A"/>
    <w:rsid w:val="00203264"/>
    <w:rsid w:val="0022212D"/>
    <w:rsid w:val="00326F48"/>
    <w:rsid w:val="003B01B0"/>
    <w:rsid w:val="003C0214"/>
    <w:rsid w:val="003E29B5"/>
    <w:rsid w:val="00401E47"/>
    <w:rsid w:val="00410DB2"/>
    <w:rsid w:val="00596923"/>
    <w:rsid w:val="00600EB1"/>
    <w:rsid w:val="006427AA"/>
    <w:rsid w:val="00751081"/>
    <w:rsid w:val="00784798"/>
    <w:rsid w:val="0081375A"/>
    <w:rsid w:val="00816ED5"/>
    <w:rsid w:val="00823B19"/>
    <w:rsid w:val="008766A4"/>
    <w:rsid w:val="00953504"/>
    <w:rsid w:val="00980015"/>
    <w:rsid w:val="009F2302"/>
    <w:rsid w:val="00A96D25"/>
    <w:rsid w:val="00B9199F"/>
    <w:rsid w:val="00C052CB"/>
    <w:rsid w:val="00C201FE"/>
    <w:rsid w:val="00C7402F"/>
    <w:rsid w:val="00D20CD4"/>
    <w:rsid w:val="00D31299"/>
    <w:rsid w:val="00E532CA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32CA"/>
    <w:pPr>
      <w:ind w:left="720"/>
      <w:contextualSpacing/>
    </w:pPr>
  </w:style>
  <w:style w:type="paragraph" w:customStyle="1" w:styleId="paragraph">
    <w:name w:val="paragraph"/>
    <w:basedOn w:val="Normal"/>
    <w:rsid w:val="0012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cxo56396448">
    <w:name w:val="scxo56396448"/>
    <w:basedOn w:val="DefaultParagraphFont"/>
    <w:rsid w:val="00124763"/>
  </w:style>
  <w:style w:type="character" w:customStyle="1" w:styleId="normaltextrun">
    <w:name w:val="normaltextrun"/>
    <w:basedOn w:val="DefaultParagraphFont"/>
    <w:rsid w:val="00124763"/>
  </w:style>
  <w:style w:type="character" w:customStyle="1" w:styleId="eop">
    <w:name w:val="eop"/>
    <w:basedOn w:val="DefaultParagraphFont"/>
    <w:rsid w:val="00124763"/>
  </w:style>
  <w:style w:type="paragraph" w:customStyle="1" w:styleId="TableParagraph">
    <w:name w:val="Table Paragraph"/>
    <w:basedOn w:val="Normal"/>
    <w:uiPriority w:val="1"/>
    <w:qFormat/>
    <w:rsid w:val="00A96D25"/>
    <w:pPr>
      <w:widowControl w:val="0"/>
      <w:autoSpaceDE w:val="0"/>
      <w:autoSpaceDN w:val="0"/>
      <w:spacing w:before="46" w:after="0" w:line="240" w:lineRule="auto"/>
      <w:ind w:left="55"/>
      <w:jc w:val="center"/>
    </w:pPr>
    <w:rPr>
      <w:rFonts w:ascii="Calibri" w:eastAsia="Calibri" w:hAnsi="Calibri" w:cs="Calibri"/>
      <w:sz w:val="22"/>
      <w:szCs w:val="22"/>
    </w:rPr>
  </w:style>
  <w:style w:type="table" w:styleId="ListTable3-Accent2">
    <w:name w:val="List Table 3 Accent 2"/>
    <w:basedOn w:val="TableNormal"/>
    <w:uiPriority w:val="48"/>
    <w:rsid w:val="00A96D2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0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21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214"/>
    <w:rPr>
      <w:rFonts w:eastAsiaTheme="minorHAnsi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3C021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7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Syllable Awareness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A66E8-BEDF-4CC9-A9D0-A0D341F95659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openxmlformats.org/package/2006/metadata/core-properties"/>
    <ds:schemaRef ds:uri="76b566cd-adb9-46c2-964b-22eba181fd0b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54EBCC1-8CA5-4C65-A23B-BF54CD7C3D4A}"/>
</file>

<file path=customXml/itemProps4.xml><?xml version="1.0" encoding="utf-8"?>
<ds:datastoreItem xmlns:ds="http://schemas.openxmlformats.org/officeDocument/2006/customXml" ds:itemID="{6B5BB8F8-28F2-4033-9CBB-E3BBC741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Syllable Awareness</dc:title>
  <dc:subject/>
  <dc:creator>Department of Education and Training Victoria</dc:creator>
  <cp:keywords/>
  <dc:description/>
  <cp:lastModifiedBy>Michelle Kiag</cp:lastModifiedBy>
  <cp:revision>3</cp:revision>
  <dcterms:created xsi:type="dcterms:W3CDTF">2017-10-08T23:37:00Z</dcterms:created>
  <dcterms:modified xsi:type="dcterms:W3CDTF">2023-01-25T03:08:00Z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