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8BB6D" w14:textId="77777777" w:rsidR="005126E9" w:rsidRDefault="005126E9" w:rsidP="00751081">
      <w:pPr>
        <w:pStyle w:val="Subtitle"/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</w:pPr>
      <w:r w:rsidRPr="005126E9">
        <w:rPr>
          <w:rStyle w:val="SubtleEmphasis"/>
          <w:b/>
          <w:i w:val="0"/>
          <w:color w:val="AF272F"/>
          <w:spacing w:val="5"/>
          <w:kern w:val="28"/>
          <w:sz w:val="44"/>
          <w:szCs w:val="52"/>
        </w:rPr>
        <w:t>Words - Regular/Irregular and High/Low Frequency</w:t>
      </w:r>
    </w:p>
    <w:p w14:paraId="3A74F846" w14:textId="77777777" w:rsidR="005126E9" w:rsidRDefault="005126E9" w:rsidP="005126E9"/>
    <w:p w14:paraId="0BD802F3" w14:textId="302B959B" w:rsidR="005126E9" w:rsidRPr="005126E9" w:rsidRDefault="005126E9" w:rsidP="005126E9">
      <w:r w:rsidRPr="005126E9">
        <w:t xml:space="preserve">Words can be </w:t>
      </w:r>
      <w:proofErr w:type="spellStart"/>
      <w:proofErr w:type="gramStart"/>
      <w:r w:rsidRPr="005126E9">
        <w:t>categorised</w:t>
      </w:r>
      <w:proofErr w:type="spellEnd"/>
      <w:proofErr w:type="gramEnd"/>
      <w:r w:rsidRPr="005126E9">
        <w:t xml:space="preserve"> as either are </w:t>
      </w:r>
      <w:r w:rsidRPr="005126E9">
        <w:rPr>
          <w:b/>
        </w:rPr>
        <w:t xml:space="preserve">regular </w:t>
      </w:r>
      <w:r w:rsidRPr="005126E9">
        <w:t xml:space="preserve">or </w:t>
      </w:r>
      <w:r w:rsidRPr="005126E9">
        <w:rPr>
          <w:b/>
        </w:rPr>
        <w:t xml:space="preserve">irregular </w:t>
      </w:r>
      <w:r w:rsidRPr="005126E9">
        <w:t xml:space="preserve">words (in terms of their spelling). Distinguishing between words that are completely (or mostly) </w:t>
      </w:r>
      <w:r w:rsidRPr="005126E9">
        <w:rPr>
          <w:b/>
        </w:rPr>
        <w:t xml:space="preserve">regular </w:t>
      </w:r>
      <w:r w:rsidRPr="005126E9">
        <w:t xml:space="preserve">or </w:t>
      </w:r>
      <w:r w:rsidRPr="005126E9">
        <w:rPr>
          <w:b/>
        </w:rPr>
        <w:t xml:space="preserve">irregular </w:t>
      </w:r>
      <w:r w:rsidRPr="005126E9">
        <w:t xml:space="preserve">can be helpful to know which words might be difficult for students to </w:t>
      </w:r>
      <w:r w:rsidRPr="005126E9">
        <w:rPr>
          <w:b/>
        </w:rPr>
        <w:t xml:space="preserve">decode </w:t>
      </w:r>
      <w:r w:rsidRPr="005126E9">
        <w:t>independently.</w:t>
      </w:r>
    </w:p>
    <w:p w14:paraId="0C4B82CE" w14:textId="233B5FE3" w:rsidR="005126E9" w:rsidRPr="005126E9" w:rsidRDefault="005126E9" w:rsidP="005126E9">
      <w:pPr>
        <w:rPr>
          <w:i/>
        </w:rPr>
      </w:pPr>
      <w:r w:rsidRPr="005126E9">
        <w:rPr>
          <w:b/>
          <w:i/>
        </w:rPr>
        <w:t xml:space="preserve">Regular words </w:t>
      </w:r>
      <w:r w:rsidRPr="005126E9">
        <w:rPr>
          <w:i/>
        </w:rPr>
        <w:t xml:space="preserve">are words that can be decoded using knowledge of phonics patterns </w:t>
      </w:r>
      <w:r>
        <w:rPr>
          <w:i/>
        </w:rPr>
        <w:t>(e.g. get, well, which, before</w:t>
      </w:r>
      <w:proofErr w:type="gramStart"/>
      <w:r>
        <w:rPr>
          <w:i/>
        </w:rPr>
        <w:t>)</w:t>
      </w:r>
      <w:proofErr w:type="gramEnd"/>
      <w:r>
        <w:rPr>
          <w:i/>
        </w:rPr>
        <w:br/>
      </w:r>
      <w:r w:rsidRPr="005126E9">
        <w:rPr>
          <w:b/>
          <w:i/>
        </w:rPr>
        <w:t xml:space="preserve">Irregular words </w:t>
      </w:r>
      <w:r w:rsidRPr="005126E9">
        <w:rPr>
          <w:i/>
        </w:rPr>
        <w:t>are words that do not conform to phonics patterns (do, said, could, yacht,</w:t>
      </w:r>
      <w:r>
        <w:rPr>
          <w:i/>
        </w:rPr>
        <w:t xml:space="preserve"> </w:t>
      </w:r>
      <w:r w:rsidRPr="005126E9">
        <w:rPr>
          <w:i/>
        </w:rPr>
        <w:t>doubt)</w:t>
      </w:r>
    </w:p>
    <w:p w14:paraId="54497CD7" w14:textId="7743618E" w:rsidR="005126E9" w:rsidRPr="005126E9" w:rsidRDefault="005126E9" w:rsidP="005126E9">
      <w:r w:rsidRPr="005126E9">
        <w:t xml:space="preserve">Words can also be </w:t>
      </w:r>
      <w:proofErr w:type="spellStart"/>
      <w:r w:rsidRPr="005126E9">
        <w:t>categorised</w:t>
      </w:r>
      <w:proofErr w:type="spellEnd"/>
      <w:r w:rsidRPr="005126E9">
        <w:t xml:space="preserve"> as either </w:t>
      </w:r>
      <w:r w:rsidRPr="005126E9">
        <w:rPr>
          <w:b/>
        </w:rPr>
        <w:t xml:space="preserve">low frequency </w:t>
      </w:r>
      <w:r w:rsidRPr="005126E9">
        <w:t xml:space="preserve">or </w:t>
      </w:r>
      <w:r w:rsidRPr="005126E9">
        <w:rPr>
          <w:b/>
        </w:rPr>
        <w:t>high frequency</w:t>
      </w:r>
      <w:r w:rsidRPr="005126E9">
        <w:t xml:space="preserve">, referring to how frequently they </w:t>
      </w:r>
      <w:proofErr w:type="gramStart"/>
      <w:r w:rsidRPr="005126E9">
        <w:t>are found</w:t>
      </w:r>
      <w:proofErr w:type="gramEnd"/>
      <w:r w:rsidRPr="005126E9">
        <w:t xml:space="preserve"> in texts for students of a particular </w:t>
      </w:r>
      <w:r w:rsidR="00665B0D">
        <w:t>learning</w:t>
      </w:r>
      <w:r w:rsidRPr="005126E9">
        <w:t xml:space="preserve"> level. Overtime, it </w:t>
      </w:r>
      <w:proofErr w:type="gramStart"/>
      <w:r w:rsidRPr="005126E9">
        <w:t>is expected</w:t>
      </w:r>
      <w:proofErr w:type="gramEnd"/>
      <w:r w:rsidRPr="005126E9">
        <w:t xml:space="preserve"> that students will become proficient and efficient at reading words they encounter the most (high frequency words).</w:t>
      </w:r>
    </w:p>
    <w:p w14:paraId="7D7BE66E" w14:textId="68F53D4F" w:rsidR="005126E9" w:rsidRPr="005126E9" w:rsidRDefault="005126E9" w:rsidP="005126E9">
      <w:pPr>
        <w:rPr>
          <w:i/>
        </w:rPr>
      </w:pPr>
      <w:r w:rsidRPr="005126E9">
        <w:rPr>
          <w:b/>
          <w:i/>
        </w:rPr>
        <w:t xml:space="preserve">High frequency words </w:t>
      </w:r>
      <w:r w:rsidRPr="005126E9">
        <w:rPr>
          <w:i/>
        </w:rPr>
        <w:t xml:space="preserve">are words that students of a particularly </w:t>
      </w:r>
      <w:r w:rsidR="00665B0D">
        <w:rPr>
          <w:i/>
        </w:rPr>
        <w:t>learning</w:t>
      </w:r>
      <w:r w:rsidRPr="005126E9">
        <w:rPr>
          <w:i/>
        </w:rPr>
        <w:t xml:space="preserve"> level encounter frequently (see </w:t>
      </w:r>
      <w:proofErr w:type="gramStart"/>
      <w:r w:rsidRPr="005126E9">
        <w:rPr>
          <w:i/>
        </w:rPr>
        <w:t>table</w:t>
      </w:r>
      <w:r>
        <w:rPr>
          <w:i/>
        </w:rPr>
        <w:t xml:space="preserve"> </w:t>
      </w:r>
      <w:r w:rsidRPr="005126E9">
        <w:rPr>
          <w:i/>
        </w:rPr>
        <w:t xml:space="preserve"> below</w:t>
      </w:r>
      <w:proofErr w:type="gramEnd"/>
      <w:r w:rsidRPr="005126E9">
        <w:rPr>
          <w:i/>
        </w:rPr>
        <w:t>)</w:t>
      </w:r>
      <w:r>
        <w:rPr>
          <w:i/>
        </w:rPr>
        <w:br/>
      </w:r>
      <w:r w:rsidRPr="005126E9">
        <w:rPr>
          <w:b/>
          <w:i/>
        </w:rPr>
        <w:t xml:space="preserve">Low frequency words </w:t>
      </w:r>
      <w:r w:rsidRPr="005126E9">
        <w:rPr>
          <w:i/>
        </w:rPr>
        <w:t xml:space="preserve">are more rare (or not usual) for a student in a particular </w:t>
      </w:r>
      <w:r w:rsidR="00665B0D">
        <w:rPr>
          <w:i/>
        </w:rPr>
        <w:t>learning</w:t>
      </w:r>
      <w:r w:rsidRPr="005126E9">
        <w:rPr>
          <w:i/>
        </w:rPr>
        <w:t xml:space="preserve"> level to come across (see table below)</w:t>
      </w:r>
    </w:p>
    <w:tbl>
      <w:tblPr>
        <w:tblW w:w="9943" w:type="dxa"/>
        <w:tblInd w:w="-8" w:type="dxa"/>
        <w:tblBorders>
          <w:top w:val="single" w:sz="6" w:space="0" w:color="C7C9CC"/>
          <w:left w:val="single" w:sz="6" w:space="0" w:color="C7C9CC"/>
          <w:bottom w:val="single" w:sz="6" w:space="0" w:color="C7C9CC"/>
          <w:right w:val="single" w:sz="6" w:space="0" w:color="C7C9CC"/>
          <w:insideH w:val="single" w:sz="6" w:space="0" w:color="C7C9CC"/>
          <w:insideV w:val="single" w:sz="6" w:space="0" w:color="C7C9C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4536"/>
        <w:gridCol w:w="4131"/>
      </w:tblGrid>
      <w:tr w:rsidR="005126E9" w:rsidRPr="005126E9" w14:paraId="0A3F5AF1" w14:textId="77777777" w:rsidTr="005126E9">
        <w:trPr>
          <w:trHeight w:hRule="exact" w:val="346"/>
        </w:trPr>
        <w:tc>
          <w:tcPr>
            <w:tcW w:w="1276" w:type="dxa"/>
          </w:tcPr>
          <w:p w14:paraId="15440EBD" w14:textId="77777777" w:rsidR="005126E9" w:rsidRPr="005126E9" w:rsidRDefault="005126E9" w:rsidP="005126E9">
            <w:pPr>
              <w:spacing w:before="60" w:after="60"/>
              <w:ind w:left="170"/>
            </w:pPr>
          </w:p>
        </w:tc>
        <w:tc>
          <w:tcPr>
            <w:tcW w:w="4536" w:type="dxa"/>
            <w:shd w:val="clear" w:color="auto" w:fill="FFC000"/>
          </w:tcPr>
          <w:p w14:paraId="6EF6170A" w14:textId="77777777" w:rsidR="005126E9" w:rsidRPr="005126E9" w:rsidRDefault="005126E9" w:rsidP="005126E9">
            <w:pPr>
              <w:spacing w:before="60" w:after="60"/>
              <w:ind w:left="170"/>
              <w:rPr>
                <w:b/>
                <w:i/>
              </w:rPr>
            </w:pPr>
            <w:r w:rsidRPr="005126E9">
              <w:rPr>
                <w:b/>
                <w:i/>
              </w:rPr>
              <w:t>Regular</w:t>
            </w:r>
          </w:p>
        </w:tc>
        <w:tc>
          <w:tcPr>
            <w:tcW w:w="4131" w:type="dxa"/>
            <w:shd w:val="clear" w:color="auto" w:fill="FF0000"/>
          </w:tcPr>
          <w:p w14:paraId="71DEC52E" w14:textId="77777777" w:rsidR="005126E9" w:rsidRPr="005126E9" w:rsidRDefault="005126E9" w:rsidP="005126E9">
            <w:pPr>
              <w:spacing w:before="60" w:after="60"/>
              <w:ind w:left="170"/>
              <w:rPr>
                <w:b/>
                <w:i/>
              </w:rPr>
            </w:pPr>
            <w:r w:rsidRPr="005126E9">
              <w:rPr>
                <w:b/>
                <w:i/>
              </w:rPr>
              <w:t>Irregular</w:t>
            </w:r>
          </w:p>
        </w:tc>
      </w:tr>
      <w:tr w:rsidR="005126E9" w:rsidRPr="005126E9" w14:paraId="299DB767" w14:textId="77777777" w:rsidTr="005126E9">
        <w:trPr>
          <w:trHeight w:hRule="exact" w:val="1093"/>
        </w:trPr>
        <w:tc>
          <w:tcPr>
            <w:tcW w:w="1276" w:type="dxa"/>
            <w:shd w:val="clear" w:color="auto" w:fill="262626" w:themeFill="text1" w:themeFillTint="D9"/>
          </w:tcPr>
          <w:p w14:paraId="105CFA12" w14:textId="225C83F7" w:rsidR="005126E9" w:rsidRPr="005126E9" w:rsidRDefault="005126E9" w:rsidP="005126E9">
            <w:pPr>
              <w:spacing w:before="60" w:after="60"/>
              <w:ind w:left="170"/>
              <w:rPr>
                <w:b/>
                <w:i/>
              </w:rPr>
            </w:pPr>
            <w:r w:rsidRPr="005126E9">
              <w:rPr>
                <w:b/>
                <w:i/>
              </w:rPr>
              <w:t>High</w:t>
            </w:r>
            <w:r>
              <w:rPr>
                <w:b/>
                <w:i/>
              </w:rPr>
              <w:t xml:space="preserve"> </w:t>
            </w:r>
            <w:r w:rsidRPr="005126E9">
              <w:rPr>
                <w:b/>
                <w:i/>
              </w:rPr>
              <w:t>Frequency</w:t>
            </w:r>
          </w:p>
        </w:tc>
        <w:tc>
          <w:tcPr>
            <w:tcW w:w="4536" w:type="dxa"/>
            <w:shd w:val="clear" w:color="auto" w:fill="FFDF79"/>
          </w:tcPr>
          <w:p w14:paraId="59F22C1A" w14:textId="77777777" w:rsidR="005126E9" w:rsidRPr="005126E9" w:rsidRDefault="005126E9" w:rsidP="005126E9">
            <w:pPr>
              <w:spacing w:before="60" w:after="60"/>
              <w:ind w:left="170"/>
            </w:pPr>
            <w:r w:rsidRPr="005126E9">
              <w:t>e.g. get well help new each my know which much going name around saw before</w:t>
            </w:r>
          </w:p>
        </w:tc>
        <w:tc>
          <w:tcPr>
            <w:tcW w:w="4131" w:type="dxa"/>
            <w:shd w:val="clear" w:color="auto" w:fill="FF9F9F"/>
          </w:tcPr>
          <w:p w14:paraId="3A92B7B0" w14:textId="77777777" w:rsidR="005126E9" w:rsidRPr="005126E9" w:rsidRDefault="005126E9" w:rsidP="005126E9">
            <w:pPr>
              <w:spacing w:before="60" w:after="60"/>
              <w:ind w:left="170"/>
            </w:pPr>
            <w:r w:rsidRPr="005126E9">
              <w:t xml:space="preserve">e.g. the do to one two eight I they all are her said have some come were little their people would should could because does other many any goes </w:t>
            </w:r>
            <w:proofErr w:type="spellStart"/>
            <w:r w:rsidRPr="005126E9">
              <w:t>favourite</w:t>
            </w:r>
            <w:proofErr w:type="spellEnd"/>
            <w:r w:rsidRPr="005126E9">
              <w:t xml:space="preserve"> Wednesday February</w:t>
            </w:r>
          </w:p>
        </w:tc>
      </w:tr>
      <w:tr w:rsidR="005126E9" w:rsidRPr="005126E9" w14:paraId="3254A516" w14:textId="77777777" w:rsidTr="005126E9">
        <w:trPr>
          <w:trHeight w:hRule="exact" w:val="595"/>
        </w:trPr>
        <w:tc>
          <w:tcPr>
            <w:tcW w:w="1276" w:type="dxa"/>
            <w:shd w:val="clear" w:color="auto" w:fill="BFBFBF" w:themeFill="background1" w:themeFillShade="BF"/>
          </w:tcPr>
          <w:p w14:paraId="22F13296" w14:textId="54EFA5B0" w:rsidR="005126E9" w:rsidRPr="005126E9" w:rsidRDefault="005126E9" w:rsidP="005126E9">
            <w:pPr>
              <w:spacing w:before="60" w:after="60"/>
              <w:ind w:left="170"/>
              <w:rPr>
                <w:b/>
                <w:i/>
              </w:rPr>
            </w:pPr>
            <w:r w:rsidRPr="005126E9">
              <w:rPr>
                <w:b/>
                <w:i/>
              </w:rPr>
              <w:t>Low</w:t>
            </w:r>
            <w:r>
              <w:rPr>
                <w:b/>
                <w:i/>
              </w:rPr>
              <w:t xml:space="preserve"> </w:t>
            </w:r>
            <w:r w:rsidRPr="005126E9">
              <w:rPr>
                <w:b/>
                <w:i/>
              </w:rPr>
              <w:t>Frequency</w:t>
            </w:r>
          </w:p>
        </w:tc>
        <w:tc>
          <w:tcPr>
            <w:tcW w:w="4536" w:type="dxa"/>
          </w:tcPr>
          <w:p w14:paraId="1A2E6815" w14:textId="77777777" w:rsidR="005126E9" w:rsidRPr="005126E9" w:rsidRDefault="005126E9" w:rsidP="005126E9">
            <w:pPr>
              <w:spacing w:before="60" w:after="60"/>
              <w:ind w:left="170"/>
            </w:pPr>
            <w:r w:rsidRPr="005126E9">
              <w:t xml:space="preserve">e.g. </w:t>
            </w:r>
            <w:proofErr w:type="spellStart"/>
            <w:r w:rsidRPr="005126E9">
              <w:t>tat</w:t>
            </w:r>
            <w:proofErr w:type="spellEnd"/>
            <w:r w:rsidRPr="005126E9">
              <w:t xml:space="preserve"> slump flinch rig cog keg kip twang broth</w:t>
            </w:r>
          </w:p>
        </w:tc>
        <w:tc>
          <w:tcPr>
            <w:tcW w:w="4131" w:type="dxa"/>
          </w:tcPr>
          <w:p w14:paraId="22449D33" w14:textId="38268210" w:rsidR="005126E9" w:rsidRDefault="005126E9" w:rsidP="005126E9">
            <w:pPr>
              <w:spacing w:before="60" w:after="60"/>
              <w:ind w:left="170"/>
            </w:pPr>
            <w:r w:rsidRPr="005126E9">
              <w:t xml:space="preserve">e.g. meringue plaid yacht doubt pigeon biscuit indict pharaoh </w:t>
            </w:r>
            <w:proofErr w:type="spellStart"/>
            <w:r w:rsidRPr="005126E9">
              <w:t>ingenue</w:t>
            </w:r>
            <w:proofErr w:type="spellEnd"/>
            <w:r w:rsidRPr="005126E9">
              <w:t xml:space="preserve"> aardvark psychic eczema</w:t>
            </w:r>
          </w:p>
          <w:p w14:paraId="385861D3" w14:textId="77777777" w:rsidR="005126E9" w:rsidRDefault="005126E9" w:rsidP="005126E9">
            <w:pPr>
              <w:spacing w:before="60" w:after="60"/>
              <w:ind w:left="170"/>
            </w:pPr>
          </w:p>
          <w:p w14:paraId="29AAF0A4" w14:textId="77777777" w:rsidR="005126E9" w:rsidRDefault="005126E9" w:rsidP="005126E9">
            <w:pPr>
              <w:spacing w:before="60" w:after="60"/>
              <w:ind w:left="170"/>
            </w:pPr>
          </w:p>
          <w:p w14:paraId="7C788F83" w14:textId="77777777" w:rsidR="005126E9" w:rsidRDefault="005126E9" w:rsidP="005126E9">
            <w:pPr>
              <w:spacing w:before="60" w:after="60"/>
              <w:ind w:left="170"/>
            </w:pPr>
          </w:p>
          <w:p w14:paraId="015B9AF7" w14:textId="1DDE83F2" w:rsidR="005126E9" w:rsidRPr="005126E9" w:rsidRDefault="005126E9" w:rsidP="005126E9">
            <w:pPr>
              <w:spacing w:before="60" w:after="60"/>
              <w:ind w:left="170"/>
            </w:pPr>
          </w:p>
        </w:tc>
      </w:tr>
    </w:tbl>
    <w:p w14:paraId="71A3D400" w14:textId="2751CCDE" w:rsidR="005126E9" w:rsidRPr="005126E9" w:rsidRDefault="005126E9" w:rsidP="005126E9">
      <w:pPr>
        <w:rPr>
          <w:i/>
        </w:rPr>
      </w:pPr>
    </w:p>
    <w:p w14:paraId="33526EE7" w14:textId="11D73DD0" w:rsidR="005126E9" w:rsidRPr="005126E9" w:rsidRDefault="005126E9" w:rsidP="005126E9">
      <w:r w:rsidRPr="005126E9">
        <w:t xml:space="preserve">It can be useful to use lists of high frequency words (e.g. Oxford Word List, Magic Words). However, when you identify the </w:t>
      </w:r>
      <w:r w:rsidRPr="005126E9">
        <w:rPr>
          <w:b/>
        </w:rPr>
        <w:t xml:space="preserve">graphemes </w:t>
      </w:r>
      <w:r w:rsidRPr="005126E9">
        <w:t xml:space="preserve">within these words it is clear that </w:t>
      </w:r>
      <w:r w:rsidRPr="005126E9">
        <w:rPr>
          <w:u w:val="single"/>
        </w:rPr>
        <w:t xml:space="preserve">many </w:t>
      </w:r>
      <w:bookmarkStart w:id="0" w:name="_GoBack"/>
      <w:bookmarkEnd w:id="0"/>
      <w:r w:rsidRPr="005126E9">
        <w:rPr>
          <w:u w:val="single"/>
        </w:rPr>
        <w:t>high frequency words are also regular</w:t>
      </w:r>
      <w:r>
        <w:rPr>
          <w:u w:val="single"/>
        </w:rPr>
        <w:t xml:space="preserve"> </w:t>
      </w:r>
      <w:r w:rsidRPr="005126E9">
        <w:rPr>
          <w:u w:val="single"/>
        </w:rPr>
        <w:t xml:space="preserve">words. </w:t>
      </w:r>
    </w:p>
    <w:p w14:paraId="3C040B0F" w14:textId="6BF1E45A" w:rsidR="005126E9" w:rsidRPr="005126E9" w:rsidRDefault="005126E9" w:rsidP="005126E9">
      <w:pPr>
        <w:pStyle w:val="ListParagraph"/>
        <w:numPr>
          <w:ilvl w:val="0"/>
          <w:numId w:val="13"/>
        </w:numPr>
      </w:pPr>
      <w:r w:rsidRPr="005126E9">
        <w:rPr>
          <w:b/>
        </w:rPr>
        <w:t xml:space="preserve">Regular high frequency </w:t>
      </w:r>
      <w:r w:rsidRPr="005126E9">
        <w:t xml:space="preserve">words: Using a knowledge of graphemes (rather than just </w:t>
      </w:r>
      <w:proofErr w:type="spellStart"/>
      <w:r w:rsidRPr="005126E9">
        <w:t>memorisation</w:t>
      </w:r>
      <w:proofErr w:type="spellEnd"/>
      <w:r w:rsidRPr="005126E9">
        <w:t>) can be a more constructive way to become familiar with important words and graphemes</w:t>
      </w:r>
      <w:r>
        <w:t xml:space="preserve"> </w:t>
      </w:r>
      <w:r w:rsidRPr="005126E9">
        <w:t>simultaneously.</w:t>
      </w:r>
    </w:p>
    <w:p w14:paraId="7E4D9846" w14:textId="5214F4B8" w:rsidR="005126E9" w:rsidRPr="005126E9" w:rsidRDefault="005126E9" w:rsidP="005126E9">
      <w:pPr>
        <w:pStyle w:val="ListParagraph"/>
        <w:numPr>
          <w:ilvl w:val="0"/>
          <w:numId w:val="13"/>
        </w:numPr>
      </w:pPr>
      <w:r w:rsidRPr="005126E9">
        <w:rPr>
          <w:b/>
        </w:rPr>
        <w:t xml:space="preserve">Regular low frequency </w:t>
      </w:r>
      <w:r w:rsidRPr="005126E9">
        <w:t xml:space="preserve">words </w:t>
      </w:r>
      <w:proofErr w:type="gramStart"/>
      <w:r w:rsidRPr="005126E9">
        <w:t>can be read</w:t>
      </w:r>
      <w:proofErr w:type="gramEnd"/>
      <w:r w:rsidRPr="005126E9">
        <w:t xml:space="preserve"> using knowledge of graphemes. These words are not as useful for reading or personal writing. However, these are perfect words for assessing the decoding abilities of</w:t>
      </w:r>
      <w:r>
        <w:t xml:space="preserve"> </w:t>
      </w:r>
      <w:r w:rsidRPr="005126E9">
        <w:t>students.</w:t>
      </w:r>
    </w:p>
    <w:p w14:paraId="01D7B9FC" w14:textId="6F227EFE" w:rsidR="005126E9" w:rsidRPr="005126E9" w:rsidRDefault="005126E9" w:rsidP="005126E9">
      <w:pPr>
        <w:pStyle w:val="ListParagraph"/>
        <w:numPr>
          <w:ilvl w:val="0"/>
          <w:numId w:val="13"/>
        </w:numPr>
      </w:pPr>
      <w:r w:rsidRPr="005126E9">
        <w:rPr>
          <w:b/>
        </w:rPr>
        <w:t xml:space="preserve">Irregular high frequency </w:t>
      </w:r>
      <w:r w:rsidRPr="005126E9">
        <w:t xml:space="preserve">words, on the other hand, </w:t>
      </w:r>
      <w:r w:rsidRPr="005126E9">
        <w:rPr>
          <w:u w:val="single"/>
        </w:rPr>
        <w:t xml:space="preserve">have to </w:t>
      </w:r>
      <w:proofErr w:type="spellStart"/>
      <w:proofErr w:type="gramStart"/>
      <w:r w:rsidRPr="005126E9">
        <w:rPr>
          <w:u w:val="single"/>
        </w:rPr>
        <w:t>recognised</w:t>
      </w:r>
      <w:proofErr w:type="spellEnd"/>
      <w:proofErr w:type="gramEnd"/>
      <w:r w:rsidRPr="005126E9">
        <w:rPr>
          <w:u w:val="single"/>
        </w:rPr>
        <w:t xml:space="preserve"> by</w:t>
      </w:r>
      <w:r>
        <w:rPr>
          <w:u w:val="single"/>
        </w:rPr>
        <w:t xml:space="preserve"> </w:t>
      </w:r>
      <w:r w:rsidRPr="005126E9">
        <w:rPr>
          <w:u w:val="single"/>
        </w:rPr>
        <w:t>sight</w:t>
      </w:r>
      <w:r w:rsidRPr="005126E9">
        <w:t>.</w:t>
      </w:r>
    </w:p>
    <w:p w14:paraId="307103E5" w14:textId="77777777" w:rsidR="005126E9" w:rsidRDefault="005126E9" w:rsidP="005126E9">
      <w:r w:rsidRPr="005126E9">
        <w:t xml:space="preserve">The following tricks may be useful to help students remember the spelling of irregular words: </w:t>
      </w:r>
    </w:p>
    <w:p w14:paraId="4C06A906" w14:textId="56E5295F" w:rsidR="005126E9" w:rsidRPr="005126E9" w:rsidRDefault="005126E9" w:rsidP="005126E9">
      <w:r w:rsidRPr="005126E9">
        <w:t>MNEMONICS</w:t>
      </w:r>
    </w:p>
    <w:p w14:paraId="2F8B96F6" w14:textId="4CBF3123" w:rsidR="005126E9" w:rsidRPr="005126E9" w:rsidRDefault="005126E9" w:rsidP="005126E9">
      <w:pPr>
        <w:pStyle w:val="ListParagraph"/>
        <w:numPr>
          <w:ilvl w:val="0"/>
          <w:numId w:val="14"/>
        </w:numPr>
      </w:pPr>
      <w:r w:rsidRPr="005126E9">
        <w:t>because = Big Elephants Can Act Under Small</w:t>
      </w:r>
      <w:r>
        <w:t xml:space="preserve"> </w:t>
      </w:r>
      <w:r w:rsidRPr="005126E9">
        <w:t>Elephants</w:t>
      </w:r>
    </w:p>
    <w:p w14:paraId="192B37E8" w14:textId="77777777" w:rsidR="005126E9" w:rsidRPr="005126E9" w:rsidRDefault="005126E9" w:rsidP="005126E9">
      <w:r w:rsidRPr="005126E9">
        <w:t>SAYING FOR SPELLING</w:t>
      </w:r>
    </w:p>
    <w:p w14:paraId="2A0C7F46" w14:textId="77777777" w:rsidR="005126E9" w:rsidRPr="005126E9" w:rsidRDefault="005126E9" w:rsidP="005126E9">
      <w:pPr>
        <w:pStyle w:val="ListParagraph"/>
        <w:numPr>
          <w:ilvl w:val="0"/>
          <w:numId w:val="14"/>
        </w:numPr>
      </w:pPr>
      <w:r w:rsidRPr="005126E9">
        <w:t>Wednesday = "wed" "</w:t>
      </w:r>
      <w:proofErr w:type="spellStart"/>
      <w:r w:rsidRPr="005126E9">
        <w:t>nez</w:t>
      </w:r>
      <w:proofErr w:type="spellEnd"/>
      <w:r w:rsidRPr="005126E9">
        <w:t>" "day"</w:t>
      </w:r>
    </w:p>
    <w:p w14:paraId="6300F4EF" w14:textId="77777777" w:rsidR="005126E9" w:rsidRPr="005126E9" w:rsidRDefault="005126E9" w:rsidP="005126E9">
      <w:r w:rsidRPr="005126E9">
        <w:t>OTHER MEMORY PHRASES (using letter names)</w:t>
      </w:r>
    </w:p>
    <w:p w14:paraId="36C15B41" w14:textId="77777777" w:rsidR="005126E9" w:rsidRPr="005126E9" w:rsidRDefault="005126E9" w:rsidP="005126E9">
      <w:pPr>
        <w:pStyle w:val="ListParagraph"/>
        <w:numPr>
          <w:ilvl w:val="0"/>
          <w:numId w:val="14"/>
        </w:numPr>
      </w:pPr>
      <w:r w:rsidRPr="005126E9">
        <w:t xml:space="preserve">beautiful = B E A </w:t>
      </w:r>
      <w:proofErr w:type="spellStart"/>
      <w:r w:rsidRPr="005126E9">
        <w:t>Utiful</w:t>
      </w:r>
      <w:proofErr w:type="spellEnd"/>
    </w:p>
    <w:p w14:paraId="2862F764" w14:textId="536095D8" w:rsidR="00980015" w:rsidRDefault="005126E9" w:rsidP="00751081">
      <w:r w:rsidRPr="005126E9">
        <w:rPr>
          <w:b/>
        </w:rPr>
        <w:t xml:space="preserve">Irregular low frequency </w:t>
      </w:r>
      <w:r w:rsidRPr="005126E9">
        <w:t xml:space="preserve">words (like meringue plaid yacht) </w:t>
      </w:r>
      <w:proofErr w:type="gramStart"/>
      <w:r w:rsidRPr="005126E9">
        <w:t>can be learnt</w:t>
      </w:r>
      <w:proofErr w:type="gramEnd"/>
      <w:r w:rsidRPr="005126E9">
        <w:t xml:space="preserve"> in the context of everyday reading, spelling, and writing, when students need to use such words for a specific</w:t>
      </w:r>
      <w:r>
        <w:t xml:space="preserve"> </w:t>
      </w:r>
      <w:r w:rsidRPr="005126E9">
        <w:t>purpose.</w:t>
      </w:r>
    </w:p>
    <w:sectPr w:rsidR="00980015" w:rsidSect="00F530BD">
      <w:headerReference w:type="default" r:id="rId11"/>
      <w:footerReference w:type="default" r:id="rId12"/>
      <w:pgSz w:w="11900" w:h="16840"/>
      <w:pgMar w:top="3175" w:right="737" w:bottom="1304" w:left="1304" w:header="624" w:footer="1134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CBC02" w14:textId="77777777" w:rsidR="00967575" w:rsidRDefault="00967575" w:rsidP="008766A4">
      <w:r>
        <w:separator/>
      </w:r>
    </w:p>
  </w:endnote>
  <w:endnote w:type="continuationSeparator" w:id="0">
    <w:p w14:paraId="56F51351" w14:textId="77777777" w:rsidR="00967575" w:rsidRDefault="00967575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B0500000000000000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3871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D5B6DC1" wp14:editId="453F5160">
          <wp:simplePos x="0" y="0"/>
          <wp:positionH relativeFrom="page">
            <wp:posOffset>6512</wp:posOffset>
          </wp:positionH>
          <wp:positionV relativeFrom="page">
            <wp:posOffset>9973310</wp:posOffset>
          </wp:positionV>
          <wp:extent cx="7527279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Foot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7279" cy="722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E29B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C2A6F" w14:textId="77777777" w:rsidR="00967575" w:rsidRDefault="00967575" w:rsidP="008766A4">
      <w:r>
        <w:separator/>
      </w:r>
    </w:p>
  </w:footnote>
  <w:footnote w:type="continuationSeparator" w:id="0">
    <w:p w14:paraId="2CC07E34" w14:textId="77777777" w:rsidR="00967575" w:rsidRDefault="00967575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86305E" w14:textId="77777777" w:rsidR="003E29B5" w:rsidRPr="003E29B5" w:rsidRDefault="003E29B5" w:rsidP="008766A4">
    <w:r w:rsidRPr="003E29B5"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603F0E5" wp14:editId="703D5E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2017776"/>
          <wp:effectExtent l="0" t="0" r="762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ation State Header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201777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7344C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3FC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A823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C89ED1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2B0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9AAB2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C58E0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9F8FC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436DD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F129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200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6923ED1"/>
    <w:multiLevelType w:val="hybridMultilevel"/>
    <w:tmpl w:val="0CDA4B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F3682"/>
    <w:multiLevelType w:val="hybridMultilevel"/>
    <w:tmpl w:val="C6A07132"/>
    <w:lvl w:ilvl="0" w:tplc="07362310">
      <w:start w:val="1"/>
      <w:numFmt w:val="decimal"/>
      <w:lvlText w:val="%1."/>
      <w:lvlJc w:val="left"/>
      <w:pPr>
        <w:ind w:left="1321" w:hanging="334"/>
        <w:jc w:val="left"/>
      </w:pPr>
      <w:rPr>
        <w:rFonts w:hint="default"/>
        <w:w w:val="101"/>
      </w:rPr>
    </w:lvl>
    <w:lvl w:ilvl="1" w:tplc="8ADCC59C">
      <w:numFmt w:val="bullet"/>
      <w:lvlText w:val="○"/>
      <w:lvlJc w:val="left"/>
      <w:pPr>
        <w:ind w:left="1819" w:hanging="292"/>
      </w:pPr>
      <w:rPr>
        <w:rFonts w:ascii="Calibri" w:eastAsia="Calibri" w:hAnsi="Calibri" w:cs="Calibri" w:hint="default"/>
        <w:w w:val="101"/>
        <w:sz w:val="20"/>
        <w:szCs w:val="20"/>
      </w:rPr>
    </w:lvl>
    <w:lvl w:ilvl="2" w:tplc="9A16EDBE">
      <w:numFmt w:val="bullet"/>
      <w:lvlText w:val="•"/>
      <w:lvlJc w:val="left"/>
      <w:pPr>
        <w:ind w:left="2848" w:hanging="292"/>
      </w:pPr>
      <w:rPr>
        <w:rFonts w:hint="default"/>
      </w:rPr>
    </w:lvl>
    <w:lvl w:ilvl="3" w:tplc="2716C08A">
      <w:numFmt w:val="bullet"/>
      <w:lvlText w:val="•"/>
      <w:lvlJc w:val="left"/>
      <w:pPr>
        <w:ind w:left="3877" w:hanging="292"/>
      </w:pPr>
      <w:rPr>
        <w:rFonts w:hint="default"/>
      </w:rPr>
    </w:lvl>
    <w:lvl w:ilvl="4" w:tplc="1D3C0110">
      <w:numFmt w:val="bullet"/>
      <w:lvlText w:val="•"/>
      <w:lvlJc w:val="left"/>
      <w:pPr>
        <w:ind w:left="4906" w:hanging="292"/>
      </w:pPr>
      <w:rPr>
        <w:rFonts w:hint="default"/>
      </w:rPr>
    </w:lvl>
    <w:lvl w:ilvl="5" w:tplc="1E6EA826">
      <w:numFmt w:val="bullet"/>
      <w:lvlText w:val="•"/>
      <w:lvlJc w:val="left"/>
      <w:pPr>
        <w:ind w:left="5935" w:hanging="292"/>
      </w:pPr>
      <w:rPr>
        <w:rFonts w:hint="default"/>
      </w:rPr>
    </w:lvl>
    <w:lvl w:ilvl="6" w:tplc="5B08BEDA">
      <w:numFmt w:val="bullet"/>
      <w:lvlText w:val="•"/>
      <w:lvlJc w:val="left"/>
      <w:pPr>
        <w:ind w:left="6964" w:hanging="292"/>
      </w:pPr>
      <w:rPr>
        <w:rFonts w:hint="default"/>
      </w:rPr>
    </w:lvl>
    <w:lvl w:ilvl="7" w:tplc="62B633D6">
      <w:numFmt w:val="bullet"/>
      <w:lvlText w:val="•"/>
      <w:lvlJc w:val="left"/>
      <w:pPr>
        <w:ind w:left="7993" w:hanging="292"/>
      </w:pPr>
      <w:rPr>
        <w:rFonts w:hint="default"/>
      </w:rPr>
    </w:lvl>
    <w:lvl w:ilvl="8" w:tplc="ED6A957A">
      <w:numFmt w:val="bullet"/>
      <w:lvlText w:val="•"/>
      <w:lvlJc w:val="left"/>
      <w:pPr>
        <w:ind w:left="9022" w:hanging="292"/>
      </w:pPr>
      <w:rPr>
        <w:rFonts w:hint="default"/>
      </w:rPr>
    </w:lvl>
  </w:abstractNum>
  <w:abstractNum w:abstractNumId="13" w15:restartNumberingAfterBreak="0">
    <w:nsid w:val="5CFC6D51"/>
    <w:multiLevelType w:val="hybridMultilevel"/>
    <w:tmpl w:val="DDF49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48"/>
    <w:rsid w:val="000C499D"/>
    <w:rsid w:val="0014310A"/>
    <w:rsid w:val="0022212D"/>
    <w:rsid w:val="00326F48"/>
    <w:rsid w:val="003B01B0"/>
    <w:rsid w:val="003E29B5"/>
    <w:rsid w:val="005126E9"/>
    <w:rsid w:val="00596923"/>
    <w:rsid w:val="00600EB1"/>
    <w:rsid w:val="00665B0D"/>
    <w:rsid w:val="00751081"/>
    <w:rsid w:val="00784798"/>
    <w:rsid w:val="00816ED5"/>
    <w:rsid w:val="00823B19"/>
    <w:rsid w:val="008766A4"/>
    <w:rsid w:val="00967575"/>
    <w:rsid w:val="00980015"/>
    <w:rsid w:val="009F2302"/>
    <w:rsid w:val="00C052CB"/>
    <w:rsid w:val="00C7402F"/>
    <w:rsid w:val="00D31299"/>
    <w:rsid w:val="00F5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99FCCD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6A4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302"/>
    <w:pPr>
      <w:keepNext/>
      <w:keepLines/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51081"/>
    <w:pPr>
      <w:pBdr>
        <w:top w:val="single" w:sz="8" w:space="3" w:color="AF272F"/>
      </w:pBdr>
      <w:spacing w:before="300"/>
      <w:outlineLvl w:val="1"/>
    </w:pPr>
    <w:rPr>
      <w:bCs w:val="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B1"/>
    <w:pPr>
      <w:spacing w:before="240"/>
      <w:outlineLvl w:val="2"/>
    </w:pPr>
    <w:rPr>
      <w:b/>
      <w:color w:val="000000" w:themeColor="tex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E29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unhideWhenUsed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F48"/>
  </w:style>
  <w:style w:type="paragraph" w:styleId="BalloonText">
    <w:name w:val="Balloon Text"/>
    <w:basedOn w:val="Normal"/>
    <w:link w:val="BalloonTextChar"/>
    <w:uiPriority w:val="99"/>
    <w:semiHidden/>
    <w:unhideWhenUsed/>
    <w:rsid w:val="00326F48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F48"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rsid w:val="00980015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F230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qFormat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F230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rsid w:val="00D31299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unhideWhenUsed/>
    <w:qFormat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80015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51081"/>
    <w:rPr>
      <w:rFonts w:ascii="Arial" w:eastAsiaTheme="majorEastAsia" w:hAnsi="Arial" w:cstheme="majorBidi"/>
      <w:b/>
      <w:caps/>
      <w:color w:val="AF272F"/>
      <w:sz w:val="20"/>
      <w:szCs w:val="20"/>
    </w:rPr>
  </w:style>
  <w:style w:type="character" w:styleId="Strong">
    <w:name w:val="Strong"/>
    <w:basedOn w:val="DefaultParagraphFont"/>
    <w:uiPriority w:val="22"/>
    <w:qFormat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98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00EB1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uiPriority w:val="99"/>
    <w:unhideWhenUs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12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1EDC52-7A5F-4BE4-BD70-55ED5CA4B628}"/>
</file>

<file path=customXml/itemProps2.xml><?xml version="1.0" encoding="utf-8"?>
<ds:datastoreItem xmlns:ds="http://schemas.openxmlformats.org/officeDocument/2006/customXml" ds:itemID="{A11081E9-3CD3-4F5B-803C-61E34248A148}"/>
</file>

<file path=customXml/itemProps3.xml><?xml version="1.0" encoding="utf-8"?>
<ds:datastoreItem xmlns:ds="http://schemas.openxmlformats.org/officeDocument/2006/customXml" ds:itemID="{42BA66E8-BEDF-4CC9-A9D0-A0D341F95659}"/>
</file>

<file path=customXml/itemProps4.xml><?xml version="1.0" encoding="utf-8"?>
<ds:datastoreItem xmlns:ds="http://schemas.openxmlformats.org/officeDocument/2006/customXml" ds:itemID="{99C9EA59-39DB-4B96-88D7-187FAD92CE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Education and Training Victoria</dc:creator>
  <cp:keywords/>
  <dc:description/>
  <cp:lastModifiedBy>Ramsay, Nicola M</cp:lastModifiedBy>
  <cp:revision>2</cp:revision>
  <dcterms:created xsi:type="dcterms:W3CDTF">2017-10-08T05:36:00Z</dcterms:created>
  <dcterms:modified xsi:type="dcterms:W3CDTF">2017-10-10T02:36:00Z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