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75" w:rsidRPr="006D4475" w:rsidRDefault="006D4475">
      <w:pPr>
        <w:rPr>
          <w:rFonts w:ascii="Arial" w:hAnsi="Arial" w:cs="Arial"/>
          <w:sz w:val="20"/>
          <w:szCs w:val="20"/>
        </w:rPr>
      </w:pPr>
    </w:p>
    <w:p w:rsidR="006D4475" w:rsidRPr="006D4475" w:rsidRDefault="006D4475" w:rsidP="006D4475">
      <w:pPr>
        <w:rPr>
          <w:rFonts w:ascii="Arial" w:hAnsi="Arial" w:cs="Arial"/>
          <w:sz w:val="20"/>
          <w:szCs w:val="20"/>
        </w:rPr>
      </w:pPr>
      <w:bookmarkStart w:id="0" w:name="_Hlk509574815"/>
      <w:r w:rsidRPr="006D4475">
        <w:rPr>
          <w:rFonts w:ascii="Arial" w:hAnsi="Arial" w:cs="Arial"/>
          <w:sz w:val="20"/>
          <w:szCs w:val="20"/>
        </w:rPr>
        <w:t xml:space="preserve">This document supports the Literacy Focus for Writing, </w:t>
      </w:r>
      <w:r w:rsidRPr="006D4475">
        <w:rPr>
          <w:rFonts w:ascii="Arial" w:hAnsi="Arial" w:cs="Arial"/>
          <w:i/>
          <w:sz w:val="20"/>
          <w:szCs w:val="20"/>
        </w:rPr>
        <w:t>Teaching grammar in context</w:t>
      </w:r>
      <w:r>
        <w:rPr>
          <w:rFonts w:ascii="Arial" w:hAnsi="Arial" w:cs="Arial"/>
          <w:sz w:val="20"/>
          <w:szCs w:val="20"/>
        </w:rPr>
        <w:t xml:space="preserve"> section located in the Literacy Teaching Toolkit (Department of Education and Training, Victoria).</w:t>
      </w:r>
      <w:bookmarkEnd w:id="0"/>
    </w:p>
    <w:p w:rsidR="00EE14BA" w:rsidRDefault="001C6CFF">
      <w:pPr>
        <w:rPr>
          <w:rFonts w:ascii="Arial" w:hAnsi="Arial" w:cs="Arial"/>
        </w:rPr>
      </w:pPr>
      <w:r w:rsidRPr="00A41DBB">
        <w:rPr>
          <w:rFonts w:ascii="Arial" w:hAnsi="Arial" w:cs="Arial"/>
        </w:rPr>
        <w:t xml:space="preserve">A summary of major </w:t>
      </w:r>
      <w:r w:rsidR="00E7358B" w:rsidRPr="00A41DBB">
        <w:rPr>
          <w:rFonts w:ascii="Arial" w:hAnsi="Arial" w:cs="Arial"/>
        </w:rPr>
        <w:t xml:space="preserve">linguistic </w:t>
      </w:r>
      <w:r w:rsidRPr="00A41DBB">
        <w:rPr>
          <w:rFonts w:ascii="Arial" w:hAnsi="Arial" w:cs="Arial"/>
        </w:rPr>
        <w:t>c</w:t>
      </w:r>
      <w:r w:rsidR="00567023" w:rsidRPr="00A41DBB">
        <w:rPr>
          <w:rFonts w:ascii="Arial" w:hAnsi="Arial" w:cs="Arial"/>
        </w:rPr>
        <w:t>hanges in control of written language</w:t>
      </w:r>
      <w:r w:rsidR="00F03676" w:rsidRPr="00A41DBB">
        <w:rPr>
          <w:rFonts w:ascii="Arial" w:hAnsi="Arial" w:cs="Arial"/>
        </w:rPr>
        <w:t xml:space="preserve">: Early </w:t>
      </w:r>
      <w:r w:rsidR="005D2EE7" w:rsidRPr="00A41DBB">
        <w:rPr>
          <w:rFonts w:ascii="Arial" w:hAnsi="Arial" w:cs="Arial"/>
        </w:rPr>
        <w:t xml:space="preserve">childhood </w:t>
      </w:r>
      <w:r w:rsidR="00A41DBB">
        <w:rPr>
          <w:rFonts w:ascii="Arial" w:hAnsi="Arial" w:cs="Arial"/>
        </w:rPr>
        <w:t xml:space="preserve">(6 – 8 years) </w:t>
      </w:r>
      <w:r w:rsidR="005D2EE7" w:rsidRPr="00A41DBB">
        <w:rPr>
          <w:rFonts w:ascii="Arial" w:hAnsi="Arial" w:cs="Arial"/>
        </w:rPr>
        <w:t xml:space="preserve">to late childhood – early adolescence </w:t>
      </w:r>
      <w:r w:rsidR="00A41DBB">
        <w:rPr>
          <w:rFonts w:ascii="Arial" w:hAnsi="Arial" w:cs="Arial"/>
        </w:rPr>
        <w:t xml:space="preserve">(9 – 12 years) </w:t>
      </w:r>
      <w:r w:rsidR="005D2EE7" w:rsidRPr="00A41DBB">
        <w:rPr>
          <w:rFonts w:ascii="Arial" w:hAnsi="Arial" w:cs="Arial"/>
        </w:rPr>
        <w:t>to mid-adolescence (13 -15 years)</w:t>
      </w:r>
      <w:r w:rsidRPr="00A41DBB">
        <w:rPr>
          <w:rFonts w:ascii="Arial" w:hAnsi="Arial" w:cs="Arial"/>
        </w:rPr>
        <w:t xml:space="preserve"> (adapted from Christie &amp; Derewianka, 2008</w:t>
      </w:r>
      <w:r w:rsidR="00271192" w:rsidRPr="00A41DBB">
        <w:rPr>
          <w:rFonts w:ascii="Arial" w:hAnsi="Arial" w:cs="Arial"/>
        </w:rPr>
        <w:t>, pp. 209 -226</w:t>
      </w:r>
      <w:r w:rsidRPr="00A41DBB">
        <w:rPr>
          <w:rFonts w:ascii="Arial" w:hAnsi="Arial" w:cs="Arial"/>
        </w:rPr>
        <w:t>)</w:t>
      </w:r>
      <w:r w:rsidR="009C3C9C" w:rsidRPr="00A41DBB">
        <w:rPr>
          <w:rFonts w:ascii="Arial" w:hAnsi="Arial" w:cs="Arial"/>
        </w:rPr>
        <w:t xml:space="preserve">.  </w:t>
      </w:r>
    </w:p>
    <w:p w:rsidR="009C3C9C" w:rsidRDefault="009C3C9C">
      <w:pPr>
        <w:rPr>
          <w:rFonts w:ascii="Arial" w:hAnsi="Arial" w:cs="Arial"/>
        </w:rPr>
      </w:pPr>
      <w:r w:rsidRPr="00A41DBB">
        <w:rPr>
          <w:rFonts w:ascii="Arial" w:hAnsi="Arial" w:cs="Arial"/>
        </w:rPr>
        <w:t>Within the primary school, the first two age ranges would be most evident. The third is provided to illustrate the scope beyond typical primary years writing</w:t>
      </w:r>
      <w:r w:rsidR="007B6D89" w:rsidRPr="00A41DBB">
        <w:rPr>
          <w:rFonts w:ascii="Arial" w:hAnsi="Arial" w:cs="Arial"/>
        </w:rPr>
        <w:t xml:space="preserve"> but which might be evident in texts of more competent writers</w:t>
      </w:r>
      <w:r w:rsidRPr="00A41DBB">
        <w:rPr>
          <w:rFonts w:ascii="Arial" w:hAnsi="Arial" w:cs="Arial"/>
        </w:rPr>
        <w:t>.</w:t>
      </w:r>
      <w:r w:rsidR="00AC5D3E" w:rsidRPr="00A41DBB">
        <w:rPr>
          <w:rFonts w:ascii="Arial" w:hAnsi="Arial" w:cs="Arial"/>
        </w:rPr>
        <w:t xml:space="preserve"> </w:t>
      </w:r>
    </w:p>
    <w:p w:rsidR="00FB14F1" w:rsidRPr="00FB14F1" w:rsidRDefault="00FB14F1" w:rsidP="008E3CED">
      <w:pPr>
        <w:spacing w:before="360"/>
        <w:jc w:val="center"/>
        <w:rPr>
          <w:rFonts w:ascii="Arial" w:hAnsi="Arial" w:cs="Arial"/>
          <w:b/>
        </w:rPr>
      </w:pPr>
      <w:r w:rsidRPr="00A41DBB">
        <w:rPr>
          <w:rFonts w:ascii="Arial" w:hAnsi="Arial" w:cs="Arial"/>
          <w:b/>
        </w:rPr>
        <w:t>Expressing and developing ideas</w:t>
      </w:r>
    </w:p>
    <w:tbl>
      <w:tblPr>
        <w:tblStyle w:val="TableGrid"/>
        <w:tblW w:w="0" w:type="auto"/>
        <w:tblLook w:val="04A0" w:firstRow="1" w:lastRow="0" w:firstColumn="1" w:lastColumn="0" w:noHBand="0" w:noVBand="1"/>
        <w:tblCaption w:val="Summary of major linguistic changes in control of written language"/>
        <w:tblDescription w:val="Table providing a summary of major linguistic changes in control of written language"/>
      </w:tblPr>
      <w:tblGrid>
        <w:gridCol w:w="4649"/>
        <w:gridCol w:w="4649"/>
        <w:gridCol w:w="4650"/>
      </w:tblGrid>
      <w:tr w:rsidR="005D2EE7" w:rsidRPr="00A41DBB" w:rsidTr="008E3CED">
        <w:trPr>
          <w:cantSplit/>
          <w:tblHeader/>
        </w:trPr>
        <w:tc>
          <w:tcPr>
            <w:tcW w:w="4649" w:type="dxa"/>
          </w:tcPr>
          <w:p w:rsidR="005D2EE7" w:rsidRPr="00A41DBB" w:rsidRDefault="005D2EE7" w:rsidP="008E3CED">
            <w:pPr>
              <w:spacing w:before="240"/>
              <w:jc w:val="center"/>
              <w:rPr>
                <w:rFonts w:ascii="Arial" w:hAnsi="Arial" w:cs="Arial"/>
                <w:b/>
              </w:rPr>
            </w:pPr>
            <w:r w:rsidRPr="00A41DBB">
              <w:rPr>
                <w:rFonts w:ascii="Arial" w:hAnsi="Arial" w:cs="Arial"/>
                <w:b/>
              </w:rPr>
              <w:t>Early childhood (6 -8 years)</w:t>
            </w:r>
          </w:p>
        </w:tc>
        <w:tc>
          <w:tcPr>
            <w:tcW w:w="4649" w:type="dxa"/>
          </w:tcPr>
          <w:p w:rsidR="007A3D7D" w:rsidRPr="00A41DBB" w:rsidRDefault="005D2EE7" w:rsidP="008E3CED">
            <w:pPr>
              <w:spacing w:before="240"/>
              <w:jc w:val="center"/>
              <w:rPr>
                <w:rFonts w:ascii="Arial" w:hAnsi="Arial" w:cs="Arial"/>
                <w:b/>
              </w:rPr>
            </w:pPr>
            <w:r w:rsidRPr="00A41DBB">
              <w:rPr>
                <w:rFonts w:ascii="Arial" w:hAnsi="Arial" w:cs="Arial"/>
                <w:b/>
              </w:rPr>
              <w:t>Late childhood – early adolescence (9 -12</w:t>
            </w:r>
            <w:r w:rsidR="009C3C9C" w:rsidRPr="00A41DBB">
              <w:rPr>
                <w:rFonts w:ascii="Arial" w:hAnsi="Arial" w:cs="Arial"/>
                <w:b/>
              </w:rPr>
              <w:t xml:space="preserve"> years</w:t>
            </w:r>
            <w:r w:rsidRPr="00A41DBB">
              <w:rPr>
                <w:rFonts w:ascii="Arial" w:hAnsi="Arial" w:cs="Arial"/>
                <w:b/>
              </w:rPr>
              <w:t>)</w:t>
            </w:r>
          </w:p>
        </w:tc>
        <w:tc>
          <w:tcPr>
            <w:tcW w:w="4650" w:type="dxa"/>
          </w:tcPr>
          <w:p w:rsidR="005D2EE7" w:rsidRPr="00A41DBB" w:rsidRDefault="005D2EE7" w:rsidP="008E3CED">
            <w:pPr>
              <w:spacing w:before="240"/>
              <w:jc w:val="center"/>
              <w:rPr>
                <w:rFonts w:ascii="Arial" w:hAnsi="Arial" w:cs="Arial"/>
                <w:b/>
              </w:rPr>
            </w:pPr>
            <w:r w:rsidRPr="00A41DBB">
              <w:rPr>
                <w:rFonts w:ascii="Arial" w:hAnsi="Arial" w:cs="Arial"/>
                <w:b/>
              </w:rPr>
              <w:t>Mid-adolescence (13 -15 years)</w:t>
            </w:r>
          </w:p>
        </w:tc>
      </w:tr>
      <w:tr w:rsidR="00567023" w:rsidRPr="00A41DBB" w:rsidTr="008E3CED">
        <w:tc>
          <w:tcPr>
            <w:tcW w:w="4649" w:type="dxa"/>
          </w:tcPr>
          <w:p w:rsidR="007B38BE" w:rsidRPr="00A41DBB" w:rsidRDefault="00567023" w:rsidP="008E3CED">
            <w:pPr>
              <w:spacing w:before="240"/>
              <w:rPr>
                <w:rFonts w:ascii="Arial" w:hAnsi="Arial" w:cs="Arial"/>
              </w:rPr>
            </w:pPr>
            <w:r w:rsidRPr="00A41DBB">
              <w:rPr>
                <w:rFonts w:ascii="Arial" w:hAnsi="Arial" w:cs="Arial"/>
              </w:rPr>
              <w:t>Use of simple verb groups and simple noun groups</w:t>
            </w:r>
          </w:p>
          <w:p w:rsidR="007B6D89" w:rsidRPr="00A41DBB" w:rsidRDefault="007B6D89" w:rsidP="008E3CED">
            <w:pPr>
              <w:spacing w:before="240"/>
              <w:rPr>
                <w:rFonts w:ascii="Arial" w:hAnsi="Arial" w:cs="Arial"/>
              </w:rPr>
            </w:pPr>
          </w:p>
          <w:p w:rsidR="00567023" w:rsidRPr="00A41DBB" w:rsidRDefault="00E7358B" w:rsidP="008E3CED">
            <w:pPr>
              <w:spacing w:before="240"/>
              <w:rPr>
                <w:rFonts w:ascii="Arial" w:hAnsi="Arial" w:cs="Arial"/>
              </w:rPr>
            </w:pPr>
            <w:r w:rsidRPr="00A41DBB">
              <w:rPr>
                <w:rFonts w:ascii="Arial" w:hAnsi="Arial" w:cs="Arial"/>
              </w:rPr>
              <w:t>Mostly p</w:t>
            </w:r>
            <w:r w:rsidR="00567023" w:rsidRPr="00A41DBB">
              <w:rPr>
                <w:rFonts w:ascii="Arial" w:hAnsi="Arial" w:cs="Arial"/>
              </w:rPr>
              <w:t>repositional phrases of time and place</w:t>
            </w:r>
          </w:p>
        </w:tc>
        <w:tc>
          <w:tcPr>
            <w:tcW w:w="4649" w:type="dxa"/>
          </w:tcPr>
          <w:p w:rsidR="00567023" w:rsidRPr="00A41DBB" w:rsidRDefault="001C6CFF" w:rsidP="008E3CED">
            <w:pPr>
              <w:spacing w:before="240"/>
              <w:rPr>
                <w:rFonts w:ascii="Arial" w:hAnsi="Arial" w:cs="Arial"/>
              </w:rPr>
            </w:pPr>
            <w:r w:rsidRPr="00A41DBB">
              <w:rPr>
                <w:rFonts w:ascii="Arial" w:hAnsi="Arial" w:cs="Arial"/>
              </w:rPr>
              <w:t xml:space="preserve">Expanded verb groups and </w:t>
            </w:r>
            <w:r w:rsidR="00E7358B" w:rsidRPr="00A41DBB">
              <w:rPr>
                <w:rFonts w:ascii="Arial" w:hAnsi="Arial" w:cs="Arial"/>
              </w:rPr>
              <w:t xml:space="preserve">varied </w:t>
            </w:r>
            <w:r w:rsidRPr="00A41DBB">
              <w:rPr>
                <w:rFonts w:ascii="Arial" w:hAnsi="Arial" w:cs="Arial"/>
              </w:rPr>
              <w:t xml:space="preserve">range of verbs </w:t>
            </w:r>
            <w:r w:rsidR="00E7358B" w:rsidRPr="00A41DBB">
              <w:rPr>
                <w:rFonts w:ascii="Arial" w:hAnsi="Arial" w:cs="Arial"/>
              </w:rPr>
              <w:t xml:space="preserve">(action, relating, saying, thinking, feeling) </w:t>
            </w:r>
          </w:p>
          <w:p w:rsidR="007B6D89" w:rsidRPr="00A41DBB" w:rsidRDefault="007B6D89" w:rsidP="008E3CED">
            <w:pPr>
              <w:spacing w:before="240"/>
              <w:rPr>
                <w:rFonts w:ascii="Arial" w:hAnsi="Arial" w:cs="Arial"/>
              </w:rPr>
            </w:pPr>
          </w:p>
          <w:p w:rsidR="00567023" w:rsidRPr="00A41DBB" w:rsidRDefault="00567023" w:rsidP="008E3CED">
            <w:pPr>
              <w:spacing w:before="240"/>
              <w:rPr>
                <w:rFonts w:ascii="Arial" w:hAnsi="Arial" w:cs="Arial"/>
              </w:rPr>
            </w:pPr>
            <w:r w:rsidRPr="00A41DBB">
              <w:rPr>
                <w:rFonts w:ascii="Arial" w:hAnsi="Arial" w:cs="Arial"/>
              </w:rPr>
              <w:t xml:space="preserve">Expanded noun groups which include pre- and post- modification </w:t>
            </w:r>
            <w:r w:rsidR="00E7358B" w:rsidRPr="00A41DBB">
              <w:rPr>
                <w:rFonts w:ascii="Arial" w:hAnsi="Arial" w:cs="Arial"/>
              </w:rPr>
              <w:t>of the Head noun</w:t>
            </w:r>
          </w:p>
          <w:p w:rsidR="007B6D89" w:rsidRPr="00A41DBB" w:rsidRDefault="007B6D89" w:rsidP="008E3CED">
            <w:pPr>
              <w:spacing w:before="240"/>
              <w:rPr>
                <w:rFonts w:ascii="Arial" w:hAnsi="Arial" w:cs="Arial"/>
              </w:rPr>
            </w:pPr>
          </w:p>
          <w:p w:rsidR="00567023" w:rsidRPr="00A41DBB" w:rsidRDefault="00567023" w:rsidP="008E3CED">
            <w:pPr>
              <w:spacing w:before="240"/>
              <w:rPr>
                <w:rFonts w:ascii="Arial" w:hAnsi="Arial" w:cs="Arial"/>
              </w:rPr>
            </w:pPr>
            <w:r w:rsidRPr="00A41DBB">
              <w:rPr>
                <w:rFonts w:ascii="Arial" w:hAnsi="Arial" w:cs="Arial"/>
              </w:rPr>
              <w:t xml:space="preserve">Varied use of prepositional phrases to include those of time, place, manner, cause </w:t>
            </w:r>
            <w:r w:rsidR="00E7358B" w:rsidRPr="00A41DBB">
              <w:rPr>
                <w:rFonts w:ascii="Arial" w:hAnsi="Arial" w:cs="Arial"/>
              </w:rPr>
              <w:t xml:space="preserve">and adverbs </w:t>
            </w:r>
          </w:p>
        </w:tc>
        <w:tc>
          <w:tcPr>
            <w:tcW w:w="4650" w:type="dxa"/>
          </w:tcPr>
          <w:p w:rsidR="00567023" w:rsidRPr="00A41DBB" w:rsidRDefault="00567023" w:rsidP="008E3CED">
            <w:pPr>
              <w:spacing w:before="240"/>
              <w:rPr>
                <w:rFonts w:ascii="Arial" w:hAnsi="Arial" w:cs="Arial"/>
              </w:rPr>
            </w:pPr>
            <w:r w:rsidRPr="00A41DBB">
              <w:rPr>
                <w:rFonts w:ascii="Arial" w:hAnsi="Arial" w:cs="Arial"/>
              </w:rPr>
              <w:t>Expanded verb groups and varied use of lexical verbs</w:t>
            </w:r>
            <w:r w:rsidR="001C6CFF" w:rsidRPr="00A41DBB">
              <w:rPr>
                <w:rFonts w:ascii="Arial" w:hAnsi="Arial" w:cs="Arial"/>
              </w:rPr>
              <w:t xml:space="preserve"> (verbs which carry content) </w:t>
            </w:r>
          </w:p>
          <w:p w:rsidR="007B6D89" w:rsidRPr="00A41DBB" w:rsidRDefault="007B6D89" w:rsidP="008E3CED">
            <w:pPr>
              <w:spacing w:before="240"/>
              <w:rPr>
                <w:rFonts w:ascii="Arial" w:hAnsi="Arial" w:cs="Arial"/>
              </w:rPr>
            </w:pPr>
          </w:p>
          <w:p w:rsidR="00567023" w:rsidRPr="00A41DBB" w:rsidRDefault="00567023" w:rsidP="008E3CED">
            <w:pPr>
              <w:spacing w:before="240"/>
              <w:rPr>
                <w:rFonts w:ascii="Arial" w:hAnsi="Arial" w:cs="Arial"/>
              </w:rPr>
            </w:pPr>
            <w:r w:rsidRPr="00A41DBB">
              <w:rPr>
                <w:rFonts w:ascii="Arial" w:hAnsi="Arial" w:cs="Arial"/>
              </w:rPr>
              <w:t>Noun groups become more dense</w:t>
            </w:r>
            <w:r w:rsidR="00F03676" w:rsidRPr="00A41DBB">
              <w:rPr>
                <w:rFonts w:ascii="Arial" w:hAnsi="Arial" w:cs="Arial"/>
              </w:rPr>
              <w:t>, possibly</w:t>
            </w:r>
            <w:r w:rsidRPr="00A41DBB">
              <w:rPr>
                <w:rFonts w:ascii="Arial" w:hAnsi="Arial" w:cs="Arial"/>
              </w:rPr>
              <w:t xml:space="preserve"> involving ab</w:t>
            </w:r>
            <w:r w:rsidR="0024407A" w:rsidRPr="00A41DBB">
              <w:rPr>
                <w:rFonts w:ascii="Arial" w:hAnsi="Arial" w:cs="Arial"/>
              </w:rPr>
              <w:t>straction</w:t>
            </w:r>
            <w:r w:rsidRPr="00A41DBB">
              <w:rPr>
                <w:rFonts w:ascii="Arial" w:hAnsi="Arial" w:cs="Arial"/>
              </w:rPr>
              <w:t xml:space="preserve"> and technicality</w:t>
            </w:r>
          </w:p>
        </w:tc>
      </w:tr>
      <w:tr w:rsidR="00567023" w:rsidRPr="00A41DBB" w:rsidTr="008E3CED">
        <w:tc>
          <w:tcPr>
            <w:tcW w:w="4649" w:type="dxa"/>
          </w:tcPr>
          <w:p w:rsidR="007B38BE" w:rsidRPr="00A41DBB" w:rsidRDefault="0024407A" w:rsidP="008E3CED">
            <w:pPr>
              <w:spacing w:before="240"/>
              <w:rPr>
                <w:rFonts w:ascii="Arial" w:hAnsi="Arial" w:cs="Arial"/>
              </w:rPr>
            </w:pPr>
            <w:r w:rsidRPr="00A41DBB">
              <w:rPr>
                <w:rFonts w:ascii="Arial" w:hAnsi="Arial" w:cs="Arial"/>
              </w:rPr>
              <w:t xml:space="preserve">Simple </w:t>
            </w:r>
            <w:r w:rsidR="001C6CFF" w:rsidRPr="00A41DBB">
              <w:rPr>
                <w:rFonts w:ascii="Arial" w:hAnsi="Arial" w:cs="Arial"/>
              </w:rPr>
              <w:t xml:space="preserve">(one independent clause) </w:t>
            </w:r>
            <w:r w:rsidRPr="00A41DBB">
              <w:rPr>
                <w:rFonts w:ascii="Arial" w:hAnsi="Arial" w:cs="Arial"/>
              </w:rPr>
              <w:t>or compound sentences</w:t>
            </w:r>
            <w:r w:rsidR="001C6CFF" w:rsidRPr="00A41DBB">
              <w:rPr>
                <w:rFonts w:ascii="Arial" w:hAnsi="Arial" w:cs="Arial"/>
              </w:rPr>
              <w:t xml:space="preserve"> (two or more independent clauses)</w:t>
            </w:r>
            <w:r w:rsidR="007B38BE" w:rsidRPr="00A41DBB">
              <w:rPr>
                <w:rFonts w:ascii="Arial" w:hAnsi="Arial" w:cs="Arial"/>
              </w:rPr>
              <w:t xml:space="preserve"> where clauses are </w:t>
            </w:r>
            <w:r w:rsidR="007B38BE" w:rsidRPr="00A41DBB">
              <w:rPr>
                <w:rFonts w:ascii="Arial" w:hAnsi="Arial" w:cs="Arial"/>
              </w:rPr>
              <w:lastRenderedPageBreak/>
              <w:t>mostly ‘equal’</w:t>
            </w:r>
            <w:r w:rsidR="0061610C" w:rsidRPr="00A41DBB">
              <w:rPr>
                <w:rFonts w:ascii="Arial" w:hAnsi="Arial" w:cs="Arial"/>
              </w:rPr>
              <w:t xml:space="preserve"> using co-ordinating conjunctions (and, but, for, or, nor, so, yet) </w:t>
            </w:r>
          </w:p>
          <w:p w:rsidR="007B6D89" w:rsidRPr="00A41DBB" w:rsidRDefault="007B6D89" w:rsidP="008E3CED">
            <w:pPr>
              <w:spacing w:before="240"/>
              <w:rPr>
                <w:rFonts w:ascii="Arial" w:hAnsi="Arial" w:cs="Arial"/>
              </w:rPr>
            </w:pPr>
          </w:p>
          <w:p w:rsidR="001C6CFF" w:rsidRPr="00A41DBB" w:rsidRDefault="001C6CFF" w:rsidP="008E3CED">
            <w:pPr>
              <w:spacing w:before="240"/>
              <w:rPr>
                <w:rFonts w:ascii="Arial" w:hAnsi="Arial" w:cs="Arial"/>
              </w:rPr>
            </w:pPr>
            <w:r w:rsidRPr="00A41DBB">
              <w:rPr>
                <w:rFonts w:ascii="Arial" w:hAnsi="Arial" w:cs="Arial"/>
              </w:rPr>
              <w:t>Complex sentences</w:t>
            </w:r>
            <w:r w:rsidR="007B38BE" w:rsidRPr="00A41DBB">
              <w:rPr>
                <w:rFonts w:ascii="Arial" w:hAnsi="Arial" w:cs="Arial"/>
              </w:rPr>
              <w:t xml:space="preserve"> most commonly </w:t>
            </w:r>
            <w:r w:rsidR="006772C2" w:rsidRPr="00A41DBB">
              <w:rPr>
                <w:rFonts w:ascii="Arial" w:hAnsi="Arial" w:cs="Arial"/>
              </w:rPr>
              <w:t>include dependent</w:t>
            </w:r>
            <w:r w:rsidRPr="00A41DBB">
              <w:rPr>
                <w:rFonts w:ascii="Arial" w:hAnsi="Arial" w:cs="Arial"/>
              </w:rPr>
              <w:t xml:space="preserve"> clause</w:t>
            </w:r>
            <w:r w:rsidR="006772C2">
              <w:rPr>
                <w:rFonts w:ascii="Arial" w:hAnsi="Arial" w:cs="Arial"/>
              </w:rPr>
              <w:t>s</w:t>
            </w:r>
            <w:r w:rsidRPr="00A41DBB">
              <w:rPr>
                <w:rFonts w:ascii="Arial" w:hAnsi="Arial" w:cs="Arial"/>
              </w:rPr>
              <w:t xml:space="preserve"> of time (e.g. After we ate our lunch)</w:t>
            </w:r>
          </w:p>
          <w:p w:rsidR="00CF55B0" w:rsidRPr="00A41DBB" w:rsidRDefault="00CF55B0" w:rsidP="008E3CED">
            <w:pPr>
              <w:spacing w:before="240"/>
              <w:rPr>
                <w:rFonts w:ascii="Arial" w:hAnsi="Arial" w:cs="Arial"/>
              </w:rPr>
            </w:pPr>
          </w:p>
          <w:p w:rsidR="00567023" w:rsidRPr="00A41DBB" w:rsidRDefault="00567023" w:rsidP="008E3CED">
            <w:pPr>
              <w:spacing w:before="240"/>
              <w:rPr>
                <w:rFonts w:ascii="Arial" w:hAnsi="Arial" w:cs="Arial"/>
              </w:rPr>
            </w:pPr>
          </w:p>
        </w:tc>
        <w:tc>
          <w:tcPr>
            <w:tcW w:w="4649" w:type="dxa"/>
          </w:tcPr>
          <w:p w:rsidR="00A41DBB" w:rsidRDefault="00FD140D" w:rsidP="008E3CED">
            <w:pPr>
              <w:spacing w:before="240"/>
              <w:rPr>
                <w:rFonts w:ascii="Arial" w:hAnsi="Arial" w:cs="Arial"/>
              </w:rPr>
            </w:pPr>
            <w:r w:rsidRPr="00A41DBB">
              <w:rPr>
                <w:rFonts w:ascii="Arial" w:hAnsi="Arial" w:cs="Arial"/>
              </w:rPr>
              <w:lastRenderedPageBreak/>
              <w:t>Simple, compound and complex sentences</w:t>
            </w:r>
          </w:p>
          <w:p w:rsidR="00567023" w:rsidRPr="00A41DBB" w:rsidRDefault="00FD140D" w:rsidP="008E3CED">
            <w:pPr>
              <w:spacing w:before="240"/>
              <w:rPr>
                <w:rFonts w:ascii="Arial" w:hAnsi="Arial" w:cs="Arial"/>
              </w:rPr>
            </w:pPr>
            <w:r w:rsidRPr="00A41DBB">
              <w:rPr>
                <w:rFonts w:ascii="Arial" w:hAnsi="Arial" w:cs="Arial"/>
              </w:rPr>
              <w:t xml:space="preserve"> </w:t>
            </w:r>
          </w:p>
          <w:p w:rsidR="00DE308E" w:rsidRDefault="00DE308E" w:rsidP="008E3CED">
            <w:pPr>
              <w:spacing w:before="240"/>
              <w:rPr>
                <w:rFonts w:ascii="Arial" w:hAnsi="Arial" w:cs="Arial"/>
              </w:rPr>
            </w:pPr>
            <w:r w:rsidRPr="00A41DBB">
              <w:rPr>
                <w:rFonts w:ascii="Arial" w:hAnsi="Arial" w:cs="Arial"/>
              </w:rPr>
              <w:lastRenderedPageBreak/>
              <w:t>Expanding range of dependent clauses to include</w:t>
            </w:r>
            <w:r w:rsidR="00F03676" w:rsidRPr="00A41DBB">
              <w:rPr>
                <w:rFonts w:ascii="Arial" w:hAnsi="Arial" w:cs="Arial"/>
              </w:rPr>
              <w:t xml:space="preserve"> </w:t>
            </w:r>
            <w:r w:rsidRPr="00A41DBB">
              <w:rPr>
                <w:rFonts w:ascii="Arial" w:hAnsi="Arial" w:cs="Arial"/>
              </w:rPr>
              <w:t>reason (b</w:t>
            </w:r>
            <w:r w:rsidR="007B38BE" w:rsidRPr="00A41DBB">
              <w:rPr>
                <w:rFonts w:ascii="Arial" w:hAnsi="Arial" w:cs="Arial"/>
              </w:rPr>
              <w:t>ecause, as, since, seeing that);</w:t>
            </w:r>
            <w:r w:rsidR="00F03676" w:rsidRPr="00A41DBB">
              <w:rPr>
                <w:rFonts w:ascii="Arial" w:hAnsi="Arial" w:cs="Arial"/>
              </w:rPr>
              <w:t xml:space="preserve"> </w:t>
            </w:r>
            <w:r w:rsidRPr="00A41DBB">
              <w:rPr>
                <w:rFonts w:ascii="Arial" w:hAnsi="Arial" w:cs="Arial"/>
              </w:rPr>
              <w:t>purpose (</w:t>
            </w:r>
            <w:r w:rsidR="001A3997" w:rsidRPr="00A41DBB">
              <w:rPr>
                <w:rFonts w:ascii="Arial" w:hAnsi="Arial" w:cs="Arial"/>
                <w:bCs/>
              </w:rPr>
              <w:t>so that, in order to, so as to, in order that</w:t>
            </w:r>
            <w:r w:rsidRPr="00A41DBB">
              <w:rPr>
                <w:rFonts w:ascii="Arial" w:hAnsi="Arial" w:cs="Arial"/>
              </w:rPr>
              <w:t>)</w:t>
            </w:r>
            <w:r w:rsidR="007B38BE" w:rsidRPr="00A41DBB">
              <w:rPr>
                <w:rFonts w:ascii="Arial" w:hAnsi="Arial" w:cs="Arial"/>
              </w:rPr>
              <w:t>;</w:t>
            </w:r>
            <w:r w:rsidRPr="00A41DBB">
              <w:rPr>
                <w:rFonts w:ascii="Arial" w:hAnsi="Arial" w:cs="Arial"/>
              </w:rPr>
              <w:t xml:space="preserve"> condition (</w:t>
            </w:r>
            <w:r w:rsidR="001A3997" w:rsidRPr="00A41DBB">
              <w:rPr>
                <w:rFonts w:ascii="Arial" w:hAnsi="Arial" w:cs="Arial"/>
                <w:bCs/>
              </w:rPr>
              <w:t xml:space="preserve">if, unless, as </w:t>
            </w:r>
            <w:r w:rsidRPr="00A41DBB">
              <w:rPr>
                <w:rFonts w:ascii="Arial" w:hAnsi="Arial" w:cs="Arial"/>
                <w:bCs/>
              </w:rPr>
              <w:t>long as</w:t>
            </w:r>
            <w:r w:rsidR="001A3997" w:rsidRPr="00A41DBB">
              <w:rPr>
                <w:rFonts w:ascii="Arial" w:hAnsi="Arial" w:cs="Arial"/>
                <w:bCs/>
              </w:rPr>
              <w:t>, in case, on condition that</w:t>
            </w:r>
            <w:r w:rsidR="007B38BE" w:rsidRPr="00A41DBB">
              <w:rPr>
                <w:rFonts w:ascii="Arial" w:hAnsi="Arial" w:cs="Arial"/>
              </w:rPr>
              <w:t>);</w:t>
            </w:r>
            <w:r w:rsidR="00CF55B0" w:rsidRPr="00A41DBB">
              <w:rPr>
                <w:rFonts w:ascii="Arial" w:hAnsi="Arial" w:cs="Arial"/>
              </w:rPr>
              <w:t xml:space="preserve"> </w:t>
            </w:r>
            <w:r w:rsidRPr="00A41DBB">
              <w:rPr>
                <w:rFonts w:ascii="Arial" w:hAnsi="Arial" w:cs="Arial"/>
              </w:rPr>
              <w:t>concession (a</w:t>
            </w:r>
            <w:r w:rsidRPr="00A41DBB">
              <w:rPr>
                <w:rFonts w:ascii="Arial" w:hAnsi="Arial" w:cs="Arial"/>
                <w:bCs/>
              </w:rPr>
              <w:t xml:space="preserve">lthough, </w:t>
            </w:r>
            <w:r w:rsidR="001A3997" w:rsidRPr="00A41DBB">
              <w:rPr>
                <w:rFonts w:ascii="Arial" w:hAnsi="Arial" w:cs="Arial"/>
                <w:bCs/>
              </w:rPr>
              <w:t xml:space="preserve">even </w:t>
            </w:r>
            <w:r w:rsidRPr="00A41DBB">
              <w:rPr>
                <w:rFonts w:ascii="Arial" w:hAnsi="Arial" w:cs="Arial"/>
                <w:bCs/>
              </w:rPr>
              <w:t xml:space="preserve">though, even if, </w:t>
            </w:r>
            <w:r w:rsidR="001A3997" w:rsidRPr="00A41DBB">
              <w:rPr>
                <w:rFonts w:ascii="Arial" w:hAnsi="Arial" w:cs="Arial"/>
                <w:bCs/>
              </w:rPr>
              <w:t xml:space="preserve">despite, </w:t>
            </w:r>
            <w:r w:rsidRPr="00A41DBB">
              <w:rPr>
                <w:rFonts w:ascii="Arial" w:hAnsi="Arial" w:cs="Arial"/>
                <w:bCs/>
              </w:rPr>
              <w:t>while</w:t>
            </w:r>
            <w:r w:rsidRPr="00A41DBB">
              <w:rPr>
                <w:rFonts w:ascii="Arial" w:hAnsi="Arial" w:cs="Arial"/>
              </w:rPr>
              <w:t> and </w:t>
            </w:r>
            <w:r w:rsidRPr="00A41DBB">
              <w:rPr>
                <w:rFonts w:ascii="Arial" w:hAnsi="Arial" w:cs="Arial"/>
                <w:bCs/>
              </w:rPr>
              <w:t>whereas</w:t>
            </w:r>
            <w:r w:rsidRPr="00A41DBB">
              <w:rPr>
                <w:rFonts w:ascii="Arial" w:hAnsi="Arial" w:cs="Arial"/>
              </w:rPr>
              <w:t>)</w:t>
            </w:r>
            <w:r w:rsidR="007B38BE" w:rsidRPr="00A41DBB">
              <w:rPr>
                <w:rFonts w:ascii="Arial" w:hAnsi="Arial" w:cs="Arial"/>
              </w:rPr>
              <w:t>;</w:t>
            </w:r>
            <w:r w:rsidRPr="00A41DBB">
              <w:rPr>
                <w:rFonts w:ascii="Arial" w:hAnsi="Arial" w:cs="Arial"/>
              </w:rPr>
              <w:t xml:space="preserve"> and manner </w:t>
            </w:r>
            <w:r w:rsidR="00CF55B0" w:rsidRPr="00A41DBB">
              <w:rPr>
                <w:rFonts w:ascii="Arial" w:hAnsi="Arial" w:cs="Arial"/>
              </w:rPr>
              <w:t>(by, through, as, as if)</w:t>
            </w:r>
          </w:p>
          <w:p w:rsidR="00A41DBB" w:rsidRPr="00A41DBB" w:rsidRDefault="00A41DBB" w:rsidP="008E3CED">
            <w:pPr>
              <w:spacing w:before="240"/>
              <w:rPr>
                <w:rFonts w:ascii="Arial" w:hAnsi="Arial" w:cs="Arial"/>
              </w:rPr>
            </w:pPr>
          </w:p>
          <w:p w:rsidR="00CF55B0" w:rsidRDefault="00CF55B0" w:rsidP="008E3CED">
            <w:pPr>
              <w:spacing w:before="240"/>
              <w:rPr>
                <w:rFonts w:ascii="Arial" w:hAnsi="Arial" w:cs="Arial"/>
              </w:rPr>
            </w:pPr>
            <w:r w:rsidRPr="00A41DBB">
              <w:rPr>
                <w:rFonts w:ascii="Arial" w:hAnsi="Arial" w:cs="Arial"/>
              </w:rPr>
              <w:t xml:space="preserve">Non-finite clauses are more frequently used (e.g. </w:t>
            </w:r>
            <w:r w:rsidR="00D24009" w:rsidRPr="00A41DBB">
              <w:rPr>
                <w:rFonts w:ascii="Arial" w:hAnsi="Arial" w:cs="Arial"/>
              </w:rPr>
              <w:t>Sitting on the beach</w:t>
            </w:r>
            <w:r w:rsidRPr="00A41DBB">
              <w:rPr>
                <w:rFonts w:ascii="Arial" w:hAnsi="Arial" w:cs="Arial"/>
              </w:rPr>
              <w:t>)</w:t>
            </w:r>
          </w:p>
          <w:p w:rsidR="00A41DBB" w:rsidRPr="00A41DBB" w:rsidRDefault="00A41DBB" w:rsidP="008E3CED">
            <w:pPr>
              <w:spacing w:before="240"/>
              <w:rPr>
                <w:rFonts w:ascii="Arial" w:hAnsi="Arial" w:cs="Arial"/>
              </w:rPr>
            </w:pPr>
          </w:p>
          <w:p w:rsidR="007B38BE" w:rsidRDefault="007B38BE" w:rsidP="008E3CED">
            <w:pPr>
              <w:spacing w:before="240"/>
              <w:rPr>
                <w:rFonts w:ascii="Arial" w:hAnsi="Arial" w:cs="Arial"/>
              </w:rPr>
            </w:pPr>
            <w:r w:rsidRPr="00A41DBB">
              <w:rPr>
                <w:rFonts w:ascii="Arial" w:hAnsi="Arial" w:cs="Arial"/>
              </w:rPr>
              <w:t>More intricate use and linking of different clause types</w:t>
            </w:r>
          </w:p>
          <w:p w:rsidR="00A41DBB" w:rsidRPr="00A41DBB" w:rsidRDefault="00A41DBB" w:rsidP="008E3CED">
            <w:pPr>
              <w:spacing w:before="240"/>
              <w:rPr>
                <w:rFonts w:ascii="Arial" w:hAnsi="Arial" w:cs="Arial"/>
              </w:rPr>
            </w:pPr>
          </w:p>
          <w:p w:rsidR="005D2EE7" w:rsidRDefault="005D2EE7" w:rsidP="008E3CED">
            <w:pPr>
              <w:spacing w:before="240"/>
              <w:rPr>
                <w:rFonts w:ascii="Arial" w:hAnsi="Arial" w:cs="Arial"/>
              </w:rPr>
            </w:pPr>
            <w:r w:rsidRPr="00A41DBB">
              <w:rPr>
                <w:rFonts w:ascii="Arial" w:hAnsi="Arial" w:cs="Arial"/>
              </w:rPr>
              <w:t>Projected clauses, for example, direct or reported speech</w:t>
            </w:r>
          </w:p>
          <w:p w:rsidR="00A41DBB" w:rsidRPr="00A41DBB" w:rsidRDefault="00A41DBB" w:rsidP="008E3CED">
            <w:pPr>
              <w:spacing w:before="240"/>
              <w:rPr>
                <w:rFonts w:ascii="Arial" w:hAnsi="Arial" w:cs="Arial"/>
              </w:rPr>
            </w:pPr>
          </w:p>
          <w:p w:rsidR="00D24009" w:rsidRPr="00A41DBB" w:rsidRDefault="00E7358B" w:rsidP="008E3CED">
            <w:pPr>
              <w:spacing w:before="240" w:after="480"/>
              <w:rPr>
                <w:rFonts w:ascii="Arial" w:hAnsi="Arial" w:cs="Arial"/>
              </w:rPr>
            </w:pPr>
            <w:r w:rsidRPr="00A41DBB">
              <w:rPr>
                <w:rFonts w:ascii="Arial" w:hAnsi="Arial" w:cs="Arial"/>
              </w:rPr>
              <w:t xml:space="preserve">Emergence </w:t>
            </w:r>
            <w:r w:rsidR="00D24009" w:rsidRPr="00A41DBB">
              <w:rPr>
                <w:rFonts w:ascii="Arial" w:hAnsi="Arial" w:cs="Arial"/>
              </w:rPr>
              <w:t>of nominalization</w:t>
            </w:r>
            <w:r w:rsidRPr="00A41DBB">
              <w:rPr>
                <w:rFonts w:ascii="Arial" w:hAnsi="Arial" w:cs="Arial"/>
              </w:rPr>
              <w:t xml:space="preserve"> (water evaporates becomes ‘evaporation’)  </w:t>
            </w:r>
          </w:p>
        </w:tc>
        <w:tc>
          <w:tcPr>
            <w:tcW w:w="4650" w:type="dxa"/>
          </w:tcPr>
          <w:p w:rsidR="00567023" w:rsidRDefault="00FD140D" w:rsidP="008E3CED">
            <w:pPr>
              <w:spacing w:before="240"/>
              <w:rPr>
                <w:rFonts w:ascii="Arial" w:hAnsi="Arial" w:cs="Arial"/>
              </w:rPr>
            </w:pPr>
            <w:r w:rsidRPr="00A41DBB">
              <w:rPr>
                <w:rFonts w:ascii="Arial" w:hAnsi="Arial" w:cs="Arial"/>
              </w:rPr>
              <w:lastRenderedPageBreak/>
              <w:t>Simple, compound and complex sentences, also fragments used for effect</w:t>
            </w:r>
          </w:p>
          <w:p w:rsidR="00A41DBB" w:rsidRPr="00A41DBB" w:rsidRDefault="00A41DBB" w:rsidP="008E3CED">
            <w:pPr>
              <w:spacing w:before="240"/>
              <w:rPr>
                <w:rFonts w:ascii="Arial" w:hAnsi="Arial" w:cs="Arial"/>
              </w:rPr>
            </w:pPr>
          </w:p>
          <w:p w:rsidR="00A41DBB" w:rsidRPr="00A41DBB" w:rsidRDefault="00F03676" w:rsidP="008E3CED">
            <w:pPr>
              <w:spacing w:before="240"/>
              <w:rPr>
                <w:rFonts w:ascii="Arial" w:hAnsi="Arial" w:cs="Arial"/>
              </w:rPr>
            </w:pPr>
            <w:r w:rsidRPr="00A41DBB">
              <w:rPr>
                <w:rFonts w:ascii="Arial" w:hAnsi="Arial" w:cs="Arial"/>
              </w:rPr>
              <w:lastRenderedPageBreak/>
              <w:t>Expanding range of dependent clauses to include: reason (bec</w:t>
            </w:r>
            <w:r w:rsidR="007A3D7D">
              <w:rPr>
                <w:rFonts w:ascii="Arial" w:hAnsi="Arial" w:cs="Arial"/>
              </w:rPr>
              <w:t xml:space="preserve">ause, as, since, seeing that); </w:t>
            </w:r>
            <w:r w:rsidRPr="00A41DBB">
              <w:rPr>
                <w:rFonts w:ascii="Arial" w:hAnsi="Arial" w:cs="Arial"/>
              </w:rPr>
              <w:t>purpose (</w:t>
            </w:r>
            <w:r w:rsidRPr="00A41DBB">
              <w:rPr>
                <w:rFonts w:ascii="Arial" w:hAnsi="Arial" w:cs="Arial"/>
                <w:bCs/>
              </w:rPr>
              <w:t>so that, in order to, so as to, in order that</w:t>
            </w:r>
            <w:r w:rsidRPr="00A41DBB">
              <w:rPr>
                <w:rFonts w:ascii="Arial" w:hAnsi="Arial" w:cs="Arial"/>
              </w:rPr>
              <w:t>); condition (</w:t>
            </w:r>
            <w:r w:rsidRPr="00A41DBB">
              <w:rPr>
                <w:rFonts w:ascii="Arial" w:hAnsi="Arial" w:cs="Arial"/>
                <w:bCs/>
              </w:rPr>
              <w:t>if, unless, as long as, in case, on condition that</w:t>
            </w:r>
            <w:r w:rsidRPr="00A41DBB">
              <w:rPr>
                <w:rFonts w:ascii="Arial" w:hAnsi="Arial" w:cs="Arial"/>
              </w:rPr>
              <w:t>); concession (a</w:t>
            </w:r>
            <w:r w:rsidRPr="00A41DBB">
              <w:rPr>
                <w:rFonts w:ascii="Arial" w:hAnsi="Arial" w:cs="Arial"/>
                <w:bCs/>
              </w:rPr>
              <w:t>lthough, even though, even if, despite, while</w:t>
            </w:r>
            <w:r w:rsidRPr="00A41DBB">
              <w:rPr>
                <w:rFonts w:ascii="Arial" w:hAnsi="Arial" w:cs="Arial"/>
              </w:rPr>
              <w:t> and </w:t>
            </w:r>
            <w:r w:rsidRPr="00A41DBB">
              <w:rPr>
                <w:rFonts w:ascii="Arial" w:hAnsi="Arial" w:cs="Arial"/>
                <w:bCs/>
              </w:rPr>
              <w:t>whereas</w:t>
            </w:r>
            <w:r w:rsidRPr="00A41DBB">
              <w:rPr>
                <w:rFonts w:ascii="Arial" w:hAnsi="Arial" w:cs="Arial"/>
              </w:rPr>
              <w:t>); and manner (by, through, as, as if)</w:t>
            </w:r>
          </w:p>
          <w:p w:rsidR="007B38BE" w:rsidRDefault="007B38BE" w:rsidP="008E3CED">
            <w:pPr>
              <w:spacing w:before="240"/>
              <w:rPr>
                <w:rFonts w:ascii="Arial" w:hAnsi="Arial" w:cs="Arial"/>
              </w:rPr>
            </w:pPr>
            <w:r w:rsidRPr="00A41DBB">
              <w:rPr>
                <w:rFonts w:ascii="Arial" w:hAnsi="Arial" w:cs="Arial"/>
              </w:rPr>
              <w:t xml:space="preserve">Varied range and combination of clauses </w:t>
            </w:r>
          </w:p>
          <w:p w:rsidR="00A41DBB" w:rsidRPr="00A41DBB" w:rsidRDefault="00A41DBB" w:rsidP="008E3CED">
            <w:pPr>
              <w:spacing w:before="240"/>
              <w:rPr>
                <w:rFonts w:ascii="Arial" w:hAnsi="Arial" w:cs="Arial"/>
              </w:rPr>
            </w:pPr>
          </w:p>
          <w:p w:rsidR="007B38BE" w:rsidRPr="00A41DBB" w:rsidRDefault="007B38BE" w:rsidP="008E3CED">
            <w:pPr>
              <w:spacing w:before="240"/>
              <w:rPr>
                <w:rFonts w:ascii="Arial" w:hAnsi="Arial" w:cs="Arial"/>
              </w:rPr>
            </w:pPr>
            <w:r w:rsidRPr="00A41DBB">
              <w:rPr>
                <w:rFonts w:ascii="Arial" w:hAnsi="Arial" w:cs="Arial"/>
              </w:rPr>
              <w:t xml:space="preserve">Quite frequent use of non- finite clauses </w:t>
            </w:r>
          </w:p>
          <w:p w:rsidR="00D24009" w:rsidRDefault="008E1555" w:rsidP="008E3CED">
            <w:pPr>
              <w:spacing w:before="240"/>
              <w:rPr>
                <w:rFonts w:ascii="Arial" w:hAnsi="Arial" w:cs="Arial"/>
              </w:rPr>
            </w:pPr>
            <w:r w:rsidRPr="00A41DBB">
              <w:rPr>
                <w:rFonts w:ascii="Arial" w:hAnsi="Arial" w:cs="Arial"/>
              </w:rPr>
              <w:t xml:space="preserve">Information becomes more compressed as ideas are structured in grammatically different ways, usually involving more abstract concepts, for example ‘Animal habitats are being destroyed. More animals become endangered when their habitat is taken away from them.’ could be written as ‘The destruction of animal habitats leads to an increase in endangered species.’ </w:t>
            </w:r>
          </w:p>
          <w:p w:rsidR="00FB14F1" w:rsidRPr="00A41DBB" w:rsidRDefault="00FB14F1" w:rsidP="008E3CED">
            <w:pPr>
              <w:spacing w:before="240"/>
              <w:rPr>
                <w:rFonts w:ascii="Arial" w:hAnsi="Arial" w:cs="Arial"/>
              </w:rPr>
            </w:pPr>
          </w:p>
        </w:tc>
      </w:tr>
    </w:tbl>
    <w:p w:rsidR="00FB14F1" w:rsidRDefault="00FB14F1" w:rsidP="008E3CED">
      <w:pPr>
        <w:spacing w:before="360"/>
        <w:jc w:val="center"/>
      </w:pPr>
      <w:r w:rsidRPr="00A41DBB">
        <w:rPr>
          <w:rFonts w:ascii="Arial" w:hAnsi="Arial" w:cs="Arial"/>
          <w:b/>
        </w:rPr>
        <w:lastRenderedPageBreak/>
        <w:t>Interacting with others</w:t>
      </w:r>
    </w:p>
    <w:tbl>
      <w:tblPr>
        <w:tblStyle w:val="TableGrid"/>
        <w:tblW w:w="0" w:type="auto"/>
        <w:tblLook w:val="04A0" w:firstRow="1" w:lastRow="0" w:firstColumn="1" w:lastColumn="0" w:noHBand="0" w:noVBand="1"/>
        <w:tblCaption w:val="Summary of major linguistic changes in control of written language"/>
        <w:tblDescription w:val="Table providing a summary of major linguistic changes in control of written language"/>
      </w:tblPr>
      <w:tblGrid>
        <w:gridCol w:w="4649"/>
        <w:gridCol w:w="4649"/>
        <w:gridCol w:w="4650"/>
      </w:tblGrid>
      <w:tr w:rsidR="009C3C9C" w:rsidRPr="00A41DBB" w:rsidTr="008E3CED">
        <w:trPr>
          <w:tblHeader/>
        </w:trPr>
        <w:tc>
          <w:tcPr>
            <w:tcW w:w="4649" w:type="dxa"/>
          </w:tcPr>
          <w:p w:rsidR="009C3C9C" w:rsidRPr="00A41DBB" w:rsidRDefault="009C3C9C" w:rsidP="008E3CED">
            <w:pPr>
              <w:spacing w:before="240"/>
              <w:jc w:val="center"/>
              <w:rPr>
                <w:rFonts w:ascii="Arial" w:hAnsi="Arial" w:cs="Arial"/>
                <w:b/>
              </w:rPr>
            </w:pPr>
            <w:r w:rsidRPr="00A41DBB">
              <w:rPr>
                <w:rFonts w:ascii="Arial" w:hAnsi="Arial" w:cs="Arial"/>
                <w:b/>
              </w:rPr>
              <w:t>Early childhood (6 -8 years)</w:t>
            </w:r>
          </w:p>
        </w:tc>
        <w:tc>
          <w:tcPr>
            <w:tcW w:w="4649" w:type="dxa"/>
          </w:tcPr>
          <w:p w:rsidR="009C3C9C" w:rsidRPr="00A41DBB" w:rsidRDefault="009C3C9C" w:rsidP="008E3CED">
            <w:pPr>
              <w:spacing w:before="240"/>
              <w:jc w:val="center"/>
              <w:rPr>
                <w:rFonts w:ascii="Arial" w:hAnsi="Arial" w:cs="Arial"/>
                <w:b/>
              </w:rPr>
            </w:pPr>
            <w:r w:rsidRPr="00A41DBB">
              <w:rPr>
                <w:rFonts w:ascii="Arial" w:hAnsi="Arial" w:cs="Arial"/>
                <w:b/>
              </w:rPr>
              <w:t>Late childhood – early adolescence (9 -12 years)</w:t>
            </w:r>
          </w:p>
        </w:tc>
        <w:tc>
          <w:tcPr>
            <w:tcW w:w="4650" w:type="dxa"/>
          </w:tcPr>
          <w:p w:rsidR="009C3C9C" w:rsidRPr="00A41DBB" w:rsidRDefault="009C3C9C" w:rsidP="008E3CED">
            <w:pPr>
              <w:spacing w:before="240"/>
              <w:jc w:val="center"/>
              <w:rPr>
                <w:rFonts w:ascii="Arial" w:hAnsi="Arial" w:cs="Arial"/>
                <w:b/>
              </w:rPr>
            </w:pPr>
            <w:r w:rsidRPr="00A41DBB">
              <w:rPr>
                <w:rFonts w:ascii="Arial" w:hAnsi="Arial" w:cs="Arial"/>
                <w:b/>
              </w:rPr>
              <w:t>Mid-adolescence (13 -15 years)</w:t>
            </w:r>
          </w:p>
        </w:tc>
      </w:tr>
      <w:tr w:rsidR="009C3C9C" w:rsidRPr="00A41DBB" w:rsidTr="00567023">
        <w:tc>
          <w:tcPr>
            <w:tcW w:w="4649" w:type="dxa"/>
          </w:tcPr>
          <w:p w:rsidR="009C3C9C" w:rsidRPr="00A41DBB" w:rsidRDefault="009C3C9C" w:rsidP="008E3CED">
            <w:pPr>
              <w:spacing w:before="240"/>
              <w:rPr>
                <w:rFonts w:ascii="Arial" w:hAnsi="Arial" w:cs="Arial"/>
              </w:rPr>
            </w:pPr>
            <w:r w:rsidRPr="00A41DBB">
              <w:rPr>
                <w:rFonts w:ascii="Arial" w:hAnsi="Arial" w:cs="Arial"/>
              </w:rPr>
              <w:t>Mostly first person (I, we)</w:t>
            </w:r>
          </w:p>
          <w:p w:rsidR="002C15A4" w:rsidRPr="00A41DBB" w:rsidRDefault="002C15A4" w:rsidP="008E3CED">
            <w:pPr>
              <w:spacing w:before="240"/>
              <w:rPr>
                <w:rFonts w:ascii="Arial" w:hAnsi="Arial" w:cs="Arial"/>
              </w:rPr>
            </w:pPr>
          </w:p>
          <w:p w:rsidR="009C3C9C" w:rsidRPr="00A41DBB" w:rsidRDefault="009C3C9C" w:rsidP="008E3CED">
            <w:pPr>
              <w:spacing w:before="240"/>
              <w:rPr>
                <w:rFonts w:ascii="Arial" w:hAnsi="Arial" w:cs="Arial"/>
              </w:rPr>
            </w:pPr>
            <w:r w:rsidRPr="00A41DBB">
              <w:rPr>
                <w:rFonts w:ascii="Arial" w:hAnsi="Arial" w:cs="Arial"/>
              </w:rPr>
              <w:t>Simple positive or negative attitudes expressed through adjectives (an awful person, a dangerous animal) and use of adverbs of intensity (a really awful person, a very dangerous animal)</w:t>
            </w:r>
          </w:p>
          <w:p w:rsidR="002C15A4" w:rsidRPr="00A41DBB" w:rsidRDefault="002C15A4" w:rsidP="008E3CED">
            <w:pPr>
              <w:spacing w:before="240"/>
              <w:rPr>
                <w:rFonts w:ascii="Arial" w:hAnsi="Arial" w:cs="Arial"/>
              </w:rPr>
            </w:pPr>
          </w:p>
          <w:p w:rsidR="009C3C9C" w:rsidRPr="00A41DBB" w:rsidRDefault="009C3C9C" w:rsidP="008E3CED">
            <w:pPr>
              <w:spacing w:before="240"/>
              <w:rPr>
                <w:rFonts w:ascii="Arial" w:hAnsi="Arial" w:cs="Arial"/>
              </w:rPr>
            </w:pPr>
            <w:r w:rsidRPr="00A41DBB">
              <w:rPr>
                <w:rFonts w:ascii="Arial" w:hAnsi="Arial" w:cs="Arial"/>
              </w:rPr>
              <w:t>Use of verbs to express positive or negative emotion or feeling (e.g. liked, laughed, cried, hated, loved, enjoyed)</w:t>
            </w:r>
          </w:p>
        </w:tc>
        <w:tc>
          <w:tcPr>
            <w:tcW w:w="4649" w:type="dxa"/>
          </w:tcPr>
          <w:p w:rsidR="009C3C9C" w:rsidRPr="00A41DBB" w:rsidRDefault="009C3C9C" w:rsidP="008E3CED">
            <w:pPr>
              <w:spacing w:before="240"/>
              <w:rPr>
                <w:rFonts w:ascii="Arial" w:hAnsi="Arial" w:cs="Arial"/>
              </w:rPr>
            </w:pPr>
            <w:r w:rsidRPr="00A41DBB">
              <w:rPr>
                <w:rFonts w:ascii="Arial" w:hAnsi="Arial" w:cs="Arial"/>
              </w:rPr>
              <w:t xml:space="preserve">Use of third person more common or frequent </w:t>
            </w:r>
          </w:p>
          <w:p w:rsidR="002C15A4" w:rsidRPr="00A41DBB" w:rsidRDefault="002C15A4" w:rsidP="008E3CED">
            <w:pPr>
              <w:spacing w:before="240"/>
              <w:rPr>
                <w:rFonts w:ascii="Arial" w:hAnsi="Arial" w:cs="Arial"/>
              </w:rPr>
            </w:pPr>
          </w:p>
          <w:p w:rsidR="009C3C9C" w:rsidRPr="00A41DBB" w:rsidRDefault="009C3C9C" w:rsidP="008E3CED">
            <w:pPr>
              <w:spacing w:before="240"/>
              <w:rPr>
                <w:rFonts w:ascii="Arial" w:hAnsi="Arial" w:cs="Arial"/>
              </w:rPr>
            </w:pPr>
            <w:r w:rsidRPr="00A41DBB">
              <w:rPr>
                <w:rFonts w:ascii="Arial" w:hAnsi="Arial" w:cs="Arial"/>
              </w:rPr>
              <w:t>Use of modal verbs (could, should, might, must)</w:t>
            </w:r>
          </w:p>
          <w:p w:rsidR="002C15A4" w:rsidRPr="00A41DBB" w:rsidRDefault="002C15A4" w:rsidP="008E3CED">
            <w:pPr>
              <w:spacing w:before="240"/>
              <w:rPr>
                <w:rFonts w:ascii="Arial" w:hAnsi="Arial" w:cs="Arial"/>
              </w:rPr>
            </w:pPr>
          </w:p>
          <w:p w:rsidR="009C3C9C" w:rsidRPr="00A41DBB" w:rsidRDefault="009C3C9C" w:rsidP="008E3CED">
            <w:pPr>
              <w:spacing w:before="240"/>
              <w:rPr>
                <w:rFonts w:ascii="Arial" w:hAnsi="Arial" w:cs="Arial"/>
              </w:rPr>
            </w:pPr>
            <w:r w:rsidRPr="00A41DBB">
              <w:rPr>
                <w:rFonts w:ascii="Arial" w:hAnsi="Arial" w:cs="Arial"/>
              </w:rPr>
              <w:t>Expression of attitudes (stating feelings, evaluating the quality of things, judging human behaviour) more evident through more frequent use and varied range of verbs, adjectives and intensifiers</w:t>
            </w:r>
          </w:p>
        </w:tc>
        <w:tc>
          <w:tcPr>
            <w:tcW w:w="4650" w:type="dxa"/>
          </w:tcPr>
          <w:p w:rsidR="009C3C9C" w:rsidRDefault="009C3C9C" w:rsidP="008E3CED">
            <w:pPr>
              <w:spacing w:before="240"/>
              <w:rPr>
                <w:rFonts w:ascii="Arial" w:hAnsi="Arial" w:cs="Arial"/>
              </w:rPr>
            </w:pPr>
            <w:r w:rsidRPr="00A41DBB">
              <w:rPr>
                <w:rFonts w:ascii="Arial" w:hAnsi="Arial" w:cs="Arial"/>
              </w:rPr>
              <w:t>Third person more dominant; first person selected for particular genres and disciplines</w:t>
            </w:r>
          </w:p>
          <w:p w:rsidR="00A41DBB" w:rsidRPr="00A41DBB" w:rsidRDefault="00A41DBB" w:rsidP="008E3CED">
            <w:pPr>
              <w:spacing w:before="240"/>
              <w:rPr>
                <w:rFonts w:ascii="Arial" w:hAnsi="Arial" w:cs="Arial"/>
              </w:rPr>
            </w:pPr>
          </w:p>
          <w:p w:rsidR="009C3C9C" w:rsidRDefault="009C3C9C" w:rsidP="008E3CED">
            <w:pPr>
              <w:spacing w:before="240"/>
              <w:rPr>
                <w:rFonts w:ascii="Arial" w:hAnsi="Arial" w:cs="Arial"/>
              </w:rPr>
            </w:pPr>
            <w:r w:rsidRPr="00A41DBB">
              <w:rPr>
                <w:rFonts w:ascii="Arial" w:hAnsi="Arial" w:cs="Arial"/>
              </w:rPr>
              <w:t xml:space="preserve">Range of modal verbs, nouns (requirement, necessity), adjectives (possible, necessary) and adverbs to temper (e.g. surely, apparently, perhaps) </w:t>
            </w:r>
          </w:p>
          <w:p w:rsidR="00A41DBB" w:rsidRPr="00A41DBB" w:rsidRDefault="00A41DBB" w:rsidP="008E3CED">
            <w:pPr>
              <w:spacing w:before="240"/>
              <w:rPr>
                <w:rFonts w:ascii="Arial" w:hAnsi="Arial" w:cs="Arial"/>
              </w:rPr>
            </w:pPr>
          </w:p>
          <w:p w:rsidR="009C3C9C" w:rsidRPr="00A41DBB" w:rsidRDefault="009C3C9C" w:rsidP="008E3CED">
            <w:pPr>
              <w:spacing w:before="240" w:after="480"/>
              <w:rPr>
                <w:rFonts w:ascii="Arial" w:hAnsi="Arial" w:cs="Arial"/>
              </w:rPr>
            </w:pPr>
            <w:r w:rsidRPr="00A41DBB">
              <w:rPr>
                <w:rFonts w:ascii="Arial" w:hAnsi="Arial" w:cs="Arial"/>
              </w:rPr>
              <w:t xml:space="preserve">Attitude used selectively and as appropriate (e.g. limited in science texts but more evident in argument)  </w:t>
            </w:r>
          </w:p>
        </w:tc>
      </w:tr>
    </w:tbl>
    <w:p w:rsidR="00FB14F1" w:rsidRDefault="00FB14F1" w:rsidP="008E3CED">
      <w:pPr>
        <w:spacing w:before="3120"/>
        <w:jc w:val="center"/>
      </w:pPr>
      <w:r w:rsidRPr="00A41DBB">
        <w:rPr>
          <w:rFonts w:ascii="Arial" w:hAnsi="Arial" w:cs="Arial"/>
          <w:b/>
        </w:rPr>
        <w:lastRenderedPageBreak/>
        <w:t>Text structure and organisation</w:t>
      </w:r>
    </w:p>
    <w:tbl>
      <w:tblPr>
        <w:tblStyle w:val="TableGrid"/>
        <w:tblW w:w="0" w:type="auto"/>
        <w:tblLook w:val="04A0" w:firstRow="1" w:lastRow="0" w:firstColumn="1" w:lastColumn="0" w:noHBand="0" w:noVBand="1"/>
        <w:tblCaption w:val="Summary of major linguistic changes in control of written language"/>
        <w:tblDescription w:val="Table providing a summary of major linguistic changes in control of written language"/>
      </w:tblPr>
      <w:tblGrid>
        <w:gridCol w:w="4649"/>
        <w:gridCol w:w="4649"/>
        <w:gridCol w:w="4650"/>
      </w:tblGrid>
      <w:tr w:rsidR="009C3C9C" w:rsidRPr="00A41DBB" w:rsidTr="008E3CED">
        <w:trPr>
          <w:tblHeader/>
        </w:trPr>
        <w:tc>
          <w:tcPr>
            <w:tcW w:w="4649" w:type="dxa"/>
          </w:tcPr>
          <w:p w:rsidR="009C3C9C" w:rsidRPr="00A41DBB" w:rsidRDefault="009C3C9C" w:rsidP="008E3CED">
            <w:pPr>
              <w:spacing w:before="240"/>
              <w:jc w:val="center"/>
              <w:rPr>
                <w:rFonts w:ascii="Arial" w:hAnsi="Arial" w:cs="Arial"/>
                <w:b/>
              </w:rPr>
            </w:pPr>
            <w:r w:rsidRPr="00A41DBB">
              <w:rPr>
                <w:rFonts w:ascii="Arial" w:hAnsi="Arial" w:cs="Arial"/>
                <w:b/>
              </w:rPr>
              <w:t>Early childhood (6 -8 years)</w:t>
            </w:r>
          </w:p>
        </w:tc>
        <w:tc>
          <w:tcPr>
            <w:tcW w:w="4649" w:type="dxa"/>
          </w:tcPr>
          <w:p w:rsidR="009C3C9C" w:rsidRPr="00A41DBB" w:rsidRDefault="009C3C9C" w:rsidP="008E3CED">
            <w:pPr>
              <w:spacing w:before="240"/>
              <w:jc w:val="center"/>
              <w:rPr>
                <w:rFonts w:ascii="Arial" w:hAnsi="Arial" w:cs="Arial"/>
                <w:b/>
              </w:rPr>
            </w:pPr>
            <w:r w:rsidRPr="00A41DBB">
              <w:rPr>
                <w:rFonts w:ascii="Arial" w:hAnsi="Arial" w:cs="Arial"/>
                <w:b/>
              </w:rPr>
              <w:t>Late childhood – early adolescence (9 -12 years)</w:t>
            </w:r>
          </w:p>
        </w:tc>
        <w:tc>
          <w:tcPr>
            <w:tcW w:w="4650" w:type="dxa"/>
          </w:tcPr>
          <w:p w:rsidR="009C3C9C" w:rsidRPr="00A41DBB" w:rsidRDefault="009C3C9C" w:rsidP="008E3CED">
            <w:pPr>
              <w:spacing w:before="240"/>
              <w:jc w:val="center"/>
              <w:rPr>
                <w:rFonts w:ascii="Arial" w:hAnsi="Arial" w:cs="Arial"/>
                <w:b/>
              </w:rPr>
            </w:pPr>
            <w:r w:rsidRPr="00A41DBB">
              <w:rPr>
                <w:rFonts w:ascii="Arial" w:hAnsi="Arial" w:cs="Arial"/>
                <w:b/>
              </w:rPr>
              <w:t>Mid-adolescence (13 -15 years)</w:t>
            </w:r>
          </w:p>
        </w:tc>
      </w:tr>
      <w:tr w:rsidR="009C3C9C" w:rsidRPr="00A41DBB" w:rsidTr="008E3CED">
        <w:trPr>
          <w:trHeight w:val="3676"/>
        </w:trPr>
        <w:tc>
          <w:tcPr>
            <w:tcW w:w="4649" w:type="dxa"/>
          </w:tcPr>
          <w:p w:rsidR="009C3C9C" w:rsidRPr="00A41DBB" w:rsidRDefault="009C3C9C" w:rsidP="008E3CED">
            <w:pPr>
              <w:spacing w:before="240"/>
              <w:rPr>
                <w:rFonts w:ascii="Arial" w:hAnsi="Arial" w:cs="Arial"/>
              </w:rPr>
            </w:pPr>
            <w:r w:rsidRPr="00A41DBB">
              <w:rPr>
                <w:rFonts w:ascii="Arial" w:hAnsi="Arial" w:cs="Arial"/>
              </w:rPr>
              <w:t>Subject mostly at the beginning of the sentence, quite often first person pronoun; some use of adverbs or prepositional phrases of time or place</w:t>
            </w:r>
          </w:p>
          <w:p w:rsidR="002C15A4" w:rsidRPr="00A41DBB" w:rsidRDefault="002C15A4" w:rsidP="008E3CED">
            <w:pPr>
              <w:spacing w:before="240"/>
              <w:rPr>
                <w:rFonts w:ascii="Arial" w:hAnsi="Arial" w:cs="Arial"/>
              </w:rPr>
            </w:pPr>
          </w:p>
          <w:p w:rsidR="009C3C9C" w:rsidRPr="00A41DBB" w:rsidRDefault="009C3C9C" w:rsidP="008E3CED">
            <w:pPr>
              <w:spacing w:before="240"/>
              <w:rPr>
                <w:rFonts w:ascii="Arial" w:hAnsi="Arial" w:cs="Arial"/>
              </w:rPr>
            </w:pPr>
            <w:r w:rsidRPr="00A41DBB">
              <w:rPr>
                <w:rFonts w:ascii="Arial" w:hAnsi="Arial" w:cs="Arial"/>
              </w:rPr>
              <w:t>Reference made through use of pronouns, although not often clearly</w:t>
            </w:r>
          </w:p>
        </w:tc>
        <w:tc>
          <w:tcPr>
            <w:tcW w:w="4649" w:type="dxa"/>
          </w:tcPr>
          <w:p w:rsidR="009C3C9C" w:rsidRPr="00A41DBB" w:rsidRDefault="009C3C9C" w:rsidP="008E3CED">
            <w:pPr>
              <w:spacing w:before="240"/>
              <w:rPr>
                <w:rFonts w:ascii="Arial" w:hAnsi="Arial" w:cs="Arial"/>
              </w:rPr>
            </w:pPr>
            <w:r w:rsidRPr="00A41DBB">
              <w:rPr>
                <w:rFonts w:ascii="Arial" w:hAnsi="Arial" w:cs="Arial"/>
              </w:rPr>
              <w:t xml:space="preserve">Varied sentence beginnings: </w:t>
            </w:r>
          </w:p>
          <w:p w:rsidR="009C3C9C" w:rsidRPr="00A41DBB" w:rsidRDefault="009C3C9C" w:rsidP="008E3CED">
            <w:pPr>
              <w:pStyle w:val="ListParagraph"/>
              <w:numPr>
                <w:ilvl w:val="0"/>
                <w:numId w:val="1"/>
              </w:numPr>
              <w:spacing w:before="240"/>
              <w:rPr>
                <w:rFonts w:ascii="Arial" w:hAnsi="Arial" w:cs="Arial"/>
              </w:rPr>
            </w:pPr>
            <w:r w:rsidRPr="00A41DBB">
              <w:rPr>
                <w:rFonts w:ascii="Arial" w:hAnsi="Arial" w:cs="Arial"/>
              </w:rPr>
              <w:t xml:space="preserve">with subject (which might be expressed in different ways) </w:t>
            </w:r>
          </w:p>
          <w:p w:rsidR="009C3C9C" w:rsidRPr="00A41DBB" w:rsidRDefault="009C3C9C" w:rsidP="008E3CED">
            <w:pPr>
              <w:pStyle w:val="ListParagraph"/>
              <w:numPr>
                <w:ilvl w:val="0"/>
                <w:numId w:val="1"/>
              </w:numPr>
              <w:spacing w:before="240"/>
              <w:rPr>
                <w:rFonts w:ascii="Arial" w:hAnsi="Arial" w:cs="Arial"/>
              </w:rPr>
            </w:pPr>
            <w:r w:rsidRPr="00A41DBB">
              <w:rPr>
                <w:rFonts w:ascii="Arial" w:hAnsi="Arial" w:cs="Arial"/>
              </w:rPr>
              <w:t>prepositional phrases or dependent clauses</w:t>
            </w:r>
          </w:p>
          <w:p w:rsidR="009C3C9C" w:rsidRPr="00A41DBB" w:rsidRDefault="009C3C9C" w:rsidP="008E3CED">
            <w:pPr>
              <w:spacing w:before="240"/>
              <w:rPr>
                <w:rFonts w:ascii="Arial" w:hAnsi="Arial" w:cs="Arial"/>
              </w:rPr>
            </w:pPr>
            <w:r w:rsidRPr="00A41DBB">
              <w:rPr>
                <w:rFonts w:ascii="Arial" w:hAnsi="Arial" w:cs="Arial"/>
              </w:rPr>
              <w:t xml:space="preserve">Clear connection between clauses </w:t>
            </w:r>
          </w:p>
          <w:p w:rsidR="009C3C9C" w:rsidRDefault="009C3C9C" w:rsidP="008E3CED">
            <w:pPr>
              <w:spacing w:before="240"/>
              <w:rPr>
                <w:rFonts w:ascii="Arial" w:hAnsi="Arial" w:cs="Arial"/>
              </w:rPr>
            </w:pPr>
            <w:r w:rsidRPr="00A41DBB">
              <w:rPr>
                <w:rFonts w:ascii="Arial" w:hAnsi="Arial" w:cs="Arial"/>
              </w:rPr>
              <w:t xml:space="preserve">Topic sentences </w:t>
            </w:r>
          </w:p>
          <w:p w:rsidR="00A41DBB" w:rsidRPr="00A41DBB" w:rsidRDefault="00A41DBB" w:rsidP="008E3CED">
            <w:pPr>
              <w:spacing w:before="240"/>
              <w:rPr>
                <w:rFonts w:ascii="Arial" w:hAnsi="Arial" w:cs="Arial"/>
              </w:rPr>
            </w:pPr>
          </w:p>
          <w:p w:rsidR="009C3C9C" w:rsidRDefault="009C3C9C" w:rsidP="008E3CED">
            <w:pPr>
              <w:spacing w:before="240"/>
              <w:rPr>
                <w:rFonts w:ascii="Arial" w:hAnsi="Arial" w:cs="Arial"/>
              </w:rPr>
            </w:pPr>
            <w:r w:rsidRPr="00A41DBB">
              <w:rPr>
                <w:rFonts w:ascii="Arial" w:hAnsi="Arial" w:cs="Arial"/>
              </w:rPr>
              <w:t xml:space="preserve">Paragraphs </w:t>
            </w:r>
          </w:p>
          <w:p w:rsidR="00A41DBB" w:rsidRPr="00A41DBB" w:rsidRDefault="00A41DBB" w:rsidP="008E3CED">
            <w:pPr>
              <w:spacing w:before="240"/>
              <w:rPr>
                <w:rFonts w:ascii="Arial" w:hAnsi="Arial" w:cs="Arial"/>
              </w:rPr>
            </w:pPr>
          </w:p>
          <w:p w:rsidR="009C3C9C" w:rsidRPr="00A41DBB" w:rsidRDefault="009C3C9C" w:rsidP="008E3CED">
            <w:pPr>
              <w:spacing w:before="240"/>
              <w:rPr>
                <w:rFonts w:ascii="Arial" w:hAnsi="Arial" w:cs="Arial"/>
              </w:rPr>
            </w:pPr>
            <w:r w:rsidRPr="00A41DBB">
              <w:rPr>
                <w:rFonts w:ascii="Arial" w:hAnsi="Arial" w:cs="Arial"/>
              </w:rPr>
              <w:t>Reference more controlled</w:t>
            </w:r>
            <w:bookmarkStart w:id="1" w:name="_GoBack"/>
            <w:bookmarkEnd w:id="1"/>
            <w:r w:rsidRPr="00A41DBB">
              <w:rPr>
                <w:rFonts w:ascii="Arial" w:hAnsi="Arial" w:cs="Arial"/>
              </w:rPr>
              <w:t xml:space="preserve"> </w:t>
            </w:r>
          </w:p>
        </w:tc>
        <w:tc>
          <w:tcPr>
            <w:tcW w:w="4650" w:type="dxa"/>
          </w:tcPr>
          <w:p w:rsidR="009C3C9C" w:rsidRPr="00A41DBB" w:rsidRDefault="009C3C9C" w:rsidP="008E3CED">
            <w:pPr>
              <w:spacing w:before="240"/>
              <w:rPr>
                <w:rFonts w:ascii="Arial" w:hAnsi="Arial" w:cs="Arial"/>
              </w:rPr>
            </w:pPr>
            <w:r w:rsidRPr="00A41DBB">
              <w:rPr>
                <w:rFonts w:ascii="Arial" w:hAnsi="Arial" w:cs="Arial"/>
              </w:rPr>
              <w:t>Dependent clauses appear more frequently at the beginning of the sentences; cohesion in some genres (e.g. explanation, argument) established through end of sentence being picked up in the beginning of the</w:t>
            </w:r>
            <w:r w:rsidR="006772C2">
              <w:rPr>
                <w:rFonts w:ascii="Arial" w:hAnsi="Arial" w:cs="Arial"/>
              </w:rPr>
              <w:t xml:space="preserve"> next sentence (e.g. </w:t>
            </w:r>
            <w:r w:rsidR="007A3D7D">
              <w:rPr>
                <w:rFonts w:ascii="Arial" w:hAnsi="Arial" w:cs="Arial"/>
              </w:rPr>
              <w:t xml:space="preserve">The dissolved gold is taken to another tank with </w:t>
            </w:r>
            <w:r w:rsidR="007A3D7D" w:rsidRPr="007A3D7D">
              <w:rPr>
                <w:rFonts w:ascii="Arial" w:hAnsi="Arial" w:cs="Arial"/>
                <w:u w:val="single"/>
              </w:rPr>
              <w:t>small amounts of carbon</w:t>
            </w:r>
            <w:r w:rsidR="007A3D7D">
              <w:rPr>
                <w:rFonts w:ascii="Arial" w:hAnsi="Arial" w:cs="Arial"/>
              </w:rPr>
              <w:t xml:space="preserve">. </w:t>
            </w:r>
            <w:r w:rsidR="007A3D7D" w:rsidRPr="007A3D7D">
              <w:rPr>
                <w:rFonts w:ascii="Arial" w:hAnsi="Arial" w:cs="Arial"/>
                <w:u w:val="single"/>
              </w:rPr>
              <w:t>The carbon pieces</w:t>
            </w:r>
            <w:r w:rsidR="007A3D7D">
              <w:rPr>
                <w:rFonts w:ascii="Arial" w:hAnsi="Arial" w:cs="Arial"/>
              </w:rPr>
              <w:t xml:space="preserve"> are screened from the slurry.</w:t>
            </w:r>
            <w:r w:rsidRPr="00A41DBB">
              <w:rPr>
                <w:rFonts w:ascii="Arial" w:hAnsi="Arial" w:cs="Arial"/>
              </w:rPr>
              <w:t>)</w:t>
            </w:r>
          </w:p>
          <w:p w:rsidR="002C15A4" w:rsidRPr="00A41DBB" w:rsidRDefault="002C15A4" w:rsidP="008E3CED">
            <w:pPr>
              <w:spacing w:before="240"/>
              <w:rPr>
                <w:rFonts w:ascii="Arial" w:hAnsi="Arial" w:cs="Arial"/>
              </w:rPr>
            </w:pPr>
          </w:p>
          <w:p w:rsidR="009C3C9C" w:rsidRDefault="009C3C9C" w:rsidP="008E3CED">
            <w:pPr>
              <w:spacing w:before="240"/>
              <w:rPr>
                <w:rFonts w:ascii="Arial" w:hAnsi="Arial" w:cs="Arial"/>
              </w:rPr>
            </w:pPr>
            <w:r w:rsidRPr="00A41DBB">
              <w:rPr>
                <w:rFonts w:ascii="Arial" w:hAnsi="Arial" w:cs="Arial"/>
              </w:rPr>
              <w:t xml:space="preserve">As texts become longer, ‘macro-Themes’ are used as the beginning point for the whole text, and ‘hyper-themes’ or topic sentences at the beginning of the paragraph </w:t>
            </w:r>
          </w:p>
          <w:p w:rsidR="00FB14F1" w:rsidRPr="00A41DBB" w:rsidRDefault="00FB14F1" w:rsidP="008E3CED">
            <w:pPr>
              <w:spacing w:before="240"/>
              <w:rPr>
                <w:rFonts w:ascii="Arial" w:hAnsi="Arial" w:cs="Arial"/>
              </w:rPr>
            </w:pPr>
          </w:p>
        </w:tc>
      </w:tr>
    </w:tbl>
    <w:p w:rsidR="00CD3B84" w:rsidRPr="00A41DBB" w:rsidRDefault="00CD3B84" w:rsidP="008E3CED">
      <w:pPr>
        <w:rPr>
          <w:rFonts w:ascii="Arial" w:hAnsi="Arial" w:cs="Arial"/>
        </w:rPr>
      </w:pPr>
    </w:p>
    <w:sectPr w:rsidR="00CD3B84" w:rsidRPr="00A41DBB" w:rsidSect="00567023">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7FB" w:rsidRDefault="00DA67FB" w:rsidP="002C15A4">
      <w:pPr>
        <w:spacing w:after="0" w:line="240" w:lineRule="auto"/>
      </w:pPr>
      <w:r>
        <w:separator/>
      </w:r>
    </w:p>
  </w:endnote>
  <w:endnote w:type="continuationSeparator" w:id="0">
    <w:p w:rsidR="00DA67FB" w:rsidRDefault="00DA67FB" w:rsidP="002C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5A4" w:rsidRDefault="00A41DBB">
    <w:pPr>
      <w:pStyle w:val="Footer"/>
    </w:pPr>
    <w:r>
      <w:rPr>
        <w:rFonts w:ascii="Arial" w:hAnsi="Arial" w:cs="Arial"/>
        <w:sz w:val="18"/>
        <w:szCs w:val="18"/>
      </w:rPr>
      <w:t>Adapted from</w:t>
    </w:r>
    <w:r w:rsidRPr="004A7361">
      <w:rPr>
        <w:rFonts w:ascii="Arial" w:hAnsi="Arial" w:cs="Arial"/>
        <w:sz w:val="18"/>
        <w:szCs w:val="18"/>
      </w:rPr>
      <w:t xml:space="preserve"> Christie, F., and Derewianka, B. (2008). </w:t>
    </w:r>
    <w:r w:rsidRPr="004A7361">
      <w:rPr>
        <w:rFonts w:ascii="Arial" w:hAnsi="Arial" w:cs="Arial"/>
        <w:i/>
        <w:iCs/>
        <w:sz w:val="18"/>
        <w:szCs w:val="18"/>
      </w:rPr>
      <w:t>School Discourse: Learning to Write Across the Years of Schooling</w:t>
    </w:r>
    <w:r w:rsidRPr="004A7361">
      <w:rPr>
        <w:rFonts w:ascii="Arial" w:hAnsi="Arial" w:cs="Arial"/>
        <w:sz w:val="18"/>
        <w:szCs w:val="18"/>
      </w:rPr>
      <w:t>. London and</w:t>
    </w:r>
    <w:r w:rsidRPr="004A7361">
      <w:rPr>
        <w:rFonts w:ascii="Arial" w:hAnsi="Arial" w:cs="Arial"/>
        <w:i/>
        <w:iCs/>
        <w:sz w:val="18"/>
        <w:szCs w:val="18"/>
      </w:rPr>
      <w:t xml:space="preserve"> </w:t>
    </w:r>
    <w:r w:rsidRPr="004A7361">
      <w:rPr>
        <w:rFonts w:ascii="Arial" w:hAnsi="Arial" w:cs="Arial"/>
        <w:sz w:val="18"/>
        <w:szCs w:val="18"/>
      </w:rPr>
      <w:t>New York: Continuum.</w:t>
    </w:r>
    <w:r>
      <w:rPr>
        <w:rFonts w:ascii="Arial" w:hAnsi="Arial" w:cs="Arial"/>
        <w:sz w:val="18"/>
        <w:szCs w:val="18"/>
      </w:rPr>
      <w:t xml:space="preserve"> (pp. 209 – 226</w:t>
    </w:r>
    <w:r w:rsidR="004C0CBA">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7FB" w:rsidRDefault="00DA67FB" w:rsidP="002C15A4">
      <w:pPr>
        <w:spacing w:after="0" w:line="240" w:lineRule="auto"/>
      </w:pPr>
      <w:r>
        <w:separator/>
      </w:r>
    </w:p>
  </w:footnote>
  <w:footnote w:type="continuationSeparator" w:id="0">
    <w:p w:rsidR="00DA67FB" w:rsidRDefault="00DA67FB" w:rsidP="002C1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53F7"/>
    <w:multiLevelType w:val="hybridMultilevel"/>
    <w:tmpl w:val="E432D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594FFC"/>
    <w:multiLevelType w:val="hybridMultilevel"/>
    <w:tmpl w:val="4DFE966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23"/>
    <w:rsid w:val="00086104"/>
    <w:rsid w:val="000D6C98"/>
    <w:rsid w:val="000F45FB"/>
    <w:rsid w:val="001A3997"/>
    <w:rsid w:val="001C6CFF"/>
    <w:rsid w:val="0024407A"/>
    <w:rsid w:val="00271192"/>
    <w:rsid w:val="002A54CC"/>
    <w:rsid w:val="002C15A4"/>
    <w:rsid w:val="002E3812"/>
    <w:rsid w:val="003F7553"/>
    <w:rsid w:val="004C0CBA"/>
    <w:rsid w:val="004D6D7E"/>
    <w:rsid w:val="00567023"/>
    <w:rsid w:val="00597ECC"/>
    <w:rsid w:val="005D2EE7"/>
    <w:rsid w:val="0061610C"/>
    <w:rsid w:val="0063527D"/>
    <w:rsid w:val="00670E70"/>
    <w:rsid w:val="00675171"/>
    <w:rsid w:val="006772C2"/>
    <w:rsid w:val="006D4475"/>
    <w:rsid w:val="007A3D7D"/>
    <w:rsid w:val="007B38BE"/>
    <w:rsid w:val="007B6D89"/>
    <w:rsid w:val="008159E3"/>
    <w:rsid w:val="008E1555"/>
    <w:rsid w:val="008E3CED"/>
    <w:rsid w:val="00927A30"/>
    <w:rsid w:val="009C3C9C"/>
    <w:rsid w:val="00A150EF"/>
    <w:rsid w:val="00A41DBB"/>
    <w:rsid w:val="00A639FF"/>
    <w:rsid w:val="00A903D9"/>
    <w:rsid w:val="00AA65DF"/>
    <w:rsid w:val="00AC5D3E"/>
    <w:rsid w:val="00BA270B"/>
    <w:rsid w:val="00CD3B84"/>
    <w:rsid w:val="00CF55B0"/>
    <w:rsid w:val="00D24009"/>
    <w:rsid w:val="00D33842"/>
    <w:rsid w:val="00DA485A"/>
    <w:rsid w:val="00DA67FB"/>
    <w:rsid w:val="00DA7BEB"/>
    <w:rsid w:val="00DC6260"/>
    <w:rsid w:val="00DE308E"/>
    <w:rsid w:val="00E7358B"/>
    <w:rsid w:val="00EE14BA"/>
    <w:rsid w:val="00EE57BD"/>
    <w:rsid w:val="00F03676"/>
    <w:rsid w:val="00F55CD5"/>
    <w:rsid w:val="00FB14F1"/>
    <w:rsid w:val="00FC0882"/>
    <w:rsid w:val="00FD1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A412"/>
  <w15:chartTrackingRefBased/>
  <w15:docId w15:val="{FA8CD697-DBDF-460B-9085-538EAB1C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308E"/>
    <w:rPr>
      <w:b/>
      <w:bCs/>
    </w:rPr>
  </w:style>
  <w:style w:type="paragraph" w:styleId="ListParagraph">
    <w:name w:val="List Paragraph"/>
    <w:basedOn w:val="Normal"/>
    <w:uiPriority w:val="34"/>
    <w:qFormat/>
    <w:rsid w:val="00271192"/>
    <w:pPr>
      <w:ind w:left="720"/>
      <w:contextualSpacing/>
    </w:pPr>
  </w:style>
  <w:style w:type="paragraph" w:styleId="Header">
    <w:name w:val="header"/>
    <w:basedOn w:val="Normal"/>
    <w:link w:val="HeaderChar"/>
    <w:uiPriority w:val="99"/>
    <w:unhideWhenUsed/>
    <w:rsid w:val="002C1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5A4"/>
  </w:style>
  <w:style w:type="paragraph" w:styleId="Footer">
    <w:name w:val="footer"/>
    <w:basedOn w:val="Normal"/>
    <w:link w:val="FooterChar"/>
    <w:uiPriority w:val="99"/>
    <w:unhideWhenUsed/>
    <w:rsid w:val="002C1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7BB7A8E-D6B0-49B2-A974-944455F03F28}"/>
</file>

<file path=customXml/itemProps2.xml><?xml version="1.0" encoding="utf-8"?>
<ds:datastoreItem xmlns:ds="http://schemas.openxmlformats.org/officeDocument/2006/customXml" ds:itemID="{734B43D5-7BB7-47D7-855D-4ED1ED39E108}"/>
</file>

<file path=customXml/itemProps3.xml><?xml version="1.0" encoding="utf-8"?>
<ds:datastoreItem xmlns:ds="http://schemas.openxmlformats.org/officeDocument/2006/customXml" ds:itemID="{8469B8C6-0514-45A4-9771-C44FE950DD54}"/>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Sandiford</dc:creator>
  <cp:keywords/>
  <dc:description/>
  <cp:lastModifiedBy>Vo, Rosemary A</cp:lastModifiedBy>
  <cp:revision>2</cp:revision>
  <dcterms:created xsi:type="dcterms:W3CDTF">2018-05-18T05:17:00Z</dcterms:created>
  <dcterms:modified xsi:type="dcterms:W3CDTF">2018-05-18T05:17:00Z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