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03ADF56" w:rsidR="00624A55" w:rsidRPr="008F3D35" w:rsidRDefault="005F1E77" w:rsidP="008F3D35">
      <w:pPr>
        <w:pStyle w:val="Heading1"/>
      </w:pPr>
      <w:r>
        <w:rPr>
          <w:lang w:val="en-AU"/>
        </w:rPr>
        <w:t xml:space="preserve">Oral Reading </w:t>
      </w:r>
      <w:r w:rsidR="00D941F8">
        <w:rPr>
          <w:lang w:val="en-AU"/>
        </w:rPr>
        <w:t>Fluency</w:t>
      </w:r>
    </w:p>
    <w:p w14:paraId="04C959CB" w14:textId="77777777" w:rsidR="00D941F8" w:rsidRPr="001C4345" w:rsidRDefault="00D941F8" w:rsidP="00D941F8">
      <w:pPr>
        <w:spacing w:before="100" w:beforeAutospacing="1" w:after="100" w:afterAutospacing="1" w:line="240" w:lineRule="exact"/>
        <w:contextualSpacing/>
        <w:rPr>
          <w:rFonts w:eastAsia="Times New Roman" w:cstheme="minorHAnsi"/>
          <w:b/>
          <w:bCs/>
          <w:sz w:val="24"/>
        </w:rPr>
      </w:pPr>
      <w:r w:rsidRPr="001C4345">
        <w:rPr>
          <w:rFonts w:eastAsia="Times New Roman" w:cstheme="minorHAnsi"/>
          <w:b/>
          <w:bCs/>
          <w:sz w:val="24"/>
        </w:rPr>
        <w:t>This paper relates to the following Australian Professional Standards for Teachers</w:t>
      </w:r>
    </w:p>
    <w:p w14:paraId="3B867618" w14:textId="77777777" w:rsidR="00D941F8" w:rsidRPr="001C4345" w:rsidRDefault="00D941F8" w:rsidP="00D941F8">
      <w:pPr>
        <w:spacing w:before="100" w:beforeAutospacing="1" w:after="100" w:afterAutospacing="1" w:line="240" w:lineRule="exact"/>
        <w:contextualSpacing/>
        <w:rPr>
          <w:rFonts w:eastAsia="Times New Roman" w:cstheme="minorHAnsi"/>
          <w:sz w:val="24"/>
        </w:rPr>
      </w:pPr>
    </w:p>
    <w:p w14:paraId="306D5D26" w14:textId="30D7233C" w:rsidR="00D941F8" w:rsidRPr="001C4345" w:rsidRDefault="00D941F8" w:rsidP="00D941F8">
      <w:pPr>
        <w:spacing w:before="100" w:beforeAutospacing="1" w:after="100" w:afterAutospacing="1" w:line="240" w:lineRule="exact"/>
        <w:contextualSpacing/>
        <w:rPr>
          <w:rFonts w:eastAsia="Times New Roman" w:cstheme="minorHAnsi"/>
          <w:b/>
          <w:bCs/>
          <w:sz w:val="24"/>
        </w:rPr>
      </w:pPr>
      <w:r w:rsidRPr="001C4345">
        <w:rPr>
          <w:rFonts w:eastAsia="Times New Roman" w:cstheme="minorHAnsi"/>
          <w:b/>
          <w:bCs/>
          <w:sz w:val="24"/>
        </w:rPr>
        <w:t>Standard 1 Know students and how they learn</w:t>
      </w:r>
    </w:p>
    <w:p w14:paraId="486F72FD" w14:textId="77777777" w:rsidR="00D941F8" w:rsidRPr="001C4345" w:rsidRDefault="00D941F8" w:rsidP="00D941F8">
      <w:pPr>
        <w:spacing w:before="100" w:beforeAutospacing="1" w:after="100" w:afterAutospacing="1" w:line="240" w:lineRule="exact"/>
        <w:contextualSpacing/>
        <w:rPr>
          <w:rFonts w:eastAsia="Times New Roman" w:cstheme="minorHAnsi"/>
          <w:b/>
          <w:bCs/>
          <w:sz w:val="24"/>
        </w:rPr>
      </w:pPr>
    </w:p>
    <w:p w14:paraId="6E9B39E4" w14:textId="77777777" w:rsidR="00D941F8" w:rsidRPr="001C4345" w:rsidRDefault="00D941F8" w:rsidP="00D941F8">
      <w:pPr>
        <w:spacing w:before="100" w:beforeAutospacing="1" w:after="100" w:afterAutospacing="1" w:line="240" w:lineRule="exact"/>
        <w:ind w:firstLine="720"/>
        <w:contextualSpacing/>
        <w:rPr>
          <w:rFonts w:eastAsia="Times New Roman" w:cstheme="minorHAnsi"/>
          <w:sz w:val="24"/>
        </w:rPr>
      </w:pPr>
      <w:r w:rsidRPr="001C4345">
        <w:rPr>
          <w:rFonts w:eastAsia="Times New Roman" w:cstheme="minorHAnsi"/>
          <w:sz w:val="24"/>
        </w:rPr>
        <w:t>1.2 Understand how students learn</w:t>
      </w:r>
    </w:p>
    <w:p w14:paraId="5408DDC8" w14:textId="77777777" w:rsidR="00D941F8" w:rsidRPr="001C4345" w:rsidRDefault="00D941F8" w:rsidP="00D941F8">
      <w:pPr>
        <w:spacing w:before="100" w:beforeAutospacing="1" w:after="100" w:afterAutospacing="1" w:line="240" w:lineRule="exact"/>
        <w:contextualSpacing/>
        <w:rPr>
          <w:rFonts w:eastAsia="Times New Roman" w:cstheme="minorHAnsi"/>
          <w:sz w:val="24"/>
        </w:rPr>
      </w:pPr>
    </w:p>
    <w:p w14:paraId="73312888" w14:textId="769B249B" w:rsidR="00D941F8" w:rsidRPr="001C4345" w:rsidRDefault="00D941F8" w:rsidP="00D941F8">
      <w:pPr>
        <w:spacing w:before="100" w:beforeAutospacing="1" w:after="100" w:afterAutospacing="1" w:line="240" w:lineRule="exact"/>
        <w:contextualSpacing/>
        <w:rPr>
          <w:rFonts w:eastAsia="Times New Roman" w:cstheme="minorHAnsi"/>
          <w:b/>
          <w:bCs/>
          <w:sz w:val="24"/>
        </w:rPr>
      </w:pPr>
      <w:r w:rsidRPr="001C4345">
        <w:rPr>
          <w:rFonts w:eastAsia="Times New Roman" w:cstheme="minorHAnsi"/>
          <w:b/>
          <w:bCs/>
          <w:sz w:val="24"/>
        </w:rPr>
        <w:t>Standard 2: Know the content and how to teach it</w:t>
      </w:r>
    </w:p>
    <w:p w14:paraId="38D84033" w14:textId="77777777" w:rsidR="00D941F8" w:rsidRPr="001C4345" w:rsidRDefault="00D941F8" w:rsidP="00D941F8">
      <w:pPr>
        <w:spacing w:before="100" w:beforeAutospacing="1" w:after="100" w:afterAutospacing="1" w:line="240" w:lineRule="exact"/>
        <w:contextualSpacing/>
        <w:rPr>
          <w:rFonts w:eastAsia="Times New Roman" w:cstheme="minorHAnsi"/>
          <w:b/>
          <w:bCs/>
          <w:sz w:val="24"/>
        </w:rPr>
      </w:pPr>
    </w:p>
    <w:p w14:paraId="3FECD24E" w14:textId="77777777" w:rsidR="00D941F8" w:rsidRPr="001C4345" w:rsidRDefault="00D941F8" w:rsidP="00D941F8">
      <w:pPr>
        <w:spacing w:before="100" w:beforeAutospacing="1" w:after="100" w:afterAutospacing="1" w:line="240" w:lineRule="exact"/>
        <w:ind w:firstLine="720"/>
        <w:contextualSpacing/>
        <w:rPr>
          <w:rFonts w:eastAsia="Times New Roman" w:cstheme="minorHAnsi"/>
          <w:sz w:val="24"/>
        </w:rPr>
      </w:pPr>
      <w:r w:rsidRPr="001C4345">
        <w:rPr>
          <w:rFonts w:eastAsia="Times New Roman" w:cstheme="minorHAnsi"/>
          <w:sz w:val="24"/>
        </w:rPr>
        <w:t>2.1 Content and teaching strategies of the teaching area</w:t>
      </w:r>
    </w:p>
    <w:p w14:paraId="7B4CDF90" w14:textId="77777777" w:rsidR="00D941F8" w:rsidRPr="001C4345" w:rsidRDefault="00D941F8" w:rsidP="00D941F8">
      <w:pPr>
        <w:spacing w:before="100" w:beforeAutospacing="1" w:after="100" w:afterAutospacing="1" w:line="240" w:lineRule="exact"/>
        <w:ind w:firstLine="720"/>
        <w:contextualSpacing/>
        <w:rPr>
          <w:rFonts w:eastAsia="Times New Roman" w:cstheme="minorHAnsi"/>
          <w:sz w:val="24"/>
        </w:rPr>
      </w:pPr>
      <w:r w:rsidRPr="001C4345">
        <w:rPr>
          <w:rFonts w:eastAsia="Times New Roman" w:cstheme="minorHAnsi"/>
          <w:sz w:val="24"/>
        </w:rPr>
        <w:t>2.5 Literacy and numeracies strategies</w:t>
      </w:r>
    </w:p>
    <w:p w14:paraId="4F29805D" w14:textId="77777777" w:rsidR="00D941F8" w:rsidRPr="001C4345" w:rsidRDefault="00D941F8" w:rsidP="00D941F8">
      <w:pPr>
        <w:spacing w:before="100" w:beforeAutospacing="1" w:after="100" w:afterAutospacing="1" w:line="240" w:lineRule="exact"/>
        <w:contextualSpacing/>
        <w:rPr>
          <w:rFonts w:eastAsia="Times New Roman" w:cstheme="minorHAnsi"/>
          <w:sz w:val="24"/>
        </w:rPr>
      </w:pPr>
    </w:p>
    <w:p w14:paraId="062E3CBE" w14:textId="5B23C1F6" w:rsidR="00D941F8" w:rsidRPr="001C4345" w:rsidRDefault="00D941F8" w:rsidP="00D941F8">
      <w:pPr>
        <w:spacing w:before="100" w:beforeAutospacing="1" w:after="100" w:afterAutospacing="1" w:line="240" w:lineRule="exact"/>
        <w:contextualSpacing/>
        <w:rPr>
          <w:rFonts w:eastAsia="Times New Roman" w:cstheme="minorHAnsi"/>
          <w:b/>
          <w:bCs/>
          <w:sz w:val="24"/>
        </w:rPr>
      </w:pPr>
      <w:r w:rsidRPr="001C4345">
        <w:rPr>
          <w:rFonts w:eastAsia="Times New Roman" w:cstheme="minorHAnsi"/>
          <w:b/>
          <w:bCs/>
          <w:sz w:val="24"/>
        </w:rPr>
        <w:t>Standard 3:  Plan for and implement effective teaching and learning</w:t>
      </w:r>
    </w:p>
    <w:p w14:paraId="05D4E79E" w14:textId="77777777" w:rsidR="00D941F8" w:rsidRPr="001C4345" w:rsidRDefault="00D941F8" w:rsidP="00D941F8">
      <w:pPr>
        <w:spacing w:before="100" w:beforeAutospacing="1" w:after="100" w:afterAutospacing="1" w:line="240" w:lineRule="exact"/>
        <w:contextualSpacing/>
        <w:rPr>
          <w:rFonts w:eastAsia="Times New Roman" w:cstheme="minorHAnsi"/>
          <w:b/>
          <w:bCs/>
          <w:sz w:val="24"/>
        </w:rPr>
      </w:pPr>
    </w:p>
    <w:p w14:paraId="36DCE70B" w14:textId="77777777" w:rsidR="00D941F8" w:rsidRPr="001C4345" w:rsidRDefault="00D941F8" w:rsidP="00D941F8">
      <w:pPr>
        <w:spacing w:before="100" w:beforeAutospacing="1" w:after="100" w:afterAutospacing="1" w:line="240" w:lineRule="exact"/>
        <w:ind w:firstLine="720"/>
        <w:contextualSpacing/>
        <w:rPr>
          <w:rFonts w:eastAsia="Times New Roman" w:cstheme="minorHAnsi"/>
          <w:sz w:val="24"/>
        </w:rPr>
      </w:pPr>
      <w:r w:rsidRPr="001C4345">
        <w:rPr>
          <w:rFonts w:eastAsia="Times New Roman" w:cstheme="minorHAnsi"/>
          <w:sz w:val="24"/>
        </w:rPr>
        <w:t>3.3 Use teaching strategies</w:t>
      </w:r>
    </w:p>
    <w:p w14:paraId="7D101E54" w14:textId="6CBD204C" w:rsidR="00624A55" w:rsidRPr="00624A55" w:rsidRDefault="00624A55" w:rsidP="00624A55">
      <w:pPr>
        <w:pStyle w:val="Intro"/>
      </w:pPr>
    </w:p>
    <w:p w14:paraId="4BFD3CD3" w14:textId="3E7979C5" w:rsidR="00D941F8" w:rsidRPr="005F1E77" w:rsidRDefault="00D11BCB" w:rsidP="005F1E77">
      <w:pPr>
        <w:pStyle w:val="Heading2"/>
        <w:rPr>
          <w:lang w:val="en-AU"/>
        </w:rPr>
      </w:pPr>
      <w:r>
        <w:rPr>
          <w:lang w:val="en-AU"/>
        </w:rPr>
        <w:t>What is oral reading fluency</w:t>
      </w:r>
      <w:r w:rsidR="006A07BA">
        <w:rPr>
          <w:lang w:val="en-AU"/>
        </w:rPr>
        <w:t>?</w:t>
      </w:r>
    </w:p>
    <w:p w14:paraId="1B4E9DC5" w14:textId="4415E519" w:rsidR="00D941F8" w:rsidRPr="001C4345" w:rsidRDefault="00D941F8" w:rsidP="00D941F8">
      <w:pPr>
        <w:spacing w:before="100" w:beforeAutospacing="1" w:after="100" w:afterAutospacing="1"/>
        <w:rPr>
          <w:rFonts w:eastAsia="Times New Roman" w:cstheme="minorHAnsi"/>
          <w:sz w:val="24"/>
        </w:rPr>
      </w:pPr>
      <w:r w:rsidRPr="001C4345">
        <w:rPr>
          <w:rFonts w:eastAsia="Times New Roman" w:cstheme="minorHAnsi"/>
          <w:sz w:val="24"/>
        </w:rPr>
        <w:t>Oral reading fluency is the ability to read texts</w:t>
      </w:r>
      <w:r w:rsidR="005C3437" w:rsidRPr="001C4345">
        <w:rPr>
          <w:rFonts w:eastAsia="Times New Roman" w:cstheme="minorHAnsi"/>
          <w:sz w:val="24"/>
        </w:rPr>
        <w:t xml:space="preserve"> aloud</w:t>
      </w:r>
      <w:r w:rsidRPr="001C4345">
        <w:rPr>
          <w:rFonts w:eastAsia="Times New Roman" w:cstheme="minorHAnsi"/>
          <w:sz w:val="24"/>
        </w:rPr>
        <w:t xml:space="preserve"> with accuracy, appropriate speed and prosody (expression and phrasing). Reading fluency has been identified as a key component of successful reading (Konza, 2016). Recent research support</w:t>
      </w:r>
      <w:r w:rsidR="002963D6" w:rsidRPr="001C4345">
        <w:rPr>
          <w:rFonts w:eastAsia="Times New Roman" w:cstheme="minorHAnsi"/>
          <w:sz w:val="24"/>
        </w:rPr>
        <w:t>s</w:t>
      </w:r>
      <w:r w:rsidR="00A30014" w:rsidRPr="001C4345">
        <w:rPr>
          <w:rFonts w:eastAsia="Times New Roman" w:cstheme="minorHAnsi"/>
          <w:sz w:val="24"/>
        </w:rPr>
        <w:t xml:space="preserve"> </w:t>
      </w:r>
      <w:r w:rsidRPr="001C4345">
        <w:rPr>
          <w:rFonts w:eastAsia="Times New Roman" w:cstheme="minorHAnsi"/>
          <w:sz w:val="24"/>
        </w:rPr>
        <w:t>that fluency is impacted by decoding and word recognition and show</w:t>
      </w:r>
      <w:r w:rsidR="002963D6" w:rsidRPr="001C4345">
        <w:rPr>
          <w:rFonts w:eastAsia="Times New Roman" w:cstheme="minorHAnsi"/>
          <w:sz w:val="24"/>
        </w:rPr>
        <w:t>s</w:t>
      </w:r>
      <w:r w:rsidRPr="001C4345">
        <w:rPr>
          <w:rFonts w:eastAsia="Times New Roman" w:cstheme="minorHAnsi"/>
          <w:sz w:val="24"/>
        </w:rPr>
        <w:t xml:space="preserve"> that reading fluency is supported by comprehension (Hudson et al., 2020). </w:t>
      </w:r>
    </w:p>
    <w:p w14:paraId="6B714828" w14:textId="72456A31" w:rsidR="00624A55" w:rsidRPr="00624A55" w:rsidRDefault="00D11BCB" w:rsidP="00624A55">
      <w:pPr>
        <w:pStyle w:val="Heading2"/>
        <w:rPr>
          <w:lang w:val="en-AU"/>
        </w:rPr>
      </w:pPr>
      <w:r>
        <w:rPr>
          <w:lang w:val="en-AU"/>
        </w:rPr>
        <w:t xml:space="preserve">What are the </w:t>
      </w:r>
      <w:r w:rsidR="00A30014">
        <w:rPr>
          <w:lang w:val="en-AU"/>
        </w:rPr>
        <w:t xml:space="preserve">main </w:t>
      </w:r>
      <w:r>
        <w:rPr>
          <w:lang w:val="en-AU"/>
        </w:rPr>
        <w:t>aspects of oral reading fluency?</w:t>
      </w:r>
    </w:p>
    <w:p w14:paraId="73EA0A55" w14:textId="06F6E7B1" w:rsidR="00624A55" w:rsidRPr="00D11BCB" w:rsidRDefault="00D11BCB" w:rsidP="00D11BCB">
      <w:pPr>
        <w:spacing w:before="100" w:beforeAutospacing="1" w:after="100" w:afterAutospacing="1"/>
        <w:rPr>
          <w:rFonts w:eastAsia="Times New Roman" w:cstheme="minorHAnsi"/>
          <w:szCs w:val="22"/>
        </w:rPr>
      </w:pPr>
      <w:r w:rsidRPr="00D11BCB">
        <w:rPr>
          <w:rFonts w:eastAsia="Times New Roman" w:cstheme="minorHAnsi"/>
          <w:szCs w:val="22"/>
        </w:rPr>
        <w:t xml:space="preserve">There are </w:t>
      </w:r>
      <w:r w:rsidR="00A30014">
        <w:rPr>
          <w:rFonts w:eastAsia="Times New Roman" w:cstheme="minorHAnsi"/>
          <w:szCs w:val="22"/>
        </w:rPr>
        <w:t>3</w:t>
      </w:r>
      <w:r w:rsidRPr="00D11BCB">
        <w:rPr>
          <w:rFonts w:eastAsia="Times New Roman" w:cstheme="minorHAnsi"/>
          <w:szCs w:val="22"/>
        </w:rPr>
        <w:t xml:space="preserve"> main aspects of reading fluency that can be</w:t>
      </w:r>
      <w:r w:rsidR="00E5623A">
        <w:rPr>
          <w:rFonts w:eastAsia="Times New Roman" w:cstheme="minorHAnsi"/>
          <w:szCs w:val="22"/>
        </w:rPr>
        <w:t xml:space="preserve"> </w:t>
      </w:r>
      <w:r w:rsidRPr="00D11BCB">
        <w:rPr>
          <w:rFonts w:eastAsia="Times New Roman" w:cstheme="minorHAnsi"/>
          <w:szCs w:val="22"/>
        </w:rPr>
        <w:t xml:space="preserve">taught and assessed. </w:t>
      </w:r>
      <w:r>
        <w:rPr>
          <w:rFonts w:eastAsia="Times New Roman" w:cstheme="minorHAnsi"/>
          <w:szCs w:val="22"/>
        </w:rPr>
        <w:t>They are</w:t>
      </w:r>
      <w:r w:rsidR="00A30014">
        <w:rPr>
          <w:rFonts w:eastAsia="Times New Roman" w:cstheme="minorHAnsi"/>
          <w:szCs w:val="22"/>
        </w:rPr>
        <w:t>:</w:t>
      </w:r>
    </w:p>
    <w:p w14:paraId="3950F060" w14:textId="6392D01E" w:rsidR="00122369" w:rsidRDefault="00D11BCB" w:rsidP="00D11BCB">
      <w:pPr>
        <w:pStyle w:val="Bullet1"/>
      </w:pPr>
      <w:r>
        <w:t>Reading accuracy</w:t>
      </w:r>
    </w:p>
    <w:p w14:paraId="1246EFC9" w14:textId="4F2F6659" w:rsidR="00D11BCB" w:rsidRDefault="00D11BCB" w:rsidP="00D11BCB">
      <w:pPr>
        <w:pStyle w:val="Bullet1"/>
      </w:pPr>
      <w:r>
        <w:t>Reading with appropriate speed</w:t>
      </w:r>
    </w:p>
    <w:p w14:paraId="687653D3" w14:textId="5A032EDF" w:rsidR="00D11BCB" w:rsidRDefault="00D11BCB" w:rsidP="00D11BCB">
      <w:pPr>
        <w:pStyle w:val="Bullet1"/>
      </w:pPr>
      <w:r>
        <w:t>Prosody (</w:t>
      </w:r>
      <w:r w:rsidR="00662252">
        <w:t xml:space="preserve">reading with </w:t>
      </w:r>
      <w:r>
        <w:t>expression and</w:t>
      </w:r>
      <w:r w:rsidR="00292C41">
        <w:t xml:space="preserve"> </w:t>
      </w:r>
      <w:r>
        <w:t>phrasing)</w:t>
      </w:r>
      <w:r w:rsidR="006A07BA">
        <w:t>.</w:t>
      </w:r>
    </w:p>
    <w:p w14:paraId="67DEFB89" w14:textId="7064A450" w:rsidR="00D11BCB" w:rsidRDefault="00D11BCB" w:rsidP="00D11BCB">
      <w:pPr>
        <w:rPr>
          <w:lang w:val="en-AU"/>
        </w:rPr>
      </w:pPr>
    </w:p>
    <w:p w14:paraId="0E480CAE" w14:textId="370D3861" w:rsidR="00D11BCB" w:rsidRPr="00624A55" w:rsidRDefault="00D11BCB" w:rsidP="00D11BCB">
      <w:pPr>
        <w:pStyle w:val="Heading2"/>
        <w:rPr>
          <w:lang w:val="en-AU"/>
        </w:rPr>
      </w:pPr>
      <w:r>
        <w:rPr>
          <w:lang w:val="en-AU"/>
        </w:rPr>
        <w:t>Why is reading fluency important?</w:t>
      </w:r>
    </w:p>
    <w:p w14:paraId="45D2DDF1" w14:textId="560CB35D" w:rsidR="00D11BCB" w:rsidRPr="00D11BCB" w:rsidRDefault="6E0C8EF0" w:rsidP="6732F089">
      <w:pPr>
        <w:spacing w:before="100" w:beforeAutospacing="1" w:after="100" w:afterAutospacing="1"/>
        <w:rPr>
          <w:rFonts w:ascii="Arial" w:eastAsia="Arial" w:hAnsi="Arial" w:cs="Arial"/>
          <w:szCs w:val="22"/>
        </w:rPr>
      </w:pPr>
      <w:r w:rsidRPr="6732F089">
        <w:rPr>
          <w:rFonts w:eastAsia="Times New Roman"/>
        </w:rPr>
        <w:t xml:space="preserve">Reading is a complex cognitive process whereby skilled readers decode texts </w:t>
      </w:r>
      <w:r w:rsidR="1C7A1D04" w:rsidRPr="6732F089">
        <w:rPr>
          <w:rFonts w:eastAsia="Times New Roman"/>
        </w:rPr>
        <w:t>to</w:t>
      </w:r>
      <w:r w:rsidRPr="6732F089">
        <w:rPr>
          <w:rFonts w:eastAsia="Times New Roman"/>
        </w:rPr>
        <w:t xml:space="preserve"> make meaning. Research </w:t>
      </w:r>
      <w:r w:rsidR="00A07E5B">
        <w:rPr>
          <w:rFonts w:eastAsia="Times New Roman"/>
        </w:rPr>
        <w:t xml:space="preserve">such as </w:t>
      </w:r>
      <w:r w:rsidR="00A07E5B" w:rsidRPr="6732F089">
        <w:rPr>
          <w:rFonts w:eastAsia="Times New Roman"/>
        </w:rPr>
        <w:t xml:space="preserve">Stevens </w:t>
      </w:r>
      <w:r w:rsidR="00762F98" w:rsidRPr="6732F089">
        <w:rPr>
          <w:rFonts w:eastAsia="Times New Roman"/>
        </w:rPr>
        <w:t>et al.,</w:t>
      </w:r>
      <w:r w:rsidR="00762F98">
        <w:rPr>
          <w:rFonts w:eastAsia="Times New Roman"/>
        </w:rPr>
        <w:t xml:space="preserve"> (</w:t>
      </w:r>
      <w:r w:rsidR="00A07E5B" w:rsidRPr="6732F089">
        <w:rPr>
          <w:rFonts w:eastAsia="Times New Roman"/>
        </w:rPr>
        <w:t>2017)</w:t>
      </w:r>
      <w:r w:rsidR="00A07E5B">
        <w:rPr>
          <w:rFonts w:eastAsia="Times New Roman"/>
        </w:rPr>
        <w:t xml:space="preserve"> </w:t>
      </w:r>
      <w:r w:rsidRPr="6732F089">
        <w:rPr>
          <w:rFonts w:eastAsia="Times New Roman"/>
        </w:rPr>
        <w:t>has demonstrated a positive link between fluency and reading comprehension</w:t>
      </w:r>
      <w:r w:rsidR="00A368B9">
        <w:rPr>
          <w:rFonts w:eastAsia="Times New Roman"/>
        </w:rPr>
        <w:t xml:space="preserve">. </w:t>
      </w:r>
      <w:r w:rsidR="50C64183" w:rsidRPr="6732F089">
        <w:rPr>
          <w:rFonts w:eastAsiaTheme="minorEastAsia"/>
          <w:color w:val="333333"/>
          <w:szCs w:val="22"/>
        </w:rPr>
        <w:t xml:space="preserve">However, reading comprehension is not automatic even when fluency is strong, so educators need to ensure the teaching of comprehension occurs in conjunction with teaching fluency (Duke, Ward &amp; Pearson, 2021). </w:t>
      </w:r>
      <w:r w:rsidR="50C64183" w:rsidRPr="6732F089">
        <w:rPr>
          <w:rFonts w:eastAsiaTheme="minorEastAsia"/>
          <w:szCs w:val="22"/>
        </w:rPr>
        <w:t xml:space="preserve"> </w:t>
      </w:r>
    </w:p>
    <w:p w14:paraId="3D46E239" w14:textId="0233F7D8" w:rsidR="00D11BCB" w:rsidRDefault="00D11BCB" w:rsidP="00D11BCB">
      <w:pPr>
        <w:pStyle w:val="Heading2"/>
        <w:rPr>
          <w:lang w:val="en-AU"/>
        </w:rPr>
      </w:pPr>
      <w:r>
        <w:rPr>
          <w:lang w:val="en-AU"/>
        </w:rPr>
        <w:lastRenderedPageBreak/>
        <w:t>How can fluency be addressed in the classroom?</w:t>
      </w:r>
    </w:p>
    <w:p w14:paraId="5F9E1B02" w14:textId="1A770C2A" w:rsidR="00D11BCB" w:rsidRPr="005F1E77" w:rsidRDefault="00D11BCB" w:rsidP="00D11BCB">
      <w:pPr>
        <w:spacing w:before="100" w:beforeAutospacing="1" w:after="100" w:afterAutospacing="1"/>
        <w:rPr>
          <w:rFonts w:eastAsia="Times New Roman" w:cstheme="minorHAnsi"/>
          <w:szCs w:val="22"/>
        </w:rPr>
      </w:pPr>
      <w:r w:rsidRPr="005F1E77">
        <w:rPr>
          <w:rFonts w:eastAsia="Times New Roman" w:cstheme="minorHAnsi"/>
          <w:szCs w:val="22"/>
        </w:rPr>
        <w:t>The elements that underpin fluency, such as phonological awareness, phonemic awareness and phonics</w:t>
      </w:r>
      <w:r w:rsidR="0091476C">
        <w:rPr>
          <w:rFonts w:eastAsia="Times New Roman" w:cstheme="minorHAnsi"/>
          <w:szCs w:val="22"/>
        </w:rPr>
        <w:t>,</w:t>
      </w:r>
      <w:r w:rsidRPr="005F1E77">
        <w:rPr>
          <w:rFonts w:eastAsia="Times New Roman" w:cstheme="minorHAnsi"/>
          <w:szCs w:val="22"/>
        </w:rPr>
        <w:t xml:space="preserve"> support word recognition and need to be developed over time so that students can read accurately and with appropriate speed. Additionally, ensuring students understand the texts they read will enhance the reciprocal relationship between comprehension and fluency. </w:t>
      </w:r>
    </w:p>
    <w:p w14:paraId="4F7F145C" w14:textId="13C3B31F" w:rsidR="00D11BCB" w:rsidRPr="005F1E77" w:rsidRDefault="00FB78CC" w:rsidP="00D11BCB">
      <w:pPr>
        <w:spacing w:before="100" w:beforeAutospacing="1" w:after="100" w:afterAutospacing="1"/>
        <w:rPr>
          <w:rFonts w:eastAsia="Times New Roman" w:cstheme="minorHAnsi"/>
          <w:szCs w:val="22"/>
        </w:rPr>
      </w:pPr>
      <w:r>
        <w:rPr>
          <w:rFonts w:eastAsia="Times New Roman" w:cstheme="minorHAnsi"/>
          <w:szCs w:val="22"/>
        </w:rPr>
        <w:t xml:space="preserve">Differentiated teaching of fluency is important, as not all students will </w:t>
      </w:r>
      <w:r w:rsidR="00A10291">
        <w:rPr>
          <w:rFonts w:eastAsia="Times New Roman" w:cstheme="minorHAnsi"/>
          <w:szCs w:val="22"/>
        </w:rPr>
        <w:t>automatically develop reading fluenc</w:t>
      </w:r>
      <w:r w:rsidR="00723B05">
        <w:rPr>
          <w:rFonts w:eastAsia="Times New Roman" w:cstheme="minorHAnsi"/>
          <w:szCs w:val="22"/>
        </w:rPr>
        <w:t xml:space="preserve">y. </w:t>
      </w:r>
      <w:r w:rsidR="00457A0F">
        <w:rPr>
          <w:rFonts w:eastAsia="Times New Roman" w:cstheme="minorHAnsi"/>
          <w:szCs w:val="22"/>
        </w:rPr>
        <w:t xml:space="preserve">Monitoring fluency will </w:t>
      </w:r>
      <w:r w:rsidR="00E544FA">
        <w:rPr>
          <w:rFonts w:eastAsia="Times New Roman" w:cstheme="minorHAnsi"/>
          <w:szCs w:val="22"/>
        </w:rPr>
        <w:t xml:space="preserve">help teachers determine if students are improving their decoding skills as well as their ability to apply </w:t>
      </w:r>
      <w:r w:rsidR="00723B05">
        <w:rPr>
          <w:rFonts w:eastAsia="Times New Roman" w:cstheme="minorHAnsi"/>
          <w:szCs w:val="22"/>
        </w:rPr>
        <w:t xml:space="preserve">elements of oral language to the text (Kuhn, 2020). </w:t>
      </w:r>
      <w:r w:rsidR="00D11BCB" w:rsidRPr="005F1E77">
        <w:rPr>
          <w:rFonts w:eastAsia="Times New Roman" w:cstheme="minorHAnsi"/>
          <w:szCs w:val="22"/>
        </w:rPr>
        <w:t xml:space="preserve">The explicit teaching of reading fluency includes demonstrating what fluent reading sounds like; explaining to students the relationship between fluency and comprehension and planning sequences of learning that support students to build skills in reading speed, accuracy and prosody. The explicit teaching of fluency involves </w:t>
      </w:r>
      <w:r w:rsidR="005C3437">
        <w:rPr>
          <w:rFonts w:eastAsia="Times New Roman" w:cstheme="minorHAnsi"/>
          <w:szCs w:val="22"/>
        </w:rPr>
        <w:t xml:space="preserve">using </w:t>
      </w:r>
      <w:r w:rsidR="00D11BCB" w:rsidRPr="005F1E77">
        <w:rPr>
          <w:rFonts w:eastAsia="Times New Roman" w:cstheme="minorHAnsi"/>
          <w:szCs w:val="22"/>
        </w:rPr>
        <w:t xml:space="preserve">a wide range of texts, including texts for repeated readings and texts which take into account students’ interests, background knowledge and knowledge of vocabulary. </w:t>
      </w:r>
    </w:p>
    <w:p w14:paraId="593CF832" w14:textId="34A9B4D1" w:rsidR="00D11BCB" w:rsidRPr="005F1E77" w:rsidRDefault="00CA6DD2" w:rsidP="3E531C4F">
      <w:pPr>
        <w:spacing w:before="100" w:beforeAutospacing="1" w:after="100" w:afterAutospacing="1"/>
        <w:rPr>
          <w:rFonts w:eastAsia="Times New Roman"/>
        </w:rPr>
      </w:pPr>
      <w:r w:rsidRPr="3E531C4F">
        <w:rPr>
          <w:rFonts w:eastAsia="Times New Roman"/>
        </w:rPr>
        <w:t xml:space="preserve">Reading with prosody involves applying the stresses and intonations of oral language </w:t>
      </w:r>
      <w:r w:rsidR="00931162" w:rsidRPr="3E531C4F">
        <w:rPr>
          <w:rFonts w:eastAsia="Times New Roman"/>
        </w:rPr>
        <w:t>to written texts (Kuhn, 2020).</w:t>
      </w:r>
      <w:r w:rsidR="00344D50" w:rsidRPr="3E531C4F">
        <w:rPr>
          <w:rFonts w:eastAsia="Times New Roman"/>
        </w:rPr>
        <w:t xml:space="preserve"> </w:t>
      </w:r>
      <w:r w:rsidR="001F5C3E" w:rsidRPr="3E531C4F">
        <w:rPr>
          <w:rFonts w:eastAsia="Times New Roman"/>
        </w:rPr>
        <w:t xml:space="preserve">Expression </w:t>
      </w:r>
      <w:r w:rsidR="00AC6A48" w:rsidRPr="3E531C4F">
        <w:rPr>
          <w:rFonts w:eastAsia="Times New Roman"/>
        </w:rPr>
        <w:t xml:space="preserve">is </w:t>
      </w:r>
      <w:r w:rsidR="001F5C3E" w:rsidRPr="3E531C4F">
        <w:rPr>
          <w:rFonts w:eastAsia="Times New Roman"/>
        </w:rPr>
        <w:t xml:space="preserve">created by </w:t>
      </w:r>
      <w:r w:rsidR="00AC6A48" w:rsidRPr="3E531C4F">
        <w:rPr>
          <w:rFonts w:eastAsia="Times New Roman"/>
        </w:rPr>
        <w:t>s</w:t>
      </w:r>
      <w:r w:rsidR="001F5C3E" w:rsidRPr="3E531C4F">
        <w:rPr>
          <w:rFonts w:eastAsia="Times New Roman"/>
        </w:rPr>
        <w:t>tressing words at appropriate points</w:t>
      </w:r>
      <w:r w:rsidR="00AC6A48" w:rsidRPr="3E531C4F">
        <w:rPr>
          <w:rFonts w:eastAsia="Times New Roman"/>
        </w:rPr>
        <w:t xml:space="preserve"> an</w:t>
      </w:r>
      <w:r w:rsidR="00566E8D" w:rsidRPr="3E531C4F">
        <w:rPr>
          <w:rFonts w:eastAsia="Times New Roman"/>
        </w:rPr>
        <w:t xml:space="preserve">d </w:t>
      </w:r>
      <w:r w:rsidR="001F5C3E" w:rsidRPr="3E531C4F">
        <w:rPr>
          <w:rFonts w:eastAsia="Times New Roman"/>
        </w:rPr>
        <w:t>reading aloud words</w:t>
      </w:r>
      <w:r w:rsidR="00566E8D" w:rsidRPr="3E531C4F">
        <w:rPr>
          <w:rFonts w:eastAsia="Times New Roman"/>
        </w:rPr>
        <w:t xml:space="preserve"> in meaningful phrases.</w:t>
      </w:r>
      <w:r w:rsidR="00931162" w:rsidRPr="3E531C4F">
        <w:rPr>
          <w:rFonts w:eastAsia="Times New Roman"/>
        </w:rPr>
        <w:t xml:space="preserve"> </w:t>
      </w:r>
      <w:r w:rsidR="001F5C3E" w:rsidRPr="3E531C4F">
        <w:rPr>
          <w:rFonts w:eastAsia="Times New Roman"/>
        </w:rPr>
        <w:t xml:space="preserve">Attending to punctuation helps prosody. </w:t>
      </w:r>
      <w:r w:rsidR="00D11BCB" w:rsidRPr="3E531C4F">
        <w:rPr>
          <w:rFonts w:eastAsia="Times New Roman"/>
        </w:rPr>
        <w:t xml:space="preserve">Teachers can support students to </w:t>
      </w:r>
      <w:r w:rsidR="00B82B9F" w:rsidRPr="3E531C4F">
        <w:rPr>
          <w:rFonts w:eastAsia="Times New Roman"/>
        </w:rPr>
        <w:t xml:space="preserve">note punctuation and </w:t>
      </w:r>
      <w:r w:rsidR="00D11BCB" w:rsidRPr="3E531C4F">
        <w:rPr>
          <w:rFonts w:eastAsia="Times New Roman"/>
        </w:rPr>
        <w:t xml:space="preserve">see where sentences can be broken up into meaningful phrases. This may include identifying declarative sentences that require a decline in pitch; identifying questions which require a raise in pitch; identifying where pauses are appropriate and using expression for character dialogue. </w:t>
      </w:r>
      <w:r w:rsidR="00931162" w:rsidRPr="3E531C4F">
        <w:rPr>
          <w:rFonts w:eastAsia="Times New Roman"/>
        </w:rPr>
        <w:t>Prosody is central to reading fluency and comprehension.</w:t>
      </w:r>
      <w:r w:rsidR="0055584A" w:rsidRPr="3E531C4F">
        <w:rPr>
          <w:rFonts w:eastAsia="Times New Roman"/>
        </w:rPr>
        <w:t xml:space="preserve"> </w:t>
      </w:r>
    </w:p>
    <w:p w14:paraId="360C8F1B" w14:textId="15080D01" w:rsidR="005F1E77" w:rsidRPr="00624A55" w:rsidRDefault="005F1E77" w:rsidP="005F1E77">
      <w:pPr>
        <w:pStyle w:val="Heading3"/>
        <w:rPr>
          <w:lang w:val="en-AU"/>
        </w:rPr>
      </w:pPr>
      <w:r>
        <w:rPr>
          <w:lang w:val="en-AU"/>
        </w:rPr>
        <w:t xml:space="preserve">Repeated </w:t>
      </w:r>
      <w:r w:rsidR="00EC3DC1">
        <w:rPr>
          <w:lang w:val="en-AU"/>
        </w:rPr>
        <w:t>r</w:t>
      </w:r>
      <w:r>
        <w:rPr>
          <w:lang w:val="en-AU"/>
        </w:rPr>
        <w:t>eadings</w:t>
      </w:r>
    </w:p>
    <w:p w14:paraId="5E51D363" w14:textId="64201C8A" w:rsidR="005F1E77" w:rsidRPr="005F1E77" w:rsidRDefault="285CB0D4" w:rsidP="0CC199BB">
      <w:pPr>
        <w:spacing w:before="100" w:beforeAutospacing="1" w:after="100" w:afterAutospacing="1"/>
        <w:rPr>
          <w:rFonts w:eastAsia="Times New Roman"/>
        </w:rPr>
      </w:pPr>
      <w:r w:rsidRPr="6732F089">
        <w:rPr>
          <w:rFonts w:eastAsia="Times New Roman"/>
        </w:rPr>
        <w:t xml:space="preserve">Repeated readings of a text or section of a text may positively impact fluency, particularly for students who have reading difficulties (Hudson et al., 2020; Kim et al., 2017; </w:t>
      </w:r>
      <w:r w:rsidR="00072413">
        <w:rPr>
          <w:rFonts w:eastAsia="Times New Roman"/>
        </w:rPr>
        <w:t>Kuhn</w:t>
      </w:r>
      <w:r w:rsidR="00064613">
        <w:rPr>
          <w:rFonts w:eastAsia="Times New Roman"/>
        </w:rPr>
        <w:t xml:space="preserve">, 2020; </w:t>
      </w:r>
      <w:r w:rsidRPr="6732F089">
        <w:rPr>
          <w:rFonts w:eastAsia="Times New Roman"/>
        </w:rPr>
        <w:t>Stevens et al.</w:t>
      </w:r>
      <w:r w:rsidR="6685B928" w:rsidRPr="6732F089">
        <w:rPr>
          <w:rFonts w:eastAsia="Times New Roman"/>
        </w:rPr>
        <w:t>, 2017</w:t>
      </w:r>
      <w:r w:rsidRPr="6732F089">
        <w:rPr>
          <w:rFonts w:eastAsia="Times New Roman"/>
        </w:rPr>
        <w:t>). Repeated readings can be organised in the classroom in ways that students find engaging. For example</w:t>
      </w:r>
      <w:r w:rsidR="00E10490">
        <w:rPr>
          <w:rFonts w:eastAsia="Times New Roman"/>
        </w:rPr>
        <w:t>:</w:t>
      </w:r>
      <w:r w:rsidRPr="6732F089">
        <w:rPr>
          <w:rFonts w:eastAsia="Times New Roman"/>
        </w:rPr>
        <w:t xml:space="preserve"> </w:t>
      </w:r>
    </w:p>
    <w:p w14:paraId="04275D1A" w14:textId="77777777" w:rsidR="005F1E77" w:rsidRPr="005F1E77" w:rsidRDefault="005F1E77" w:rsidP="005F1E77">
      <w:pPr>
        <w:pStyle w:val="ListParagraph"/>
        <w:numPr>
          <w:ilvl w:val="0"/>
          <w:numId w:val="18"/>
        </w:numPr>
        <w:spacing w:before="100" w:beforeAutospacing="1" w:after="100" w:afterAutospacing="1"/>
        <w:rPr>
          <w:rFonts w:eastAsia="Times New Roman" w:cstheme="minorHAnsi"/>
          <w:szCs w:val="22"/>
        </w:rPr>
      </w:pPr>
      <w:r w:rsidRPr="005F1E77">
        <w:rPr>
          <w:rFonts w:eastAsia="Times New Roman" w:cstheme="minorHAnsi"/>
          <w:szCs w:val="22"/>
        </w:rPr>
        <w:t>reading texts with a partner</w:t>
      </w:r>
    </w:p>
    <w:p w14:paraId="752B63A4" w14:textId="77777777" w:rsidR="005F1E77" w:rsidRPr="005F1E77" w:rsidRDefault="005F1E77" w:rsidP="005F1E77">
      <w:pPr>
        <w:pStyle w:val="ListParagraph"/>
        <w:numPr>
          <w:ilvl w:val="0"/>
          <w:numId w:val="18"/>
        </w:numPr>
        <w:spacing w:before="100" w:beforeAutospacing="1" w:after="100" w:afterAutospacing="1"/>
        <w:rPr>
          <w:rFonts w:eastAsia="Times New Roman" w:cstheme="minorHAnsi"/>
          <w:szCs w:val="22"/>
        </w:rPr>
      </w:pPr>
      <w:r w:rsidRPr="005F1E77">
        <w:rPr>
          <w:rFonts w:eastAsia="Times New Roman" w:cstheme="minorHAnsi"/>
          <w:szCs w:val="22"/>
        </w:rPr>
        <w:t>recording reading on a digital device</w:t>
      </w:r>
    </w:p>
    <w:p w14:paraId="1C9A896F" w14:textId="77777777" w:rsidR="005F1E77" w:rsidRPr="005F1E77" w:rsidRDefault="005F1E77" w:rsidP="005F1E77">
      <w:pPr>
        <w:pStyle w:val="ListParagraph"/>
        <w:numPr>
          <w:ilvl w:val="0"/>
          <w:numId w:val="18"/>
        </w:numPr>
        <w:spacing w:before="100" w:beforeAutospacing="1" w:after="100" w:afterAutospacing="1"/>
        <w:rPr>
          <w:rFonts w:eastAsia="Times New Roman" w:cstheme="minorHAnsi"/>
          <w:szCs w:val="22"/>
        </w:rPr>
      </w:pPr>
      <w:r w:rsidRPr="005F1E77">
        <w:rPr>
          <w:rFonts w:eastAsia="Times New Roman" w:cstheme="minorHAnsi"/>
          <w:szCs w:val="22"/>
        </w:rPr>
        <w:t>practising a text to read to an audience</w:t>
      </w:r>
    </w:p>
    <w:p w14:paraId="6F972EBA" w14:textId="77777777" w:rsidR="005F1E77" w:rsidRPr="005F1E77" w:rsidRDefault="005F1E77" w:rsidP="005F1E77">
      <w:pPr>
        <w:pStyle w:val="ListParagraph"/>
        <w:numPr>
          <w:ilvl w:val="0"/>
          <w:numId w:val="18"/>
        </w:numPr>
        <w:spacing w:before="100" w:beforeAutospacing="1" w:after="100" w:afterAutospacing="1"/>
        <w:rPr>
          <w:rFonts w:eastAsia="Times New Roman" w:cstheme="minorHAnsi"/>
          <w:szCs w:val="22"/>
        </w:rPr>
      </w:pPr>
      <w:r w:rsidRPr="005F1E77">
        <w:rPr>
          <w:rFonts w:eastAsia="Times New Roman" w:cstheme="minorHAnsi"/>
          <w:szCs w:val="22"/>
        </w:rPr>
        <w:t>measuring reading speed with an egg timer</w:t>
      </w:r>
    </w:p>
    <w:p w14:paraId="15E899BF" w14:textId="77777777" w:rsidR="005F1E77" w:rsidRPr="005F1E77" w:rsidRDefault="005F1E77" w:rsidP="005F1E77">
      <w:pPr>
        <w:pStyle w:val="ListParagraph"/>
        <w:numPr>
          <w:ilvl w:val="0"/>
          <w:numId w:val="18"/>
        </w:numPr>
        <w:spacing w:before="100" w:beforeAutospacing="1" w:after="100" w:afterAutospacing="1"/>
        <w:rPr>
          <w:rFonts w:eastAsia="Times New Roman" w:cstheme="minorHAnsi"/>
          <w:szCs w:val="22"/>
        </w:rPr>
      </w:pPr>
      <w:r w:rsidRPr="005F1E77">
        <w:rPr>
          <w:rFonts w:eastAsia="Times New Roman" w:cstheme="minorHAnsi"/>
          <w:szCs w:val="22"/>
        </w:rPr>
        <w:t>using a fluency phone to listen to yourself read (fluency phones can be purchased from educational suppliers or made by using a PVC pipe or flexible tube)</w:t>
      </w:r>
    </w:p>
    <w:p w14:paraId="175EF7C0" w14:textId="21334F89" w:rsidR="005F1E77" w:rsidRPr="005F1E77" w:rsidRDefault="005F1E77" w:rsidP="005F1E77">
      <w:pPr>
        <w:pStyle w:val="ListParagraph"/>
        <w:numPr>
          <w:ilvl w:val="0"/>
          <w:numId w:val="18"/>
        </w:numPr>
        <w:spacing w:before="100" w:beforeAutospacing="1" w:after="100" w:afterAutospacing="1"/>
        <w:rPr>
          <w:rFonts w:eastAsia="Times New Roman" w:cstheme="minorHAnsi"/>
          <w:szCs w:val="22"/>
        </w:rPr>
      </w:pPr>
      <w:r w:rsidRPr="005F1E77">
        <w:rPr>
          <w:rFonts w:eastAsia="Times New Roman" w:cstheme="minorHAnsi"/>
          <w:szCs w:val="22"/>
        </w:rPr>
        <w:t>marking sections in the text that are significant, such as</w:t>
      </w:r>
      <w:r w:rsidR="005C3437">
        <w:rPr>
          <w:rFonts w:eastAsia="Times New Roman" w:cstheme="minorHAnsi"/>
          <w:szCs w:val="22"/>
        </w:rPr>
        <w:t xml:space="preserve"> </w:t>
      </w:r>
      <w:r w:rsidRPr="005F1E77">
        <w:rPr>
          <w:rFonts w:eastAsia="Times New Roman" w:cstheme="minorHAnsi"/>
          <w:szCs w:val="22"/>
        </w:rPr>
        <w:t xml:space="preserve">highlighting the full stops or dialogue. </w:t>
      </w:r>
    </w:p>
    <w:p w14:paraId="31533F8B" w14:textId="40F3026E" w:rsidR="005F1E77" w:rsidRDefault="005F1E77" w:rsidP="005F1E77">
      <w:pPr>
        <w:spacing w:before="100" w:beforeAutospacing="1" w:after="100" w:afterAutospacing="1"/>
        <w:rPr>
          <w:rFonts w:eastAsia="Times New Roman" w:cstheme="minorHAnsi"/>
          <w:szCs w:val="22"/>
        </w:rPr>
      </w:pPr>
      <w:r w:rsidRPr="005F1E77">
        <w:rPr>
          <w:rFonts w:eastAsia="Times New Roman" w:cstheme="minorHAnsi"/>
          <w:szCs w:val="22"/>
        </w:rPr>
        <w:t>Additional benefits o</w:t>
      </w:r>
      <w:r w:rsidR="005C3437">
        <w:rPr>
          <w:rFonts w:eastAsia="Times New Roman" w:cstheme="minorHAnsi"/>
          <w:szCs w:val="22"/>
        </w:rPr>
        <w:t>f</w:t>
      </w:r>
      <w:r w:rsidRPr="005F1E77">
        <w:rPr>
          <w:rFonts w:eastAsia="Times New Roman" w:cstheme="minorHAnsi"/>
          <w:szCs w:val="22"/>
        </w:rPr>
        <w:t xml:space="preserve"> repeated readings include multiple exposure to vocabulary</w:t>
      </w:r>
      <w:r w:rsidR="005C3437">
        <w:rPr>
          <w:rFonts w:eastAsia="Times New Roman" w:cstheme="minorHAnsi"/>
          <w:szCs w:val="22"/>
        </w:rPr>
        <w:t xml:space="preserve">, </w:t>
      </w:r>
      <w:r w:rsidR="00A368B9">
        <w:rPr>
          <w:rFonts w:eastAsia="Times New Roman" w:cstheme="minorHAnsi"/>
          <w:szCs w:val="22"/>
        </w:rPr>
        <w:t xml:space="preserve">and </w:t>
      </w:r>
      <w:r w:rsidRPr="005F1E77">
        <w:rPr>
          <w:rFonts w:eastAsia="Times New Roman" w:cstheme="minorHAnsi"/>
          <w:szCs w:val="22"/>
        </w:rPr>
        <w:t xml:space="preserve">grammatical and spelling patterns. </w:t>
      </w:r>
    </w:p>
    <w:p w14:paraId="45B1126C" w14:textId="77777777" w:rsidR="007C3867" w:rsidRPr="005F1E77" w:rsidRDefault="007C3867" w:rsidP="005F1E77">
      <w:pPr>
        <w:spacing w:before="100" w:beforeAutospacing="1" w:after="100" w:afterAutospacing="1"/>
        <w:rPr>
          <w:rFonts w:eastAsia="Times New Roman" w:cstheme="minorHAnsi"/>
          <w:szCs w:val="22"/>
        </w:rPr>
      </w:pPr>
    </w:p>
    <w:p w14:paraId="6EAD45CD" w14:textId="1ADEB378" w:rsidR="00EC3DC1" w:rsidRPr="00624A55" w:rsidRDefault="00EC3DC1" w:rsidP="00EC3DC1">
      <w:pPr>
        <w:pStyle w:val="Heading3"/>
        <w:rPr>
          <w:lang w:val="en-AU"/>
        </w:rPr>
      </w:pPr>
      <w:r>
        <w:rPr>
          <w:lang w:val="en-AU"/>
        </w:rPr>
        <w:lastRenderedPageBreak/>
        <w:t>Independent reading</w:t>
      </w:r>
    </w:p>
    <w:p w14:paraId="25FBDE1A" w14:textId="23199798" w:rsidR="005C3437" w:rsidRDefault="005F1E77" w:rsidP="0D9D3070">
      <w:pPr>
        <w:spacing w:before="100" w:beforeAutospacing="1" w:after="100" w:afterAutospacing="1"/>
        <w:rPr>
          <w:rStyle w:val="normaltextrun"/>
          <w:rFonts w:ascii="Arial" w:hAnsi="Arial" w:cs="Arial"/>
          <w:b/>
          <w:bCs/>
          <w:color w:val="E25205"/>
          <w:sz w:val="28"/>
          <w:szCs w:val="28"/>
          <w:shd w:val="clear" w:color="auto" w:fill="FFFFFF"/>
        </w:rPr>
      </w:pPr>
      <w:r w:rsidRPr="0D9D3070">
        <w:rPr>
          <w:rFonts w:eastAsia="Times New Roman"/>
        </w:rPr>
        <w:t xml:space="preserve">The practice </w:t>
      </w:r>
      <w:r w:rsidR="00EC3DC1" w:rsidRPr="0D9D3070">
        <w:rPr>
          <w:rFonts w:eastAsia="Times New Roman"/>
        </w:rPr>
        <w:t xml:space="preserve">of </w:t>
      </w:r>
      <w:hyperlink r:id="rId12">
        <w:r w:rsidRPr="0D9D3070">
          <w:rPr>
            <w:rStyle w:val="Hyperlink"/>
            <w:rFonts w:eastAsia="Times New Roman"/>
          </w:rPr>
          <w:t>independent reading</w:t>
        </w:r>
      </w:hyperlink>
      <w:r w:rsidRPr="0D9D3070">
        <w:rPr>
          <w:rFonts w:eastAsia="Times New Roman"/>
        </w:rPr>
        <w:t xml:space="preserve"> following a teaching session can be used for students to practice accuracy, speed and expression. When reading independently students </w:t>
      </w:r>
      <w:r w:rsidR="00E10490">
        <w:rPr>
          <w:rFonts w:eastAsia="Times New Roman"/>
        </w:rPr>
        <w:t>may</w:t>
      </w:r>
      <w:r w:rsidR="00E10490" w:rsidRPr="0D9D3070">
        <w:rPr>
          <w:rFonts w:eastAsia="Times New Roman"/>
        </w:rPr>
        <w:t xml:space="preserve"> </w:t>
      </w:r>
      <w:r w:rsidRPr="0D9D3070">
        <w:rPr>
          <w:rFonts w:eastAsia="Times New Roman"/>
        </w:rPr>
        <w:t xml:space="preserve">be guided to read texts the teacher has selected, but there should also be </w:t>
      </w:r>
      <w:r w:rsidR="00A368B9">
        <w:rPr>
          <w:rFonts w:eastAsia="Times New Roman"/>
        </w:rPr>
        <w:t xml:space="preserve">an </w:t>
      </w:r>
      <w:r w:rsidRPr="0D9D3070">
        <w:rPr>
          <w:rFonts w:eastAsia="Times New Roman"/>
        </w:rPr>
        <w:t>opportunity for students to select the texts they would like to use to practise fluent reading.</w:t>
      </w:r>
    </w:p>
    <w:p w14:paraId="39CCDD50" w14:textId="0353193D" w:rsidR="005C3437" w:rsidRDefault="005C3437" w:rsidP="0D9D3070">
      <w:pPr>
        <w:spacing w:before="100" w:beforeAutospacing="1" w:after="100" w:afterAutospacing="1"/>
        <w:rPr>
          <w:rFonts w:eastAsia="Times New Roman" w:cstheme="majorBidi"/>
        </w:rPr>
      </w:pPr>
      <w:r>
        <w:rPr>
          <w:rStyle w:val="normaltextrun"/>
          <w:rFonts w:ascii="Arial" w:hAnsi="Arial" w:cs="Arial"/>
          <w:b/>
          <w:bCs/>
          <w:color w:val="E25205"/>
          <w:sz w:val="28"/>
          <w:szCs w:val="28"/>
          <w:shd w:val="clear" w:color="auto" w:fill="FFFFFF"/>
        </w:rPr>
        <w:t>Modelled reading, shared reading and choral reading</w:t>
      </w:r>
      <w:r>
        <w:rPr>
          <w:rStyle w:val="eop"/>
          <w:rFonts w:ascii="Arial" w:hAnsi="Arial" w:cs="Arial"/>
          <w:b/>
          <w:bCs/>
          <w:color w:val="E25205"/>
          <w:sz w:val="28"/>
          <w:szCs w:val="28"/>
          <w:shd w:val="clear" w:color="auto" w:fill="FFFFFF"/>
        </w:rPr>
        <w:t> </w:t>
      </w:r>
      <w:r w:rsidRPr="0D9D3070">
        <w:rPr>
          <w:rFonts w:eastAsia="Times New Roman" w:cstheme="majorBidi"/>
        </w:rPr>
        <w:t xml:space="preserve"> </w:t>
      </w:r>
    </w:p>
    <w:p w14:paraId="5C6450C4" w14:textId="710AC398" w:rsidR="005F1E77" w:rsidRPr="005F1E77" w:rsidRDefault="005F1E77" w:rsidP="0D9D3070">
      <w:pPr>
        <w:spacing w:before="100" w:beforeAutospacing="1" w:after="100" w:afterAutospacing="1"/>
        <w:rPr>
          <w:rFonts w:eastAsia="Times New Roman"/>
        </w:rPr>
      </w:pPr>
      <w:r w:rsidRPr="0D9D3070">
        <w:rPr>
          <w:rFonts w:eastAsia="Times New Roman"/>
        </w:rPr>
        <w:t xml:space="preserve">Common teaching practices can be used to address fluency. During </w:t>
      </w:r>
      <w:hyperlink r:id="rId13" w:anchor=":~:text=Literacy%20Teaching%20Toolkit%20Modelled%20reading%20lessons%20Modelled%20reading,different%20styles%20of%20writing%20and%20types%20of%20text.">
        <w:r w:rsidRPr="0D9D3070">
          <w:rPr>
            <w:rStyle w:val="Hyperlink"/>
            <w:rFonts w:eastAsia="Times New Roman"/>
          </w:rPr>
          <w:t>modelled reading</w:t>
        </w:r>
      </w:hyperlink>
      <w:r w:rsidRPr="0D9D3070">
        <w:rPr>
          <w:rFonts w:eastAsia="Times New Roman"/>
        </w:rPr>
        <w:t xml:space="preserve"> sessions teacher</w:t>
      </w:r>
      <w:r w:rsidR="00E10490">
        <w:rPr>
          <w:rFonts w:eastAsia="Times New Roman"/>
        </w:rPr>
        <w:t>s</w:t>
      </w:r>
      <w:r w:rsidRPr="0D9D3070">
        <w:rPr>
          <w:rFonts w:eastAsia="Times New Roman"/>
        </w:rPr>
        <w:t xml:space="preserve"> can draw attention to fluent reading and demonstrate how phrasing and expression can aid meaning making. During </w:t>
      </w:r>
      <w:hyperlink r:id="rId14" w:anchor=":~:text=Literacy%20Teaching%20Toolkit%20Shared%20reading%20lessons%20Shared%20reading,print%2C%20phonological%20awareness%2C%20phonics%2C%20vocabulary%2C%20fluency%20and%20comprehension.">
        <w:r w:rsidRPr="0D9D3070">
          <w:rPr>
            <w:rStyle w:val="Hyperlink"/>
            <w:rFonts w:eastAsia="Times New Roman"/>
          </w:rPr>
          <w:t>shared reading</w:t>
        </w:r>
      </w:hyperlink>
      <w:r w:rsidRPr="0D9D3070">
        <w:rPr>
          <w:rFonts w:eastAsia="Times New Roman"/>
        </w:rPr>
        <w:t xml:space="preserve"> sessions, teachers</w:t>
      </w:r>
      <w:r w:rsidR="00E10490">
        <w:rPr>
          <w:rFonts w:eastAsia="Times New Roman"/>
        </w:rPr>
        <w:t>’</w:t>
      </w:r>
      <w:r w:rsidRPr="0D9D3070">
        <w:rPr>
          <w:rFonts w:eastAsia="Times New Roman"/>
        </w:rPr>
        <w:t xml:space="preserve"> guidance can help students read sections of a text with fluency. Texts suited to read aloud, such as poems or chants, can be read in choral reading sessions (where the group read together).</w:t>
      </w:r>
    </w:p>
    <w:p w14:paraId="0F7B5D93" w14:textId="252E2E06" w:rsidR="005F1E77" w:rsidRPr="005F1E77" w:rsidRDefault="005F1E77" w:rsidP="005F1E77">
      <w:pPr>
        <w:pStyle w:val="Heading3"/>
        <w:rPr>
          <w:lang w:val="en-AU"/>
        </w:rPr>
      </w:pPr>
      <w:r>
        <w:rPr>
          <w:lang w:val="en-AU"/>
        </w:rPr>
        <w:t xml:space="preserve">Rhyming </w:t>
      </w:r>
      <w:r w:rsidR="00EC3DC1">
        <w:rPr>
          <w:lang w:val="en-AU"/>
        </w:rPr>
        <w:t>p</w:t>
      </w:r>
      <w:r>
        <w:rPr>
          <w:lang w:val="en-AU"/>
        </w:rPr>
        <w:t>oetry and</w:t>
      </w:r>
      <w:r w:rsidR="00EC3DC1">
        <w:rPr>
          <w:lang w:val="en-AU"/>
        </w:rPr>
        <w:t xml:space="preserve"> Readers</w:t>
      </w:r>
      <w:r w:rsidR="002E63A3">
        <w:rPr>
          <w:lang w:val="en-AU"/>
        </w:rPr>
        <w:t>’</w:t>
      </w:r>
      <w:r w:rsidR="00EC3DC1">
        <w:rPr>
          <w:lang w:val="en-AU"/>
        </w:rPr>
        <w:t xml:space="preserve"> Theatre</w:t>
      </w:r>
    </w:p>
    <w:p w14:paraId="0AC1993C" w14:textId="27D95818" w:rsidR="005F1E77" w:rsidRPr="005F1E77" w:rsidRDefault="005F1E77" w:rsidP="005F1E77">
      <w:pPr>
        <w:spacing w:before="100" w:beforeAutospacing="1" w:after="100" w:afterAutospacing="1"/>
        <w:rPr>
          <w:rFonts w:eastAsia="Times New Roman" w:cstheme="minorHAnsi"/>
          <w:szCs w:val="22"/>
        </w:rPr>
      </w:pPr>
      <w:r w:rsidRPr="005F1E77">
        <w:rPr>
          <w:rFonts w:eastAsia="Times New Roman" w:cstheme="minorHAnsi"/>
          <w:szCs w:val="22"/>
        </w:rPr>
        <w:t xml:space="preserve">The use of rhyming poems and </w:t>
      </w:r>
      <w:hyperlink r:id="rId15" w:history="1">
        <w:r w:rsidRPr="00EC3DC1">
          <w:rPr>
            <w:rStyle w:val="Hyperlink"/>
            <w:rFonts w:eastAsia="Times New Roman" w:cstheme="minorHAnsi"/>
            <w:szCs w:val="22"/>
          </w:rPr>
          <w:t>Readers</w:t>
        </w:r>
        <w:r w:rsidR="002E63A3">
          <w:rPr>
            <w:rStyle w:val="Hyperlink"/>
            <w:rFonts w:eastAsia="Times New Roman" w:cstheme="minorHAnsi"/>
            <w:szCs w:val="22"/>
          </w:rPr>
          <w:t>’</w:t>
        </w:r>
        <w:r w:rsidRPr="00EC3DC1">
          <w:rPr>
            <w:rStyle w:val="Hyperlink"/>
            <w:rFonts w:eastAsia="Times New Roman" w:cstheme="minorHAnsi"/>
            <w:szCs w:val="22"/>
          </w:rPr>
          <w:t xml:space="preserve"> Theatre</w:t>
        </w:r>
      </w:hyperlink>
      <w:r w:rsidRPr="005F1E77">
        <w:rPr>
          <w:rFonts w:eastAsia="Times New Roman" w:cstheme="minorHAnsi"/>
          <w:szCs w:val="22"/>
        </w:rPr>
        <w:t xml:space="preserve"> have been found to be effective </w:t>
      </w:r>
      <w:r w:rsidR="00001BAA">
        <w:rPr>
          <w:rFonts w:eastAsia="Times New Roman" w:cstheme="minorHAnsi"/>
          <w:szCs w:val="22"/>
        </w:rPr>
        <w:t xml:space="preserve">oral reading </w:t>
      </w:r>
      <w:r w:rsidRPr="005F1E77">
        <w:rPr>
          <w:rFonts w:eastAsia="Times New Roman" w:cstheme="minorHAnsi"/>
          <w:szCs w:val="22"/>
        </w:rPr>
        <w:t>strategies which enhance students’ phonological awareness,</w:t>
      </w:r>
      <w:r w:rsidR="00A368B9">
        <w:rPr>
          <w:rFonts w:eastAsia="Times New Roman" w:cstheme="minorHAnsi"/>
          <w:szCs w:val="22"/>
        </w:rPr>
        <w:t xml:space="preserve"> and</w:t>
      </w:r>
      <w:r w:rsidRPr="005F1E77">
        <w:rPr>
          <w:rFonts w:eastAsia="Times New Roman" w:cstheme="minorHAnsi"/>
          <w:szCs w:val="22"/>
        </w:rPr>
        <w:t xml:space="preserve"> knowledge of orthographic patterns and phonemes. These strategies have been shown to improve oral reading fluency (Rasinski et al., 2016).</w:t>
      </w:r>
    </w:p>
    <w:p w14:paraId="40205B8D" w14:textId="240943D7" w:rsidR="005F1E77" w:rsidRPr="005F1E77" w:rsidRDefault="005F1E77" w:rsidP="005F1E77">
      <w:pPr>
        <w:pStyle w:val="Heading3"/>
        <w:rPr>
          <w:lang w:val="en-AU"/>
        </w:rPr>
      </w:pPr>
      <w:r>
        <w:rPr>
          <w:lang w:val="en-AU"/>
        </w:rPr>
        <w:t xml:space="preserve">Fluency </w:t>
      </w:r>
      <w:r w:rsidR="00EC3DC1">
        <w:rPr>
          <w:lang w:val="en-AU"/>
        </w:rPr>
        <w:t>g</w:t>
      </w:r>
      <w:r>
        <w:rPr>
          <w:lang w:val="en-AU"/>
        </w:rPr>
        <w:t xml:space="preserve">oal </w:t>
      </w:r>
      <w:r w:rsidR="00EC3DC1">
        <w:rPr>
          <w:lang w:val="en-AU"/>
        </w:rPr>
        <w:t>s</w:t>
      </w:r>
      <w:r>
        <w:rPr>
          <w:lang w:val="en-AU"/>
        </w:rPr>
        <w:t>etting</w:t>
      </w:r>
    </w:p>
    <w:p w14:paraId="34651860" w14:textId="2FAAE937" w:rsidR="005F1E77" w:rsidRPr="005F1E77" w:rsidRDefault="002E63A3" w:rsidP="0CC199BB">
      <w:pPr>
        <w:spacing w:before="100" w:beforeAutospacing="1" w:after="100" w:afterAutospacing="1"/>
        <w:rPr>
          <w:rFonts w:eastAsia="Times New Roman"/>
        </w:rPr>
      </w:pPr>
      <w:r>
        <w:rPr>
          <w:rFonts w:eastAsia="Times New Roman"/>
        </w:rPr>
        <w:t>T</w:t>
      </w:r>
      <w:r w:rsidR="285CB0D4" w:rsidRPr="1AE675F7">
        <w:rPr>
          <w:rFonts w:eastAsia="Times New Roman"/>
        </w:rPr>
        <w:t>eacher</w:t>
      </w:r>
      <w:r>
        <w:rPr>
          <w:rFonts w:eastAsia="Times New Roman"/>
        </w:rPr>
        <w:t>s</w:t>
      </w:r>
      <w:r w:rsidR="285CB0D4" w:rsidRPr="1AE675F7">
        <w:rPr>
          <w:rFonts w:eastAsia="Times New Roman"/>
        </w:rPr>
        <w:t xml:space="preserve"> and student</w:t>
      </w:r>
      <w:r>
        <w:rPr>
          <w:rFonts w:eastAsia="Times New Roman"/>
        </w:rPr>
        <w:t>s</w:t>
      </w:r>
      <w:r w:rsidR="285CB0D4" w:rsidRPr="1AE675F7">
        <w:rPr>
          <w:rFonts w:eastAsia="Times New Roman"/>
        </w:rPr>
        <w:t xml:space="preserve"> can set</w:t>
      </w:r>
      <w:r w:rsidR="3AF027EC" w:rsidRPr="1AE675F7">
        <w:rPr>
          <w:rFonts w:eastAsia="Times New Roman"/>
        </w:rPr>
        <w:t xml:space="preserve"> and monitor</w:t>
      </w:r>
      <w:r w:rsidR="285CB0D4" w:rsidRPr="1AE675F7">
        <w:rPr>
          <w:rFonts w:eastAsia="Times New Roman"/>
        </w:rPr>
        <w:t xml:space="preserve"> goals for reading fluency. </w:t>
      </w:r>
      <w:r w:rsidR="059D5057" w:rsidRPr="1AE675F7">
        <w:rPr>
          <w:rFonts w:eastAsia="Times New Roman"/>
        </w:rPr>
        <w:t xml:space="preserve">Goals may be set around word accuracy, prosody or reading with appropriate speed. </w:t>
      </w:r>
      <w:r w:rsidR="285CB0D4" w:rsidRPr="1AE675F7">
        <w:rPr>
          <w:rFonts w:eastAsia="Times New Roman"/>
        </w:rPr>
        <w:t xml:space="preserve"> </w:t>
      </w:r>
      <w:r w:rsidR="00DC16AC">
        <w:rPr>
          <w:rFonts w:eastAsia="Times New Roman"/>
        </w:rPr>
        <w:t>However, c</w:t>
      </w:r>
      <w:r w:rsidR="71B992FB" w:rsidRPr="1AE675F7">
        <w:rPr>
          <w:rFonts w:eastAsia="Times New Roman"/>
        </w:rPr>
        <w:t>aution needs to be taken w</w:t>
      </w:r>
      <w:r w:rsidR="34C65446" w:rsidRPr="1AE675F7">
        <w:rPr>
          <w:rFonts w:eastAsia="Times New Roman"/>
        </w:rPr>
        <w:t xml:space="preserve">hen setting goals about appropriate speed of reading. Studies have highlighted </w:t>
      </w:r>
      <w:r w:rsidR="0C5A4C70" w:rsidRPr="1AE675F7">
        <w:rPr>
          <w:rFonts w:eastAsia="Times New Roman"/>
        </w:rPr>
        <w:t>that measuring reading speed is the dominant assessment of fluency</w:t>
      </w:r>
      <w:r w:rsidR="05077ABD" w:rsidRPr="1AE675F7">
        <w:rPr>
          <w:rFonts w:eastAsia="Times New Roman"/>
        </w:rPr>
        <w:t>, but fast reading does not always mean fluent reading</w:t>
      </w:r>
      <w:r w:rsidR="0C5A4C70" w:rsidRPr="1AE675F7">
        <w:rPr>
          <w:rFonts w:eastAsia="Times New Roman"/>
        </w:rPr>
        <w:t xml:space="preserve">. </w:t>
      </w:r>
      <w:r w:rsidR="2EC39B0B" w:rsidRPr="1AE675F7">
        <w:rPr>
          <w:rFonts w:eastAsia="Times New Roman"/>
        </w:rPr>
        <w:t xml:space="preserve">Some </w:t>
      </w:r>
      <w:r w:rsidR="4FF55A94" w:rsidRPr="1AE675F7">
        <w:rPr>
          <w:rFonts w:eastAsia="Times New Roman"/>
        </w:rPr>
        <w:t>students</w:t>
      </w:r>
      <w:r w:rsidR="0C5A4C70" w:rsidRPr="1AE675F7">
        <w:rPr>
          <w:rFonts w:eastAsia="Times New Roman"/>
        </w:rPr>
        <w:t xml:space="preserve"> </w:t>
      </w:r>
      <w:r w:rsidR="2E4B1522" w:rsidRPr="1AE675F7">
        <w:rPr>
          <w:rFonts w:eastAsia="Times New Roman"/>
        </w:rPr>
        <w:t xml:space="preserve">including those </w:t>
      </w:r>
      <w:r w:rsidR="0C5A4C70" w:rsidRPr="1AE675F7">
        <w:rPr>
          <w:rFonts w:eastAsia="Times New Roman"/>
        </w:rPr>
        <w:t>who speak languages other than English may read at slower rates</w:t>
      </w:r>
      <w:r w:rsidR="634296F1" w:rsidRPr="1AE675F7">
        <w:rPr>
          <w:rFonts w:eastAsia="Times New Roman"/>
        </w:rPr>
        <w:t xml:space="preserve"> and </w:t>
      </w:r>
      <w:r w:rsidR="009731C8">
        <w:rPr>
          <w:rFonts w:eastAsia="Times New Roman"/>
        </w:rPr>
        <w:t xml:space="preserve">therefore </w:t>
      </w:r>
      <w:r w:rsidR="634296F1" w:rsidRPr="1AE675F7">
        <w:rPr>
          <w:rFonts w:eastAsia="Times New Roman"/>
        </w:rPr>
        <w:t xml:space="preserve">goal setting </w:t>
      </w:r>
      <w:r w:rsidR="009731C8">
        <w:rPr>
          <w:rFonts w:eastAsia="Times New Roman"/>
        </w:rPr>
        <w:t xml:space="preserve">for </w:t>
      </w:r>
      <w:r w:rsidR="634296F1" w:rsidRPr="1AE675F7">
        <w:rPr>
          <w:rFonts w:eastAsia="Times New Roman"/>
        </w:rPr>
        <w:t>prosody and</w:t>
      </w:r>
      <w:r w:rsidR="1947B1E6" w:rsidRPr="1AE675F7">
        <w:rPr>
          <w:rFonts w:eastAsia="Times New Roman"/>
        </w:rPr>
        <w:t xml:space="preserve"> accuracy </w:t>
      </w:r>
      <w:r w:rsidR="009731C8">
        <w:rPr>
          <w:rFonts w:eastAsia="Times New Roman"/>
        </w:rPr>
        <w:t xml:space="preserve">rather than speed will </w:t>
      </w:r>
      <w:r w:rsidR="1947B1E6" w:rsidRPr="1AE675F7">
        <w:rPr>
          <w:rFonts w:eastAsia="Times New Roman"/>
        </w:rPr>
        <w:t>be of greater importance (Dowd &amp; Bartlett, 2019).</w:t>
      </w:r>
    </w:p>
    <w:p w14:paraId="2564E0C9" w14:textId="07127EAC" w:rsidR="005F1E77" w:rsidRPr="005F1E77" w:rsidRDefault="005F1E77" w:rsidP="005F1E77">
      <w:pPr>
        <w:pStyle w:val="Heading3"/>
        <w:rPr>
          <w:lang w:val="en-AU"/>
        </w:rPr>
      </w:pPr>
      <w:r>
        <w:rPr>
          <w:lang w:val="en-AU"/>
        </w:rPr>
        <w:t xml:space="preserve">Student </w:t>
      </w:r>
      <w:r w:rsidR="00EC3DC1">
        <w:rPr>
          <w:lang w:val="en-AU"/>
        </w:rPr>
        <w:t>s</w:t>
      </w:r>
      <w:r>
        <w:rPr>
          <w:lang w:val="en-AU"/>
        </w:rPr>
        <w:t>elf-</w:t>
      </w:r>
      <w:r w:rsidR="00EC3DC1">
        <w:rPr>
          <w:lang w:val="en-AU"/>
        </w:rPr>
        <w:t>a</w:t>
      </w:r>
      <w:r>
        <w:rPr>
          <w:lang w:val="en-AU"/>
        </w:rPr>
        <w:t>ssessment</w:t>
      </w:r>
    </w:p>
    <w:p w14:paraId="45748423" w14:textId="47C4E309" w:rsidR="009C656B" w:rsidRDefault="005F1E77" w:rsidP="00292C41">
      <w:pPr>
        <w:spacing w:before="100" w:beforeAutospacing="1"/>
        <w:rPr>
          <w:rFonts w:eastAsia="Times New Roman" w:cstheme="minorHAnsi"/>
          <w:szCs w:val="22"/>
        </w:rPr>
      </w:pPr>
      <w:r w:rsidRPr="005F1E77">
        <w:rPr>
          <w:rFonts w:eastAsia="Times New Roman" w:cstheme="minorHAnsi"/>
          <w:szCs w:val="22"/>
        </w:rPr>
        <w:t xml:space="preserve">Student/teacher discussions can support students to self-assess their reading fluency. Students can record themselves in repeated reading of a text and decide which read sounded more fluent. </w:t>
      </w:r>
      <w:r w:rsidR="00DC16AC">
        <w:rPr>
          <w:rFonts w:eastAsia="Times New Roman" w:cstheme="minorHAnsi"/>
          <w:szCs w:val="22"/>
        </w:rPr>
        <w:t>A c</w:t>
      </w:r>
      <w:r w:rsidRPr="005F1E77">
        <w:rPr>
          <w:rFonts w:eastAsia="Times New Roman" w:cstheme="minorHAnsi"/>
          <w:szCs w:val="22"/>
        </w:rPr>
        <w:t>o-constructed rubric</w:t>
      </w:r>
      <w:r w:rsidR="009C656B">
        <w:rPr>
          <w:rFonts w:eastAsia="Times New Roman" w:cstheme="minorHAnsi"/>
          <w:szCs w:val="22"/>
        </w:rPr>
        <w:t xml:space="preserve"> </w:t>
      </w:r>
      <w:r w:rsidR="00E11978">
        <w:rPr>
          <w:rFonts w:eastAsia="Times New Roman" w:cstheme="minorHAnsi"/>
          <w:szCs w:val="22"/>
        </w:rPr>
        <w:t>targeting accuracy, rate and prosody</w:t>
      </w:r>
      <w:r w:rsidRPr="005F1E77">
        <w:rPr>
          <w:rFonts w:eastAsia="Times New Roman" w:cstheme="minorHAnsi"/>
          <w:szCs w:val="22"/>
        </w:rPr>
        <w:t xml:space="preserve"> </w:t>
      </w:r>
      <w:r w:rsidR="009C656B">
        <w:rPr>
          <w:rFonts w:eastAsia="Times New Roman" w:cstheme="minorHAnsi"/>
          <w:szCs w:val="22"/>
        </w:rPr>
        <w:t xml:space="preserve">and </w:t>
      </w:r>
      <w:r w:rsidRPr="005F1E77">
        <w:rPr>
          <w:rFonts w:eastAsia="Times New Roman" w:cstheme="minorHAnsi"/>
          <w:szCs w:val="22"/>
        </w:rPr>
        <w:t>suited to the year level can help student</w:t>
      </w:r>
      <w:r w:rsidR="00DC16AC">
        <w:rPr>
          <w:rFonts w:eastAsia="Times New Roman" w:cstheme="minorHAnsi"/>
          <w:szCs w:val="22"/>
        </w:rPr>
        <w:t>s</w:t>
      </w:r>
      <w:r w:rsidRPr="005F1E77">
        <w:rPr>
          <w:rFonts w:eastAsia="Times New Roman" w:cstheme="minorHAnsi"/>
          <w:szCs w:val="22"/>
        </w:rPr>
        <w:t xml:space="preserve"> </w:t>
      </w:r>
      <w:r w:rsidR="00DC16AC">
        <w:rPr>
          <w:rFonts w:eastAsia="Times New Roman" w:cstheme="minorHAnsi"/>
          <w:szCs w:val="22"/>
        </w:rPr>
        <w:t>with</w:t>
      </w:r>
      <w:r w:rsidRPr="005F1E77">
        <w:rPr>
          <w:rFonts w:eastAsia="Times New Roman" w:cstheme="minorHAnsi"/>
          <w:szCs w:val="22"/>
        </w:rPr>
        <w:t xml:space="preserve"> this process.</w:t>
      </w:r>
      <w:r w:rsidR="009C656B">
        <w:rPr>
          <w:rFonts w:eastAsia="Times New Roman" w:cstheme="minorHAnsi"/>
          <w:szCs w:val="22"/>
        </w:rPr>
        <w:t xml:space="preserve"> For example:</w:t>
      </w:r>
    </w:p>
    <w:p w14:paraId="1D5450EC" w14:textId="7D4B3366" w:rsidR="009C656B" w:rsidRPr="00292C41" w:rsidRDefault="009C656B" w:rsidP="00292C41">
      <w:pPr>
        <w:pStyle w:val="ListParagraph"/>
        <w:numPr>
          <w:ilvl w:val="0"/>
          <w:numId w:val="24"/>
        </w:numPr>
        <w:ind w:left="357" w:hanging="357"/>
        <w:contextualSpacing w:val="0"/>
        <w:rPr>
          <w:rFonts w:eastAsia="Times New Roman" w:cstheme="minorHAnsi"/>
          <w:szCs w:val="22"/>
        </w:rPr>
      </w:pPr>
      <w:r w:rsidRPr="00292C41">
        <w:rPr>
          <w:rFonts w:eastAsia="Times New Roman" w:cstheme="minorHAnsi"/>
          <w:szCs w:val="22"/>
        </w:rPr>
        <w:t xml:space="preserve">Accuracy: I read </w:t>
      </w:r>
      <w:r w:rsidR="00AE7BF3" w:rsidRPr="00292C41">
        <w:rPr>
          <w:rFonts w:eastAsia="Times New Roman" w:cstheme="minorHAnsi"/>
          <w:szCs w:val="22"/>
        </w:rPr>
        <w:t>(all,</w:t>
      </w:r>
      <w:r w:rsidR="00795E32" w:rsidRPr="00292C41">
        <w:rPr>
          <w:rFonts w:eastAsia="Times New Roman" w:cstheme="minorHAnsi"/>
          <w:szCs w:val="22"/>
        </w:rPr>
        <w:t xml:space="preserve"> </w:t>
      </w:r>
      <w:r w:rsidR="00AE7BF3" w:rsidRPr="00292C41">
        <w:rPr>
          <w:rFonts w:eastAsia="Times New Roman" w:cstheme="minorHAnsi"/>
          <w:szCs w:val="22"/>
        </w:rPr>
        <w:t>most, some) of the words correctly.</w:t>
      </w:r>
    </w:p>
    <w:p w14:paraId="6ADDED8C" w14:textId="55E2249B" w:rsidR="00AE7BF3" w:rsidRPr="00292C41" w:rsidRDefault="00AE7BF3" w:rsidP="00292C41">
      <w:pPr>
        <w:pStyle w:val="ListParagraph"/>
        <w:numPr>
          <w:ilvl w:val="0"/>
          <w:numId w:val="24"/>
        </w:numPr>
        <w:ind w:left="357" w:hanging="357"/>
        <w:contextualSpacing w:val="0"/>
        <w:rPr>
          <w:rFonts w:eastAsia="Times New Roman" w:cstheme="minorHAnsi"/>
          <w:szCs w:val="22"/>
        </w:rPr>
      </w:pPr>
      <w:r w:rsidRPr="00292C41">
        <w:rPr>
          <w:rFonts w:eastAsia="Times New Roman" w:cstheme="minorHAnsi"/>
          <w:szCs w:val="22"/>
        </w:rPr>
        <w:t xml:space="preserve">Rate: I read </w:t>
      </w:r>
      <w:r w:rsidR="00AB7B7E" w:rsidRPr="00292C41">
        <w:rPr>
          <w:rFonts w:eastAsia="Times New Roman" w:cstheme="minorHAnsi"/>
          <w:szCs w:val="22"/>
        </w:rPr>
        <w:t xml:space="preserve">(all, most, some) of the words </w:t>
      </w:r>
      <w:r w:rsidR="00EF509A" w:rsidRPr="00292C41">
        <w:rPr>
          <w:rFonts w:eastAsia="Times New Roman" w:cstheme="minorHAnsi"/>
          <w:szCs w:val="22"/>
        </w:rPr>
        <w:t>like I was talking (not too fast and not too slow).</w:t>
      </w:r>
    </w:p>
    <w:p w14:paraId="0459B208" w14:textId="5CF22110" w:rsidR="005275A3" w:rsidRPr="00292C41" w:rsidRDefault="001A4E49" w:rsidP="00292C41">
      <w:pPr>
        <w:pStyle w:val="ListParagraph"/>
        <w:numPr>
          <w:ilvl w:val="0"/>
          <w:numId w:val="24"/>
        </w:numPr>
        <w:ind w:left="357" w:hanging="357"/>
        <w:contextualSpacing w:val="0"/>
        <w:rPr>
          <w:rFonts w:eastAsia="Times New Roman" w:cstheme="minorHAnsi"/>
          <w:szCs w:val="22"/>
        </w:rPr>
      </w:pPr>
      <w:r w:rsidRPr="00292C41">
        <w:rPr>
          <w:rFonts w:eastAsia="Times New Roman" w:cstheme="minorHAnsi"/>
          <w:szCs w:val="22"/>
        </w:rPr>
        <w:t>Prosody:</w:t>
      </w:r>
      <w:r w:rsidR="005275A3" w:rsidRPr="00292C41">
        <w:rPr>
          <w:rFonts w:eastAsia="Times New Roman" w:cstheme="minorHAnsi"/>
          <w:szCs w:val="22"/>
        </w:rPr>
        <w:t xml:space="preserve"> </w:t>
      </w:r>
      <w:r w:rsidRPr="00292C41">
        <w:rPr>
          <w:rFonts w:eastAsia="Times New Roman" w:cstheme="minorHAnsi"/>
          <w:szCs w:val="22"/>
        </w:rPr>
        <w:t xml:space="preserve">I </w:t>
      </w:r>
      <w:r w:rsidR="005275A3" w:rsidRPr="00292C41">
        <w:rPr>
          <w:rFonts w:eastAsia="Times New Roman" w:cstheme="minorHAnsi"/>
          <w:szCs w:val="22"/>
        </w:rPr>
        <w:t>paused at (all, most, some) of the full stops.</w:t>
      </w:r>
    </w:p>
    <w:p w14:paraId="3AA54C90" w14:textId="62E88DAF" w:rsidR="005275A3" w:rsidRPr="00292C41" w:rsidRDefault="005275A3" w:rsidP="00292C41">
      <w:pPr>
        <w:pStyle w:val="ListParagraph"/>
        <w:numPr>
          <w:ilvl w:val="0"/>
          <w:numId w:val="24"/>
        </w:numPr>
        <w:ind w:left="357" w:hanging="357"/>
        <w:contextualSpacing w:val="0"/>
        <w:rPr>
          <w:rFonts w:eastAsia="Times New Roman" w:cstheme="minorHAnsi"/>
          <w:szCs w:val="22"/>
        </w:rPr>
      </w:pPr>
      <w:r w:rsidRPr="00292C41">
        <w:rPr>
          <w:rFonts w:eastAsia="Times New Roman" w:cstheme="minorHAnsi"/>
          <w:szCs w:val="22"/>
        </w:rPr>
        <w:t xml:space="preserve">Prosody: I </w:t>
      </w:r>
      <w:r w:rsidR="00AF41E5" w:rsidRPr="00292C41">
        <w:rPr>
          <w:rFonts w:eastAsia="Times New Roman" w:cstheme="minorHAnsi"/>
          <w:szCs w:val="22"/>
        </w:rPr>
        <w:t xml:space="preserve">raised my pitch </w:t>
      </w:r>
      <w:r w:rsidR="00330375" w:rsidRPr="00292C41">
        <w:rPr>
          <w:rFonts w:eastAsia="Times New Roman" w:cstheme="minorHAnsi"/>
          <w:szCs w:val="22"/>
        </w:rPr>
        <w:t>for (all, some, most) questions.</w:t>
      </w:r>
    </w:p>
    <w:p w14:paraId="5957C327" w14:textId="77777777" w:rsidR="00E11978" w:rsidRPr="005F1E77" w:rsidRDefault="00E11978" w:rsidP="005F1E77">
      <w:pPr>
        <w:spacing w:before="100" w:beforeAutospacing="1" w:after="100" w:afterAutospacing="1"/>
        <w:rPr>
          <w:rFonts w:eastAsia="Times New Roman" w:cstheme="minorHAnsi"/>
          <w:szCs w:val="22"/>
        </w:rPr>
      </w:pPr>
    </w:p>
    <w:p w14:paraId="4D22C4A4" w14:textId="1F95F177" w:rsidR="005F1E77" w:rsidRPr="005F1E77" w:rsidRDefault="005F1E77" w:rsidP="005F1E77">
      <w:pPr>
        <w:pStyle w:val="Heading3"/>
        <w:rPr>
          <w:lang w:val="en-AU"/>
        </w:rPr>
      </w:pPr>
      <w:r>
        <w:rPr>
          <w:lang w:val="en-AU"/>
        </w:rPr>
        <w:lastRenderedPageBreak/>
        <w:t>Assessing fluency</w:t>
      </w:r>
    </w:p>
    <w:p w14:paraId="49DEA53D" w14:textId="3D7A6073" w:rsidR="005F1E77" w:rsidRDefault="285CB0D4" w:rsidP="0CC199BB">
      <w:pPr>
        <w:spacing w:before="100" w:beforeAutospacing="1" w:after="100" w:afterAutospacing="1"/>
        <w:rPr>
          <w:rFonts w:eastAsia="Times New Roman"/>
        </w:rPr>
      </w:pPr>
      <w:r w:rsidRPr="6732F089">
        <w:rPr>
          <w:rFonts w:eastAsia="Times New Roman"/>
        </w:rPr>
        <w:t xml:space="preserve">The English Online Interview (EOI) is a useful starting point when considering the reading fluency of students in Foundation to </w:t>
      </w:r>
      <w:r w:rsidR="002E63A3">
        <w:rPr>
          <w:rFonts w:eastAsia="Times New Roman"/>
        </w:rPr>
        <w:t>Grade</w:t>
      </w:r>
      <w:r w:rsidRPr="6732F089">
        <w:rPr>
          <w:rFonts w:eastAsia="Times New Roman"/>
        </w:rPr>
        <w:t xml:space="preserve"> 2. Teacher judgement used to assess fluency</w:t>
      </w:r>
      <w:r w:rsidR="00D57DD5">
        <w:rPr>
          <w:rFonts w:eastAsia="Times New Roman"/>
        </w:rPr>
        <w:t xml:space="preserve"> is guide</w:t>
      </w:r>
      <w:r w:rsidR="00226175">
        <w:rPr>
          <w:rFonts w:eastAsia="Times New Roman"/>
        </w:rPr>
        <w:t>d</w:t>
      </w:r>
      <w:r w:rsidR="00D57DD5">
        <w:rPr>
          <w:rFonts w:eastAsia="Times New Roman"/>
        </w:rPr>
        <w:t xml:space="preserve"> by</w:t>
      </w:r>
      <w:r w:rsidRPr="6732F089">
        <w:rPr>
          <w:rFonts w:eastAsia="Times New Roman"/>
        </w:rPr>
        <w:t xml:space="preserve"> us</w:t>
      </w:r>
      <w:r w:rsidR="00D57DD5">
        <w:rPr>
          <w:rFonts w:eastAsia="Times New Roman"/>
        </w:rPr>
        <w:t>e of</w:t>
      </w:r>
      <w:r w:rsidRPr="6732F089">
        <w:rPr>
          <w:rFonts w:eastAsia="Times New Roman"/>
        </w:rPr>
        <w:t xml:space="preserve"> descriptive passages which provide information about phrasing, expression, stress, pacing and attention to punctuation. Commercially produced assessments can be used and will provide a count of words read per minute and the opportunity for norm-referencing. However,</w:t>
      </w:r>
      <w:r w:rsidR="2410B80C" w:rsidRPr="6732F089">
        <w:rPr>
          <w:rFonts w:eastAsia="Times New Roman"/>
        </w:rPr>
        <w:t xml:space="preserve"> listening to a student reading aloud is a powerful formative assessment because it helps determine if further explicit teaching and assessment are necessary</w:t>
      </w:r>
      <w:r w:rsidR="00DC16AC">
        <w:rPr>
          <w:rFonts w:eastAsia="Times New Roman"/>
        </w:rPr>
        <w:t>.</w:t>
      </w:r>
    </w:p>
    <w:p w14:paraId="0ADA3BEF" w14:textId="66305745" w:rsidR="00B65BD7" w:rsidDel="00835567" w:rsidRDefault="00B65BD7" w:rsidP="21DF9B88">
      <w:pPr>
        <w:spacing w:before="100" w:beforeAutospacing="1" w:after="100" w:afterAutospacing="1"/>
        <w:rPr>
          <w:rFonts w:eastAsia="Times New Roman"/>
        </w:rPr>
      </w:pPr>
      <w:r w:rsidRPr="21DF9B88">
        <w:rPr>
          <w:rFonts w:eastAsia="Times New Roman"/>
        </w:rPr>
        <w:t xml:space="preserve">Teachers may refer to </w:t>
      </w:r>
      <w:hyperlink r:id="rId16" w:anchor=":~:text=It%20comprises%20three%20main%20tasks,(some%20are%20described%20below)." w:history="1">
        <w:r w:rsidR="00954CD2" w:rsidRPr="21DF9B88">
          <w:rPr>
            <w:rStyle w:val="Hyperlink"/>
          </w:rPr>
          <w:t>Literacy tests and what they assess</w:t>
        </w:r>
      </w:hyperlink>
      <w:r w:rsidR="00954CD2">
        <w:t xml:space="preserve"> </w:t>
      </w:r>
      <w:r w:rsidR="505BD44C" w:rsidRPr="21DF9B88">
        <w:rPr>
          <w:rFonts w:eastAsia="Times New Roman"/>
        </w:rPr>
        <w:t>to find examples</w:t>
      </w:r>
      <w:r w:rsidR="00954CD2" w:rsidRPr="21DF9B88">
        <w:rPr>
          <w:rFonts w:eastAsia="Times New Roman"/>
        </w:rPr>
        <w:t xml:space="preserve"> of assessment tool</w:t>
      </w:r>
      <w:r w:rsidR="763E79C6" w:rsidRPr="21DF9B88">
        <w:rPr>
          <w:rFonts w:eastAsia="Times New Roman"/>
        </w:rPr>
        <w:t>s</w:t>
      </w:r>
      <w:r w:rsidR="00954CD2" w:rsidRPr="21DF9B88">
        <w:rPr>
          <w:rFonts w:eastAsia="Times New Roman"/>
        </w:rPr>
        <w:t xml:space="preserve"> with</w:t>
      </w:r>
      <w:r w:rsidRPr="21DF9B88">
        <w:rPr>
          <w:rFonts w:eastAsia="Times New Roman"/>
        </w:rPr>
        <w:t xml:space="preserve"> an oral fluency </w:t>
      </w:r>
      <w:r w:rsidR="1A81F0AD" w:rsidRPr="21DF9B88">
        <w:rPr>
          <w:rFonts w:eastAsia="Times New Roman"/>
        </w:rPr>
        <w:t>focus</w:t>
      </w:r>
      <w:r w:rsidR="00954CD2" w:rsidRPr="21DF9B88">
        <w:rPr>
          <w:rFonts w:eastAsia="Times New Roman"/>
        </w:rPr>
        <w:t>.</w:t>
      </w:r>
    </w:p>
    <w:p w14:paraId="765E0BFB" w14:textId="6C01E262" w:rsidR="006A07BA" w:rsidRPr="006A07BA" w:rsidRDefault="0054220F" w:rsidP="006A07BA">
      <w:pPr>
        <w:pStyle w:val="Heading2"/>
        <w:rPr>
          <w:lang w:val="en-AU"/>
        </w:rPr>
      </w:pPr>
      <w:r>
        <w:rPr>
          <w:lang w:val="en-AU"/>
        </w:rPr>
        <w:t>Suggestions for further discussion</w:t>
      </w:r>
    </w:p>
    <w:p w14:paraId="30A96150" w14:textId="13B28F60" w:rsidR="005F1E77" w:rsidRPr="005F1E77" w:rsidRDefault="005F1E77" w:rsidP="005F1E77">
      <w:pPr>
        <w:pStyle w:val="Heading3"/>
        <w:rPr>
          <w:lang w:val="en-AU"/>
        </w:rPr>
      </w:pPr>
      <w:r>
        <w:rPr>
          <w:lang w:val="en-AU"/>
        </w:rPr>
        <w:t>Whole</w:t>
      </w:r>
      <w:r w:rsidR="00236D5C">
        <w:rPr>
          <w:lang w:val="en-AU"/>
        </w:rPr>
        <w:t>-</w:t>
      </w:r>
      <w:r>
        <w:rPr>
          <w:lang w:val="en-AU"/>
        </w:rPr>
        <w:t>school processes and procedures</w:t>
      </w:r>
    </w:p>
    <w:p w14:paraId="405A321F" w14:textId="443319C3" w:rsidR="00236D5C" w:rsidRPr="00B44CE0" w:rsidRDefault="005F1E77" w:rsidP="00B44CE0">
      <w:pPr>
        <w:pStyle w:val="ListParagraph"/>
        <w:numPr>
          <w:ilvl w:val="0"/>
          <w:numId w:val="20"/>
        </w:numPr>
        <w:ind w:left="357" w:hanging="357"/>
        <w:contextualSpacing w:val="0"/>
        <w:rPr>
          <w:rFonts w:cstheme="minorHAnsi"/>
          <w:color w:val="0B0C1D"/>
          <w:szCs w:val="22"/>
          <w:shd w:val="clear" w:color="auto" w:fill="FFFFFF"/>
        </w:rPr>
      </w:pPr>
      <w:r w:rsidRPr="00236D5C">
        <w:rPr>
          <w:rFonts w:cstheme="minorHAnsi"/>
          <w:color w:val="0B0C1D"/>
          <w:szCs w:val="22"/>
          <w:shd w:val="clear" w:color="auto" w:fill="FFFFFF"/>
        </w:rPr>
        <w:t>What do we currently have in place to monitor students’ reading fluency? Is it satisfactory?</w:t>
      </w:r>
      <w:r w:rsidR="00226175" w:rsidRPr="00236D5C">
        <w:rPr>
          <w:rFonts w:cstheme="minorHAnsi"/>
          <w:color w:val="0B0C1D"/>
          <w:szCs w:val="22"/>
          <w:shd w:val="clear" w:color="auto" w:fill="FFFFFF"/>
        </w:rPr>
        <w:t xml:space="preserve"> Why? Why not</w:t>
      </w:r>
      <w:r w:rsidR="00236D5C">
        <w:rPr>
          <w:rFonts w:cstheme="minorHAnsi"/>
          <w:color w:val="0B0C1D"/>
          <w:szCs w:val="22"/>
          <w:shd w:val="clear" w:color="auto" w:fill="FFFFFF"/>
        </w:rPr>
        <w:t>?</w:t>
      </w:r>
    </w:p>
    <w:p w14:paraId="3D3D72EB" w14:textId="42CE4116" w:rsidR="00C80C25" w:rsidRPr="00236D5C" w:rsidRDefault="005F1E77" w:rsidP="00B44CE0">
      <w:pPr>
        <w:pStyle w:val="ListParagraph"/>
        <w:numPr>
          <w:ilvl w:val="0"/>
          <w:numId w:val="20"/>
        </w:numPr>
        <w:ind w:left="357" w:hanging="357"/>
        <w:contextualSpacing w:val="0"/>
        <w:rPr>
          <w:color w:val="0B0C1D"/>
          <w:shd w:val="clear" w:color="auto" w:fill="FFFFFF"/>
        </w:rPr>
      </w:pPr>
      <w:r w:rsidRPr="00236D5C">
        <w:rPr>
          <w:color w:val="0B0C1D"/>
          <w:shd w:val="clear" w:color="auto" w:fill="FFFFFF"/>
        </w:rPr>
        <w:t xml:space="preserve">What opportunities do we have for students to read aloud to different audiences? (For example, reading at assemblies, reading to younger year levels, poetry or short story reading over the </w:t>
      </w:r>
      <w:r w:rsidR="006A07BA" w:rsidRPr="00236D5C">
        <w:rPr>
          <w:color w:val="0B0C1D"/>
          <w:shd w:val="clear" w:color="auto" w:fill="FFFFFF"/>
        </w:rPr>
        <w:t>loudspeaker</w:t>
      </w:r>
      <w:r w:rsidRPr="00236D5C">
        <w:rPr>
          <w:color w:val="0B0C1D"/>
          <w:shd w:val="clear" w:color="auto" w:fill="FFFFFF"/>
        </w:rPr>
        <w:t xml:space="preserve"> before recess etc.)</w:t>
      </w:r>
    </w:p>
    <w:p w14:paraId="0D1B4D72" w14:textId="7DA3B5CA" w:rsidR="005F1E77" w:rsidRPr="00236D5C" w:rsidRDefault="005F1E77" w:rsidP="00B44CE0">
      <w:pPr>
        <w:pStyle w:val="ListParagraph"/>
        <w:numPr>
          <w:ilvl w:val="0"/>
          <w:numId w:val="20"/>
        </w:numPr>
        <w:ind w:left="360"/>
        <w:rPr>
          <w:rFonts w:cstheme="minorHAnsi"/>
          <w:color w:val="0B0C1D"/>
          <w:szCs w:val="22"/>
          <w:shd w:val="clear" w:color="auto" w:fill="FFFFFF"/>
        </w:rPr>
      </w:pPr>
      <w:r w:rsidRPr="00236D5C">
        <w:rPr>
          <w:rFonts w:cstheme="minorHAnsi"/>
          <w:color w:val="0B0C1D"/>
          <w:szCs w:val="22"/>
          <w:shd w:val="clear" w:color="auto" w:fill="FFFFFF"/>
        </w:rPr>
        <w:t>How do we engage our school community to understand the importance of reading fluency?</w:t>
      </w:r>
    </w:p>
    <w:p w14:paraId="6B76C350" w14:textId="3FEABA63" w:rsidR="005F1E77" w:rsidRPr="005F1E77" w:rsidRDefault="00C80C25" w:rsidP="005F1E77">
      <w:pPr>
        <w:rPr>
          <w:rFonts w:cstheme="minorHAnsi"/>
          <w:b/>
          <w:bCs/>
          <w:color w:val="0B0C1D"/>
          <w:szCs w:val="22"/>
          <w:shd w:val="clear" w:color="auto" w:fill="FFFFFF"/>
        </w:rPr>
      </w:pPr>
      <w:r>
        <w:rPr>
          <w:rStyle w:val="normaltextrun"/>
          <w:rFonts w:ascii="Arial" w:hAnsi="Arial" w:cs="Arial"/>
          <w:b/>
          <w:bCs/>
          <w:color w:val="E25205"/>
          <w:sz w:val="28"/>
          <w:szCs w:val="28"/>
          <w:shd w:val="clear" w:color="auto" w:fill="FFFFFF"/>
        </w:rPr>
        <w:t>Teacher professional development</w:t>
      </w:r>
      <w:r>
        <w:rPr>
          <w:rStyle w:val="eop"/>
          <w:rFonts w:ascii="Arial" w:hAnsi="Arial" w:cs="Arial"/>
          <w:b/>
          <w:bCs/>
          <w:color w:val="E25205"/>
          <w:sz w:val="28"/>
          <w:szCs w:val="28"/>
          <w:shd w:val="clear" w:color="auto" w:fill="FFFFFF"/>
        </w:rPr>
        <w:t> </w:t>
      </w:r>
      <w:r w:rsidRPr="6732F089">
        <w:rPr>
          <w:lang w:val="en-AU"/>
        </w:rPr>
        <w:t xml:space="preserve"> </w:t>
      </w:r>
    </w:p>
    <w:p w14:paraId="462FB70B" w14:textId="0C820D8F" w:rsidR="005F1E77" w:rsidRPr="00236D5C" w:rsidRDefault="005F1E77" w:rsidP="00B44CE0">
      <w:pPr>
        <w:pStyle w:val="ListParagraph"/>
        <w:numPr>
          <w:ilvl w:val="0"/>
          <w:numId w:val="22"/>
        </w:numPr>
        <w:ind w:left="357" w:hanging="357"/>
        <w:contextualSpacing w:val="0"/>
        <w:rPr>
          <w:rFonts w:cstheme="minorHAnsi"/>
          <w:color w:val="0B0C1D"/>
          <w:szCs w:val="22"/>
          <w:shd w:val="clear" w:color="auto" w:fill="FFFFFF"/>
        </w:rPr>
      </w:pPr>
      <w:r w:rsidRPr="00236D5C">
        <w:rPr>
          <w:rFonts w:cstheme="minorHAnsi"/>
          <w:color w:val="0B0C1D"/>
          <w:szCs w:val="22"/>
          <w:shd w:val="clear" w:color="auto" w:fill="FFFFFF"/>
        </w:rPr>
        <w:t>Record students’ reading of an age-appropriate text. Use the recording for teacher moderation of fluency. Which students do we agree are at, above or below standard?</w:t>
      </w:r>
    </w:p>
    <w:p w14:paraId="2F8DF8E3" w14:textId="0E46EE7B" w:rsidR="005F1E77" w:rsidRPr="00236D5C" w:rsidRDefault="285CB0D4" w:rsidP="00B44CE0">
      <w:pPr>
        <w:pStyle w:val="ListParagraph"/>
        <w:numPr>
          <w:ilvl w:val="0"/>
          <w:numId w:val="22"/>
        </w:numPr>
        <w:ind w:left="357" w:hanging="357"/>
        <w:contextualSpacing w:val="0"/>
        <w:rPr>
          <w:color w:val="0B0C1D"/>
          <w:shd w:val="clear" w:color="auto" w:fill="FFFFFF"/>
        </w:rPr>
      </w:pPr>
      <w:r w:rsidRPr="00236D5C">
        <w:rPr>
          <w:color w:val="0B0C1D"/>
          <w:shd w:val="clear" w:color="auto" w:fill="FFFFFF"/>
        </w:rPr>
        <w:t>Fluen</w:t>
      </w:r>
      <w:r w:rsidR="04ED85BA" w:rsidRPr="00236D5C">
        <w:rPr>
          <w:color w:val="0B0C1D"/>
          <w:shd w:val="clear" w:color="auto" w:fill="FFFFFF"/>
        </w:rPr>
        <w:t>t reading does not guarantee comprehension.</w:t>
      </w:r>
      <w:r w:rsidRPr="00236D5C">
        <w:rPr>
          <w:color w:val="0B0C1D"/>
          <w:shd w:val="clear" w:color="auto" w:fill="FFFFFF"/>
        </w:rPr>
        <w:t xml:space="preserve"> What </w:t>
      </w:r>
      <w:r w:rsidR="00EE3B03" w:rsidRPr="00236D5C">
        <w:rPr>
          <w:color w:val="0B0C1D"/>
          <w:shd w:val="clear" w:color="auto" w:fill="FFFFFF"/>
        </w:rPr>
        <w:t xml:space="preserve">are the </w:t>
      </w:r>
      <w:r w:rsidRPr="00236D5C">
        <w:rPr>
          <w:color w:val="0B0C1D"/>
          <w:shd w:val="clear" w:color="auto" w:fill="FFFFFF"/>
        </w:rPr>
        <w:t>implications for teaching related to this statement?</w:t>
      </w:r>
    </w:p>
    <w:p w14:paraId="7491F8C6" w14:textId="5237AF89" w:rsidR="005F1E77" w:rsidRPr="00236D5C" w:rsidRDefault="005F1E77" w:rsidP="00B44CE0">
      <w:pPr>
        <w:pStyle w:val="ListParagraph"/>
        <w:numPr>
          <w:ilvl w:val="0"/>
          <w:numId w:val="22"/>
        </w:numPr>
        <w:ind w:left="357" w:hanging="357"/>
        <w:contextualSpacing w:val="0"/>
        <w:rPr>
          <w:rFonts w:cstheme="minorHAnsi"/>
          <w:color w:val="0B0C1D"/>
          <w:szCs w:val="22"/>
          <w:shd w:val="clear" w:color="auto" w:fill="FFFFFF"/>
        </w:rPr>
      </w:pPr>
      <w:r w:rsidRPr="00236D5C">
        <w:rPr>
          <w:rFonts w:cstheme="minorHAnsi"/>
          <w:color w:val="0B0C1D"/>
          <w:szCs w:val="22"/>
          <w:shd w:val="clear" w:color="auto" w:fill="FFFFFF"/>
        </w:rPr>
        <w:t>How do we define quality fluency teaching instruction?</w:t>
      </w:r>
    </w:p>
    <w:p w14:paraId="665C7147" w14:textId="3D560638" w:rsidR="006A07BA" w:rsidRPr="00236D5C" w:rsidRDefault="005F1E77" w:rsidP="00B44CE0">
      <w:pPr>
        <w:pStyle w:val="ListParagraph"/>
        <w:numPr>
          <w:ilvl w:val="0"/>
          <w:numId w:val="22"/>
        </w:numPr>
        <w:rPr>
          <w:rFonts w:cstheme="minorHAnsi"/>
          <w:color w:val="0B0C1D"/>
          <w:szCs w:val="22"/>
          <w:shd w:val="clear" w:color="auto" w:fill="FFFFFF"/>
        </w:rPr>
      </w:pPr>
      <w:r w:rsidRPr="00236D5C">
        <w:rPr>
          <w:rFonts w:cstheme="minorHAnsi"/>
          <w:color w:val="0B0C1D"/>
          <w:szCs w:val="22"/>
          <w:shd w:val="clear" w:color="auto" w:fill="FFFFFF"/>
        </w:rPr>
        <w:t>Work with colleagues to determine where prosody can be addressed within a selected passage of text.</w:t>
      </w:r>
    </w:p>
    <w:p w14:paraId="208C2C96" w14:textId="27E8E1F2" w:rsidR="005F1E77" w:rsidRPr="006A07BA" w:rsidRDefault="005F1E77" w:rsidP="006A07BA">
      <w:pPr>
        <w:pStyle w:val="Heading3"/>
        <w:rPr>
          <w:lang w:val="en-AU"/>
        </w:rPr>
      </w:pPr>
      <w:r>
        <w:rPr>
          <w:lang w:val="en-AU"/>
        </w:rPr>
        <w:t>Oral reading fluency and our students</w:t>
      </w:r>
    </w:p>
    <w:p w14:paraId="3C9731B0" w14:textId="283957F4" w:rsidR="005F1E77" w:rsidRPr="00B44CE0" w:rsidRDefault="005F1E77" w:rsidP="00B44CE0">
      <w:pPr>
        <w:pStyle w:val="ListParagraph"/>
        <w:numPr>
          <w:ilvl w:val="0"/>
          <w:numId w:val="23"/>
        </w:numPr>
        <w:ind w:left="357" w:hanging="357"/>
        <w:contextualSpacing w:val="0"/>
        <w:rPr>
          <w:rFonts w:cstheme="minorHAnsi"/>
          <w:color w:val="0B0C1D"/>
          <w:szCs w:val="22"/>
          <w:shd w:val="clear" w:color="auto" w:fill="FFFFFF"/>
        </w:rPr>
      </w:pPr>
      <w:r w:rsidRPr="00B44CE0">
        <w:rPr>
          <w:rFonts w:cstheme="minorHAnsi"/>
          <w:color w:val="0B0C1D"/>
          <w:szCs w:val="22"/>
          <w:shd w:val="clear" w:color="auto" w:fill="FFFFFF"/>
        </w:rPr>
        <w:t xml:space="preserve">Which students find fluency challenging?  </w:t>
      </w:r>
      <w:r w:rsidR="00DF6C0F" w:rsidRPr="00B44CE0">
        <w:rPr>
          <w:rFonts w:cstheme="minorHAnsi"/>
          <w:color w:val="0B0C1D"/>
          <w:szCs w:val="22"/>
          <w:shd w:val="clear" w:color="auto" w:fill="FFFFFF"/>
        </w:rPr>
        <w:t xml:space="preserve"> How do we know they are finding fluency challenging?</w:t>
      </w:r>
    </w:p>
    <w:p w14:paraId="08DD3356" w14:textId="2396824D" w:rsidR="005F1E77" w:rsidRPr="00B44CE0" w:rsidRDefault="005F1E77" w:rsidP="00B44CE0">
      <w:pPr>
        <w:pStyle w:val="ListParagraph"/>
        <w:numPr>
          <w:ilvl w:val="0"/>
          <w:numId w:val="23"/>
        </w:numPr>
        <w:ind w:left="357" w:hanging="357"/>
        <w:contextualSpacing w:val="0"/>
        <w:rPr>
          <w:rFonts w:cstheme="minorHAnsi"/>
          <w:color w:val="0B0C1D"/>
          <w:szCs w:val="22"/>
          <w:shd w:val="clear" w:color="auto" w:fill="FFFFFF"/>
        </w:rPr>
      </w:pPr>
      <w:r w:rsidRPr="00B44CE0">
        <w:rPr>
          <w:rFonts w:cstheme="minorHAnsi"/>
          <w:color w:val="0B0C1D"/>
          <w:szCs w:val="22"/>
          <w:shd w:val="clear" w:color="auto" w:fill="FFFFFF"/>
        </w:rPr>
        <w:t>What targeted interventions can be put in place to support these students?</w:t>
      </w:r>
    </w:p>
    <w:p w14:paraId="29071255" w14:textId="601179C5" w:rsidR="005F1E77" w:rsidRDefault="005F1E77" w:rsidP="00B44CE0">
      <w:pPr>
        <w:pStyle w:val="ListParagraph"/>
        <w:numPr>
          <w:ilvl w:val="0"/>
          <w:numId w:val="23"/>
        </w:numPr>
        <w:ind w:left="357" w:hanging="357"/>
        <w:contextualSpacing w:val="0"/>
        <w:rPr>
          <w:rFonts w:cstheme="minorHAnsi"/>
          <w:color w:val="0B0C1D"/>
          <w:szCs w:val="22"/>
          <w:shd w:val="clear" w:color="auto" w:fill="FFFFFF"/>
        </w:rPr>
      </w:pPr>
      <w:r w:rsidRPr="00B44CE0">
        <w:rPr>
          <w:rFonts w:cstheme="minorHAnsi"/>
          <w:color w:val="0B0C1D"/>
          <w:szCs w:val="22"/>
          <w:shd w:val="clear" w:color="auto" w:fill="FFFFFF"/>
        </w:rPr>
        <w:t>What texts can we use to teach and assess fluency, and should these be the same for all students who find fluency difficult?</w:t>
      </w:r>
    </w:p>
    <w:p w14:paraId="3FDEB788" w14:textId="797C2835" w:rsidR="008E0971" w:rsidRPr="00B44CE0" w:rsidRDefault="000324B0" w:rsidP="00B44CE0">
      <w:pPr>
        <w:pStyle w:val="ListParagraph"/>
        <w:numPr>
          <w:ilvl w:val="0"/>
          <w:numId w:val="23"/>
        </w:numPr>
        <w:ind w:left="357" w:hanging="357"/>
        <w:contextualSpacing w:val="0"/>
        <w:rPr>
          <w:rFonts w:cstheme="minorHAnsi"/>
          <w:color w:val="0B0C1D"/>
          <w:szCs w:val="22"/>
          <w:shd w:val="clear" w:color="auto" w:fill="FFFFFF"/>
        </w:rPr>
      </w:pPr>
      <w:r>
        <w:rPr>
          <w:rFonts w:cstheme="minorHAnsi"/>
          <w:color w:val="0B0C1D"/>
          <w:szCs w:val="22"/>
          <w:shd w:val="clear" w:color="auto" w:fill="FFFFFF"/>
        </w:rPr>
        <w:t xml:space="preserve">What opportunities can we create for our fluent readers to </w:t>
      </w:r>
      <w:r w:rsidR="00824240">
        <w:rPr>
          <w:rFonts w:cstheme="minorHAnsi"/>
          <w:color w:val="0B0C1D"/>
          <w:szCs w:val="22"/>
          <w:shd w:val="clear" w:color="auto" w:fill="FFFFFF"/>
        </w:rPr>
        <w:t>extend time spent reading continuous texts</w:t>
      </w:r>
      <w:r w:rsidR="00FA3305">
        <w:rPr>
          <w:rFonts w:cstheme="minorHAnsi"/>
          <w:color w:val="0B0C1D"/>
          <w:szCs w:val="22"/>
          <w:shd w:val="clear" w:color="auto" w:fill="FFFFFF"/>
        </w:rPr>
        <w:t xml:space="preserve">, </w:t>
      </w:r>
      <w:r w:rsidR="006A70CF">
        <w:rPr>
          <w:rFonts w:cstheme="minorHAnsi"/>
          <w:color w:val="0B0C1D"/>
          <w:szCs w:val="22"/>
          <w:shd w:val="clear" w:color="auto" w:fill="FFFFFF"/>
        </w:rPr>
        <w:t>across</w:t>
      </w:r>
      <w:r w:rsidR="00FA3305">
        <w:rPr>
          <w:rFonts w:cstheme="minorHAnsi"/>
          <w:color w:val="0B0C1D"/>
          <w:szCs w:val="22"/>
          <w:shd w:val="clear" w:color="auto" w:fill="FFFFFF"/>
        </w:rPr>
        <w:t xml:space="preserve"> a variety of genres and </w:t>
      </w:r>
      <w:r w:rsidR="006A70CF">
        <w:rPr>
          <w:rFonts w:cstheme="minorHAnsi"/>
          <w:color w:val="0B0C1D"/>
          <w:szCs w:val="22"/>
          <w:shd w:val="clear" w:color="auto" w:fill="FFFFFF"/>
        </w:rPr>
        <w:t>topics?</w:t>
      </w:r>
    </w:p>
    <w:p w14:paraId="7820A8B1" w14:textId="3E899317" w:rsidR="006A07BA" w:rsidRDefault="006A07BA" w:rsidP="005F1E77">
      <w:pPr>
        <w:rPr>
          <w:rFonts w:cstheme="minorHAnsi"/>
          <w:color w:val="0B0C1D"/>
          <w:szCs w:val="22"/>
          <w:shd w:val="clear" w:color="auto" w:fill="FFFFFF"/>
        </w:rPr>
      </w:pPr>
    </w:p>
    <w:p w14:paraId="3EDCA123" w14:textId="77777777" w:rsidR="00292C41" w:rsidRDefault="00292C41" w:rsidP="005F1E77">
      <w:pPr>
        <w:rPr>
          <w:rFonts w:cstheme="minorHAnsi"/>
          <w:color w:val="0B0C1D"/>
          <w:szCs w:val="22"/>
          <w:shd w:val="clear" w:color="auto" w:fill="FFFFFF"/>
        </w:rPr>
      </w:pPr>
    </w:p>
    <w:p w14:paraId="661A9B06" w14:textId="7BBC432B" w:rsidR="006A07BA" w:rsidRDefault="006A07BA" w:rsidP="006A07BA">
      <w:pPr>
        <w:pStyle w:val="Heading2"/>
        <w:rPr>
          <w:lang w:val="en-AU"/>
        </w:rPr>
      </w:pPr>
      <w:r>
        <w:rPr>
          <w:lang w:val="en-AU"/>
        </w:rPr>
        <w:t>References</w:t>
      </w:r>
    </w:p>
    <w:p w14:paraId="749CE054" w14:textId="2D64B7BE" w:rsidR="005F1E77" w:rsidRPr="005F1E77" w:rsidRDefault="34970D2D" w:rsidP="6732F089">
      <w:pPr>
        <w:rPr>
          <w:color w:val="0B0C1D"/>
        </w:rPr>
      </w:pPr>
      <w:r w:rsidRPr="0CC199BB">
        <w:rPr>
          <w:color w:val="0B0C1D"/>
          <w:shd w:val="clear" w:color="auto" w:fill="FFFFFF"/>
        </w:rPr>
        <w:t>Dowd, A.J. &amp; Bartlett, L. (2019). The need for speed: Interrogating the dominance of oral reading fluency in international reading efforts.</w:t>
      </w:r>
      <w:r w:rsidR="733BF25E" w:rsidRPr="6732F089">
        <w:rPr>
          <w:i/>
          <w:iCs/>
          <w:color w:val="0B0C1D"/>
          <w:shd w:val="clear" w:color="auto" w:fill="FFFFFF"/>
        </w:rPr>
        <w:t xml:space="preserve"> Comparative Education Review, </w:t>
      </w:r>
      <w:r w:rsidR="733BF25E" w:rsidRPr="6732F089">
        <w:rPr>
          <w:color w:val="0B0C1D"/>
          <w:shd w:val="clear" w:color="auto" w:fill="FFFFFF"/>
        </w:rPr>
        <w:t>63(2), 145 - 307</w:t>
      </w:r>
    </w:p>
    <w:p w14:paraId="42DA6466" w14:textId="2365DFDB" w:rsidR="005F1E77" w:rsidRPr="005F1E77" w:rsidRDefault="60CD8A1F" w:rsidP="0CC199BB">
      <w:pPr>
        <w:rPr>
          <w:color w:val="0B0C1D"/>
        </w:rPr>
      </w:pPr>
      <w:r w:rsidRPr="0CC199BB">
        <w:rPr>
          <w:color w:val="0B0C1D"/>
          <w:shd w:val="clear" w:color="auto" w:fill="FFFFFF"/>
        </w:rPr>
        <w:t>Duke, N.K., Ward, A.E</w:t>
      </w:r>
      <w:r w:rsidR="6BA842AA" w:rsidRPr="0CC199BB">
        <w:rPr>
          <w:color w:val="0B0C1D"/>
          <w:shd w:val="clear" w:color="auto" w:fill="FFFFFF"/>
        </w:rPr>
        <w:t>.</w:t>
      </w:r>
      <w:r w:rsidR="24AA0EE1" w:rsidRPr="0CC199BB">
        <w:rPr>
          <w:color w:val="0B0C1D"/>
          <w:shd w:val="clear" w:color="auto" w:fill="FFFFFF"/>
        </w:rPr>
        <w:t xml:space="preserve"> &amp; Pearson, P.D. (2021). The Science of Reading Comprehension Instruction. </w:t>
      </w:r>
      <w:r w:rsidR="24AA0EE1" w:rsidRPr="6732F089">
        <w:rPr>
          <w:i/>
          <w:iCs/>
          <w:color w:val="0B0C1D"/>
          <w:shd w:val="clear" w:color="auto" w:fill="FFFFFF"/>
        </w:rPr>
        <w:t>The Reading Teacher, 74</w:t>
      </w:r>
      <w:r w:rsidR="24AA0EE1" w:rsidRPr="0CC199BB">
        <w:rPr>
          <w:color w:val="0B0C1D"/>
          <w:shd w:val="clear" w:color="auto" w:fill="FFFFFF"/>
        </w:rPr>
        <w:t>(6),</w:t>
      </w:r>
      <w:r w:rsidR="4A3D27AF" w:rsidRPr="0CC199BB">
        <w:rPr>
          <w:color w:val="0B0C1D"/>
          <w:shd w:val="clear" w:color="auto" w:fill="FFFFFF"/>
        </w:rPr>
        <w:t xml:space="preserve"> 663-672.</w:t>
      </w:r>
    </w:p>
    <w:p w14:paraId="17D4DAF7" w14:textId="77777777" w:rsidR="005F1E77" w:rsidRPr="005F1E77" w:rsidRDefault="005F1E77" w:rsidP="0CC199BB">
      <w:pPr>
        <w:rPr>
          <w:color w:val="0B0C1D"/>
          <w:shd w:val="clear" w:color="auto" w:fill="FFFFFF"/>
        </w:rPr>
      </w:pPr>
      <w:r w:rsidRPr="0CC199BB">
        <w:rPr>
          <w:color w:val="0B0C1D"/>
          <w:shd w:val="clear" w:color="auto" w:fill="FFFFFF"/>
        </w:rPr>
        <w:t xml:space="preserve">Hudson, A.; Koh, P.W.; Moore, K. A. &amp; Binks-Cantrell, E. (2020). Fluency interventions for elementary students with reading difficulties: A synthesis of research from 2000 – 2019. </w:t>
      </w:r>
      <w:r w:rsidRPr="0CC199BB">
        <w:rPr>
          <w:i/>
          <w:iCs/>
          <w:color w:val="0B0C1D"/>
          <w:shd w:val="clear" w:color="auto" w:fill="FFFFFF"/>
        </w:rPr>
        <w:t xml:space="preserve">Education in Science, </w:t>
      </w:r>
      <w:r w:rsidRPr="0CC199BB">
        <w:rPr>
          <w:color w:val="0B0C1D"/>
          <w:shd w:val="clear" w:color="auto" w:fill="FFFFFF"/>
        </w:rPr>
        <w:t>10, 52 – 81.</w:t>
      </w:r>
    </w:p>
    <w:p w14:paraId="5BE0F15F" w14:textId="7DEAB0D3" w:rsidR="005F1E77" w:rsidRPr="005F1E77" w:rsidRDefault="005F1E77" w:rsidP="0CC199BB">
      <w:pPr>
        <w:rPr>
          <w:color w:val="333333"/>
          <w:shd w:val="clear" w:color="auto" w:fill="FFFFFF"/>
        </w:rPr>
      </w:pPr>
      <w:r w:rsidRPr="0CC199BB">
        <w:rPr>
          <w:color w:val="333333"/>
          <w:shd w:val="clear" w:color="auto" w:fill="FFFFFF"/>
        </w:rPr>
        <w:t xml:space="preserve">Kim M. K., Bryant D. P., Bryant B. R. </w:t>
      </w:r>
      <w:r w:rsidR="04603DCA" w:rsidRPr="0CC199BB">
        <w:rPr>
          <w:color w:val="333333"/>
          <w:shd w:val="clear" w:color="auto" w:fill="FFFFFF"/>
        </w:rPr>
        <w:t xml:space="preserve">&amp; </w:t>
      </w:r>
      <w:r w:rsidRPr="0CC199BB">
        <w:rPr>
          <w:color w:val="333333"/>
          <w:shd w:val="clear" w:color="auto" w:fill="FFFFFF"/>
        </w:rPr>
        <w:t>Park Y. (2017). A synthesis of interventions for improving oral reading fluency of elementary students with learning disabilities: Preventing school failure. </w:t>
      </w:r>
      <w:r w:rsidRPr="0CC199BB">
        <w:rPr>
          <w:rStyle w:val="Emphasis"/>
          <w:color w:val="333333"/>
          <w:shd w:val="clear" w:color="auto" w:fill="FFFFFF"/>
        </w:rPr>
        <w:t>Alternative Education for Children and Youth</w:t>
      </w:r>
      <w:r w:rsidRPr="0CC199BB">
        <w:rPr>
          <w:color w:val="333333"/>
          <w:shd w:val="clear" w:color="auto" w:fill="FFFFFF"/>
        </w:rPr>
        <w:t>, 61, 116–125.</w:t>
      </w:r>
    </w:p>
    <w:p w14:paraId="5F98B9D4" w14:textId="662D06C6" w:rsidR="005F1E77" w:rsidRDefault="005F1E77" w:rsidP="0CC199BB">
      <w:pPr>
        <w:rPr>
          <w:color w:val="0B0C1D"/>
          <w:shd w:val="clear" w:color="auto" w:fill="FFFFFF"/>
        </w:rPr>
      </w:pPr>
      <w:r w:rsidRPr="0CC199BB">
        <w:rPr>
          <w:color w:val="0B0C1D"/>
          <w:shd w:val="clear" w:color="auto" w:fill="FFFFFF"/>
        </w:rPr>
        <w:t xml:space="preserve">Konza, D. (2016). Understanding the process of reading: The big six. In J. Scull &amp; B. Raban (Eds), </w:t>
      </w:r>
      <w:r w:rsidRPr="0CC199BB">
        <w:rPr>
          <w:i/>
          <w:iCs/>
          <w:color w:val="0B0C1D"/>
          <w:shd w:val="clear" w:color="auto" w:fill="FFFFFF"/>
        </w:rPr>
        <w:t xml:space="preserve">Growing up </w:t>
      </w:r>
      <w:r w:rsidR="2E6346A8" w:rsidRPr="0CC199BB">
        <w:rPr>
          <w:i/>
          <w:iCs/>
          <w:color w:val="0B0C1D"/>
          <w:shd w:val="clear" w:color="auto" w:fill="FFFFFF"/>
        </w:rPr>
        <w:t>literate: Australian</w:t>
      </w:r>
      <w:r w:rsidRPr="0CC199BB">
        <w:rPr>
          <w:i/>
          <w:iCs/>
          <w:color w:val="0B0C1D"/>
          <w:shd w:val="clear" w:color="auto" w:fill="FFFFFF"/>
        </w:rPr>
        <w:t xml:space="preserve"> literacy research for practice</w:t>
      </w:r>
      <w:r w:rsidRPr="0CC199BB">
        <w:rPr>
          <w:color w:val="0B0C1D"/>
          <w:shd w:val="clear" w:color="auto" w:fill="FFFFFF"/>
        </w:rPr>
        <w:t xml:space="preserve"> (pp. 149-175). Eleanor Curtain Publishing.</w:t>
      </w:r>
    </w:p>
    <w:p w14:paraId="5C251105" w14:textId="0EDD25B0" w:rsidR="00E541A1" w:rsidRPr="00E541A1" w:rsidRDefault="00E541A1" w:rsidP="002A5045">
      <w:pPr>
        <w:pStyle w:val="pf0"/>
        <w:spacing w:before="0" w:beforeAutospacing="0" w:after="120" w:afterAutospacing="0"/>
        <w:rPr>
          <w:rFonts w:asciiTheme="minorHAnsi" w:hAnsiTheme="minorHAnsi" w:cstheme="minorHAnsi"/>
          <w:sz w:val="22"/>
          <w:szCs w:val="22"/>
        </w:rPr>
      </w:pPr>
      <w:r w:rsidRPr="00E541A1">
        <w:rPr>
          <w:rStyle w:val="cf11"/>
          <w:rFonts w:asciiTheme="minorHAnsi" w:eastAsiaTheme="majorEastAsia" w:hAnsiTheme="minorHAnsi" w:cstheme="minorHAnsi"/>
          <w:sz w:val="22"/>
          <w:szCs w:val="22"/>
        </w:rPr>
        <w:t>Kuhn, M. R. (2020). Whole class or small group fluency instruction: A tutorial of four effective approaches. </w:t>
      </w:r>
      <w:r w:rsidRPr="00E541A1">
        <w:rPr>
          <w:rStyle w:val="cf21"/>
          <w:rFonts w:asciiTheme="minorHAnsi" w:hAnsiTheme="minorHAnsi" w:cstheme="minorHAnsi"/>
          <w:sz w:val="22"/>
          <w:szCs w:val="22"/>
        </w:rPr>
        <w:t>Education Sciences</w:t>
      </w:r>
      <w:r w:rsidRPr="00E541A1">
        <w:rPr>
          <w:rStyle w:val="cf11"/>
          <w:rFonts w:asciiTheme="minorHAnsi" w:eastAsiaTheme="majorEastAsia" w:hAnsiTheme="minorHAnsi" w:cstheme="minorHAnsi"/>
          <w:sz w:val="22"/>
          <w:szCs w:val="22"/>
        </w:rPr>
        <w:t>, </w:t>
      </w:r>
      <w:r w:rsidRPr="00E541A1">
        <w:rPr>
          <w:rStyle w:val="cf21"/>
          <w:rFonts w:asciiTheme="minorHAnsi" w:hAnsiTheme="minorHAnsi" w:cstheme="minorHAnsi"/>
          <w:sz w:val="22"/>
          <w:szCs w:val="22"/>
        </w:rPr>
        <w:t>10</w:t>
      </w:r>
      <w:r w:rsidRPr="00E541A1">
        <w:rPr>
          <w:rStyle w:val="cf11"/>
          <w:rFonts w:asciiTheme="minorHAnsi" w:eastAsiaTheme="majorEastAsia" w:hAnsiTheme="minorHAnsi" w:cstheme="minorHAnsi"/>
          <w:sz w:val="22"/>
          <w:szCs w:val="22"/>
        </w:rPr>
        <w:t>(5), 145.</w:t>
      </w:r>
      <w:r w:rsidRPr="00E541A1">
        <w:rPr>
          <w:rStyle w:val="cf01"/>
          <w:rFonts w:asciiTheme="minorHAnsi" w:eastAsiaTheme="majorEastAsia" w:hAnsiTheme="minorHAnsi" w:cstheme="minorHAnsi"/>
          <w:sz w:val="22"/>
          <w:szCs w:val="22"/>
        </w:rPr>
        <w:t xml:space="preserve"> </w:t>
      </w:r>
    </w:p>
    <w:p w14:paraId="011DDE93" w14:textId="7D1E1B4E" w:rsidR="005F1E77" w:rsidRPr="005F1E77" w:rsidRDefault="005F1E77" w:rsidP="005F1E77">
      <w:pPr>
        <w:rPr>
          <w:rFonts w:cstheme="minorHAnsi"/>
          <w:color w:val="0B0C1D"/>
          <w:szCs w:val="22"/>
          <w:shd w:val="clear" w:color="auto" w:fill="FFFFFF"/>
        </w:rPr>
      </w:pPr>
      <w:r w:rsidRPr="005F1E77">
        <w:rPr>
          <w:rFonts w:cstheme="minorHAnsi"/>
          <w:color w:val="0B0C1D"/>
          <w:szCs w:val="22"/>
          <w:shd w:val="clear" w:color="auto" w:fill="FFFFFF"/>
        </w:rPr>
        <w:t xml:space="preserve">Stevens, E. A., </w:t>
      </w:r>
      <w:r w:rsidR="00DF6C0F">
        <w:rPr>
          <w:rFonts w:cstheme="minorHAnsi"/>
          <w:color w:val="0B0C1D"/>
          <w:szCs w:val="22"/>
          <w:shd w:val="clear" w:color="auto" w:fill="FFFFFF"/>
        </w:rPr>
        <w:t xml:space="preserve"> Walker </w:t>
      </w:r>
      <w:r w:rsidRPr="005F1E77">
        <w:rPr>
          <w:rFonts w:cstheme="minorHAnsi"/>
          <w:color w:val="0B0C1D"/>
          <w:szCs w:val="22"/>
          <w:shd w:val="clear" w:color="auto" w:fill="FFFFFF"/>
        </w:rPr>
        <w:t xml:space="preserve">, M. A. &amp; Vaughn, S. (2017). The effects of reading fluency interventions on the reading fluency and reading comprehension performance of elementary students with learning disabilities: A synthesis of the research from 2001 – 2014. </w:t>
      </w:r>
      <w:r w:rsidRPr="005F1E77">
        <w:rPr>
          <w:rFonts w:cstheme="minorHAnsi"/>
          <w:i/>
          <w:iCs/>
          <w:color w:val="0B0C1D"/>
          <w:szCs w:val="22"/>
          <w:shd w:val="clear" w:color="auto" w:fill="FFFFFF"/>
        </w:rPr>
        <w:t xml:space="preserve">Journal of Learning Disabilities, </w:t>
      </w:r>
      <w:r w:rsidRPr="005F1E77">
        <w:rPr>
          <w:rFonts w:cstheme="minorHAnsi"/>
          <w:color w:val="0B0C1D"/>
          <w:szCs w:val="22"/>
          <w:shd w:val="clear" w:color="auto" w:fill="FFFFFF"/>
        </w:rPr>
        <w:t>50(5), 576 – 590.</w:t>
      </w:r>
    </w:p>
    <w:p w14:paraId="744E37E1" w14:textId="77777777" w:rsidR="00EF0E9E" w:rsidRPr="00CB0D10" w:rsidRDefault="005F1E77" w:rsidP="00C80C25">
      <w:pPr>
        <w:rPr>
          <w:rFonts w:cstheme="minorHAnsi"/>
          <w:color w:val="0B0C1D"/>
          <w:szCs w:val="22"/>
          <w:shd w:val="clear" w:color="auto" w:fill="FFFFFF"/>
        </w:rPr>
      </w:pPr>
      <w:r w:rsidRPr="005F1E77">
        <w:rPr>
          <w:rFonts w:cstheme="minorHAnsi"/>
          <w:color w:val="0B0C1D"/>
          <w:szCs w:val="22"/>
          <w:shd w:val="clear" w:color="auto" w:fill="FFFFFF"/>
        </w:rPr>
        <w:t xml:space="preserve">Rasinski, T.V., Rupley, W. H., Paige, D. D. &amp; Nichols, W. D. (2016). Alternative text types to improve reading fluency for competent to struggling readers. </w:t>
      </w:r>
      <w:r w:rsidRPr="005F1E77">
        <w:rPr>
          <w:rFonts w:cstheme="minorHAnsi"/>
          <w:i/>
          <w:iCs/>
          <w:color w:val="0B0C1D"/>
          <w:szCs w:val="22"/>
          <w:shd w:val="clear" w:color="auto" w:fill="FFFFFF"/>
        </w:rPr>
        <w:t xml:space="preserve">International Journal of Instruction, </w:t>
      </w:r>
      <w:r w:rsidRPr="005F1E77">
        <w:rPr>
          <w:rFonts w:cstheme="minorHAnsi"/>
          <w:color w:val="0B0C1D"/>
          <w:szCs w:val="22"/>
          <w:shd w:val="clear" w:color="auto" w:fill="FFFFFF"/>
        </w:rPr>
        <w:t>9, 163 – 178</w:t>
      </w:r>
      <w:r w:rsidR="00EF0E9E">
        <w:rPr>
          <w:rFonts w:cstheme="minorHAnsi"/>
          <w:color w:val="0B0C1D"/>
          <w:szCs w:val="22"/>
          <w:shd w:val="clear" w:color="auto" w:fill="FFFFFF"/>
        </w:rPr>
        <w:t>.</w:t>
      </w:r>
    </w:p>
    <w:p w14:paraId="51588525" w14:textId="09CA3705" w:rsidR="00C80C25" w:rsidRPr="00CB0D10" w:rsidRDefault="00EF0E9E" w:rsidP="00C80C25">
      <w:pPr>
        <w:rPr>
          <w:rFonts w:cstheme="minorHAnsi"/>
          <w:color w:val="0B0C1D"/>
          <w:szCs w:val="22"/>
          <w:shd w:val="clear" w:color="auto" w:fill="FFFFFF"/>
        </w:rPr>
      </w:pPr>
      <w:r w:rsidRPr="00CB0D10">
        <w:rPr>
          <w:rFonts w:cstheme="minorHAnsi"/>
          <w:color w:val="333333"/>
          <w:spacing w:val="8"/>
          <w:szCs w:val="22"/>
          <w:shd w:val="clear" w:color="auto" w:fill="FFFFFF"/>
        </w:rPr>
        <w:t>Victorian Curriculum and Assessment Authority. (n.d.). </w:t>
      </w:r>
      <w:r w:rsidRPr="00CB0D10">
        <w:rPr>
          <w:rFonts w:cstheme="minorHAnsi"/>
          <w:i/>
          <w:iCs/>
          <w:color w:val="333333"/>
          <w:spacing w:val="8"/>
          <w:szCs w:val="22"/>
          <w:shd w:val="clear" w:color="auto" w:fill="FFFFFF"/>
        </w:rPr>
        <w:t>Victorian curriculum: Foundation-10</w:t>
      </w:r>
      <w:r w:rsidRPr="00CB0D10">
        <w:rPr>
          <w:rFonts w:cstheme="minorHAnsi"/>
          <w:color w:val="333333"/>
          <w:spacing w:val="8"/>
          <w:szCs w:val="22"/>
          <w:shd w:val="clear" w:color="auto" w:fill="FFFFFF"/>
        </w:rPr>
        <w:t>. </w:t>
      </w:r>
      <w:r w:rsidR="00CB0D10" w:rsidRPr="00CB0D10">
        <w:rPr>
          <w:rFonts w:cstheme="minorHAnsi"/>
          <w:color w:val="333333"/>
          <w:spacing w:val="8"/>
          <w:szCs w:val="22"/>
          <w:shd w:val="clear" w:color="auto" w:fill="FFFFFF"/>
        </w:rPr>
        <w:t>Victorian Curriculum and Assessment Authority. (n.d.). </w:t>
      </w:r>
      <w:r w:rsidR="00CB0D10" w:rsidRPr="00CB0D10">
        <w:rPr>
          <w:rFonts w:cstheme="minorHAnsi"/>
          <w:i/>
          <w:iCs/>
          <w:color w:val="333333"/>
          <w:spacing w:val="8"/>
          <w:szCs w:val="22"/>
          <w:shd w:val="clear" w:color="auto" w:fill="FFFFFF"/>
        </w:rPr>
        <w:t>Victorian curriculum: Foundation-10</w:t>
      </w:r>
      <w:r w:rsidR="00CB0D10" w:rsidRPr="00CB0D10">
        <w:rPr>
          <w:rFonts w:cstheme="minorHAnsi"/>
          <w:color w:val="333333"/>
          <w:spacing w:val="8"/>
          <w:szCs w:val="22"/>
          <w:shd w:val="clear" w:color="auto" w:fill="FFFFFF"/>
        </w:rPr>
        <w:t>. </w:t>
      </w:r>
      <w:hyperlink r:id="rId17" w:history="1">
        <w:r w:rsidR="00CB0D10" w:rsidRPr="00CB0D10">
          <w:rPr>
            <w:rStyle w:val="Hyperlink"/>
            <w:rFonts w:cstheme="minorHAnsi"/>
            <w:color w:val="005696"/>
            <w:spacing w:val="8"/>
            <w:szCs w:val="22"/>
            <w:shd w:val="clear" w:color="auto" w:fill="FFFFFF"/>
          </w:rPr>
          <w:t>https://victoriancurriculum.vcaa.vic.edu.au/</w:t>
        </w:r>
      </w:hyperlink>
    </w:p>
    <w:p w14:paraId="60008054" w14:textId="6661CF3F" w:rsidR="00D11BCB" w:rsidRPr="00C80C25" w:rsidRDefault="006A07BA" w:rsidP="00C80C25">
      <w:pPr>
        <w:rPr>
          <w:rFonts w:cstheme="minorHAnsi"/>
          <w:color w:val="0B0C1D"/>
          <w:sz w:val="18"/>
          <w:szCs w:val="18"/>
          <w:shd w:val="clear" w:color="auto" w:fill="FFFFFF"/>
        </w:rPr>
      </w:pPr>
      <w:r w:rsidRPr="00C80C25">
        <w:rPr>
          <w:sz w:val="18"/>
          <w:szCs w:val="18"/>
        </w:rPr>
        <w:t xml:space="preserve">© State of Victoria (Department of Education) 2023. </w:t>
      </w:r>
      <w:r w:rsidRPr="00C80C25">
        <w:rPr>
          <w:rFonts w:cstheme="minorHAnsi"/>
          <w:color w:val="000000"/>
          <w:sz w:val="18"/>
          <w:szCs w:val="18"/>
        </w:rPr>
        <w:t>Except where otherwise </w:t>
      </w:r>
      <w:hyperlink r:id="rId18" w:history="1">
        <w:r w:rsidRPr="00C80C25">
          <w:rPr>
            <w:rStyle w:val="Hyperlink"/>
            <w:rFonts w:cstheme="minorHAnsi"/>
            <w:sz w:val="18"/>
            <w:szCs w:val="18"/>
          </w:rPr>
          <w:t>noted,</w:t>
        </w:r>
      </w:hyperlink>
      <w:r w:rsidRPr="00C80C25">
        <w:rPr>
          <w:rFonts w:cstheme="minorHAnsi"/>
          <w:color w:val="000000"/>
          <w:sz w:val="18"/>
          <w:szCs w:val="18"/>
        </w:rPr>
        <w:t xml:space="preserve"> material in this document is provided under a </w:t>
      </w:r>
      <w:hyperlink r:id="rId19" w:history="1">
        <w:r w:rsidRPr="00C80C25">
          <w:rPr>
            <w:rStyle w:val="Hyperlink"/>
            <w:rFonts w:cstheme="minorHAnsi"/>
            <w:sz w:val="18"/>
            <w:szCs w:val="18"/>
          </w:rPr>
          <w:t>Creative Commons Attribution 4.0 International</w:t>
        </w:r>
      </w:hyperlink>
      <w:r w:rsidRPr="00C80C25">
        <w:rPr>
          <w:rFonts w:cstheme="minorHAnsi"/>
          <w:sz w:val="18"/>
          <w:szCs w:val="18"/>
        </w:rPr>
        <w:t xml:space="preserve"> </w:t>
      </w:r>
      <w:r w:rsidRPr="00C80C25">
        <w:rPr>
          <w:rFonts w:cstheme="minorHAnsi"/>
          <w:color w:val="000000"/>
          <w:sz w:val="18"/>
          <w:szCs w:val="18"/>
        </w:rPr>
        <w:t>Please check the full </w:t>
      </w:r>
      <w:hyperlink r:id="rId20" w:history="1">
        <w:r w:rsidRPr="00C80C25">
          <w:rPr>
            <w:rStyle w:val="Hyperlink"/>
            <w:rFonts w:cstheme="minorHAnsi"/>
            <w:sz w:val="18"/>
            <w:szCs w:val="18"/>
          </w:rPr>
          <w:t>copyright notice </w:t>
        </w:r>
      </w:hyperlink>
    </w:p>
    <w:sectPr w:rsidR="00D11BCB" w:rsidRPr="00C80C25" w:rsidSect="00B47FF8">
      <w:headerReference w:type="even" r:id="rId21"/>
      <w:headerReference w:type="default" r:id="rId22"/>
      <w:footerReference w:type="even" r:id="rId23"/>
      <w:footerReference w:type="default" r:id="rId24"/>
      <w:headerReference w:type="first" r:id="rId25"/>
      <w:footerReference w:type="first" r:id="rId26"/>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F692" w14:textId="77777777" w:rsidR="003A2AF6" w:rsidRDefault="003A2AF6" w:rsidP="003967DD">
      <w:pPr>
        <w:spacing w:after="0"/>
      </w:pPr>
      <w:r>
        <w:separator/>
      </w:r>
    </w:p>
  </w:endnote>
  <w:endnote w:type="continuationSeparator" w:id="0">
    <w:p w14:paraId="6AABAC41" w14:textId="77777777" w:rsidR="003A2AF6" w:rsidRDefault="003A2AF6" w:rsidP="003967DD">
      <w:pPr>
        <w:spacing w:after="0"/>
      </w:pPr>
      <w:r>
        <w:continuationSeparator/>
      </w:r>
    </w:p>
  </w:endnote>
  <w:endnote w:type="continuationNotice" w:id="1">
    <w:p w14:paraId="24545A56" w14:textId="77777777" w:rsidR="003A2AF6" w:rsidRDefault="003A2A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E23C" w14:textId="77777777" w:rsidR="003A2AF6" w:rsidRDefault="003A2AF6" w:rsidP="003967DD">
      <w:pPr>
        <w:spacing w:after="0"/>
      </w:pPr>
      <w:r>
        <w:separator/>
      </w:r>
    </w:p>
  </w:footnote>
  <w:footnote w:type="continuationSeparator" w:id="0">
    <w:p w14:paraId="65774B6D" w14:textId="77777777" w:rsidR="003A2AF6" w:rsidRDefault="003A2AF6" w:rsidP="003967DD">
      <w:pPr>
        <w:spacing w:after="0"/>
      </w:pPr>
      <w:r>
        <w:continuationSeparator/>
      </w:r>
    </w:p>
  </w:footnote>
  <w:footnote w:type="continuationNotice" w:id="1">
    <w:p w14:paraId="7BDFEEAD" w14:textId="77777777" w:rsidR="003A2AF6" w:rsidRDefault="003A2A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329CBB74"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r w:rsidR="001C4345">
      <w:rPr>
        <w:noProo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65000"/>
    <w:multiLevelType w:val="hybridMultilevel"/>
    <w:tmpl w:val="AE2EC4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89384A"/>
    <w:multiLevelType w:val="hybridMultilevel"/>
    <w:tmpl w:val="7BEA3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95084"/>
    <w:multiLevelType w:val="hybridMultilevel"/>
    <w:tmpl w:val="21F4E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757869"/>
    <w:multiLevelType w:val="hybridMultilevel"/>
    <w:tmpl w:val="982EAC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1097D9E"/>
    <w:multiLevelType w:val="hybridMultilevel"/>
    <w:tmpl w:val="5F9667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AA7F16"/>
    <w:multiLevelType w:val="hybridMultilevel"/>
    <w:tmpl w:val="98E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C0601D"/>
    <w:multiLevelType w:val="hybridMultilevel"/>
    <w:tmpl w:val="16C83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2200D6A8"/>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9"/>
  </w:num>
  <w:num w:numId="13" w16cid:durableId="1077093040">
    <w:abstractNumId w:val="22"/>
  </w:num>
  <w:num w:numId="14" w16cid:durableId="548568946">
    <w:abstractNumId w:val="23"/>
  </w:num>
  <w:num w:numId="15" w16cid:durableId="1307275789">
    <w:abstractNumId w:val="17"/>
  </w:num>
  <w:num w:numId="16" w16cid:durableId="1422794765">
    <w:abstractNumId w:val="20"/>
  </w:num>
  <w:num w:numId="17" w16cid:durableId="2083717576">
    <w:abstractNumId w:val="18"/>
  </w:num>
  <w:num w:numId="18" w16cid:durableId="422074448">
    <w:abstractNumId w:val="16"/>
  </w:num>
  <w:num w:numId="19" w16cid:durableId="422923585">
    <w:abstractNumId w:val="12"/>
  </w:num>
  <w:num w:numId="20" w16cid:durableId="1703625236">
    <w:abstractNumId w:val="15"/>
  </w:num>
  <w:num w:numId="21" w16cid:durableId="1565753324">
    <w:abstractNumId w:val="21"/>
  </w:num>
  <w:num w:numId="22" w16cid:durableId="29915279">
    <w:abstractNumId w:val="14"/>
  </w:num>
  <w:num w:numId="23" w16cid:durableId="2017150123">
    <w:abstractNumId w:val="11"/>
  </w:num>
  <w:num w:numId="24" w16cid:durableId="1871259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BAA"/>
    <w:rsid w:val="00011F31"/>
    <w:rsid w:val="00013339"/>
    <w:rsid w:val="00015DAD"/>
    <w:rsid w:val="000209C7"/>
    <w:rsid w:val="000256E2"/>
    <w:rsid w:val="000324B0"/>
    <w:rsid w:val="0003656F"/>
    <w:rsid w:val="00064613"/>
    <w:rsid w:val="00072413"/>
    <w:rsid w:val="00080DA9"/>
    <w:rsid w:val="000861DD"/>
    <w:rsid w:val="000A47D4"/>
    <w:rsid w:val="000C3663"/>
    <w:rsid w:val="000C600E"/>
    <w:rsid w:val="00122369"/>
    <w:rsid w:val="00122CA8"/>
    <w:rsid w:val="00150E0F"/>
    <w:rsid w:val="00156E9F"/>
    <w:rsid w:val="00157212"/>
    <w:rsid w:val="0016287D"/>
    <w:rsid w:val="00191C0D"/>
    <w:rsid w:val="001A4E49"/>
    <w:rsid w:val="001B03CB"/>
    <w:rsid w:val="001C24E2"/>
    <w:rsid w:val="001C4345"/>
    <w:rsid w:val="001D0D94"/>
    <w:rsid w:val="001D13F9"/>
    <w:rsid w:val="001D21CA"/>
    <w:rsid w:val="001F39DD"/>
    <w:rsid w:val="001F5C3E"/>
    <w:rsid w:val="00226175"/>
    <w:rsid w:val="00236D5C"/>
    <w:rsid w:val="002512BE"/>
    <w:rsid w:val="00275FB8"/>
    <w:rsid w:val="00292C41"/>
    <w:rsid w:val="002963D6"/>
    <w:rsid w:val="002A19F7"/>
    <w:rsid w:val="002A4A96"/>
    <w:rsid w:val="002A5045"/>
    <w:rsid w:val="002B1EF6"/>
    <w:rsid w:val="002E3BED"/>
    <w:rsid w:val="002E63A3"/>
    <w:rsid w:val="002F41D7"/>
    <w:rsid w:val="002F6115"/>
    <w:rsid w:val="00312720"/>
    <w:rsid w:val="003258F2"/>
    <w:rsid w:val="00330375"/>
    <w:rsid w:val="00343AFC"/>
    <w:rsid w:val="00344D50"/>
    <w:rsid w:val="0034745C"/>
    <w:rsid w:val="003967DD"/>
    <w:rsid w:val="003A2AF6"/>
    <w:rsid w:val="003A4C39"/>
    <w:rsid w:val="003D78D0"/>
    <w:rsid w:val="00405788"/>
    <w:rsid w:val="0042333B"/>
    <w:rsid w:val="00431FB6"/>
    <w:rsid w:val="00443E58"/>
    <w:rsid w:val="00457A0F"/>
    <w:rsid w:val="004773E8"/>
    <w:rsid w:val="00481311"/>
    <w:rsid w:val="00491639"/>
    <w:rsid w:val="004A2E74"/>
    <w:rsid w:val="004B2ED6"/>
    <w:rsid w:val="00500ADA"/>
    <w:rsid w:val="00512BBA"/>
    <w:rsid w:val="00517441"/>
    <w:rsid w:val="005275A3"/>
    <w:rsid w:val="0054220F"/>
    <w:rsid w:val="00555277"/>
    <w:rsid w:val="0055584A"/>
    <w:rsid w:val="00566E8D"/>
    <w:rsid w:val="00567CF0"/>
    <w:rsid w:val="00584366"/>
    <w:rsid w:val="005A4F12"/>
    <w:rsid w:val="005C3437"/>
    <w:rsid w:val="005C79F7"/>
    <w:rsid w:val="005E0713"/>
    <w:rsid w:val="005E1BFD"/>
    <w:rsid w:val="005F1E77"/>
    <w:rsid w:val="00617353"/>
    <w:rsid w:val="00624A55"/>
    <w:rsid w:val="00631391"/>
    <w:rsid w:val="006523D7"/>
    <w:rsid w:val="00662252"/>
    <w:rsid w:val="0066590A"/>
    <w:rsid w:val="006671CE"/>
    <w:rsid w:val="006A07BA"/>
    <w:rsid w:val="006A1F8A"/>
    <w:rsid w:val="006A25AC"/>
    <w:rsid w:val="006A57C3"/>
    <w:rsid w:val="006A70CF"/>
    <w:rsid w:val="006C45C0"/>
    <w:rsid w:val="006E2B9A"/>
    <w:rsid w:val="00710CED"/>
    <w:rsid w:val="00723B05"/>
    <w:rsid w:val="00735566"/>
    <w:rsid w:val="007621A1"/>
    <w:rsid w:val="00762F98"/>
    <w:rsid w:val="00767573"/>
    <w:rsid w:val="00786F4D"/>
    <w:rsid w:val="00795E32"/>
    <w:rsid w:val="007B556E"/>
    <w:rsid w:val="007C3312"/>
    <w:rsid w:val="007C3867"/>
    <w:rsid w:val="007D3E38"/>
    <w:rsid w:val="007D40FC"/>
    <w:rsid w:val="007E71DF"/>
    <w:rsid w:val="008065DA"/>
    <w:rsid w:val="00824240"/>
    <w:rsid w:val="00835567"/>
    <w:rsid w:val="00890680"/>
    <w:rsid w:val="00892E24"/>
    <w:rsid w:val="008B1737"/>
    <w:rsid w:val="008E0971"/>
    <w:rsid w:val="008F3D35"/>
    <w:rsid w:val="00901DFC"/>
    <w:rsid w:val="0091476C"/>
    <w:rsid w:val="00931162"/>
    <w:rsid w:val="00934E38"/>
    <w:rsid w:val="00952690"/>
    <w:rsid w:val="00954B9A"/>
    <w:rsid w:val="00954CD2"/>
    <w:rsid w:val="009731C8"/>
    <w:rsid w:val="0099358C"/>
    <w:rsid w:val="009C656B"/>
    <w:rsid w:val="009D054B"/>
    <w:rsid w:val="009F625F"/>
    <w:rsid w:val="009F6A77"/>
    <w:rsid w:val="00A07E5B"/>
    <w:rsid w:val="00A10291"/>
    <w:rsid w:val="00A240DF"/>
    <w:rsid w:val="00A30014"/>
    <w:rsid w:val="00A31926"/>
    <w:rsid w:val="00A368B9"/>
    <w:rsid w:val="00A710DF"/>
    <w:rsid w:val="00AB7B7E"/>
    <w:rsid w:val="00AC6A48"/>
    <w:rsid w:val="00AE444B"/>
    <w:rsid w:val="00AE7BF3"/>
    <w:rsid w:val="00AF41E5"/>
    <w:rsid w:val="00B21562"/>
    <w:rsid w:val="00B448C1"/>
    <w:rsid w:val="00B44CE0"/>
    <w:rsid w:val="00B47FF8"/>
    <w:rsid w:val="00B65BD7"/>
    <w:rsid w:val="00B707D9"/>
    <w:rsid w:val="00B739EA"/>
    <w:rsid w:val="00B74CA6"/>
    <w:rsid w:val="00B775D4"/>
    <w:rsid w:val="00B82B9F"/>
    <w:rsid w:val="00BA5296"/>
    <w:rsid w:val="00BA79A4"/>
    <w:rsid w:val="00BB3F2B"/>
    <w:rsid w:val="00BC3C4A"/>
    <w:rsid w:val="00BC61EB"/>
    <w:rsid w:val="00BE6932"/>
    <w:rsid w:val="00C129C7"/>
    <w:rsid w:val="00C20D5D"/>
    <w:rsid w:val="00C539BB"/>
    <w:rsid w:val="00C635C4"/>
    <w:rsid w:val="00C6755A"/>
    <w:rsid w:val="00C6770E"/>
    <w:rsid w:val="00C80C25"/>
    <w:rsid w:val="00CA6DD2"/>
    <w:rsid w:val="00CB0D10"/>
    <w:rsid w:val="00CC5AA8"/>
    <w:rsid w:val="00CD5993"/>
    <w:rsid w:val="00CE7916"/>
    <w:rsid w:val="00D11BCB"/>
    <w:rsid w:val="00D17E55"/>
    <w:rsid w:val="00D57DD5"/>
    <w:rsid w:val="00D941F8"/>
    <w:rsid w:val="00D9777A"/>
    <w:rsid w:val="00DC16AC"/>
    <w:rsid w:val="00DC48EE"/>
    <w:rsid w:val="00DC4D0D"/>
    <w:rsid w:val="00DF6C0F"/>
    <w:rsid w:val="00E10490"/>
    <w:rsid w:val="00E11978"/>
    <w:rsid w:val="00E32FBA"/>
    <w:rsid w:val="00E34263"/>
    <w:rsid w:val="00E34721"/>
    <w:rsid w:val="00E4317E"/>
    <w:rsid w:val="00E47519"/>
    <w:rsid w:val="00E5030B"/>
    <w:rsid w:val="00E541A1"/>
    <w:rsid w:val="00E544FA"/>
    <w:rsid w:val="00E5623A"/>
    <w:rsid w:val="00E57905"/>
    <w:rsid w:val="00E64758"/>
    <w:rsid w:val="00E77EB9"/>
    <w:rsid w:val="00E87E91"/>
    <w:rsid w:val="00E95188"/>
    <w:rsid w:val="00EC3DC1"/>
    <w:rsid w:val="00EE3B03"/>
    <w:rsid w:val="00EF0E9E"/>
    <w:rsid w:val="00EF374A"/>
    <w:rsid w:val="00EF509A"/>
    <w:rsid w:val="00F20CEC"/>
    <w:rsid w:val="00F21833"/>
    <w:rsid w:val="00F5271F"/>
    <w:rsid w:val="00F679A6"/>
    <w:rsid w:val="00F8288E"/>
    <w:rsid w:val="00F94715"/>
    <w:rsid w:val="00FA3305"/>
    <w:rsid w:val="00FA3AFF"/>
    <w:rsid w:val="00FB65E2"/>
    <w:rsid w:val="00FB78CC"/>
    <w:rsid w:val="04603DCA"/>
    <w:rsid w:val="04B687D6"/>
    <w:rsid w:val="04ED85BA"/>
    <w:rsid w:val="05077ABD"/>
    <w:rsid w:val="059D5057"/>
    <w:rsid w:val="076B1A13"/>
    <w:rsid w:val="07BA3AD4"/>
    <w:rsid w:val="0893AE61"/>
    <w:rsid w:val="0BEB83C6"/>
    <w:rsid w:val="0C5A4C70"/>
    <w:rsid w:val="0CC199BB"/>
    <w:rsid w:val="0D9D3070"/>
    <w:rsid w:val="0DDE6727"/>
    <w:rsid w:val="0FCFFBCB"/>
    <w:rsid w:val="177202E4"/>
    <w:rsid w:val="1854629D"/>
    <w:rsid w:val="1861D460"/>
    <w:rsid w:val="1947B1E6"/>
    <w:rsid w:val="1A81F0AD"/>
    <w:rsid w:val="1AE675F7"/>
    <w:rsid w:val="1C21A574"/>
    <w:rsid w:val="1C7A1D04"/>
    <w:rsid w:val="21DF9B88"/>
    <w:rsid w:val="2328B5AE"/>
    <w:rsid w:val="2410B80C"/>
    <w:rsid w:val="2492AC3C"/>
    <w:rsid w:val="24AA0EE1"/>
    <w:rsid w:val="265A470F"/>
    <w:rsid w:val="285CB0D4"/>
    <w:rsid w:val="2DE6BD33"/>
    <w:rsid w:val="2E4B1522"/>
    <w:rsid w:val="2E6346A8"/>
    <w:rsid w:val="2EC39B0B"/>
    <w:rsid w:val="32174AEC"/>
    <w:rsid w:val="3296CC0A"/>
    <w:rsid w:val="3492AB19"/>
    <w:rsid w:val="34970D2D"/>
    <w:rsid w:val="34C65446"/>
    <w:rsid w:val="35DB7B50"/>
    <w:rsid w:val="366D240D"/>
    <w:rsid w:val="3752090E"/>
    <w:rsid w:val="39661C3C"/>
    <w:rsid w:val="3AF027EC"/>
    <w:rsid w:val="3B5ABC69"/>
    <w:rsid w:val="3B819983"/>
    <w:rsid w:val="3D6276EB"/>
    <w:rsid w:val="3E531C4F"/>
    <w:rsid w:val="3F5C26B5"/>
    <w:rsid w:val="404F177E"/>
    <w:rsid w:val="40F7F716"/>
    <w:rsid w:val="4150E287"/>
    <w:rsid w:val="415805C4"/>
    <w:rsid w:val="4344DB2D"/>
    <w:rsid w:val="43C90D4F"/>
    <w:rsid w:val="44888349"/>
    <w:rsid w:val="44B356B7"/>
    <w:rsid w:val="4A03DA72"/>
    <w:rsid w:val="4A3D27AF"/>
    <w:rsid w:val="4A82A92E"/>
    <w:rsid w:val="4F98818A"/>
    <w:rsid w:val="4FF55A94"/>
    <w:rsid w:val="505BD44C"/>
    <w:rsid w:val="50BF88BB"/>
    <w:rsid w:val="50C64183"/>
    <w:rsid w:val="516EF3D7"/>
    <w:rsid w:val="54A69499"/>
    <w:rsid w:val="54F33851"/>
    <w:rsid w:val="55651275"/>
    <w:rsid w:val="57D2939D"/>
    <w:rsid w:val="57DE355B"/>
    <w:rsid w:val="5865057E"/>
    <w:rsid w:val="60CD8A1F"/>
    <w:rsid w:val="634296F1"/>
    <w:rsid w:val="63825477"/>
    <w:rsid w:val="6685B928"/>
    <w:rsid w:val="6732F089"/>
    <w:rsid w:val="673CE0E5"/>
    <w:rsid w:val="68895EAF"/>
    <w:rsid w:val="6AB9C43C"/>
    <w:rsid w:val="6B7F9457"/>
    <w:rsid w:val="6BA842AA"/>
    <w:rsid w:val="6CE1C68B"/>
    <w:rsid w:val="6DE830AE"/>
    <w:rsid w:val="6E0C8EF0"/>
    <w:rsid w:val="71B992FB"/>
    <w:rsid w:val="7229F914"/>
    <w:rsid w:val="733BF25E"/>
    <w:rsid w:val="763E79C6"/>
    <w:rsid w:val="7775EA97"/>
    <w:rsid w:val="77943260"/>
    <w:rsid w:val="79D8DA78"/>
    <w:rsid w:val="7AE2F6F5"/>
    <w:rsid w:val="7DA26917"/>
    <w:rsid w:val="7F192881"/>
    <w:rsid w:val="7F36B9F2"/>
    <w:rsid w:val="7F53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11BCB"/>
    <w:pPr>
      <w:ind w:left="720"/>
      <w:contextualSpacing/>
    </w:pPr>
  </w:style>
  <w:style w:type="character" w:styleId="Emphasis">
    <w:name w:val="Emphasis"/>
    <w:basedOn w:val="DefaultParagraphFont"/>
    <w:uiPriority w:val="20"/>
    <w:qFormat/>
    <w:rsid w:val="005F1E77"/>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3437"/>
    <w:rPr>
      <w:sz w:val="22"/>
    </w:rPr>
  </w:style>
  <w:style w:type="character" w:customStyle="1" w:styleId="normaltextrun">
    <w:name w:val="normaltextrun"/>
    <w:basedOn w:val="DefaultParagraphFont"/>
    <w:rsid w:val="005C3437"/>
  </w:style>
  <w:style w:type="character" w:customStyle="1" w:styleId="eop">
    <w:name w:val="eop"/>
    <w:basedOn w:val="DefaultParagraphFont"/>
    <w:rsid w:val="005C3437"/>
  </w:style>
  <w:style w:type="paragraph" w:styleId="CommentSubject">
    <w:name w:val="annotation subject"/>
    <w:basedOn w:val="CommentText"/>
    <w:next w:val="CommentText"/>
    <w:link w:val="CommentSubjectChar"/>
    <w:uiPriority w:val="99"/>
    <w:semiHidden/>
    <w:unhideWhenUsed/>
    <w:rsid w:val="00001BAA"/>
    <w:rPr>
      <w:b/>
      <w:bCs/>
    </w:rPr>
  </w:style>
  <w:style w:type="character" w:customStyle="1" w:styleId="CommentSubjectChar">
    <w:name w:val="Comment Subject Char"/>
    <w:basedOn w:val="CommentTextChar"/>
    <w:link w:val="CommentSubject"/>
    <w:uiPriority w:val="99"/>
    <w:semiHidden/>
    <w:rsid w:val="00001BAA"/>
    <w:rPr>
      <w:b/>
      <w:bCs/>
      <w:sz w:val="20"/>
      <w:szCs w:val="20"/>
    </w:rPr>
  </w:style>
  <w:style w:type="paragraph" w:customStyle="1" w:styleId="pf0">
    <w:name w:val="pf0"/>
    <w:basedOn w:val="Normal"/>
    <w:rsid w:val="00E541A1"/>
    <w:pPr>
      <w:spacing w:before="100" w:beforeAutospacing="1" w:after="100" w:afterAutospacing="1"/>
    </w:pPr>
    <w:rPr>
      <w:rFonts w:ascii="Times New Roman" w:eastAsia="Times New Roman" w:hAnsi="Times New Roman" w:cs="Times New Roman"/>
      <w:sz w:val="24"/>
      <w:lang w:val="en-US"/>
    </w:rPr>
  </w:style>
  <w:style w:type="character" w:customStyle="1" w:styleId="cf01">
    <w:name w:val="cf01"/>
    <w:basedOn w:val="DefaultParagraphFont"/>
    <w:rsid w:val="00E541A1"/>
    <w:rPr>
      <w:rFonts w:ascii="Segoe UI" w:hAnsi="Segoe UI" w:cs="Segoe UI" w:hint="default"/>
      <w:sz w:val="18"/>
      <w:szCs w:val="18"/>
    </w:rPr>
  </w:style>
  <w:style w:type="character" w:customStyle="1" w:styleId="cf11">
    <w:name w:val="cf11"/>
    <w:basedOn w:val="DefaultParagraphFont"/>
    <w:rsid w:val="00E541A1"/>
    <w:rPr>
      <w:rFonts w:ascii="Segoe UI" w:hAnsi="Segoe UI" w:cs="Segoe UI" w:hint="default"/>
      <w:color w:val="222222"/>
      <w:sz w:val="18"/>
      <w:szCs w:val="18"/>
      <w:shd w:val="clear" w:color="auto" w:fill="FFFFFF"/>
    </w:rPr>
  </w:style>
  <w:style w:type="character" w:customStyle="1" w:styleId="cf21">
    <w:name w:val="cf21"/>
    <w:basedOn w:val="DefaultParagraphFont"/>
    <w:rsid w:val="00E541A1"/>
    <w:rPr>
      <w:rFonts w:ascii="Segoe UI" w:hAnsi="Segoe UI" w:cs="Segoe UI" w:hint="default"/>
      <w:i/>
      <w:iCs/>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64714959">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school/teachers/teachingresources/discipline/english/literacy/readingviewing/Pages/examplemodelled.aspx" TargetMode="External"/><Relationship Id="rId18" Type="http://schemas.openxmlformats.org/officeDocument/2006/relationships/hyperlink" Target="https://www.education.vic.gov.au/Pages/copyright.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ducation.vic.gov.au/school/teachers/teachingresources/discipline/english/literacy/readingviewing/Pages/teachingpracindependent.aspx" TargetMode="External"/><Relationship Id="rId17" Type="http://schemas.openxmlformats.org/officeDocument/2006/relationships/hyperlink" Target="https://victoriancurriculum.vcaa.vic.edu.au/" TargetMode="External"/><Relationship Id="rId25" Type="http://schemas.openxmlformats.org/officeDocument/2006/relationships/header" Target="header3.xml"/><Relationship Id="rId20" Type="http://schemas.openxmlformats.org/officeDocument/2006/relationships/hyperlink" Target="https://www.education.vic.gov.au/Pages/copyright.aspx" TargetMode="External"/><Relationship Id="rId16" Type="http://schemas.openxmlformats.org/officeDocument/2006/relationships/hyperlink" Target="https://www.education.vic.gov.au/school/teachers/learningneeds/Pages/literacy-tes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ducation.vic.gov.au/school/teachers/teachingresources/discipline/english/literacy/speakinglistening/Pages/teachingpractheatre.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school/teachers/teachingresources/discipline/english/literacy/readingviewing/Pages/exampleshared.aspx"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0E36C5905D34384F961181C39CD4A3F000413244DC3B63A64CBB57DD3AB8BE93A4" ma:contentTypeVersion="9" ma:contentTypeDescription="DET Document" ma:contentTypeScope="" ma:versionID="4cc8f78c71390cf7ca48108a44264d80">
  <xsd:schema xmlns:xsd="http://www.w3.org/2001/XMLSchema" xmlns:xs="http://www.w3.org/2001/XMLSchema" xmlns:p="http://schemas.microsoft.com/office/2006/metadata/properties" xmlns:ns1="http://schemas.microsoft.com/sharepoint/v3" xmlns:ns2="http://schemas.microsoft.com/Sharepoint/v3" xmlns:ns3="238b40cc-5620-4a1c-9250-4b92012a1abc" xmlns:ns4="7de2f1c6-7bba-4491-8123-8b2f88502824" targetNamespace="http://schemas.microsoft.com/office/2006/metadata/properties" ma:root="true" ma:fieldsID="5586865ad99884e1bfba45e009f65f89" ns1:_="" ns2:_="" ns3:_="" ns4:_="">
    <xsd:import namespace="http://schemas.microsoft.com/sharepoint/v3"/>
    <xsd:import namespace="http://schemas.microsoft.com/Sharepoint/v3"/>
    <xsd:import namespace="238b40cc-5620-4a1c-9250-4b92012a1abc"/>
    <xsd:import namespace="7de2f1c6-7bba-4491-8123-8b2f8850282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4: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e2f1c6-7bba-4491-8123-8b2f88502824" elementFormDefault="qualified">
    <xsd:import namespace="http://schemas.microsoft.com/office/2006/documentManagement/types"/>
    <xsd:import namespace="http://schemas.microsoft.com/office/infopath/2007/PartnerControls"/>
    <xsd:element name="Folder" ma:index="14" nillable="true" ma:displayName="Folder" ma:format="Dropdown" ma:indexed="true" ma:internalName="Folder">
      <xsd:simpleType>
        <xsd:union memberTypes="dms:Text">
          <xsd:simpleType>
            <xsd:restriction base="dms:Choice">
              <xsd:enumeration value="Procurement"/>
              <xsd:enumeration value="Contract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Oral_Reading_Fluency_Oct2023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EDF2F0C-D46A-4B6A-89CD-E54C4B9ED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7de2f1c6-7bba-4491-8123-8b2f88502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BBC324-7689-4476-9CF7-86DD2CAE5751}"/>
</file>

<file path=customXml/itemProps4.xml><?xml version="1.0" encoding="utf-8"?>
<ds:datastoreItem xmlns:ds="http://schemas.openxmlformats.org/officeDocument/2006/customXml" ds:itemID="{803D72E2-31F5-4C8A-9077-91155E1718E5}">
  <ds:schemaRefs>
    <ds:schemaRef ds:uri="http://schemas.microsoft.com/sharepoint/v3"/>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 ds:uri="238b40cc-5620-4a1c-9250-4b92012a1abc"/>
    <ds:schemaRef ds:uri="7de2f1c6-7bba-4491-8123-8b2f88502824"/>
    <ds:schemaRef ds:uri="http://schemas.microsoft.com/Sharepoint/v3"/>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reading fluency</dc:title>
  <dc:subject/>
  <dc:creator>Isabel Lim</dc:creator>
  <cp:keywords/>
  <dc:description/>
  <cp:lastModifiedBy>Tor Polding</cp:lastModifiedBy>
  <cp:revision>2</cp:revision>
  <dcterms:created xsi:type="dcterms:W3CDTF">2023-10-02T05:58:00Z</dcterms:created>
  <dcterms:modified xsi:type="dcterms:W3CDTF">2023-10-02T05:58:00Z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{3e7f0631-e5d3-463f-a3b6-d33c476cd4c1}</vt:lpwstr>
  </property>
  <property fmtid="{D5CDD505-2E9C-101B-9397-08002B2CF9AE}" pid="6" name="RecordPoint_ActiveItemListId">
    <vt:lpwstr>{7de2f1c6-7bba-4491-8123-8b2f88502824}</vt:lpwstr>
  </property>
  <property fmtid="{D5CDD505-2E9C-101B-9397-08002B2CF9AE}" pid="7" name="RecordPoint_ActiveItemUniqueId">
    <vt:lpwstr>{6e417a5e-ad6c-45dd-aeff-86080982ff0f}</vt:lpwstr>
  </property>
  <property fmtid="{D5CDD505-2E9C-101B-9397-08002B2CF9AE}" pid="8" name="RecordPoint_ActiveItemWebId">
    <vt:lpwstr>{04e397e1-8422-41ab-8fa6-0558625c1cfe}</vt:lpwstr>
  </property>
  <property fmtid="{D5CDD505-2E9C-101B-9397-08002B2CF9AE}" pid="9" name="RecordPoint_RecordNumberSubmitted">
    <vt:lpwstr>R20230259849</vt:lpwstr>
  </property>
  <property fmtid="{D5CDD505-2E9C-101B-9397-08002B2CF9AE}" pid="10" name="RecordPoint_SubmissionCompleted">
    <vt:lpwstr>2023-08-09T12:28:40.4954688+10:00</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