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5.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DC31B" w14:textId="77777777" w:rsidR="0030257A" w:rsidRDefault="0030257A" w:rsidP="00610D61">
      <w:pPr>
        <w:pStyle w:val="Coversubtitle"/>
        <w:rPr>
          <w:b/>
          <w:color w:val="AF272F" w:themeColor="accent1"/>
          <w:sz w:val="44"/>
        </w:rPr>
      </w:pPr>
      <w:r>
        <w:rPr>
          <w:b/>
          <w:color w:val="AF272F" w:themeColor="accent1"/>
          <w:sz w:val="44"/>
        </w:rPr>
        <w:t xml:space="preserve">Principal and School Leader Guide to Induction of Graduate </w:t>
      </w:r>
      <w:r w:rsidR="00610D61">
        <w:rPr>
          <w:b/>
          <w:color w:val="AF272F" w:themeColor="accent1"/>
          <w:sz w:val="44"/>
        </w:rPr>
        <w:t xml:space="preserve">– </w:t>
      </w:r>
      <w:r w:rsidR="00610D61" w:rsidRPr="00610D61">
        <w:rPr>
          <w:b/>
          <w:color w:val="AF272F" w:themeColor="accent1"/>
          <w:sz w:val="44"/>
        </w:rPr>
        <w:t>Department of Education and Training</w:t>
      </w:r>
    </w:p>
    <w:p w14:paraId="6A255287" w14:textId="77777777" w:rsidR="0030257A" w:rsidRPr="00DC17C3" w:rsidRDefault="0030257A" w:rsidP="00DC17C3">
      <w:pPr>
        <w:rPr>
          <w:rStyle w:val="Strong"/>
        </w:rPr>
      </w:pPr>
      <w:r w:rsidRPr="00DC17C3">
        <w:rPr>
          <w:rStyle w:val="Strong"/>
        </w:rPr>
        <w:t>Draft for Consultation</w:t>
      </w:r>
    </w:p>
    <w:p w14:paraId="2BE6D8BB" w14:textId="0A44B358" w:rsidR="00DA3218" w:rsidRPr="00610D61" w:rsidRDefault="00DA3218" w:rsidP="00610D61">
      <w:pPr>
        <w:pStyle w:val="Coversubtitle"/>
        <w:rPr>
          <w:b/>
          <w:color w:val="AF272F" w:themeColor="accent1"/>
          <w:sz w:val="44"/>
        </w:rPr>
        <w:sectPr w:rsidR="00DA3218" w:rsidRPr="00610D61" w:rsidSect="00A63D55">
          <w:headerReference w:type="even" r:id="rId8"/>
          <w:headerReference w:type="default" r:id="rId9"/>
          <w:footerReference w:type="even" r:id="rId10"/>
          <w:footerReference w:type="default" r:id="rId11"/>
          <w:headerReference w:type="first" r:id="rId12"/>
          <w:footerReference w:type="first" r:id="rId13"/>
          <w:pgSz w:w="11900" w:h="16840"/>
          <w:pgMar w:top="992" w:right="1134" w:bottom="1701" w:left="1134" w:header="709" w:footer="709" w:gutter="0"/>
          <w:cols w:space="708"/>
          <w:docGrid w:linePitch="360"/>
        </w:sectPr>
      </w:pPr>
    </w:p>
    <w:p w14:paraId="0692BD75" w14:textId="77777777" w:rsidR="00DA3218" w:rsidRPr="00895870" w:rsidRDefault="00DA3218" w:rsidP="00DA3218">
      <w:pPr>
        <w:spacing w:after="40"/>
        <w:rPr>
          <w:rFonts w:cstheme="minorHAnsi"/>
          <w:b/>
          <w:color w:val="AF272F"/>
          <w:sz w:val="44"/>
          <w:szCs w:val="44"/>
        </w:rPr>
      </w:pPr>
      <w:r w:rsidRPr="00895870">
        <w:rPr>
          <w:rFonts w:cstheme="minorHAnsi"/>
          <w:b/>
          <w:color w:val="AF272F"/>
          <w:sz w:val="44"/>
          <w:szCs w:val="44"/>
        </w:rPr>
        <w:lastRenderedPageBreak/>
        <w:t>CONTENTS</w:t>
      </w:r>
    </w:p>
    <w:p w14:paraId="467ADB9D" w14:textId="77777777" w:rsidR="00DA3218" w:rsidRDefault="00DA3218" w:rsidP="00DA3218">
      <w:pPr>
        <w:spacing w:after="40"/>
        <w:rPr>
          <w:rFonts w:cstheme="minorHAnsi"/>
          <w:color w:val="7F7F7F" w:themeColor="text1" w:themeTint="80"/>
          <w:sz w:val="13"/>
          <w:szCs w:val="13"/>
        </w:rPr>
      </w:pPr>
    </w:p>
    <w:p w14:paraId="28B7884D" w14:textId="1C6C4EDE" w:rsidR="00D92FB1" w:rsidRDefault="00DA3218">
      <w:pPr>
        <w:pStyle w:val="TOC1"/>
        <w:rPr>
          <w:rFonts w:asciiTheme="minorHAnsi" w:hAnsiTheme="minorHAnsi" w:cstheme="minorBidi"/>
          <w:b w:val="0"/>
          <w:noProof/>
          <w:color w:val="auto"/>
          <w:szCs w:val="22"/>
          <w:lang w:val="en-AU" w:eastAsia="en-AU"/>
        </w:rPr>
      </w:pPr>
      <w:r w:rsidRPr="00507B15">
        <w:rPr>
          <w:sz w:val="24"/>
          <w:szCs w:val="24"/>
        </w:rPr>
        <w:fldChar w:fldCharType="begin"/>
      </w:r>
      <w:r w:rsidRPr="00507B15">
        <w:rPr>
          <w:sz w:val="24"/>
          <w:szCs w:val="24"/>
        </w:rPr>
        <w:instrText xml:space="preserve"> TOC \t "HEADING 1,1,HEADING 2,2,Heading 3,3" </w:instrText>
      </w:r>
      <w:r w:rsidRPr="00507B15">
        <w:rPr>
          <w:sz w:val="24"/>
          <w:szCs w:val="24"/>
        </w:rPr>
        <w:fldChar w:fldCharType="separate"/>
      </w:r>
      <w:r w:rsidR="00D92FB1" w:rsidRPr="00D97AA5">
        <w:rPr>
          <w:noProof/>
          <w:lang w:val="en-AU"/>
        </w:rPr>
        <w:t>Introduction</w:t>
      </w:r>
      <w:r w:rsidR="00D92FB1">
        <w:rPr>
          <w:noProof/>
        </w:rPr>
        <w:tab/>
      </w:r>
      <w:r w:rsidR="00D92FB1">
        <w:rPr>
          <w:noProof/>
        </w:rPr>
        <w:fldChar w:fldCharType="begin"/>
      </w:r>
      <w:r w:rsidR="00D92FB1">
        <w:rPr>
          <w:noProof/>
        </w:rPr>
        <w:instrText xml:space="preserve"> PAGEREF _Toc2864054 \h </w:instrText>
      </w:r>
      <w:r w:rsidR="00D92FB1">
        <w:rPr>
          <w:noProof/>
        </w:rPr>
      </w:r>
      <w:r w:rsidR="00D92FB1">
        <w:rPr>
          <w:noProof/>
        </w:rPr>
        <w:fldChar w:fldCharType="separate"/>
      </w:r>
      <w:r w:rsidR="00D92FB1">
        <w:rPr>
          <w:noProof/>
        </w:rPr>
        <w:t>5</w:t>
      </w:r>
      <w:r w:rsidR="00D92FB1">
        <w:rPr>
          <w:noProof/>
        </w:rPr>
        <w:fldChar w:fldCharType="end"/>
      </w:r>
    </w:p>
    <w:p w14:paraId="23F4BF87" w14:textId="4BB94646" w:rsidR="00D92FB1" w:rsidRDefault="00D92FB1">
      <w:pPr>
        <w:pStyle w:val="TOC1"/>
        <w:rPr>
          <w:rFonts w:asciiTheme="minorHAnsi" w:hAnsiTheme="minorHAnsi" w:cstheme="minorBidi"/>
          <w:b w:val="0"/>
          <w:noProof/>
          <w:color w:val="auto"/>
          <w:szCs w:val="22"/>
          <w:lang w:val="en-AU" w:eastAsia="en-AU"/>
        </w:rPr>
      </w:pPr>
      <w:r w:rsidRPr="00D97AA5">
        <w:rPr>
          <w:noProof/>
          <w:lang w:val="en-AU"/>
        </w:rPr>
        <w:t>Why is it important to support graduate teachers?</w:t>
      </w:r>
      <w:r>
        <w:rPr>
          <w:noProof/>
        </w:rPr>
        <w:tab/>
      </w:r>
      <w:r>
        <w:rPr>
          <w:noProof/>
        </w:rPr>
        <w:fldChar w:fldCharType="begin"/>
      </w:r>
      <w:r>
        <w:rPr>
          <w:noProof/>
        </w:rPr>
        <w:instrText xml:space="preserve"> PAGEREF _Toc2864055 \h </w:instrText>
      </w:r>
      <w:r>
        <w:rPr>
          <w:noProof/>
        </w:rPr>
      </w:r>
      <w:r>
        <w:rPr>
          <w:noProof/>
        </w:rPr>
        <w:fldChar w:fldCharType="separate"/>
      </w:r>
      <w:r>
        <w:rPr>
          <w:noProof/>
        </w:rPr>
        <w:t>6</w:t>
      </w:r>
      <w:r>
        <w:rPr>
          <w:noProof/>
        </w:rPr>
        <w:fldChar w:fldCharType="end"/>
      </w:r>
    </w:p>
    <w:p w14:paraId="7F645171" w14:textId="77F57BC2" w:rsidR="00D92FB1" w:rsidRDefault="00D92FB1">
      <w:pPr>
        <w:pStyle w:val="TOC2"/>
        <w:tabs>
          <w:tab w:val="right" w:leader="dot" w:pos="9622"/>
        </w:tabs>
        <w:rPr>
          <w:rFonts w:asciiTheme="minorHAnsi" w:hAnsiTheme="minorHAnsi" w:cstheme="minorBidi"/>
          <w:noProof/>
          <w:color w:val="auto"/>
          <w:szCs w:val="22"/>
          <w:lang w:val="en-AU" w:eastAsia="en-AU"/>
        </w:rPr>
      </w:pPr>
      <w:r w:rsidRPr="00D97AA5">
        <w:rPr>
          <w:noProof/>
          <w:lang w:val="en-AU"/>
        </w:rPr>
        <w:t>From provisional to full registration</w:t>
      </w:r>
      <w:r>
        <w:rPr>
          <w:noProof/>
        </w:rPr>
        <w:tab/>
      </w:r>
      <w:r>
        <w:rPr>
          <w:noProof/>
        </w:rPr>
        <w:fldChar w:fldCharType="begin"/>
      </w:r>
      <w:r>
        <w:rPr>
          <w:noProof/>
        </w:rPr>
        <w:instrText xml:space="preserve"> PAGEREF _Toc2864056 \h </w:instrText>
      </w:r>
      <w:r>
        <w:rPr>
          <w:noProof/>
        </w:rPr>
      </w:r>
      <w:r>
        <w:rPr>
          <w:noProof/>
        </w:rPr>
        <w:fldChar w:fldCharType="separate"/>
      </w:r>
      <w:r>
        <w:rPr>
          <w:noProof/>
        </w:rPr>
        <w:t>6</w:t>
      </w:r>
      <w:r>
        <w:rPr>
          <w:noProof/>
        </w:rPr>
        <w:fldChar w:fldCharType="end"/>
      </w:r>
    </w:p>
    <w:p w14:paraId="46954D1E" w14:textId="7504CCD3" w:rsidR="00D92FB1" w:rsidRDefault="00D92FB1">
      <w:pPr>
        <w:pStyle w:val="TOC2"/>
        <w:tabs>
          <w:tab w:val="right" w:leader="dot" w:pos="9622"/>
        </w:tabs>
        <w:rPr>
          <w:rFonts w:asciiTheme="minorHAnsi" w:hAnsiTheme="minorHAnsi" w:cstheme="minorBidi"/>
          <w:noProof/>
          <w:color w:val="auto"/>
          <w:szCs w:val="22"/>
          <w:lang w:val="en-AU" w:eastAsia="en-AU"/>
        </w:rPr>
      </w:pPr>
      <w:r w:rsidRPr="00D97AA5">
        <w:rPr>
          <w:noProof/>
          <w:lang w:val="en-AU"/>
        </w:rPr>
        <w:t>The Education State vision for inspired graduate teachers</w:t>
      </w:r>
      <w:r>
        <w:rPr>
          <w:noProof/>
        </w:rPr>
        <w:tab/>
      </w:r>
      <w:r>
        <w:rPr>
          <w:noProof/>
        </w:rPr>
        <w:fldChar w:fldCharType="begin"/>
      </w:r>
      <w:r>
        <w:rPr>
          <w:noProof/>
        </w:rPr>
        <w:instrText xml:space="preserve"> PAGEREF _Toc2864057 \h </w:instrText>
      </w:r>
      <w:r>
        <w:rPr>
          <w:noProof/>
        </w:rPr>
      </w:r>
      <w:r>
        <w:rPr>
          <w:noProof/>
        </w:rPr>
        <w:fldChar w:fldCharType="separate"/>
      </w:r>
      <w:r>
        <w:rPr>
          <w:noProof/>
        </w:rPr>
        <w:t>6</w:t>
      </w:r>
      <w:r>
        <w:rPr>
          <w:noProof/>
        </w:rPr>
        <w:fldChar w:fldCharType="end"/>
      </w:r>
    </w:p>
    <w:p w14:paraId="68BC557B" w14:textId="244DF6FF" w:rsidR="00D92FB1" w:rsidRDefault="00D92FB1">
      <w:pPr>
        <w:pStyle w:val="TOC2"/>
        <w:tabs>
          <w:tab w:val="right" w:leader="dot" w:pos="9622"/>
        </w:tabs>
        <w:rPr>
          <w:rFonts w:asciiTheme="minorHAnsi" w:hAnsiTheme="minorHAnsi" w:cstheme="minorBidi"/>
          <w:noProof/>
          <w:color w:val="auto"/>
          <w:szCs w:val="22"/>
          <w:lang w:val="en-AU" w:eastAsia="en-AU"/>
        </w:rPr>
      </w:pPr>
      <w:r w:rsidRPr="00D97AA5">
        <w:rPr>
          <w:noProof/>
          <w:lang w:val="en-AU"/>
        </w:rPr>
        <w:t>Supporting excellence</w:t>
      </w:r>
      <w:r>
        <w:rPr>
          <w:noProof/>
        </w:rPr>
        <w:tab/>
      </w:r>
      <w:r>
        <w:rPr>
          <w:noProof/>
        </w:rPr>
        <w:fldChar w:fldCharType="begin"/>
      </w:r>
      <w:r>
        <w:rPr>
          <w:noProof/>
        </w:rPr>
        <w:instrText xml:space="preserve"> PAGEREF _Toc2864058 \h </w:instrText>
      </w:r>
      <w:r>
        <w:rPr>
          <w:noProof/>
        </w:rPr>
      </w:r>
      <w:r>
        <w:rPr>
          <w:noProof/>
        </w:rPr>
        <w:fldChar w:fldCharType="separate"/>
      </w:r>
      <w:r>
        <w:rPr>
          <w:noProof/>
        </w:rPr>
        <w:t>6</w:t>
      </w:r>
      <w:r>
        <w:rPr>
          <w:noProof/>
        </w:rPr>
        <w:fldChar w:fldCharType="end"/>
      </w:r>
    </w:p>
    <w:p w14:paraId="1C284ADE" w14:textId="68F89231" w:rsidR="00D92FB1" w:rsidRDefault="00D92FB1">
      <w:pPr>
        <w:pStyle w:val="TOC2"/>
        <w:tabs>
          <w:tab w:val="right" w:leader="dot" w:pos="9622"/>
        </w:tabs>
        <w:rPr>
          <w:rFonts w:asciiTheme="minorHAnsi" w:hAnsiTheme="minorHAnsi" w:cstheme="minorBidi"/>
          <w:noProof/>
          <w:color w:val="auto"/>
          <w:szCs w:val="22"/>
          <w:lang w:val="en-AU" w:eastAsia="en-AU"/>
        </w:rPr>
      </w:pPr>
      <w:r w:rsidRPr="00D97AA5">
        <w:rPr>
          <w:noProof/>
          <w:lang w:val="en-AU"/>
        </w:rPr>
        <w:t>Improving student outcomes</w:t>
      </w:r>
      <w:r>
        <w:rPr>
          <w:noProof/>
        </w:rPr>
        <w:tab/>
      </w:r>
      <w:r>
        <w:rPr>
          <w:noProof/>
        </w:rPr>
        <w:fldChar w:fldCharType="begin"/>
      </w:r>
      <w:r>
        <w:rPr>
          <w:noProof/>
        </w:rPr>
        <w:instrText xml:space="preserve"> PAGEREF _Toc2864059 \h </w:instrText>
      </w:r>
      <w:r>
        <w:rPr>
          <w:noProof/>
        </w:rPr>
      </w:r>
      <w:r>
        <w:rPr>
          <w:noProof/>
        </w:rPr>
        <w:fldChar w:fldCharType="separate"/>
      </w:r>
      <w:r>
        <w:rPr>
          <w:noProof/>
        </w:rPr>
        <w:t>6</w:t>
      </w:r>
      <w:r>
        <w:rPr>
          <w:noProof/>
        </w:rPr>
        <w:fldChar w:fldCharType="end"/>
      </w:r>
    </w:p>
    <w:p w14:paraId="50CCF1CD" w14:textId="748D2B42" w:rsidR="00D92FB1" w:rsidRDefault="00D92FB1">
      <w:pPr>
        <w:pStyle w:val="TOC2"/>
        <w:tabs>
          <w:tab w:val="right" w:leader="dot" w:pos="9622"/>
        </w:tabs>
        <w:rPr>
          <w:rFonts w:asciiTheme="minorHAnsi" w:hAnsiTheme="minorHAnsi" w:cstheme="minorBidi"/>
          <w:noProof/>
          <w:color w:val="auto"/>
          <w:szCs w:val="22"/>
          <w:lang w:val="en-AU" w:eastAsia="en-AU"/>
        </w:rPr>
      </w:pPr>
      <w:r w:rsidRPr="00D97AA5">
        <w:rPr>
          <w:noProof/>
          <w:lang w:val="en-AU"/>
        </w:rPr>
        <w:t>Commitment to the profession</w:t>
      </w:r>
      <w:r>
        <w:rPr>
          <w:noProof/>
        </w:rPr>
        <w:tab/>
      </w:r>
      <w:r>
        <w:rPr>
          <w:noProof/>
        </w:rPr>
        <w:fldChar w:fldCharType="begin"/>
      </w:r>
      <w:r>
        <w:rPr>
          <w:noProof/>
        </w:rPr>
        <w:instrText xml:space="preserve"> PAGEREF _Toc2864060 \h </w:instrText>
      </w:r>
      <w:r>
        <w:rPr>
          <w:noProof/>
        </w:rPr>
      </w:r>
      <w:r>
        <w:rPr>
          <w:noProof/>
        </w:rPr>
        <w:fldChar w:fldCharType="separate"/>
      </w:r>
      <w:r>
        <w:rPr>
          <w:noProof/>
        </w:rPr>
        <w:t>6</w:t>
      </w:r>
      <w:r>
        <w:rPr>
          <w:noProof/>
        </w:rPr>
        <w:fldChar w:fldCharType="end"/>
      </w:r>
    </w:p>
    <w:p w14:paraId="6165266E" w14:textId="60887DDA" w:rsidR="00D92FB1" w:rsidRDefault="00D92FB1">
      <w:pPr>
        <w:pStyle w:val="TOC2"/>
        <w:tabs>
          <w:tab w:val="right" w:leader="dot" w:pos="9622"/>
        </w:tabs>
        <w:rPr>
          <w:rFonts w:asciiTheme="minorHAnsi" w:hAnsiTheme="minorHAnsi" w:cstheme="minorBidi"/>
          <w:noProof/>
          <w:color w:val="auto"/>
          <w:szCs w:val="22"/>
          <w:lang w:val="en-AU" w:eastAsia="en-AU"/>
        </w:rPr>
      </w:pPr>
      <w:r w:rsidRPr="00D97AA5">
        <w:rPr>
          <w:noProof/>
          <w:lang w:val="en-AU"/>
        </w:rPr>
        <w:t>Classroom readiness</w:t>
      </w:r>
      <w:r>
        <w:rPr>
          <w:noProof/>
        </w:rPr>
        <w:tab/>
      </w:r>
      <w:r>
        <w:rPr>
          <w:noProof/>
        </w:rPr>
        <w:fldChar w:fldCharType="begin"/>
      </w:r>
      <w:r>
        <w:rPr>
          <w:noProof/>
        </w:rPr>
        <w:instrText xml:space="preserve"> PAGEREF _Toc2864061 \h </w:instrText>
      </w:r>
      <w:r>
        <w:rPr>
          <w:noProof/>
        </w:rPr>
      </w:r>
      <w:r>
        <w:rPr>
          <w:noProof/>
        </w:rPr>
        <w:fldChar w:fldCharType="separate"/>
      </w:r>
      <w:r>
        <w:rPr>
          <w:noProof/>
        </w:rPr>
        <w:t>7</w:t>
      </w:r>
      <w:r>
        <w:rPr>
          <w:noProof/>
        </w:rPr>
        <w:fldChar w:fldCharType="end"/>
      </w:r>
    </w:p>
    <w:p w14:paraId="00802574" w14:textId="127A1DEA" w:rsidR="00D92FB1" w:rsidRDefault="00D92FB1">
      <w:pPr>
        <w:pStyle w:val="TOC2"/>
        <w:tabs>
          <w:tab w:val="right" w:leader="dot" w:pos="9622"/>
        </w:tabs>
        <w:rPr>
          <w:rFonts w:asciiTheme="minorHAnsi" w:hAnsiTheme="minorHAnsi" w:cstheme="minorBidi"/>
          <w:noProof/>
          <w:color w:val="auto"/>
          <w:szCs w:val="22"/>
          <w:lang w:val="en-AU" w:eastAsia="en-AU"/>
        </w:rPr>
      </w:pPr>
      <w:r w:rsidRPr="00D97AA5">
        <w:rPr>
          <w:noProof/>
          <w:lang w:val="en-AU"/>
        </w:rPr>
        <w:t>Self-</w:t>
      </w:r>
      <w:r>
        <w:rPr>
          <w:noProof/>
        </w:rPr>
        <w:t>efficacy</w:t>
      </w:r>
      <w:r>
        <w:rPr>
          <w:noProof/>
        </w:rPr>
        <w:tab/>
      </w:r>
      <w:r>
        <w:rPr>
          <w:noProof/>
        </w:rPr>
        <w:fldChar w:fldCharType="begin"/>
      </w:r>
      <w:r>
        <w:rPr>
          <w:noProof/>
        </w:rPr>
        <w:instrText xml:space="preserve"> PAGEREF _Toc2864062 \h </w:instrText>
      </w:r>
      <w:r>
        <w:rPr>
          <w:noProof/>
        </w:rPr>
      </w:r>
      <w:r>
        <w:rPr>
          <w:noProof/>
        </w:rPr>
        <w:fldChar w:fldCharType="separate"/>
      </w:r>
      <w:r>
        <w:rPr>
          <w:noProof/>
        </w:rPr>
        <w:t>7</w:t>
      </w:r>
      <w:r>
        <w:rPr>
          <w:noProof/>
        </w:rPr>
        <w:fldChar w:fldCharType="end"/>
      </w:r>
    </w:p>
    <w:p w14:paraId="4F297E4C" w14:textId="6F94F51B" w:rsidR="00D92FB1" w:rsidRDefault="00D92FB1">
      <w:pPr>
        <w:pStyle w:val="TOC2"/>
        <w:tabs>
          <w:tab w:val="right" w:leader="dot" w:pos="9622"/>
        </w:tabs>
        <w:rPr>
          <w:rFonts w:asciiTheme="minorHAnsi" w:hAnsiTheme="minorHAnsi" w:cstheme="minorBidi"/>
          <w:noProof/>
          <w:color w:val="auto"/>
          <w:szCs w:val="22"/>
          <w:lang w:val="en-AU" w:eastAsia="en-AU"/>
        </w:rPr>
      </w:pPr>
      <w:r w:rsidRPr="00D97AA5">
        <w:rPr>
          <w:noProof/>
          <w:lang w:val="en-AU"/>
        </w:rPr>
        <w:t>Alignment with the Framework for Improving Student Outcomes</w:t>
      </w:r>
      <w:r>
        <w:rPr>
          <w:noProof/>
        </w:rPr>
        <w:tab/>
      </w:r>
      <w:r>
        <w:rPr>
          <w:noProof/>
        </w:rPr>
        <w:fldChar w:fldCharType="begin"/>
      </w:r>
      <w:r>
        <w:rPr>
          <w:noProof/>
        </w:rPr>
        <w:instrText xml:space="preserve"> PAGEREF _Toc2864063 \h </w:instrText>
      </w:r>
      <w:r>
        <w:rPr>
          <w:noProof/>
        </w:rPr>
      </w:r>
      <w:r>
        <w:rPr>
          <w:noProof/>
        </w:rPr>
        <w:fldChar w:fldCharType="separate"/>
      </w:r>
      <w:r>
        <w:rPr>
          <w:noProof/>
        </w:rPr>
        <w:t>7</w:t>
      </w:r>
      <w:r>
        <w:rPr>
          <w:noProof/>
        </w:rPr>
        <w:fldChar w:fldCharType="end"/>
      </w:r>
    </w:p>
    <w:p w14:paraId="05DF1B6E" w14:textId="74E6AAFC" w:rsidR="00D92FB1" w:rsidRDefault="00D92FB1">
      <w:pPr>
        <w:pStyle w:val="TOC1"/>
        <w:rPr>
          <w:rFonts w:asciiTheme="minorHAnsi" w:hAnsiTheme="minorHAnsi" w:cstheme="minorBidi"/>
          <w:b w:val="0"/>
          <w:noProof/>
          <w:color w:val="auto"/>
          <w:szCs w:val="22"/>
          <w:lang w:val="en-AU" w:eastAsia="en-AU"/>
        </w:rPr>
      </w:pPr>
      <w:r w:rsidRPr="00D97AA5">
        <w:rPr>
          <w:noProof/>
          <w:lang w:val="en-AU"/>
        </w:rPr>
        <w:t>Induction and mentoring supports in Victoria</w:t>
      </w:r>
      <w:r>
        <w:rPr>
          <w:noProof/>
        </w:rPr>
        <w:tab/>
      </w:r>
      <w:r>
        <w:rPr>
          <w:noProof/>
        </w:rPr>
        <w:fldChar w:fldCharType="begin"/>
      </w:r>
      <w:r>
        <w:rPr>
          <w:noProof/>
        </w:rPr>
        <w:instrText xml:space="preserve"> PAGEREF _Toc2864064 \h </w:instrText>
      </w:r>
      <w:r>
        <w:rPr>
          <w:noProof/>
        </w:rPr>
      </w:r>
      <w:r>
        <w:rPr>
          <w:noProof/>
        </w:rPr>
        <w:fldChar w:fldCharType="separate"/>
      </w:r>
      <w:r>
        <w:rPr>
          <w:noProof/>
        </w:rPr>
        <w:t>8</w:t>
      </w:r>
      <w:r>
        <w:rPr>
          <w:noProof/>
        </w:rPr>
        <w:fldChar w:fldCharType="end"/>
      </w:r>
    </w:p>
    <w:p w14:paraId="5B2C0687" w14:textId="4C211245" w:rsidR="00D92FB1" w:rsidRDefault="00D92FB1">
      <w:pPr>
        <w:pStyle w:val="TOC2"/>
        <w:tabs>
          <w:tab w:val="right" w:leader="dot" w:pos="9622"/>
        </w:tabs>
        <w:rPr>
          <w:rFonts w:asciiTheme="minorHAnsi" w:hAnsiTheme="minorHAnsi" w:cstheme="minorBidi"/>
          <w:noProof/>
          <w:color w:val="auto"/>
          <w:szCs w:val="22"/>
          <w:lang w:val="en-AU" w:eastAsia="en-AU"/>
        </w:rPr>
      </w:pPr>
      <w:r w:rsidRPr="00D97AA5">
        <w:rPr>
          <w:noProof/>
          <w:lang w:val="en-AU"/>
        </w:rPr>
        <w:t>How to use this guide</w:t>
      </w:r>
      <w:r>
        <w:rPr>
          <w:noProof/>
        </w:rPr>
        <w:tab/>
      </w:r>
      <w:r>
        <w:rPr>
          <w:noProof/>
        </w:rPr>
        <w:fldChar w:fldCharType="begin"/>
      </w:r>
      <w:r>
        <w:rPr>
          <w:noProof/>
        </w:rPr>
        <w:instrText xml:space="preserve"> PAGEREF _Toc2864065 \h </w:instrText>
      </w:r>
      <w:r>
        <w:rPr>
          <w:noProof/>
        </w:rPr>
      </w:r>
      <w:r>
        <w:rPr>
          <w:noProof/>
        </w:rPr>
        <w:fldChar w:fldCharType="separate"/>
      </w:r>
      <w:r>
        <w:rPr>
          <w:noProof/>
        </w:rPr>
        <w:t>9</w:t>
      </w:r>
      <w:r>
        <w:rPr>
          <w:noProof/>
        </w:rPr>
        <w:fldChar w:fldCharType="end"/>
      </w:r>
    </w:p>
    <w:p w14:paraId="43035264" w14:textId="2A8EB0EA" w:rsidR="00D92FB1" w:rsidRDefault="00D92FB1">
      <w:pPr>
        <w:pStyle w:val="TOC1"/>
        <w:rPr>
          <w:rFonts w:asciiTheme="minorHAnsi" w:hAnsiTheme="minorHAnsi" w:cstheme="minorBidi"/>
          <w:b w:val="0"/>
          <w:noProof/>
          <w:color w:val="auto"/>
          <w:szCs w:val="22"/>
          <w:lang w:val="en-AU" w:eastAsia="en-AU"/>
        </w:rPr>
      </w:pPr>
      <w:r w:rsidRPr="00D97AA5">
        <w:rPr>
          <w:noProof/>
          <w:lang w:val="en-AU"/>
        </w:rPr>
        <w:t>What does effective induction look like?</w:t>
      </w:r>
      <w:r>
        <w:rPr>
          <w:noProof/>
        </w:rPr>
        <w:tab/>
      </w:r>
      <w:r>
        <w:rPr>
          <w:noProof/>
        </w:rPr>
        <w:fldChar w:fldCharType="begin"/>
      </w:r>
      <w:r>
        <w:rPr>
          <w:noProof/>
        </w:rPr>
        <w:instrText xml:space="preserve"> PAGEREF _Toc2864066 \h </w:instrText>
      </w:r>
      <w:r>
        <w:rPr>
          <w:noProof/>
        </w:rPr>
      </w:r>
      <w:r>
        <w:rPr>
          <w:noProof/>
        </w:rPr>
        <w:fldChar w:fldCharType="separate"/>
      </w:r>
      <w:r>
        <w:rPr>
          <w:noProof/>
        </w:rPr>
        <w:t>10</w:t>
      </w:r>
      <w:r>
        <w:rPr>
          <w:noProof/>
        </w:rPr>
        <w:fldChar w:fldCharType="end"/>
      </w:r>
    </w:p>
    <w:p w14:paraId="717CAF00" w14:textId="50C97492" w:rsidR="00D92FB1" w:rsidRDefault="00D92FB1">
      <w:pPr>
        <w:pStyle w:val="TOC2"/>
        <w:tabs>
          <w:tab w:val="right" w:leader="dot" w:pos="9622"/>
        </w:tabs>
        <w:rPr>
          <w:rFonts w:asciiTheme="minorHAnsi" w:hAnsiTheme="minorHAnsi" w:cstheme="minorBidi"/>
          <w:noProof/>
          <w:color w:val="auto"/>
          <w:szCs w:val="22"/>
          <w:lang w:val="en-AU" w:eastAsia="en-AU"/>
        </w:rPr>
      </w:pPr>
      <w:r>
        <w:rPr>
          <w:noProof/>
        </w:rPr>
        <w:t>Focus</w:t>
      </w:r>
      <w:r w:rsidRPr="00D97AA5">
        <w:rPr>
          <w:noProof/>
          <w:lang w:val="en-AU"/>
        </w:rPr>
        <w:t xml:space="preserve"> areas</w:t>
      </w:r>
      <w:r>
        <w:rPr>
          <w:noProof/>
        </w:rPr>
        <w:tab/>
      </w:r>
      <w:r>
        <w:rPr>
          <w:noProof/>
        </w:rPr>
        <w:fldChar w:fldCharType="begin"/>
      </w:r>
      <w:r>
        <w:rPr>
          <w:noProof/>
        </w:rPr>
        <w:instrText xml:space="preserve"> PAGEREF _Toc2864067 \h </w:instrText>
      </w:r>
      <w:r>
        <w:rPr>
          <w:noProof/>
        </w:rPr>
      </w:r>
      <w:r>
        <w:rPr>
          <w:noProof/>
        </w:rPr>
        <w:fldChar w:fldCharType="separate"/>
      </w:r>
      <w:r>
        <w:rPr>
          <w:noProof/>
        </w:rPr>
        <w:t>10</w:t>
      </w:r>
      <w:r>
        <w:rPr>
          <w:noProof/>
        </w:rPr>
        <w:fldChar w:fldCharType="end"/>
      </w:r>
    </w:p>
    <w:p w14:paraId="575289AF" w14:textId="39273B22" w:rsidR="00D92FB1" w:rsidRDefault="00D92FB1">
      <w:pPr>
        <w:pStyle w:val="TOC2"/>
        <w:tabs>
          <w:tab w:val="right" w:leader="dot" w:pos="9622"/>
        </w:tabs>
        <w:rPr>
          <w:rFonts w:asciiTheme="minorHAnsi" w:hAnsiTheme="minorHAnsi" w:cstheme="minorBidi"/>
          <w:noProof/>
          <w:color w:val="auto"/>
          <w:szCs w:val="22"/>
          <w:lang w:val="en-AU" w:eastAsia="en-AU"/>
        </w:rPr>
      </w:pPr>
      <w:r>
        <w:rPr>
          <w:noProof/>
        </w:rPr>
        <w:t>Theory of change</w:t>
      </w:r>
      <w:r>
        <w:rPr>
          <w:noProof/>
        </w:rPr>
        <w:tab/>
      </w:r>
      <w:r>
        <w:rPr>
          <w:noProof/>
        </w:rPr>
        <w:fldChar w:fldCharType="begin"/>
      </w:r>
      <w:r>
        <w:rPr>
          <w:noProof/>
        </w:rPr>
        <w:instrText xml:space="preserve"> PAGEREF _Toc2864068 \h </w:instrText>
      </w:r>
      <w:r>
        <w:rPr>
          <w:noProof/>
        </w:rPr>
      </w:r>
      <w:r>
        <w:rPr>
          <w:noProof/>
        </w:rPr>
        <w:fldChar w:fldCharType="separate"/>
      </w:r>
      <w:r>
        <w:rPr>
          <w:noProof/>
        </w:rPr>
        <w:t>11</w:t>
      </w:r>
      <w:r>
        <w:rPr>
          <w:noProof/>
        </w:rPr>
        <w:fldChar w:fldCharType="end"/>
      </w:r>
    </w:p>
    <w:p w14:paraId="1478F3FD" w14:textId="4BF50142" w:rsidR="00D92FB1" w:rsidRDefault="00D92FB1">
      <w:pPr>
        <w:pStyle w:val="TOC1"/>
        <w:rPr>
          <w:rFonts w:asciiTheme="minorHAnsi" w:hAnsiTheme="minorHAnsi" w:cstheme="minorBidi"/>
          <w:b w:val="0"/>
          <w:noProof/>
          <w:color w:val="auto"/>
          <w:szCs w:val="22"/>
          <w:lang w:val="en-AU" w:eastAsia="en-AU"/>
        </w:rPr>
      </w:pPr>
      <w:r w:rsidRPr="00D97AA5">
        <w:rPr>
          <w:noProof/>
          <w:lang w:val="en-AU"/>
        </w:rPr>
        <w:t>Orientation</w:t>
      </w:r>
      <w:r>
        <w:rPr>
          <w:noProof/>
        </w:rPr>
        <w:tab/>
      </w:r>
      <w:r>
        <w:rPr>
          <w:noProof/>
        </w:rPr>
        <w:fldChar w:fldCharType="begin"/>
      </w:r>
      <w:r>
        <w:rPr>
          <w:noProof/>
        </w:rPr>
        <w:instrText xml:space="preserve"> PAGEREF _Toc2864069 \h </w:instrText>
      </w:r>
      <w:r>
        <w:rPr>
          <w:noProof/>
        </w:rPr>
      </w:r>
      <w:r>
        <w:rPr>
          <w:noProof/>
        </w:rPr>
        <w:fldChar w:fldCharType="separate"/>
      </w:r>
      <w:r>
        <w:rPr>
          <w:noProof/>
        </w:rPr>
        <w:t>11</w:t>
      </w:r>
      <w:r>
        <w:rPr>
          <w:noProof/>
        </w:rPr>
        <w:fldChar w:fldCharType="end"/>
      </w:r>
    </w:p>
    <w:p w14:paraId="7F34FC96" w14:textId="3E3BFA8B" w:rsidR="00D92FB1" w:rsidRDefault="00D92FB1">
      <w:pPr>
        <w:pStyle w:val="TOC2"/>
        <w:tabs>
          <w:tab w:val="right" w:leader="dot" w:pos="9622"/>
        </w:tabs>
        <w:rPr>
          <w:rFonts w:asciiTheme="minorHAnsi" w:hAnsiTheme="minorHAnsi" w:cstheme="minorBidi"/>
          <w:noProof/>
          <w:color w:val="auto"/>
          <w:szCs w:val="22"/>
          <w:lang w:val="en-AU" w:eastAsia="en-AU"/>
        </w:rPr>
      </w:pPr>
      <w:r>
        <w:rPr>
          <w:noProof/>
        </w:rPr>
        <w:t>Welcoming graduate teachers</w:t>
      </w:r>
      <w:r>
        <w:rPr>
          <w:noProof/>
        </w:rPr>
        <w:tab/>
      </w:r>
      <w:r>
        <w:rPr>
          <w:noProof/>
        </w:rPr>
        <w:fldChar w:fldCharType="begin"/>
      </w:r>
      <w:r>
        <w:rPr>
          <w:noProof/>
        </w:rPr>
        <w:instrText xml:space="preserve"> PAGEREF _Toc2864070 \h </w:instrText>
      </w:r>
      <w:r>
        <w:rPr>
          <w:noProof/>
        </w:rPr>
      </w:r>
      <w:r>
        <w:rPr>
          <w:noProof/>
        </w:rPr>
        <w:fldChar w:fldCharType="separate"/>
      </w:r>
      <w:r>
        <w:rPr>
          <w:noProof/>
        </w:rPr>
        <w:t>11</w:t>
      </w:r>
      <w:r>
        <w:rPr>
          <w:noProof/>
        </w:rPr>
        <w:fldChar w:fldCharType="end"/>
      </w:r>
    </w:p>
    <w:p w14:paraId="2ECAF1DE" w14:textId="28E57E28" w:rsidR="00D92FB1" w:rsidRDefault="00D92FB1">
      <w:pPr>
        <w:pStyle w:val="TOC2"/>
        <w:tabs>
          <w:tab w:val="right" w:leader="dot" w:pos="9622"/>
        </w:tabs>
        <w:rPr>
          <w:rFonts w:asciiTheme="minorHAnsi" w:hAnsiTheme="minorHAnsi" w:cstheme="minorBidi"/>
          <w:noProof/>
          <w:color w:val="auto"/>
          <w:szCs w:val="22"/>
          <w:lang w:val="en-AU" w:eastAsia="en-AU"/>
        </w:rPr>
      </w:pPr>
      <w:r>
        <w:rPr>
          <w:noProof/>
        </w:rPr>
        <w:t>School orientation</w:t>
      </w:r>
      <w:r>
        <w:rPr>
          <w:noProof/>
        </w:rPr>
        <w:tab/>
      </w:r>
      <w:r>
        <w:rPr>
          <w:noProof/>
        </w:rPr>
        <w:fldChar w:fldCharType="begin"/>
      </w:r>
      <w:r>
        <w:rPr>
          <w:noProof/>
        </w:rPr>
        <w:instrText xml:space="preserve"> PAGEREF _Toc2864071 \h </w:instrText>
      </w:r>
      <w:r>
        <w:rPr>
          <w:noProof/>
        </w:rPr>
      </w:r>
      <w:r>
        <w:rPr>
          <w:noProof/>
        </w:rPr>
        <w:fldChar w:fldCharType="separate"/>
      </w:r>
      <w:r>
        <w:rPr>
          <w:noProof/>
        </w:rPr>
        <w:t>11</w:t>
      </w:r>
      <w:r>
        <w:rPr>
          <w:noProof/>
        </w:rPr>
        <w:fldChar w:fldCharType="end"/>
      </w:r>
    </w:p>
    <w:p w14:paraId="3AAD905D" w14:textId="7582EA3D" w:rsidR="00D92FB1" w:rsidRDefault="00D92FB1">
      <w:pPr>
        <w:pStyle w:val="TOC2"/>
        <w:tabs>
          <w:tab w:val="right" w:leader="dot" w:pos="9622"/>
        </w:tabs>
        <w:rPr>
          <w:rFonts w:asciiTheme="minorHAnsi" w:hAnsiTheme="minorHAnsi" w:cstheme="minorBidi"/>
          <w:noProof/>
          <w:color w:val="auto"/>
          <w:szCs w:val="22"/>
          <w:lang w:val="en-AU" w:eastAsia="en-AU"/>
        </w:rPr>
      </w:pPr>
      <w:r>
        <w:rPr>
          <w:noProof/>
        </w:rPr>
        <w:t>Induction timeline and checklists to plan for orientation</w:t>
      </w:r>
      <w:r>
        <w:rPr>
          <w:noProof/>
        </w:rPr>
        <w:tab/>
      </w:r>
      <w:r>
        <w:rPr>
          <w:noProof/>
        </w:rPr>
        <w:fldChar w:fldCharType="begin"/>
      </w:r>
      <w:r>
        <w:rPr>
          <w:noProof/>
        </w:rPr>
        <w:instrText xml:space="preserve"> PAGEREF _Toc2864072 \h </w:instrText>
      </w:r>
      <w:r>
        <w:rPr>
          <w:noProof/>
        </w:rPr>
      </w:r>
      <w:r>
        <w:rPr>
          <w:noProof/>
        </w:rPr>
        <w:fldChar w:fldCharType="separate"/>
      </w:r>
      <w:r>
        <w:rPr>
          <w:noProof/>
        </w:rPr>
        <w:t>12</w:t>
      </w:r>
      <w:r>
        <w:rPr>
          <w:noProof/>
        </w:rPr>
        <w:fldChar w:fldCharType="end"/>
      </w:r>
    </w:p>
    <w:p w14:paraId="2F881AE6" w14:textId="3CC0287C" w:rsidR="00D92FB1" w:rsidRDefault="00D92FB1">
      <w:pPr>
        <w:pStyle w:val="TOC2"/>
        <w:tabs>
          <w:tab w:val="right" w:leader="dot" w:pos="9622"/>
        </w:tabs>
        <w:rPr>
          <w:rFonts w:asciiTheme="minorHAnsi" w:hAnsiTheme="minorHAnsi" w:cstheme="minorBidi"/>
          <w:noProof/>
          <w:color w:val="auto"/>
          <w:szCs w:val="22"/>
          <w:lang w:val="en-AU" w:eastAsia="en-AU"/>
        </w:rPr>
      </w:pPr>
      <w:r>
        <w:rPr>
          <w:noProof/>
        </w:rPr>
        <w:t>Graduate teacher induction portal</w:t>
      </w:r>
      <w:r>
        <w:rPr>
          <w:noProof/>
        </w:rPr>
        <w:tab/>
      </w:r>
      <w:r>
        <w:rPr>
          <w:noProof/>
        </w:rPr>
        <w:fldChar w:fldCharType="begin"/>
      </w:r>
      <w:r>
        <w:rPr>
          <w:noProof/>
        </w:rPr>
        <w:instrText xml:space="preserve"> PAGEREF _Toc2864073 \h </w:instrText>
      </w:r>
      <w:r>
        <w:rPr>
          <w:noProof/>
        </w:rPr>
      </w:r>
      <w:r>
        <w:rPr>
          <w:noProof/>
        </w:rPr>
        <w:fldChar w:fldCharType="separate"/>
      </w:r>
      <w:r>
        <w:rPr>
          <w:noProof/>
        </w:rPr>
        <w:t>12</w:t>
      </w:r>
      <w:r>
        <w:rPr>
          <w:noProof/>
        </w:rPr>
        <w:fldChar w:fldCharType="end"/>
      </w:r>
    </w:p>
    <w:p w14:paraId="137CBE9A" w14:textId="49E31A62" w:rsidR="00D92FB1" w:rsidRDefault="00D92FB1">
      <w:pPr>
        <w:pStyle w:val="TOC1"/>
        <w:rPr>
          <w:rFonts w:asciiTheme="minorHAnsi" w:hAnsiTheme="minorHAnsi" w:cstheme="minorBidi"/>
          <w:b w:val="0"/>
          <w:noProof/>
          <w:color w:val="auto"/>
          <w:szCs w:val="22"/>
          <w:lang w:val="en-AU" w:eastAsia="en-AU"/>
        </w:rPr>
      </w:pPr>
      <w:r w:rsidRPr="00D97AA5">
        <w:rPr>
          <w:noProof/>
          <w:lang w:val="en-AU"/>
        </w:rPr>
        <w:t>Professional Identity</w:t>
      </w:r>
      <w:r>
        <w:rPr>
          <w:noProof/>
        </w:rPr>
        <w:tab/>
      </w:r>
      <w:r>
        <w:rPr>
          <w:noProof/>
        </w:rPr>
        <w:fldChar w:fldCharType="begin"/>
      </w:r>
      <w:r>
        <w:rPr>
          <w:noProof/>
        </w:rPr>
        <w:instrText xml:space="preserve"> PAGEREF _Toc2864074 \h </w:instrText>
      </w:r>
      <w:r>
        <w:rPr>
          <w:noProof/>
        </w:rPr>
      </w:r>
      <w:r>
        <w:rPr>
          <w:noProof/>
        </w:rPr>
        <w:fldChar w:fldCharType="separate"/>
      </w:r>
      <w:r>
        <w:rPr>
          <w:noProof/>
        </w:rPr>
        <w:t>12</w:t>
      </w:r>
      <w:r>
        <w:rPr>
          <w:noProof/>
        </w:rPr>
        <w:fldChar w:fldCharType="end"/>
      </w:r>
    </w:p>
    <w:p w14:paraId="33A8D3A4" w14:textId="51E5A7F3" w:rsidR="00D92FB1" w:rsidRDefault="00D92FB1">
      <w:pPr>
        <w:pStyle w:val="TOC2"/>
        <w:tabs>
          <w:tab w:val="right" w:leader="dot" w:pos="9622"/>
        </w:tabs>
        <w:rPr>
          <w:rFonts w:asciiTheme="minorHAnsi" w:hAnsiTheme="minorHAnsi" w:cstheme="minorBidi"/>
          <w:noProof/>
          <w:color w:val="auto"/>
          <w:szCs w:val="22"/>
          <w:lang w:val="en-AU" w:eastAsia="en-AU"/>
        </w:rPr>
      </w:pPr>
      <w:r>
        <w:rPr>
          <w:noProof/>
        </w:rPr>
        <w:t>Probationary period</w:t>
      </w:r>
      <w:r>
        <w:rPr>
          <w:noProof/>
        </w:rPr>
        <w:tab/>
      </w:r>
      <w:r>
        <w:rPr>
          <w:noProof/>
        </w:rPr>
        <w:fldChar w:fldCharType="begin"/>
      </w:r>
      <w:r>
        <w:rPr>
          <w:noProof/>
        </w:rPr>
        <w:instrText xml:space="preserve"> PAGEREF _Toc2864075 \h </w:instrText>
      </w:r>
      <w:r>
        <w:rPr>
          <w:noProof/>
        </w:rPr>
      </w:r>
      <w:r>
        <w:rPr>
          <w:noProof/>
        </w:rPr>
        <w:fldChar w:fldCharType="separate"/>
      </w:r>
      <w:r>
        <w:rPr>
          <w:noProof/>
        </w:rPr>
        <w:t>12</w:t>
      </w:r>
      <w:r>
        <w:rPr>
          <w:noProof/>
        </w:rPr>
        <w:fldChar w:fldCharType="end"/>
      </w:r>
    </w:p>
    <w:p w14:paraId="6ECC0F2B" w14:textId="13C13058" w:rsidR="00D92FB1" w:rsidRDefault="00D92FB1">
      <w:pPr>
        <w:pStyle w:val="TOC2"/>
        <w:tabs>
          <w:tab w:val="right" w:leader="dot" w:pos="9622"/>
        </w:tabs>
        <w:rPr>
          <w:rFonts w:asciiTheme="minorHAnsi" w:hAnsiTheme="minorHAnsi" w:cstheme="minorBidi"/>
          <w:noProof/>
          <w:color w:val="auto"/>
          <w:szCs w:val="22"/>
          <w:lang w:val="en-AU" w:eastAsia="en-AU"/>
        </w:rPr>
      </w:pPr>
      <w:r>
        <w:rPr>
          <w:noProof/>
        </w:rPr>
        <w:t>VIT registration</w:t>
      </w:r>
      <w:r>
        <w:rPr>
          <w:noProof/>
        </w:rPr>
        <w:tab/>
      </w:r>
      <w:r>
        <w:rPr>
          <w:noProof/>
        </w:rPr>
        <w:fldChar w:fldCharType="begin"/>
      </w:r>
      <w:r>
        <w:rPr>
          <w:noProof/>
        </w:rPr>
        <w:instrText xml:space="preserve"> PAGEREF _Toc2864076 \h </w:instrText>
      </w:r>
      <w:r>
        <w:rPr>
          <w:noProof/>
        </w:rPr>
      </w:r>
      <w:r>
        <w:rPr>
          <w:noProof/>
        </w:rPr>
        <w:fldChar w:fldCharType="separate"/>
      </w:r>
      <w:r>
        <w:rPr>
          <w:noProof/>
        </w:rPr>
        <w:t>13</w:t>
      </w:r>
      <w:r>
        <w:rPr>
          <w:noProof/>
        </w:rPr>
        <w:fldChar w:fldCharType="end"/>
      </w:r>
    </w:p>
    <w:p w14:paraId="256EE799" w14:textId="7C876FD0" w:rsidR="00D92FB1" w:rsidRDefault="00D92FB1">
      <w:pPr>
        <w:pStyle w:val="TOC2"/>
        <w:tabs>
          <w:tab w:val="right" w:leader="dot" w:pos="9622"/>
        </w:tabs>
        <w:rPr>
          <w:rFonts w:asciiTheme="minorHAnsi" w:hAnsiTheme="minorHAnsi" w:cstheme="minorBidi"/>
          <w:noProof/>
          <w:color w:val="auto"/>
          <w:szCs w:val="22"/>
          <w:lang w:val="en-AU" w:eastAsia="en-AU"/>
        </w:rPr>
      </w:pPr>
      <w:r>
        <w:rPr>
          <w:noProof/>
        </w:rPr>
        <w:t>The Graduate Teacher Learning Series</w:t>
      </w:r>
      <w:r>
        <w:rPr>
          <w:noProof/>
        </w:rPr>
        <w:tab/>
      </w:r>
      <w:r>
        <w:rPr>
          <w:noProof/>
        </w:rPr>
        <w:fldChar w:fldCharType="begin"/>
      </w:r>
      <w:r>
        <w:rPr>
          <w:noProof/>
        </w:rPr>
        <w:instrText xml:space="preserve"> PAGEREF _Toc2864077 \h </w:instrText>
      </w:r>
      <w:r>
        <w:rPr>
          <w:noProof/>
        </w:rPr>
      </w:r>
      <w:r>
        <w:rPr>
          <w:noProof/>
        </w:rPr>
        <w:fldChar w:fldCharType="separate"/>
      </w:r>
      <w:r>
        <w:rPr>
          <w:noProof/>
        </w:rPr>
        <w:t>13</w:t>
      </w:r>
      <w:r>
        <w:rPr>
          <w:noProof/>
        </w:rPr>
        <w:fldChar w:fldCharType="end"/>
      </w:r>
    </w:p>
    <w:p w14:paraId="2AB79F8A" w14:textId="16FF296C" w:rsidR="00D92FB1" w:rsidRDefault="00D92FB1">
      <w:pPr>
        <w:pStyle w:val="TOC1"/>
        <w:rPr>
          <w:rFonts w:asciiTheme="minorHAnsi" w:hAnsiTheme="minorHAnsi" w:cstheme="minorBidi"/>
          <w:b w:val="0"/>
          <w:noProof/>
          <w:color w:val="auto"/>
          <w:szCs w:val="22"/>
          <w:lang w:val="en-AU" w:eastAsia="en-AU"/>
        </w:rPr>
      </w:pPr>
      <w:r w:rsidRPr="00D97AA5">
        <w:rPr>
          <w:noProof/>
          <w:lang w:val="en-AU"/>
        </w:rPr>
        <w:t>Professional Practices</w:t>
      </w:r>
      <w:r>
        <w:rPr>
          <w:noProof/>
        </w:rPr>
        <w:tab/>
      </w:r>
      <w:r>
        <w:rPr>
          <w:noProof/>
        </w:rPr>
        <w:fldChar w:fldCharType="begin"/>
      </w:r>
      <w:r>
        <w:rPr>
          <w:noProof/>
        </w:rPr>
        <w:instrText xml:space="preserve"> PAGEREF _Toc2864078 \h </w:instrText>
      </w:r>
      <w:r>
        <w:rPr>
          <w:noProof/>
        </w:rPr>
      </w:r>
      <w:r>
        <w:rPr>
          <w:noProof/>
        </w:rPr>
        <w:fldChar w:fldCharType="separate"/>
      </w:r>
      <w:r>
        <w:rPr>
          <w:noProof/>
        </w:rPr>
        <w:t>14</w:t>
      </w:r>
      <w:r>
        <w:rPr>
          <w:noProof/>
        </w:rPr>
        <w:fldChar w:fldCharType="end"/>
      </w:r>
    </w:p>
    <w:p w14:paraId="61704B7F" w14:textId="0783F673" w:rsidR="00D92FB1" w:rsidRDefault="00D92FB1">
      <w:pPr>
        <w:pStyle w:val="TOC2"/>
        <w:tabs>
          <w:tab w:val="right" w:leader="dot" w:pos="9622"/>
        </w:tabs>
        <w:rPr>
          <w:rFonts w:asciiTheme="minorHAnsi" w:hAnsiTheme="minorHAnsi" w:cstheme="minorBidi"/>
          <w:noProof/>
          <w:color w:val="auto"/>
          <w:szCs w:val="22"/>
          <w:lang w:val="en-AU" w:eastAsia="en-AU"/>
        </w:rPr>
      </w:pPr>
      <w:r w:rsidRPr="00D97AA5">
        <w:rPr>
          <w:noProof/>
          <w:lang w:val="en-AU"/>
        </w:rPr>
        <w:t>Graduate Teacher Conferences</w:t>
      </w:r>
      <w:r>
        <w:rPr>
          <w:noProof/>
        </w:rPr>
        <w:tab/>
      </w:r>
      <w:r>
        <w:rPr>
          <w:noProof/>
        </w:rPr>
        <w:fldChar w:fldCharType="begin"/>
      </w:r>
      <w:r>
        <w:rPr>
          <w:noProof/>
        </w:rPr>
        <w:instrText xml:space="preserve"> PAGEREF _Toc2864079 \h </w:instrText>
      </w:r>
      <w:r>
        <w:rPr>
          <w:noProof/>
        </w:rPr>
      </w:r>
      <w:r>
        <w:rPr>
          <w:noProof/>
        </w:rPr>
        <w:fldChar w:fldCharType="separate"/>
      </w:r>
      <w:r>
        <w:rPr>
          <w:noProof/>
        </w:rPr>
        <w:t>14</w:t>
      </w:r>
      <w:r>
        <w:rPr>
          <w:noProof/>
        </w:rPr>
        <w:fldChar w:fldCharType="end"/>
      </w:r>
    </w:p>
    <w:p w14:paraId="2C0D233A" w14:textId="31B9495E" w:rsidR="00D92FB1" w:rsidRDefault="00D92FB1">
      <w:pPr>
        <w:pStyle w:val="TOC2"/>
        <w:tabs>
          <w:tab w:val="right" w:leader="dot" w:pos="9622"/>
        </w:tabs>
        <w:rPr>
          <w:rFonts w:asciiTheme="minorHAnsi" w:hAnsiTheme="minorHAnsi" w:cstheme="minorBidi"/>
          <w:noProof/>
          <w:color w:val="auto"/>
          <w:szCs w:val="22"/>
          <w:lang w:val="en-AU" w:eastAsia="en-AU"/>
        </w:rPr>
      </w:pPr>
      <w:r w:rsidRPr="00D97AA5">
        <w:rPr>
          <w:noProof/>
          <w:lang w:val="en-AU"/>
        </w:rPr>
        <w:t>Professional Practice Days</w:t>
      </w:r>
      <w:r>
        <w:rPr>
          <w:noProof/>
        </w:rPr>
        <w:tab/>
      </w:r>
      <w:r>
        <w:rPr>
          <w:noProof/>
        </w:rPr>
        <w:fldChar w:fldCharType="begin"/>
      </w:r>
      <w:r>
        <w:rPr>
          <w:noProof/>
        </w:rPr>
        <w:instrText xml:space="preserve"> PAGEREF _Toc2864080 \h </w:instrText>
      </w:r>
      <w:r>
        <w:rPr>
          <w:noProof/>
        </w:rPr>
      </w:r>
      <w:r>
        <w:rPr>
          <w:noProof/>
        </w:rPr>
        <w:fldChar w:fldCharType="separate"/>
      </w:r>
      <w:r>
        <w:rPr>
          <w:noProof/>
        </w:rPr>
        <w:t>14</w:t>
      </w:r>
      <w:r>
        <w:rPr>
          <w:noProof/>
        </w:rPr>
        <w:fldChar w:fldCharType="end"/>
      </w:r>
    </w:p>
    <w:p w14:paraId="0F0D249E" w14:textId="43633FAF" w:rsidR="00D92FB1" w:rsidRDefault="00D92FB1">
      <w:pPr>
        <w:pStyle w:val="TOC2"/>
        <w:tabs>
          <w:tab w:val="right" w:leader="dot" w:pos="9622"/>
        </w:tabs>
        <w:rPr>
          <w:rFonts w:asciiTheme="minorHAnsi" w:hAnsiTheme="minorHAnsi" w:cstheme="minorBidi"/>
          <w:noProof/>
          <w:color w:val="auto"/>
          <w:szCs w:val="22"/>
          <w:lang w:val="en-AU" w:eastAsia="en-AU"/>
        </w:rPr>
      </w:pPr>
      <w:r w:rsidRPr="00D97AA5">
        <w:rPr>
          <w:noProof/>
          <w:lang w:val="en-AU"/>
        </w:rPr>
        <w:t>Providing peer observation opportunities</w:t>
      </w:r>
      <w:r>
        <w:rPr>
          <w:noProof/>
        </w:rPr>
        <w:tab/>
      </w:r>
      <w:r>
        <w:rPr>
          <w:noProof/>
        </w:rPr>
        <w:fldChar w:fldCharType="begin"/>
      </w:r>
      <w:r>
        <w:rPr>
          <w:noProof/>
        </w:rPr>
        <w:instrText xml:space="preserve"> PAGEREF _Toc2864081 \h </w:instrText>
      </w:r>
      <w:r>
        <w:rPr>
          <w:noProof/>
        </w:rPr>
      </w:r>
      <w:r>
        <w:rPr>
          <w:noProof/>
        </w:rPr>
        <w:fldChar w:fldCharType="separate"/>
      </w:r>
      <w:r>
        <w:rPr>
          <w:noProof/>
        </w:rPr>
        <w:t>14</w:t>
      </w:r>
      <w:r>
        <w:rPr>
          <w:noProof/>
        </w:rPr>
        <w:fldChar w:fldCharType="end"/>
      </w:r>
    </w:p>
    <w:p w14:paraId="06426BE3" w14:textId="053106EC" w:rsidR="00D92FB1" w:rsidRDefault="00D92FB1">
      <w:pPr>
        <w:pStyle w:val="TOC2"/>
        <w:tabs>
          <w:tab w:val="right" w:leader="dot" w:pos="9622"/>
        </w:tabs>
        <w:rPr>
          <w:rFonts w:asciiTheme="minorHAnsi" w:hAnsiTheme="minorHAnsi" w:cstheme="minorBidi"/>
          <w:noProof/>
          <w:color w:val="auto"/>
          <w:szCs w:val="22"/>
          <w:lang w:val="en-AU" w:eastAsia="en-AU"/>
        </w:rPr>
      </w:pPr>
      <w:r>
        <w:rPr>
          <w:noProof/>
          <w:lang w:eastAsia="en-AU"/>
        </w:rPr>
        <w:t>Supporting graduate teachers through provision of a mentor teacher</w:t>
      </w:r>
      <w:r>
        <w:rPr>
          <w:noProof/>
        </w:rPr>
        <w:tab/>
      </w:r>
      <w:r>
        <w:rPr>
          <w:noProof/>
        </w:rPr>
        <w:fldChar w:fldCharType="begin"/>
      </w:r>
      <w:r>
        <w:rPr>
          <w:noProof/>
        </w:rPr>
        <w:instrText xml:space="preserve"> PAGEREF _Toc2864082 \h </w:instrText>
      </w:r>
      <w:r>
        <w:rPr>
          <w:noProof/>
        </w:rPr>
      </w:r>
      <w:r>
        <w:rPr>
          <w:noProof/>
        </w:rPr>
        <w:fldChar w:fldCharType="separate"/>
      </w:r>
      <w:r>
        <w:rPr>
          <w:noProof/>
        </w:rPr>
        <w:t>16</w:t>
      </w:r>
      <w:r>
        <w:rPr>
          <w:noProof/>
        </w:rPr>
        <w:fldChar w:fldCharType="end"/>
      </w:r>
    </w:p>
    <w:p w14:paraId="3D319691" w14:textId="718C4B2B" w:rsidR="00D92FB1" w:rsidRDefault="00D92FB1">
      <w:pPr>
        <w:pStyle w:val="TOC2"/>
        <w:tabs>
          <w:tab w:val="right" w:leader="dot" w:pos="9622"/>
        </w:tabs>
        <w:rPr>
          <w:rFonts w:asciiTheme="minorHAnsi" w:hAnsiTheme="minorHAnsi" w:cstheme="minorBidi"/>
          <w:noProof/>
          <w:color w:val="auto"/>
          <w:szCs w:val="22"/>
          <w:lang w:val="en-AU" w:eastAsia="en-AU"/>
        </w:rPr>
      </w:pPr>
      <w:r w:rsidRPr="00D97AA5">
        <w:rPr>
          <w:noProof/>
          <w:lang w:val="en-AU" w:eastAsia="en-AU"/>
        </w:rPr>
        <w:t>Effective Mentoring Program</w:t>
      </w:r>
      <w:r>
        <w:rPr>
          <w:noProof/>
        </w:rPr>
        <w:tab/>
      </w:r>
      <w:r>
        <w:rPr>
          <w:noProof/>
        </w:rPr>
        <w:fldChar w:fldCharType="begin"/>
      </w:r>
      <w:r>
        <w:rPr>
          <w:noProof/>
        </w:rPr>
        <w:instrText xml:space="preserve"> PAGEREF _Toc2864083 \h </w:instrText>
      </w:r>
      <w:r>
        <w:rPr>
          <w:noProof/>
        </w:rPr>
      </w:r>
      <w:r>
        <w:rPr>
          <w:noProof/>
        </w:rPr>
        <w:fldChar w:fldCharType="separate"/>
      </w:r>
      <w:r>
        <w:rPr>
          <w:noProof/>
        </w:rPr>
        <w:t>17</w:t>
      </w:r>
      <w:r>
        <w:rPr>
          <w:noProof/>
        </w:rPr>
        <w:fldChar w:fldCharType="end"/>
      </w:r>
    </w:p>
    <w:p w14:paraId="326A0DDF" w14:textId="209E96C2" w:rsidR="00D92FB1" w:rsidRDefault="00D92FB1">
      <w:pPr>
        <w:pStyle w:val="TOC2"/>
        <w:tabs>
          <w:tab w:val="right" w:leader="dot" w:pos="9622"/>
        </w:tabs>
        <w:rPr>
          <w:rFonts w:asciiTheme="minorHAnsi" w:hAnsiTheme="minorHAnsi" w:cstheme="minorBidi"/>
          <w:noProof/>
          <w:color w:val="auto"/>
          <w:szCs w:val="22"/>
          <w:lang w:val="en-AU" w:eastAsia="en-AU"/>
        </w:rPr>
      </w:pPr>
      <w:r w:rsidRPr="00D97AA5">
        <w:rPr>
          <w:noProof/>
          <w:lang w:val="en-AU" w:eastAsia="en-AU"/>
        </w:rPr>
        <w:t>Mentoring Capability Framework</w:t>
      </w:r>
      <w:r>
        <w:rPr>
          <w:noProof/>
        </w:rPr>
        <w:tab/>
      </w:r>
      <w:r>
        <w:rPr>
          <w:noProof/>
        </w:rPr>
        <w:fldChar w:fldCharType="begin"/>
      </w:r>
      <w:r>
        <w:rPr>
          <w:noProof/>
        </w:rPr>
        <w:instrText xml:space="preserve"> PAGEREF _Toc2864084 \h </w:instrText>
      </w:r>
      <w:r>
        <w:rPr>
          <w:noProof/>
        </w:rPr>
      </w:r>
      <w:r>
        <w:rPr>
          <w:noProof/>
        </w:rPr>
        <w:fldChar w:fldCharType="separate"/>
      </w:r>
      <w:r>
        <w:rPr>
          <w:noProof/>
        </w:rPr>
        <w:t>17</w:t>
      </w:r>
      <w:r>
        <w:rPr>
          <w:noProof/>
        </w:rPr>
        <w:fldChar w:fldCharType="end"/>
      </w:r>
    </w:p>
    <w:p w14:paraId="29A2EBA5" w14:textId="029AC5CB" w:rsidR="00D92FB1" w:rsidRDefault="00D92FB1">
      <w:pPr>
        <w:pStyle w:val="TOC2"/>
        <w:tabs>
          <w:tab w:val="right" w:leader="dot" w:pos="9622"/>
        </w:tabs>
        <w:rPr>
          <w:rFonts w:asciiTheme="minorHAnsi" w:hAnsiTheme="minorHAnsi" w:cstheme="minorBidi"/>
          <w:noProof/>
          <w:color w:val="auto"/>
          <w:szCs w:val="22"/>
          <w:lang w:val="en-AU" w:eastAsia="en-AU"/>
        </w:rPr>
      </w:pPr>
      <w:r w:rsidRPr="00D97AA5">
        <w:rPr>
          <w:noProof/>
          <w:lang w:val="en-AU" w:eastAsia="en-AU"/>
        </w:rPr>
        <w:t>Supporting graduate teachers in Professional Learning Communities</w:t>
      </w:r>
      <w:r>
        <w:rPr>
          <w:noProof/>
        </w:rPr>
        <w:tab/>
      </w:r>
      <w:r>
        <w:rPr>
          <w:noProof/>
        </w:rPr>
        <w:fldChar w:fldCharType="begin"/>
      </w:r>
      <w:r>
        <w:rPr>
          <w:noProof/>
        </w:rPr>
        <w:instrText xml:space="preserve"> PAGEREF _Toc2864085 \h </w:instrText>
      </w:r>
      <w:r>
        <w:rPr>
          <w:noProof/>
        </w:rPr>
      </w:r>
      <w:r>
        <w:rPr>
          <w:noProof/>
        </w:rPr>
        <w:fldChar w:fldCharType="separate"/>
      </w:r>
      <w:r>
        <w:rPr>
          <w:noProof/>
        </w:rPr>
        <w:t>17</w:t>
      </w:r>
      <w:r>
        <w:rPr>
          <w:noProof/>
        </w:rPr>
        <w:fldChar w:fldCharType="end"/>
      </w:r>
    </w:p>
    <w:p w14:paraId="6A36E54B" w14:textId="06378B2B" w:rsidR="00D92FB1" w:rsidRDefault="00D92FB1">
      <w:pPr>
        <w:pStyle w:val="TOC2"/>
        <w:tabs>
          <w:tab w:val="right" w:leader="dot" w:pos="9622"/>
        </w:tabs>
        <w:rPr>
          <w:rFonts w:asciiTheme="minorHAnsi" w:hAnsiTheme="minorHAnsi" w:cstheme="minorBidi"/>
          <w:noProof/>
          <w:color w:val="auto"/>
          <w:szCs w:val="22"/>
          <w:lang w:val="en-AU" w:eastAsia="en-AU"/>
        </w:rPr>
      </w:pPr>
      <w:r>
        <w:rPr>
          <w:noProof/>
        </w:rPr>
        <w:t>The domains of effective mentoring</w:t>
      </w:r>
      <w:r>
        <w:rPr>
          <w:noProof/>
        </w:rPr>
        <w:tab/>
      </w:r>
      <w:r>
        <w:rPr>
          <w:noProof/>
        </w:rPr>
        <w:fldChar w:fldCharType="begin"/>
      </w:r>
      <w:r>
        <w:rPr>
          <w:noProof/>
        </w:rPr>
        <w:instrText xml:space="preserve"> PAGEREF _Toc2864086 \h </w:instrText>
      </w:r>
      <w:r>
        <w:rPr>
          <w:noProof/>
        </w:rPr>
      </w:r>
      <w:r>
        <w:rPr>
          <w:noProof/>
        </w:rPr>
        <w:fldChar w:fldCharType="separate"/>
      </w:r>
      <w:r>
        <w:rPr>
          <w:noProof/>
        </w:rPr>
        <w:t>18</w:t>
      </w:r>
      <w:r>
        <w:rPr>
          <w:noProof/>
        </w:rPr>
        <w:fldChar w:fldCharType="end"/>
      </w:r>
    </w:p>
    <w:p w14:paraId="57074B9B" w14:textId="69745EB0" w:rsidR="00D92FB1" w:rsidRDefault="00D92FB1">
      <w:pPr>
        <w:pStyle w:val="TOC1"/>
        <w:rPr>
          <w:rFonts w:asciiTheme="minorHAnsi" w:hAnsiTheme="minorHAnsi" w:cstheme="minorBidi"/>
          <w:b w:val="0"/>
          <w:noProof/>
          <w:color w:val="auto"/>
          <w:szCs w:val="22"/>
          <w:lang w:val="en-AU" w:eastAsia="en-AU"/>
        </w:rPr>
      </w:pPr>
      <w:r w:rsidRPr="00D97AA5">
        <w:rPr>
          <w:noProof/>
          <w:lang w:val="en-AU" w:eastAsia="en-AU"/>
        </w:rPr>
        <w:t>Wellbeing</w:t>
      </w:r>
      <w:r>
        <w:rPr>
          <w:noProof/>
        </w:rPr>
        <w:tab/>
      </w:r>
      <w:r>
        <w:rPr>
          <w:noProof/>
        </w:rPr>
        <w:fldChar w:fldCharType="begin"/>
      </w:r>
      <w:r>
        <w:rPr>
          <w:noProof/>
        </w:rPr>
        <w:instrText xml:space="preserve"> PAGEREF _Toc2864087 \h </w:instrText>
      </w:r>
      <w:r>
        <w:rPr>
          <w:noProof/>
        </w:rPr>
      </w:r>
      <w:r>
        <w:rPr>
          <w:noProof/>
        </w:rPr>
        <w:fldChar w:fldCharType="separate"/>
      </w:r>
      <w:r>
        <w:rPr>
          <w:noProof/>
        </w:rPr>
        <w:t>18</w:t>
      </w:r>
      <w:r>
        <w:rPr>
          <w:noProof/>
        </w:rPr>
        <w:fldChar w:fldCharType="end"/>
      </w:r>
    </w:p>
    <w:p w14:paraId="4DEC5F96" w14:textId="238294EE" w:rsidR="00D92FB1" w:rsidRDefault="00D92FB1">
      <w:pPr>
        <w:pStyle w:val="TOC2"/>
        <w:tabs>
          <w:tab w:val="right" w:leader="dot" w:pos="9622"/>
        </w:tabs>
        <w:rPr>
          <w:rFonts w:asciiTheme="minorHAnsi" w:hAnsiTheme="minorHAnsi" w:cstheme="minorBidi"/>
          <w:noProof/>
          <w:color w:val="auto"/>
          <w:szCs w:val="22"/>
          <w:lang w:val="en-AU" w:eastAsia="en-AU"/>
        </w:rPr>
      </w:pPr>
      <w:r w:rsidRPr="00D97AA5">
        <w:rPr>
          <w:noProof/>
          <w:lang w:val="en-AU" w:eastAsia="en-AU"/>
        </w:rPr>
        <w:t>In-school supports</w:t>
      </w:r>
      <w:r>
        <w:rPr>
          <w:noProof/>
        </w:rPr>
        <w:tab/>
      </w:r>
      <w:r>
        <w:rPr>
          <w:noProof/>
        </w:rPr>
        <w:fldChar w:fldCharType="begin"/>
      </w:r>
      <w:r>
        <w:rPr>
          <w:noProof/>
        </w:rPr>
        <w:instrText xml:space="preserve"> PAGEREF _Toc2864088 \h </w:instrText>
      </w:r>
      <w:r>
        <w:rPr>
          <w:noProof/>
        </w:rPr>
      </w:r>
      <w:r>
        <w:rPr>
          <w:noProof/>
        </w:rPr>
        <w:fldChar w:fldCharType="separate"/>
      </w:r>
      <w:r>
        <w:rPr>
          <w:noProof/>
        </w:rPr>
        <w:t>18</w:t>
      </w:r>
      <w:r>
        <w:rPr>
          <w:noProof/>
        </w:rPr>
        <w:fldChar w:fldCharType="end"/>
      </w:r>
    </w:p>
    <w:p w14:paraId="001BD503" w14:textId="66524644" w:rsidR="00D92FB1" w:rsidRDefault="00D92FB1">
      <w:pPr>
        <w:pStyle w:val="TOC2"/>
        <w:tabs>
          <w:tab w:val="right" w:leader="dot" w:pos="9622"/>
        </w:tabs>
        <w:rPr>
          <w:rFonts w:asciiTheme="minorHAnsi" w:hAnsiTheme="minorHAnsi" w:cstheme="minorBidi"/>
          <w:noProof/>
          <w:color w:val="auto"/>
          <w:szCs w:val="22"/>
          <w:lang w:val="en-AU" w:eastAsia="en-AU"/>
        </w:rPr>
      </w:pPr>
      <w:r w:rsidRPr="00D97AA5">
        <w:rPr>
          <w:noProof/>
          <w:lang w:val="en-AU" w:eastAsia="en-AU"/>
        </w:rPr>
        <w:lastRenderedPageBreak/>
        <w:t>My Induction app</w:t>
      </w:r>
      <w:r>
        <w:rPr>
          <w:noProof/>
        </w:rPr>
        <w:tab/>
      </w:r>
      <w:r>
        <w:rPr>
          <w:noProof/>
        </w:rPr>
        <w:fldChar w:fldCharType="begin"/>
      </w:r>
      <w:r>
        <w:rPr>
          <w:noProof/>
        </w:rPr>
        <w:instrText xml:space="preserve"> PAGEREF _Toc2864089 \h </w:instrText>
      </w:r>
      <w:r>
        <w:rPr>
          <w:noProof/>
        </w:rPr>
      </w:r>
      <w:r>
        <w:rPr>
          <w:noProof/>
        </w:rPr>
        <w:fldChar w:fldCharType="separate"/>
      </w:r>
      <w:r>
        <w:rPr>
          <w:noProof/>
        </w:rPr>
        <w:t>19</w:t>
      </w:r>
      <w:r>
        <w:rPr>
          <w:noProof/>
        </w:rPr>
        <w:fldChar w:fldCharType="end"/>
      </w:r>
    </w:p>
    <w:p w14:paraId="46C78D8F" w14:textId="696407BB" w:rsidR="00D92FB1" w:rsidRDefault="00D92FB1">
      <w:pPr>
        <w:pStyle w:val="TOC2"/>
        <w:tabs>
          <w:tab w:val="right" w:leader="dot" w:pos="9622"/>
        </w:tabs>
        <w:rPr>
          <w:rFonts w:asciiTheme="minorHAnsi" w:hAnsiTheme="minorHAnsi" w:cstheme="minorBidi"/>
          <w:noProof/>
          <w:color w:val="auto"/>
          <w:szCs w:val="22"/>
          <w:lang w:val="en-AU" w:eastAsia="en-AU"/>
        </w:rPr>
      </w:pPr>
      <w:r w:rsidRPr="00D97AA5">
        <w:rPr>
          <w:noProof/>
          <w:lang w:val="en-AU" w:eastAsia="en-AU"/>
        </w:rPr>
        <w:t>Workplace Contact Officers</w:t>
      </w:r>
      <w:r>
        <w:rPr>
          <w:noProof/>
        </w:rPr>
        <w:tab/>
      </w:r>
      <w:r>
        <w:rPr>
          <w:noProof/>
        </w:rPr>
        <w:fldChar w:fldCharType="begin"/>
      </w:r>
      <w:r>
        <w:rPr>
          <w:noProof/>
        </w:rPr>
        <w:instrText xml:space="preserve"> PAGEREF _Toc2864090 \h </w:instrText>
      </w:r>
      <w:r>
        <w:rPr>
          <w:noProof/>
        </w:rPr>
      </w:r>
      <w:r>
        <w:rPr>
          <w:noProof/>
        </w:rPr>
        <w:fldChar w:fldCharType="separate"/>
      </w:r>
      <w:r>
        <w:rPr>
          <w:noProof/>
        </w:rPr>
        <w:t>19</w:t>
      </w:r>
      <w:r>
        <w:rPr>
          <w:noProof/>
        </w:rPr>
        <w:fldChar w:fldCharType="end"/>
      </w:r>
    </w:p>
    <w:p w14:paraId="708E8D00" w14:textId="19D23455" w:rsidR="00D92FB1" w:rsidRDefault="00D92FB1">
      <w:pPr>
        <w:pStyle w:val="TOC2"/>
        <w:tabs>
          <w:tab w:val="right" w:leader="dot" w:pos="9622"/>
        </w:tabs>
        <w:rPr>
          <w:rFonts w:asciiTheme="minorHAnsi" w:hAnsiTheme="minorHAnsi" w:cstheme="minorBidi"/>
          <w:noProof/>
          <w:color w:val="auto"/>
          <w:szCs w:val="22"/>
          <w:lang w:val="en-AU" w:eastAsia="en-AU"/>
        </w:rPr>
      </w:pPr>
      <w:r w:rsidRPr="00D97AA5">
        <w:rPr>
          <w:noProof/>
          <w:lang w:val="en-AU" w:eastAsia="en-AU"/>
        </w:rPr>
        <w:t>Employee Assistance Program</w:t>
      </w:r>
      <w:r>
        <w:rPr>
          <w:noProof/>
        </w:rPr>
        <w:tab/>
      </w:r>
      <w:r>
        <w:rPr>
          <w:noProof/>
        </w:rPr>
        <w:fldChar w:fldCharType="begin"/>
      </w:r>
      <w:r>
        <w:rPr>
          <w:noProof/>
        </w:rPr>
        <w:instrText xml:space="preserve"> PAGEREF _Toc2864091 \h </w:instrText>
      </w:r>
      <w:r>
        <w:rPr>
          <w:noProof/>
        </w:rPr>
      </w:r>
      <w:r>
        <w:rPr>
          <w:noProof/>
        </w:rPr>
        <w:fldChar w:fldCharType="separate"/>
      </w:r>
      <w:r>
        <w:rPr>
          <w:noProof/>
        </w:rPr>
        <w:t>19</w:t>
      </w:r>
      <w:r>
        <w:rPr>
          <w:noProof/>
        </w:rPr>
        <w:fldChar w:fldCharType="end"/>
      </w:r>
    </w:p>
    <w:p w14:paraId="27C4305D" w14:textId="0CCC7E37" w:rsidR="00D92FB1" w:rsidRDefault="00D92FB1">
      <w:pPr>
        <w:pStyle w:val="TOC1"/>
        <w:rPr>
          <w:rFonts w:asciiTheme="minorHAnsi" w:hAnsiTheme="minorHAnsi" w:cstheme="minorBidi"/>
          <w:b w:val="0"/>
          <w:noProof/>
          <w:color w:val="auto"/>
          <w:szCs w:val="22"/>
          <w:lang w:val="en-AU" w:eastAsia="en-AU"/>
        </w:rPr>
      </w:pPr>
      <w:r w:rsidRPr="00D97AA5">
        <w:rPr>
          <w:noProof/>
          <w:lang w:val="en-AU" w:eastAsia="en-AU"/>
        </w:rPr>
        <w:t>Appendix 1 – Induction timeline and checklists for graduate teachers – Years 1 &amp; 2</w:t>
      </w:r>
      <w:r>
        <w:rPr>
          <w:noProof/>
        </w:rPr>
        <w:tab/>
      </w:r>
      <w:r>
        <w:rPr>
          <w:noProof/>
        </w:rPr>
        <w:fldChar w:fldCharType="begin"/>
      </w:r>
      <w:r>
        <w:rPr>
          <w:noProof/>
        </w:rPr>
        <w:instrText xml:space="preserve"> PAGEREF _Toc2864092 \h </w:instrText>
      </w:r>
      <w:r>
        <w:rPr>
          <w:noProof/>
        </w:rPr>
      </w:r>
      <w:r>
        <w:rPr>
          <w:noProof/>
        </w:rPr>
        <w:fldChar w:fldCharType="separate"/>
      </w:r>
      <w:r>
        <w:rPr>
          <w:noProof/>
        </w:rPr>
        <w:t>20</w:t>
      </w:r>
      <w:r>
        <w:rPr>
          <w:noProof/>
        </w:rPr>
        <w:fldChar w:fldCharType="end"/>
      </w:r>
    </w:p>
    <w:p w14:paraId="2C8020E6" w14:textId="46F86239" w:rsidR="00D92FB1" w:rsidRDefault="00D92FB1">
      <w:pPr>
        <w:pStyle w:val="TOC2"/>
        <w:tabs>
          <w:tab w:val="right" w:leader="dot" w:pos="9622"/>
        </w:tabs>
        <w:rPr>
          <w:rFonts w:asciiTheme="minorHAnsi" w:hAnsiTheme="minorHAnsi" w:cstheme="minorBidi"/>
          <w:noProof/>
          <w:color w:val="auto"/>
          <w:szCs w:val="22"/>
          <w:lang w:val="en-AU" w:eastAsia="en-AU"/>
        </w:rPr>
      </w:pPr>
      <w:r w:rsidRPr="00D97AA5">
        <w:rPr>
          <w:noProof/>
          <w:lang w:val="en-AU" w:eastAsia="en-AU"/>
        </w:rPr>
        <w:t>Pre-commencement to Week 1: familiarisation, welcome, meeting and planning</w:t>
      </w:r>
      <w:r>
        <w:rPr>
          <w:noProof/>
        </w:rPr>
        <w:tab/>
      </w:r>
      <w:r>
        <w:rPr>
          <w:noProof/>
        </w:rPr>
        <w:fldChar w:fldCharType="begin"/>
      </w:r>
      <w:r>
        <w:rPr>
          <w:noProof/>
        </w:rPr>
        <w:instrText xml:space="preserve"> PAGEREF _Toc2864093 \h </w:instrText>
      </w:r>
      <w:r>
        <w:rPr>
          <w:noProof/>
        </w:rPr>
      </w:r>
      <w:r>
        <w:rPr>
          <w:noProof/>
        </w:rPr>
        <w:fldChar w:fldCharType="separate"/>
      </w:r>
      <w:r>
        <w:rPr>
          <w:noProof/>
        </w:rPr>
        <w:t>20</w:t>
      </w:r>
      <w:r>
        <w:rPr>
          <w:noProof/>
        </w:rPr>
        <w:fldChar w:fldCharType="end"/>
      </w:r>
    </w:p>
    <w:p w14:paraId="4A7AEB79" w14:textId="6CE1B0B6" w:rsidR="00D92FB1" w:rsidRDefault="00D92FB1">
      <w:pPr>
        <w:pStyle w:val="TOC2"/>
        <w:tabs>
          <w:tab w:val="right" w:leader="dot" w:pos="9622"/>
        </w:tabs>
        <w:rPr>
          <w:rFonts w:asciiTheme="minorHAnsi" w:hAnsiTheme="minorHAnsi" w:cstheme="minorBidi"/>
          <w:noProof/>
          <w:color w:val="auto"/>
          <w:szCs w:val="22"/>
          <w:lang w:val="en-AU" w:eastAsia="en-AU"/>
        </w:rPr>
      </w:pPr>
      <w:r w:rsidRPr="00D97AA5">
        <w:rPr>
          <w:noProof/>
          <w:lang w:val="en-AU" w:eastAsia="en-AU"/>
        </w:rPr>
        <w:t>Year 1, Term 1: laying foundations</w:t>
      </w:r>
      <w:r>
        <w:rPr>
          <w:noProof/>
        </w:rPr>
        <w:tab/>
      </w:r>
      <w:r>
        <w:rPr>
          <w:noProof/>
        </w:rPr>
        <w:fldChar w:fldCharType="begin"/>
      </w:r>
      <w:r>
        <w:rPr>
          <w:noProof/>
        </w:rPr>
        <w:instrText xml:space="preserve"> PAGEREF _Toc2864094 \h </w:instrText>
      </w:r>
      <w:r>
        <w:rPr>
          <w:noProof/>
        </w:rPr>
      </w:r>
      <w:r>
        <w:rPr>
          <w:noProof/>
        </w:rPr>
        <w:fldChar w:fldCharType="separate"/>
      </w:r>
      <w:r>
        <w:rPr>
          <w:noProof/>
        </w:rPr>
        <w:t>20</w:t>
      </w:r>
      <w:r>
        <w:rPr>
          <w:noProof/>
        </w:rPr>
        <w:fldChar w:fldCharType="end"/>
      </w:r>
    </w:p>
    <w:p w14:paraId="68A86B94" w14:textId="1519DFEC" w:rsidR="00D92FB1" w:rsidRDefault="00D92FB1">
      <w:pPr>
        <w:pStyle w:val="TOC2"/>
        <w:tabs>
          <w:tab w:val="right" w:leader="dot" w:pos="9622"/>
        </w:tabs>
        <w:rPr>
          <w:rFonts w:asciiTheme="minorHAnsi" w:hAnsiTheme="minorHAnsi" w:cstheme="minorBidi"/>
          <w:noProof/>
          <w:color w:val="auto"/>
          <w:szCs w:val="22"/>
          <w:lang w:val="en-AU" w:eastAsia="en-AU"/>
        </w:rPr>
      </w:pPr>
      <w:r w:rsidRPr="00D97AA5">
        <w:rPr>
          <w:noProof/>
          <w:lang w:val="en-AU" w:eastAsia="en-AU"/>
        </w:rPr>
        <w:t>Year 1, Terms 2, 3 and 4: anchoring professional growth</w:t>
      </w:r>
      <w:r>
        <w:rPr>
          <w:noProof/>
        </w:rPr>
        <w:tab/>
      </w:r>
      <w:r>
        <w:rPr>
          <w:noProof/>
        </w:rPr>
        <w:fldChar w:fldCharType="begin"/>
      </w:r>
      <w:r>
        <w:rPr>
          <w:noProof/>
        </w:rPr>
        <w:instrText xml:space="preserve"> PAGEREF _Toc2864095 \h </w:instrText>
      </w:r>
      <w:r>
        <w:rPr>
          <w:noProof/>
        </w:rPr>
      </w:r>
      <w:r>
        <w:rPr>
          <w:noProof/>
        </w:rPr>
        <w:fldChar w:fldCharType="separate"/>
      </w:r>
      <w:r>
        <w:rPr>
          <w:noProof/>
        </w:rPr>
        <w:t>21</w:t>
      </w:r>
      <w:r>
        <w:rPr>
          <w:noProof/>
        </w:rPr>
        <w:fldChar w:fldCharType="end"/>
      </w:r>
    </w:p>
    <w:p w14:paraId="2033F8D1" w14:textId="775762DD" w:rsidR="00D92FB1" w:rsidRDefault="00D92FB1">
      <w:pPr>
        <w:pStyle w:val="TOC2"/>
        <w:tabs>
          <w:tab w:val="right" w:leader="dot" w:pos="9622"/>
        </w:tabs>
        <w:rPr>
          <w:rFonts w:asciiTheme="minorHAnsi" w:hAnsiTheme="minorHAnsi" w:cstheme="minorBidi"/>
          <w:noProof/>
          <w:color w:val="auto"/>
          <w:szCs w:val="22"/>
          <w:lang w:val="en-AU" w:eastAsia="en-AU"/>
        </w:rPr>
      </w:pPr>
      <w:r w:rsidRPr="00D97AA5">
        <w:rPr>
          <w:noProof/>
          <w:lang w:val="en-AU" w:eastAsia="en-AU"/>
        </w:rPr>
        <w:t>Year 2: accelerating professional growth</w:t>
      </w:r>
      <w:r>
        <w:rPr>
          <w:noProof/>
        </w:rPr>
        <w:tab/>
      </w:r>
      <w:r>
        <w:rPr>
          <w:noProof/>
        </w:rPr>
        <w:fldChar w:fldCharType="begin"/>
      </w:r>
      <w:r>
        <w:rPr>
          <w:noProof/>
        </w:rPr>
        <w:instrText xml:space="preserve"> PAGEREF _Toc2864096 \h </w:instrText>
      </w:r>
      <w:r>
        <w:rPr>
          <w:noProof/>
        </w:rPr>
      </w:r>
      <w:r>
        <w:rPr>
          <w:noProof/>
        </w:rPr>
        <w:fldChar w:fldCharType="separate"/>
      </w:r>
      <w:r>
        <w:rPr>
          <w:noProof/>
        </w:rPr>
        <w:t>21</w:t>
      </w:r>
      <w:r>
        <w:rPr>
          <w:noProof/>
        </w:rPr>
        <w:fldChar w:fldCharType="end"/>
      </w:r>
    </w:p>
    <w:p w14:paraId="04DD1A8F" w14:textId="66B9D2C1" w:rsidR="00D92FB1" w:rsidRDefault="00D92FB1">
      <w:pPr>
        <w:pStyle w:val="TOC2"/>
        <w:tabs>
          <w:tab w:val="right" w:leader="dot" w:pos="9622"/>
        </w:tabs>
        <w:rPr>
          <w:rFonts w:asciiTheme="minorHAnsi" w:hAnsiTheme="minorHAnsi" w:cstheme="minorBidi"/>
          <w:noProof/>
          <w:color w:val="auto"/>
          <w:szCs w:val="22"/>
          <w:lang w:val="en-AU" w:eastAsia="en-AU"/>
        </w:rPr>
      </w:pPr>
      <w:r w:rsidRPr="00D97AA5">
        <w:rPr>
          <w:noProof/>
          <w:lang w:val="en-AU" w:eastAsia="en-AU"/>
        </w:rPr>
        <w:t>Pre-commencement Checklist</w:t>
      </w:r>
      <w:r>
        <w:rPr>
          <w:noProof/>
        </w:rPr>
        <w:tab/>
      </w:r>
      <w:r>
        <w:rPr>
          <w:noProof/>
        </w:rPr>
        <w:fldChar w:fldCharType="begin"/>
      </w:r>
      <w:r>
        <w:rPr>
          <w:noProof/>
        </w:rPr>
        <w:instrText xml:space="preserve"> PAGEREF _Toc2864097 \h </w:instrText>
      </w:r>
      <w:r>
        <w:rPr>
          <w:noProof/>
        </w:rPr>
      </w:r>
      <w:r>
        <w:rPr>
          <w:noProof/>
        </w:rPr>
        <w:fldChar w:fldCharType="separate"/>
      </w:r>
      <w:r>
        <w:rPr>
          <w:noProof/>
        </w:rPr>
        <w:t>22</w:t>
      </w:r>
      <w:r>
        <w:rPr>
          <w:noProof/>
        </w:rPr>
        <w:fldChar w:fldCharType="end"/>
      </w:r>
    </w:p>
    <w:p w14:paraId="31508F01" w14:textId="4324C8E1" w:rsidR="00D92FB1" w:rsidRDefault="00D92FB1">
      <w:pPr>
        <w:pStyle w:val="TOC3"/>
        <w:tabs>
          <w:tab w:val="right" w:leader="dot" w:pos="9622"/>
        </w:tabs>
        <w:rPr>
          <w:rFonts w:asciiTheme="minorHAnsi" w:hAnsiTheme="minorHAnsi" w:cstheme="minorBidi"/>
          <w:noProof/>
          <w:szCs w:val="22"/>
          <w:lang w:val="en-AU" w:eastAsia="en-AU"/>
        </w:rPr>
      </w:pPr>
      <w:r w:rsidRPr="00D97AA5">
        <w:rPr>
          <w:noProof/>
          <w:lang w:val="en-AU" w:eastAsia="en-AU"/>
        </w:rPr>
        <w:t>Review the Department’s policies and procedures</w:t>
      </w:r>
      <w:r>
        <w:rPr>
          <w:noProof/>
        </w:rPr>
        <w:tab/>
      </w:r>
      <w:r>
        <w:rPr>
          <w:noProof/>
        </w:rPr>
        <w:fldChar w:fldCharType="begin"/>
      </w:r>
      <w:r>
        <w:rPr>
          <w:noProof/>
        </w:rPr>
        <w:instrText xml:space="preserve"> PAGEREF _Toc2864098 \h </w:instrText>
      </w:r>
      <w:r>
        <w:rPr>
          <w:noProof/>
        </w:rPr>
      </w:r>
      <w:r>
        <w:rPr>
          <w:noProof/>
        </w:rPr>
        <w:fldChar w:fldCharType="separate"/>
      </w:r>
      <w:r>
        <w:rPr>
          <w:noProof/>
        </w:rPr>
        <w:t>22</w:t>
      </w:r>
      <w:r>
        <w:rPr>
          <w:noProof/>
        </w:rPr>
        <w:fldChar w:fldCharType="end"/>
      </w:r>
    </w:p>
    <w:p w14:paraId="7A8AF5E5" w14:textId="1165F4A6" w:rsidR="00D92FB1" w:rsidRDefault="00D92FB1">
      <w:pPr>
        <w:pStyle w:val="TOC3"/>
        <w:tabs>
          <w:tab w:val="right" w:leader="dot" w:pos="9622"/>
        </w:tabs>
        <w:rPr>
          <w:rFonts w:asciiTheme="minorHAnsi" w:hAnsiTheme="minorHAnsi" w:cstheme="minorBidi"/>
          <w:noProof/>
          <w:szCs w:val="22"/>
          <w:lang w:val="en-AU" w:eastAsia="en-AU"/>
        </w:rPr>
      </w:pPr>
      <w:r w:rsidRPr="00D97AA5">
        <w:rPr>
          <w:noProof/>
          <w:lang w:val="en-AU" w:eastAsia="en-AU"/>
        </w:rPr>
        <w:t>Graduate teacher and principal/school leader meeting which covers the following items:</w:t>
      </w:r>
      <w:r>
        <w:rPr>
          <w:noProof/>
        </w:rPr>
        <w:tab/>
      </w:r>
      <w:r>
        <w:rPr>
          <w:noProof/>
        </w:rPr>
        <w:fldChar w:fldCharType="begin"/>
      </w:r>
      <w:r>
        <w:rPr>
          <w:noProof/>
        </w:rPr>
        <w:instrText xml:space="preserve"> PAGEREF _Toc2864099 \h </w:instrText>
      </w:r>
      <w:r>
        <w:rPr>
          <w:noProof/>
        </w:rPr>
      </w:r>
      <w:r>
        <w:rPr>
          <w:noProof/>
        </w:rPr>
        <w:fldChar w:fldCharType="separate"/>
      </w:r>
      <w:r>
        <w:rPr>
          <w:noProof/>
        </w:rPr>
        <w:t>22</w:t>
      </w:r>
      <w:r>
        <w:rPr>
          <w:noProof/>
        </w:rPr>
        <w:fldChar w:fldCharType="end"/>
      </w:r>
    </w:p>
    <w:p w14:paraId="40085EE8" w14:textId="5985DDFF" w:rsidR="00D92FB1" w:rsidRDefault="00D92FB1">
      <w:pPr>
        <w:pStyle w:val="TOC3"/>
        <w:tabs>
          <w:tab w:val="right" w:leader="dot" w:pos="9622"/>
        </w:tabs>
        <w:rPr>
          <w:rFonts w:asciiTheme="minorHAnsi" w:hAnsiTheme="minorHAnsi" w:cstheme="minorBidi"/>
          <w:noProof/>
          <w:szCs w:val="22"/>
          <w:lang w:val="en-AU" w:eastAsia="en-AU"/>
        </w:rPr>
      </w:pPr>
      <w:r w:rsidRPr="00D97AA5">
        <w:rPr>
          <w:noProof/>
          <w:lang w:val="en-AU" w:eastAsia="en-AU"/>
        </w:rPr>
        <w:t>Meet with school office staff to initiate or complete administrative tasks, which may include:</w:t>
      </w:r>
      <w:r>
        <w:rPr>
          <w:noProof/>
        </w:rPr>
        <w:tab/>
      </w:r>
      <w:r>
        <w:rPr>
          <w:noProof/>
        </w:rPr>
        <w:fldChar w:fldCharType="begin"/>
      </w:r>
      <w:r>
        <w:rPr>
          <w:noProof/>
        </w:rPr>
        <w:instrText xml:space="preserve"> PAGEREF _Toc2864100 \h </w:instrText>
      </w:r>
      <w:r>
        <w:rPr>
          <w:noProof/>
        </w:rPr>
      </w:r>
      <w:r>
        <w:rPr>
          <w:noProof/>
        </w:rPr>
        <w:fldChar w:fldCharType="separate"/>
      </w:r>
      <w:r>
        <w:rPr>
          <w:noProof/>
        </w:rPr>
        <w:t>23</w:t>
      </w:r>
      <w:r>
        <w:rPr>
          <w:noProof/>
        </w:rPr>
        <w:fldChar w:fldCharType="end"/>
      </w:r>
    </w:p>
    <w:p w14:paraId="1C2DC8EB" w14:textId="4AD2DC2C" w:rsidR="00D92FB1" w:rsidRDefault="00D92FB1">
      <w:pPr>
        <w:pStyle w:val="TOC2"/>
        <w:tabs>
          <w:tab w:val="right" w:leader="dot" w:pos="9622"/>
        </w:tabs>
        <w:rPr>
          <w:rFonts w:asciiTheme="minorHAnsi" w:hAnsiTheme="minorHAnsi" w:cstheme="minorBidi"/>
          <w:noProof/>
          <w:color w:val="auto"/>
          <w:szCs w:val="22"/>
          <w:lang w:val="en-AU" w:eastAsia="en-AU"/>
        </w:rPr>
      </w:pPr>
      <w:r w:rsidRPr="00D97AA5">
        <w:rPr>
          <w:noProof/>
          <w:lang w:val="en-AU" w:eastAsia="en-AU"/>
        </w:rPr>
        <w:t>Week 1 Induction Checklist</w:t>
      </w:r>
      <w:r>
        <w:rPr>
          <w:noProof/>
        </w:rPr>
        <w:tab/>
      </w:r>
      <w:r>
        <w:rPr>
          <w:noProof/>
        </w:rPr>
        <w:fldChar w:fldCharType="begin"/>
      </w:r>
      <w:r>
        <w:rPr>
          <w:noProof/>
        </w:rPr>
        <w:instrText xml:space="preserve"> PAGEREF _Toc2864101 \h </w:instrText>
      </w:r>
      <w:r>
        <w:rPr>
          <w:noProof/>
        </w:rPr>
      </w:r>
      <w:r>
        <w:rPr>
          <w:noProof/>
        </w:rPr>
        <w:fldChar w:fldCharType="separate"/>
      </w:r>
      <w:r>
        <w:rPr>
          <w:noProof/>
        </w:rPr>
        <w:t>23</w:t>
      </w:r>
      <w:r>
        <w:rPr>
          <w:noProof/>
        </w:rPr>
        <w:fldChar w:fldCharType="end"/>
      </w:r>
    </w:p>
    <w:p w14:paraId="2381A2A9" w14:textId="6138EF6E" w:rsidR="00D92FB1" w:rsidRDefault="00D92FB1">
      <w:pPr>
        <w:pStyle w:val="TOC3"/>
        <w:tabs>
          <w:tab w:val="right" w:leader="dot" w:pos="9622"/>
        </w:tabs>
        <w:rPr>
          <w:rFonts w:asciiTheme="minorHAnsi" w:hAnsiTheme="minorHAnsi" w:cstheme="minorBidi"/>
          <w:noProof/>
          <w:szCs w:val="22"/>
          <w:lang w:val="en-AU" w:eastAsia="en-AU"/>
        </w:rPr>
      </w:pPr>
      <w:r w:rsidRPr="00D97AA5">
        <w:rPr>
          <w:noProof/>
          <w:lang w:val="en-AU" w:eastAsia="en-AU"/>
        </w:rPr>
        <w:t>Review school policies and procedures</w:t>
      </w:r>
      <w:r>
        <w:rPr>
          <w:noProof/>
        </w:rPr>
        <w:tab/>
      </w:r>
      <w:r>
        <w:rPr>
          <w:noProof/>
        </w:rPr>
        <w:fldChar w:fldCharType="begin"/>
      </w:r>
      <w:r>
        <w:rPr>
          <w:noProof/>
        </w:rPr>
        <w:instrText xml:space="preserve"> PAGEREF _Toc2864102 \h </w:instrText>
      </w:r>
      <w:r>
        <w:rPr>
          <w:noProof/>
        </w:rPr>
      </w:r>
      <w:r>
        <w:rPr>
          <w:noProof/>
        </w:rPr>
        <w:fldChar w:fldCharType="separate"/>
      </w:r>
      <w:r>
        <w:rPr>
          <w:noProof/>
        </w:rPr>
        <w:t>23</w:t>
      </w:r>
      <w:r>
        <w:rPr>
          <w:noProof/>
        </w:rPr>
        <w:fldChar w:fldCharType="end"/>
      </w:r>
    </w:p>
    <w:p w14:paraId="3F49E537" w14:textId="428A4E3D" w:rsidR="00D92FB1" w:rsidRDefault="00D92FB1">
      <w:pPr>
        <w:pStyle w:val="TOC3"/>
        <w:tabs>
          <w:tab w:val="right" w:leader="dot" w:pos="9622"/>
        </w:tabs>
        <w:rPr>
          <w:rFonts w:asciiTheme="minorHAnsi" w:hAnsiTheme="minorHAnsi" w:cstheme="minorBidi"/>
          <w:noProof/>
          <w:szCs w:val="22"/>
          <w:lang w:val="en-AU" w:eastAsia="en-AU"/>
        </w:rPr>
      </w:pPr>
      <w:r w:rsidRPr="00D97AA5">
        <w:rPr>
          <w:noProof/>
          <w:lang w:val="en-AU" w:eastAsia="en-AU"/>
        </w:rPr>
        <w:t>Commence Occupational Health and Safety (OHS) induction</w:t>
      </w:r>
      <w:r>
        <w:rPr>
          <w:noProof/>
        </w:rPr>
        <w:tab/>
      </w:r>
      <w:r>
        <w:rPr>
          <w:noProof/>
        </w:rPr>
        <w:fldChar w:fldCharType="begin"/>
      </w:r>
      <w:r>
        <w:rPr>
          <w:noProof/>
        </w:rPr>
        <w:instrText xml:space="preserve"> PAGEREF _Toc2864103 \h </w:instrText>
      </w:r>
      <w:r>
        <w:rPr>
          <w:noProof/>
        </w:rPr>
      </w:r>
      <w:r>
        <w:rPr>
          <w:noProof/>
        </w:rPr>
        <w:fldChar w:fldCharType="separate"/>
      </w:r>
      <w:r>
        <w:rPr>
          <w:noProof/>
        </w:rPr>
        <w:t>24</w:t>
      </w:r>
      <w:r>
        <w:rPr>
          <w:noProof/>
        </w:rPr>
        <w:fldChar w:fldCharType="end"/>
      </w:r>
    </w:p>
    <w:p w14:paraId="10EB5530" w14:textId="1BA9AAC1" w:rsidR="00D92FB1" w:rsidRDefault="00D92FB1">
      <w:pPr>
        <w:pStyle w:val="TOC3"/>
        <w:tabs>
          <w:tab w:val="right" w:leader="dot" w:pos="9622"/>
        </w:tabs>
        <w:rPr>
          <w:rFonts w:asciiTheme="minorHAnsi" w:hAnsiTheme="minorHAnsi" w:cstheme="minorBidi"/>
          <w:noProof/>
          <w:szCs w:val="22"/>
          <w:lang w:val="en-AU" w:eastAsia="en-AU"/>
        </w:rPr>
      </w:pPr>
      <w:r w:rsidRPr="00D97AA5">
        <w:rPr>
          <w:noProof/>
          <w:lang w:val="en-AU" w:eastAsia="en-AU"/>
        </w:rPr>
        <w:t>Commence eLearning</w:t>
      </w:r>
      <w:r>
        <w:rPr>
          <w:noProof/>
        </w:rPr>
        <w:tab/>
      </w:r>
      <w:r>
        <w:rPr>
          <w:noProof/>
        </w:rPr>
        <w:fldChar w:fldCharType="begin"/>
      </w:r>
      <w:r>
        <w:rPr>
          <w:noProof/>
        </w:rPr>
        <w:instrText xml:space="preserve"> PAGEREF _Toc2864104 \h </w:instrText>
      </w:r>
      <w:r>
        <w:rPr>
          <w:noProof/>
        </w:rPr>
      </w:r>
      <w:r>
        <w:rPr>
          <w:noProof/>
        </w:rPr>
        <w:fldChar w:fldCharType="separate"/>
      </w:r>
      <w:r>
        <w:rPr>
          <w:noProof/>
        </w:rPr>
        <w:t>24</w:t>
      </w:r>
      <w:r>
        <w:rPr>
          <w:noProof/>
        </w:rPr>
        <w:fldChar w:fldCharType="end"/>
      </w:r>
    </w:p>
    <w:p w14:paraId="2F2FBCA0" w14:textId="76805BC3" w:rsidR="00D92FB1" w:rsidRDefault="00D92FB1">
      <w:pPr>
        <w:pStyle w:val="TOC2"/>
        <w:tabs>
          <w:tab w:val="right" w:leader="dot" w:pos="9622"/>
        </w:tabs>
        <w:rPr>
          <w:rFonts w:asciiTheme="minorHAnsi" w:hAnsiTheme="minorHAnsi" w:cstheme="minorBidi"/>
          <w:noProof/>
          <w:color w:val="auto"/>
          <w:szCs w:val="22"/>
          <w:lang w:val="en-AU" w:eastAsia="en-AU"/>
        </w:rPr>
      </w:pPr>
      <w:r w:rsidRPr="00D97AA5">
        <w:rPr>
          <w:noProof/>
          <w:lang w:val="en-AU" w:eastAsia="en-AU"/>
        </w:rPr>
        <w:t>Term 1 Induction Checklist</w:t>
      </w:r>
      <w:r>
        <w:rPr>
          <w:noProof/>
        </w:rPr>
        <w:tab/>
      </w:r>
      <w:r>
        <w:rPr>
          <w:noProof/>
        </w:rPr>
        <w:fldChar w:fldCharType="begin"/>
      </w:r>
      <w:r>
        <w:rPr>
          <w:noProof/>
        </w:rPr>
        <w:instrText xml:space="preserve"> PAGEREF _Toc2864105 \h </w:instrText>
      </w:r>
      <w:r>
        <w:rPr>
          <w:noProof/>
        </w:rPr>
      </w:r>
      <w:r>
        <w:rPr>
          <w:noProof/>
        </w:rPr>
        <w:fldChar w:fldCharType="separate"/>
      </w:r>
      <w:r>
        <w:rPr>
          <w:noProof/>
        </w:rPr>
        <w:t>24</w:t>
      </w:r>
      <w:r>
        <w:rPr>
          <w:noProof/>
        </w:rPr>
        <w:fldChar w:fldCharType="end"/>
      </w:r>
    </w:p>
    <w:p w14:paraId="556403B7" w14:textId="79E990C0" w:rsidR="00D92FB1" w:rsidRDefault="00D92FB1">
      <w:pPr>
        <w:pStyle w:val="TOC3"/>
        <w:tabs>
          <w:tab w:val="right" w:leader="dot" w:pos="9622"/>
        </w:tabs>
        <w:rPr>
          <w:rFonts w:asciiTheme="minorHAnsi" w:hAnsiTheme="minorHAnsi" w:cstheme="minorBidi"/>
          <w:noProof/>
          <w:szCs w:val="22"/>
          <w:lang w:val="en-AU" w:eastAsia="en-AU"/>
        </w:rPr>
      </w:pPr>
      <w:r w:rsidRPr="00D97AA5">
        <w:rPr>
          <w:noProof/>
          <w:lang w:val="en-AU" w:eastAsia="en-AU"/>
        </w:rPr>
        <w:t>Review school policies and procedures</w:t>
      </w:r>
      <w:r>
        <w:rPr>
          <w:noProof/>
        </w:rPr>
        <w:tab/>
      </w:r>
      <w:r>
        <w:rPr>
          <w:noProof/>
        </w:rPr>
        <w:fldChar w:fldCharType="begin"/>
      </w:r>
      <w:r>
        <w:rPr>
          <w:noProof/>
        </w:rPr>
        <w:instrText xml:space="preserve"> PAGEREF _Toc2864106 \h </w:instrText>
      </w:r>
      <w:r>
        <w:rPr>
          <w:noProof/>
        </w:rPr>
      </w:r>
      <w:r>
        <w:rPr>
          <w:noProof/>
        </w:rPr>
        <w:fldChar w:fldCharType="separate"/>
      </w:r>
      <w:r>
        <w:rPr>
          <w:noProof/>
        </w:rPr>
        <w:t>25</w:t>
      </w:r>
      <w:r>
        <w:rPr>
          <w:noProof/>
        </w:rPr>
        <w:fldChar w:fldCharType="end"/>
      </w:r>
    </w:p>
    <w:p w14:paraId="78EF6928" w14:textId="4C7FD1F3" w:rsidR="00D92FB1" w:rsidRDefault="00D92FB1">
      <w:pPr>
        <w:pStyle w:val="TOC3"/>
        <w:tabs>
          <w:tab w:val="right" w:leader="dot" w:pos="9622"/>
        </w:tabs>
        <w:rPr>
          <w:rFonts w:asciiTheme="minorHAnsi" w:hAnsiTheme="minorHAnsi" w:cstheme="minorBidi"/>
          <w:noProof/>
          <w:szCs w:val="22"/>
          <w:lang w:val="en-AU" w:eastAsia="en-AU"/>
        </w:rPr>
      </w:pPr>
      <w:r w:rsidRPr="00D97AA5">
        <w:rPr>
          <w:noProof/>
          <w:lang w:val="en-AU" w:eastAsia="en-AU"/>
        </w:rPr>
        <w:t>Review DET policies and procedures</w:t>
      </w:r>
      <w:r>
        <w:rPr>
          <w:noProof/>
        </w:rPr>
        <w:tab/>
      </w:r>
      <w:r>
        <w:rPr>
          <w:noProof/>
        </w:rPr>
        <w:fldChar w:fldCharType="begin"/>
      </w:r>
      <w:r>
        <w:rPr>
          <w:noProof/>
        </w:rPr>
        <w:instrText xml:space="preserve"> PAGEREF _Toc2864107 \h </w:instrText>
      </w:r>
      <w:r>
        <w:rPr>
          <w:noProof/>
        </w:rPr>
      </w:r>
      <w:r>
        <w:rPr>
          <w:noProof/>
        </w:rPr>
        <w:fldChar w:fldCharType="separate"/>
      </w:r>
      <w:r>
        <w:rPr>
          <w:noProof/>
        </w:rPr>
        <w:t>25</w:t>
      </w:r>
      <w:r>
        <w:rPr>
          <w:noProof/>
        </w:rPr>
        <w:fldChar w:fldCharType="end"/>
      </w:r>
    </w:p>
    <w:p w14:paraId="13A21008" w14:textId="1D3A7D89" w:rsidR="00D92FB1" w:rsidRDefault="00D92FB1">
      <w:pPr>
        <w:pStyle w:val="TOC2"/>
        <w:tabs>
          <w:tab w:val="right" w:leader="dot" w:pos="9622"/>
        </w:tabs>
        <w:rPr>
          <w:rFonts w:asciiTheme="minorHAnsi" w:hAnsiTheme="minorHAnsi" w:cstheme="minorBidi"/>
          <w:noProof/>
          <w:color w:val="auto"/>
          <w:szCs w:val="22"/>
          <w:lang w:val="en-AU" w:eastAsia="en-AU"/>
        </w:rPr>
      </w:pPr>
      <w:r w:rsidRPr="00D97AA5">
        <w:rPr>
          <w:noProof/>
          <w:lang w:val="en-AU" w:eastAsia="en-AU"/>
        </w:rPr>
        <w:t>Term 2 Induction Checklist</w:t>
      </w:r>
      <w:r>
        <w:rPr>
          <w:noProof/>
        </w:rPr>
        <w:tab/>
      </w:r>
      <w:r>
        <w:rPr>
          <w:noProof/>
        </w:rPr>
        <w:fldChar w:fldCharType="begin"/>
      </w:r>
      <w:r>
        <w:rPr>
          <w:noProof/>
        </w:rPr>
        <w:instrText xml:space="preserve"> PAGEREF _Toc2864108 \h </w:instrText>
      </w:r>
      <w:r>
        <w:rPr>
          <w:noProof/>
        </w:rPr>
      </w:r>
      <w:r>
        <w:rPr>
          <w:noProof/>
        </w:rPr>
        <w:fldChar w:fldCharType="separate"/>
      </w:r>
      <w:r>
        <w:rPr>
          <w:noProof/>
        </w:rPr>
        <w:t>25</w:t>
      </w:r>
      <w:r>
        <w:rPr>
          <w:noProof/>
        </w:rPr>
        <w:fldChar w:fldCharType="end"/>
      </w:r>
    </w:p>
    <w:p w14:paraId="4B4DB6FB" w14:textId="35827AC7" w:rsidR="00D92FB1" w:rsidRDefault="00D92FB1">
      <w:pPr>
        <w:pStyle w:val="TOC3"/>
        <w:tabs>
          <w:tab w:val="right" w:leader="dot" w:pos="9622"/>
        </w:tabs>
        <w:rPr>
          <w:rFonts w:asciiTheme="minorHAnsi" w:hAnsiTheme="minorHAnsi" w:cstheme="minorBidi"/>
          <w:noProof/>
          <w:szCs w:val="22"/>
          <w:lang w:val="en-AU" w:eastAsia="en-AU"/>
        </w:rPr>
      </w:pPr>
      <w:r w:rsidRPr="00D97AA5">
        <w:rPr>
          <w:noProof/>
          <w:lang w:val="en-AU" w:eastAsia="en-AU"/>
        </w:rPr>
        <w:t>Review School Strategic Plan (SSP) and Annual Implementation Plan (AIP)</w:t>
      </w:r>
      <w:r>
        <w:rPr>
          <w:noProof/>
        </w:rPr>
        <w:tab/>
      </w:r>
      <w:r>
        <w:rPr>
          <w:noProof/>
        </w:rPr>
        <w:fldChar w:fldCharType="begin"/>
      </w:r>
      <w:r>
        <w:rPr>
          <w:noProof/>
        </w:rPr>
        <w:instrText xml:space="preserve"> PAGEREF _Toc2864109 \h </w:instrText>
      </w:r>
      <w:r>
        <w:rPr>
          <w:noProof/>
        </w:rPr>
      </w:r>
      <w:r>
        <w:rPr>
          <w:noProof/>
        </w:rPr>
        <w:fldChar w:fldCharType="separate"/>
      </w:r>
      <w:r>
        <w:rPr>
          <w:noProof/>
        </w:rPr>
        <w:t>25</w:t>
      </w:r>
      <w:r>
        <w:rPr>
          <w:noProof/>
        </w:rPr>
        <w:fldChar w:fldCharType="end"/>
      </w:r>
    </w:p>
    <w:p w14:paraId="7F719E3C" w14:textId="63ED3D9E" w:rsidR="00D92FB1" w:rsidRDefault="00D92FB1">
      <w:pPr>
        <w:pStyle w:val="TOC3"/>
        <w:tabs>
          <w:tab w:val="right" w:leader="dot" w:pos="9622"/>
        </w:tabs>
        <w:rPr>
          <w:rFonts w:asciiTheme="minorHAnsi" w:hAnsiTheme="minorHAnsi" w:cstheme="minorBidi"/>
          <w:noProof/>
          <w:szCs w:val="22"/>
          <w:lang w:val="en-AU" w:eastAsia="en-AU"/>
        </w:rPr>
      </w:pPr>
      <w:r w:rsidRPr="00D97AA5">
        <w:rPr>
          <w:noProof/>
          <w:lang w:val="en-AU" w:eastAsia="en-AU"/>
        </w:rPr>
        <w:t>Continue eLearning</w:t>
      </w:r>
      <w:r>
        <w:rPr>
          <w:noProof/>
        </w:rPr>
        <w:tab/>
      </w:r>
      <w:r>
        <w:rPr>
          <w:noProof/>
        </w:rPr>
        <w:fldChar w:fldCharType="begin"/>
      </w:r>
      <w:r>
        <w:rPr>
          <w:noProof/>
        </w:rPr>
        <w:instrText xml:space="preserve"> PAGEREF _Toc2864110 \h </w:instrText>
      </w:r>
      <w:r>
        <w:rPr>
          <w:noProof/>
        </w:rPr>
      </w:r>
      <w:r>
        <w:rPr>
          <w:noProof/>
        </w:rPr>
        <w:fldChar w:fldCharType="separate"/>
      </w:r>
      <w:r>
        <w:rPr>
          <w:noProof/>
        </w:rPr>
        <w:t>26</w:t>
      </w:r>
      <w:r>
        <w:rPr>
          <w:noProof/>
        </w:rPr>
        <w:fldChar w:fldCharType="end"/>
      </w:r>
    </w:p>
    <w:p w14:paraId="44D068F2" w14:textId="2F3D3F0B" w:rsidR="00D92FB1" w:rsidRDefault="00D92FB1">
      <w:pPr>
        <w:pStyle w:val="TOC2"/>
        <w:tabs>
          <w:tab w:val="right" w:leader="dot" w:pos="9622"/>
        </w:tabs>
        <w:rPr>
          <w:rFonts w:asciiTheme="minorHAnsi" w:hAnsiTheme="minorHAnsi" w:cstheme="minorBidi"/>
          <w:noProof/>
          <w:color w:val="auto"/>
          <w:szCs w:val="22"/>
          <w:lang w:val="en-AU" w:eastAsia="en-AU"/>
        </w:rPr>
      </w:pPr>
      <w:r w:rsidRPr="00D97AA5">
        <w:rPr>
          <w:noProof/>
          <w:lang w:val="en-AU" w:eastAsia="en-AU"/>
        </w:rPr>
        <w:t>Term 3 Induction Checklist</w:t>
      </w:r>
      <w:r>
        <w:rPr>
          <w:noProof/>
        </w:rPr>
        <w:tab/>
      </w:r>
      <w:r>
        <w:rPr>
          <w:noProof/>
        </w:rPr>
        <w:fldChar w:fldCharType="begin"/>
      </w:r>
      <w:r>
        <w:rPr>
          <w:noProof/>
        </w:rPr>
        <w:instrText xml:space="preserve"> PAGEREF _Toc2864111 \h </w:instrText>
      </w:r>
      <w:r>
        <w:rPr>
          <w:noProof/>
        </w:rPr>
      </w:r>
      <w:r>
        <w:rPr>
          <w:noProof/>
        </w:rPr>
        <w:fldChar w:fldCharType="separate"/>
      </w:r>
      <w:r>
        <w:rPr>
          <w:noProof/>
        </w:rPr>
        <w:t>26</w:t>
      </w:r>
      <w:r>
        <w:rPr>
          <w:noProof/>
        </w:rPr>
        <w:fldChar w:fldCharType="end"/>
      </w:r>
    </w:p>
    <w:p w14:paraId="0A56DD37" w14:textId="33CCE62A" w:rsidR="00D92FB1" w:rsidRDefault="00D92FB1">
      <w:pPr>
        <w:pStyle w:val="TOC3"/>
        <w:tabs>
          <w:tab w:val="right" w:leader="dot" w:pos="9622"/>
        </w:tabs>
        <w:rPr>
          <w:rFonts w:asciiTheme="minorHAnsi" w:hAnsiTheme="minorHAnsi" w:cstheme="minorBidi"/>
          <w:noProof/>
          <w:szCs w:val="22"/>
          <w:lang w:val="en-AU" w:eastAsia="en-AU"/>
        </w:rPr>
      </w:pPr>
      <w:r w:rsidRPr="00D97AA5">
        <w:rPr>
          <w:noProof/>
          <w:lang w:val="en-AU" w:eastAsia="en-AU"/>
        </w:rPr>
        <w:t>Review Policies and Procedures</w:t>
      </w:r>
      <w:r>
        <w:rPr>
          <w:noProof/>
        </w:rPr>
        <w:tab/>
      </w:r>
      <w:r>
        <w:rPr>
          <w:noProof/>
        </w:rPr>
        <w:fldChar w:fldCharType="begin"/>
      </w:r>
      <w:r>
        <w:rPr>
          <w:noProof/>
        </w:rPr>
        <w:instrText xml:space="preserve"> PAGEREF _Toc2864112 \h </w:instrText>
      </w:r>
      <w:r>
        <w:rPr>
          <w:noProof/>
        </w:rPr>
      </w:r>
      <w:r>
        <w:rPr>
          <w:noProof/>
        </w:rPr>
        <w:fldChar w:fldCharType="separate"/>
      </w:r>
      <w:r>
        <w:rPr>
          <w:noProof/>
        </w:rPr>
        <w:t>26</w:t>
      </w:r>
      <w:r>
        <w:rPr>
          <w:noProof/>
        </w:rPr>
        <w:fldChar w:fldCharType="end"/>
      </w:r>
    </w:p>
    <w:p w14:paraId="41713D87" w14:textId="4EE869DB" w:rsidR="00D92FB1" w:rsidRDefault="00D92FB1">
      <w:pPr>
        <w:pStyle w:val="TOC2"/>
        <w:tabs>
          <w:tab w:val="right" w:leader="dot" w:pos="9622"/>
        </w:tabs>
        <w:rPr>
          <w:rFonts w:asciiTheme="minorHAnsi" w:hAnsiTheme="minorHAnsi" w:cstheme="minorBidi"/>
          <w:noProof/>
          <w:color w:val="auto"/>
          <w:szCs w:val="22"/>
          <w:lang w:val="en-AU" w:eastAsia="en-AU"/>
        </w:rPr>
      </w:pPr>
      <w:r w:rsidRPr="00D97AA5">
        <w:rPr>
          <w:noProof/>
          <w:lang w:val="en-AU" w:eastAsia="en-AU"/>
        </w:rPr>
        <w:t>Term 4 Induction Checklist</w:t>
      </w:r>
      <w:r>
        <w:rPr>
          <w:noProof/>
        </w:rPr>
        <w:tab/>
      </w:r>
      <w:r>
        <w:rPr>
          <w:noProof/>
        </w:rPr>
        <w:fldChar w:fldCharType="begin"/>
      </w:r>
      <w:r>
        <w:rPr>
          <w:noProof/>
        </w:rPr>
        <w:instrText xml:space="preserve"> PAGEREF _Toc2864113 \h </w:instrText>
      </w:r>
      <w:r>
        <w:rPr>
          <w:noProof/>
        </w:rPr>
      </w:r>
      <w:r>
        <w:rPr>
          <w:noProof/>
        </w:rPr>
        <w:fldChar w:fldCharType="separate"/>
      </w:r>
      <w:r>
        <w:rPr>
          <w:noProof/>
        </w:rPr>
        <w:t>27</w:t>
      </w:r>
      <w:r>
        <w:rPr>
          <w:noProof/>
        </w:rPr>
        <w:fldChar w:fldCharType="end"/>
      </w:r>
    </w:p>
    <w:p w14:paraId="305246E0" w14:textId="067FDCB7" w:rsidR="00D92FB1" w:rsidRDefault="00D92FB1">
      <w:pPr>
        <w:pStyle w:val="TOC3"/>
        <w:tabs>
          <w:tab w:val="right" w:leader="dot" w:pos="9622"/>
        </w:tabs>
        <w:rPr>
          <w:rFonts w:asciiTheme="minorHAnsi" w:hAnsiTheme="minorHAnsi" w:cstheme="minorBidi"/>
          <w:noProof/>
          <w:szCs w:val="22"/>
          <w:lang w:val="en-AU" w:eastAsia="en-AU"/>
        </w:rPr>
      </w:pPr>
      <w:r w:rsidRPr="00D97AA5">
        <w:rPr>
          <w:noProof/>
          <w:lang w:val="en-AU" w:eastAsia="en-AU"/>
        </w:rPr>
        <w:t>Review Policies and Procedures</w:t>
      </w:r>
      <w:r>
        <w:rPr>
          <w:noProof/>
        </w:rPr>
        <w:tab/>
      </w:r>
      <w:r>
        <w:rPr>
          <w:noProof/>
        </w:rPr>
        <w:fldChar w:fldCharType="begin"/>
      </w:r>
      <w:r>
        <w:rPr>
          <w:noProof/>
        </w:rPr>
        <w:instrText xml:space="preserve"> PAGEREF _Toc2864114 \h </w:instrText>
      </w:r>
      <w:r>
        <w:rPr>
          <w:noProof/>
        </w:rPr>
      </w:r>
      <w:r>
        <w:rPr>
          <w:noProof/>
        </w:rPr>
        <w:fldChar w:fldCharType="separate"/>
      </w:r>
      <w:r>
        <w:rPr>
          <w:noProof/>
        </w:rPr>
        <w:t>27</w:t>
      </w:r>
      <w:r>
        <w:rPr>
          <w:noProof/>
        </w:rPr>
        <w:fldChar w:fldCharType="end"/>
      </w:r>
    </w:p>
    <w:p w14:paraId="5F75C941" w14:textId="06749D03" w:rsidR="00D92FB1" w:rsidRDefault="00D92FB1">
      <w:pPr>
        <w:pStyle w:val="TOC3"/>
        <w:tabs>
          <w:tab w:val="right" w:leader="dot" w:pos="9622"/>
        </w:tabs>
        <w:rPr>
          <w:rFonts w:asciiTheme="minorHAnsi" w:hAnsiTheme="minorHAnsi" w:cstheme="minorBidi"/>
          <w:noProof/>
          <w:szCs w:val="22"/>
          <w:lang w:val="en-AU" w:eastAsia="en-AU"/>
        </w:rPr>
      </w:pPr>
      <w:r w:rsidRPr="00D97AA5">
        <w:rPr>
          <w:noProof/>
          <w:lang w:val="en-AU" w:eastAsia="en-AU"/>
        </w:rPr>
        <w:t>Review the year</w:t>
      </w:r>
      <w:r>
        <w:rPr>
          <w:noProof/>
        </w:rPr>
        <w:tab/>
      </w:r>
      <w:r>
        <w:rPr>
          <w:noProof/>
        </w:rPr>
        <w:fldChar w:fldCharType="begin"/>
      </w:r>
      <w:r>
        <w:rPr>
          <w:noProof/>
        </w:rPr>
        <w:instrText xml:space="preserve"> PAGEREF _Toc2864115 \h </w:instrText>
      </w:r>
      <w:r>
        <w:rPr>
          <w:noProof/>
        </w:rPr>
      </w:r>
      <w:r>
        <w:rPr>
          <w:noProof/>
        </w:rPr>
        <w:fldChar w:fldCharType="separate"/>
      </w:r>
      <w:r>
        <w:rPr>
          <w:noProof/>
        </w:rPr>
        <w:t>27</w:t>
      </w:r>
      <w:r>
        <w:rPr>
          <w:noProof/>
        </w:rPr>
        <w:fldChar w:fldCharType="end"/>
      </w:r>
    </w:p>
    <w:p w14:paraId="44B6A033" w14:textId="4528D803" w:rsidR="00D92FB1" w:rsidRDefault="00D92FB1">
      <w:pPr>
        <w:pStyle w:val="TOC2"/>
        <w:tabs>
          <w:tab w:val="right" w:leader="dot" w:pos="9622"/>
        </w:tabs>
        <w:rPr>
          <w:rFonts w:asciiTheme="minorHAnsi" w:hAnsiTheme="minorHAnsi" w:cstheme="minorBidi"/>
          <w:noProof/>
          <w:color w:val="auto"/>
          <w:szCs w:val="22"/>
          <w:lang w:val="en-AU" w:eastAsia="en-AU"/>
        </w:rPr>
      </w:pPr>
      <w:r w:rsidRPr="00D97AA5">
        <w:rPr>
          <w:noProof/>
          <w:lang w:val="en-AU" w:eastAsia="en-AU"/>
        </w:rPr>
        <w:t>Year 2 Induction Checklist</w:t>
      </w:r>
      <w:r>
        <w:rPr>
          <w:noProof/>
        </w:rPr>
        <w:tab/>
      </w:r>
      <w:r>
        <w:rPr>
          <w:noProof/>
        </w:rPr>
        <w:fldChar w:fldCharType="begin"/>
      </w:r>
      <w:r>
        <w:rPr>
          <w:noProof/>
        </w:rPr>
        <w:instrText xml:space="preserve"> PAGEREF _Toc2864116 \h </w:instrText>
      </w:r>
      <w:r>
        <w:rPr>
          <w:noProof/>
        </w:rPr>
      </w:r>
      <w:r>
        <w:rPr>
          <w:noProof/>
        </w:rPr>
        <w:fldChar w:fldCharType="separate"/>
      </w:r>
      <w:r>
        <w:rPr>
          <w:noProof/>
        </w:rPr>
        <w:t>27</w:t>
      </w:r>
      <w:r>
        <w:rPr>
          <w:noProof/>
        </w:rPr>
        <w:fldChar w:fldCharType="end"/>
      </w:r>
    </w:p>
    <w:p w14:paraId="2D2C9959" w14:textId="4D46CF2C" w:rsidR="00D92FB1" w:rsidRDefault="00D92FB1">
      <w:pPr>
        <w:pStyle w:val="TOC3"/>
        <w:tabs>
          <w:tab w:val="right" w:leader="dot" w:pos="9622"/>
        </w:tabs>
        <w:rPr>
          <w:rFonts w:asciiTheme="minorHAnsi" w:hAnsiTheme="minorHAnsi" w:cstheme="minorBidi"/>
          <w:noProof/>
          <w:szCs w:val="22"/>
          <w:lang w:val="en-AU" w:eastAsia="en-AU"/>
        </w:rPr>
      </w:pPr>
      <w:r w:rsidRPr="00D97AA5">
        <w:rPr>
          <w:noProof/>
          <w:lang w:val="en-AU" w:eastAsia="en-AU"/>
        </w:rPr>
        <w:t>Review the year</w:t>
      </w:r>
      <w:r>
        <w:rPr>
          <w:noProof/>
        </w:rPr>
        <w:tab/>
      </w:r>
      <w:r>
        <w:rPr>
          <w:noProof/>
        </w:rPr>
        <w:fldChar w:fldCharType="begin"/>
      </w:r>
      <w:r>
        <w:rPr>
          <w:noProof/>
        </w:rPr>
        <w:instrText xml:space="preserve"> PAGEREF _Toc2864117 \h </w:instrText>
      </w:r>
      <w:r>
        <w:rPr>
          <w:noProof/>
        </w:rPr>
      </w:r>
      <w:r>
        <w:rPr>
          <w:noProof/>
        </w:rPr>
        <w:fldChar w:fldCharType="separate"/>
      </w:r>
      <w:r>
        <w:rPr>
          <w:noProof/>
        </w:rPr>
        <w:t>27</w:t>
      </w:r>
      <w:r>
        <w:rPr>
          <w:noProof/>
        </w:rPr>
        <w:fldChar w:fldCharType="end"/>
      </w:r>
    </w:p>
    <w:p w14:paraId="2303B67D" w14:textId="22934BFA" w:rsidR="00D92FB1" w:rsidRDefault="00D92FB1">
      <w:pPr>
        <w:pStyle w:val="TOC2"/>
        <w:tabs>
          <w:tab w:val="right" w:leader="dot" w:pos="9622"/>
        </w:tabs>
        <w:rPr>
          <w:rFonts w:asciiTheme="minorHAnsi" w:hAnsiTheme="minorHAnsi" w:cstheme="minorBidi"/>
          <w:noProof/>
          <w:color w:val="auto"/>
          <w:szCs w:val="22"/>
          <w:lang w:val="en-AU" w:eastAsia="en-AU"/>
        </w:rPr>
      </w:pPr>
      <w:r w:rsidRPr="00D97AA5">
        <w:rPr>
          <w:noProof/>
          <w:lang w:val="en-AU" w:eastAsia="en-AU"/>
        </w:rPr>
        <w:t>Notes to the Checklist</w:t>
      </w:r>
      <w:r>
        <w:rPr>
          <w:noProof/>
        </w:rPr>
        <w:tab/>
      </w:r>
      <w:r>
        <w:rPr>
          <w:noProof/>
        </w:rPr>
        <w:fldChar w:fldCharType="begin"/>
      </w:r>
      <w:r>
        <w:rPr>
          <w:noProof/>
        </w:rPr>
        <w:instrText xml:space="preserve"> PAGEREF _Toc2864118 \h </w:instrText>
      </w:r>
      <w:r>
        <w:rPr>
          <w:noProof/>
        </w:rPr>
      </w:r>
      <w:r>
        <w:rPr>
          <w:noProof/>
        </w:rPr>
        <w:fldChar w:fldCharType="separate"/>
      </w:r>
      <w:r>
        <w:rPr>
          <w:noProof/>
        </w:rPr>
        <w:t>27</w:t>
      </w:r>
      <w:r>
        <w:rPr>
          <w:noProof/>
        </w:rPr>
        <w:fldChar w:fldCharType="end"/>
      </w:r>
    </w:p>
    <w:p w14:paraId="607C9401" w14:textId="5402C403" w:rsidR="00D92FB1" w:rsidRDefault="00D92FB1">
      <w:pPr>
        <w:pStyle w:val="TOC1"/>
        <w:rPr>
          <w:rFonts w:asciiTheme="minorHAnsi" w:hAnsiTheme="minorHAnsi" w:cstheme="minorBidi"/>
          <w:b w:val="0"/>
          <w:noProof/>
          <w:color w:val="auto"/>
          <w:szCs w:val="22"/>
          <w:lang w:val="en-AU" w:eastAsia="en-AU"/>
        </w:rPr>
      </w:pPr>
      <w:r w:rsidRPr="00D97AA5">
        <w:rPr>
          <w:noProof/>
          <w:lang w:val="en-AU" w:eastAsia="en-AU"/>
        </w:rPr>
        <w:t>Appendix 2 – Welcome pack checklist</w:t>
      </w:r>
      <w:r>
        <w:rPr>
          <w:noProof/>
        </w:rPr>
        <w:tab/>
      </w:r>
      <w:r>
        <w:rPr>
          <w:noProof/>
        </w:rPr>
        <w:fldChar w:fldCharType="begin"/>
      </w:r>
      <w:r>
        <w:rPr>
          <w:noProof/>
        </w:rPr>
        <w:instrText xml:space="preserve"> PAGEREF _Toc2864119 \h </w:instrText>
      </w:r>
      <w:r>
        <w:rPr>
          <w:noProof/>
        </w:rPr>
      </w:r>
      <w:r>
        <w:rPr>
          <w:noProof/>
        </w:rPr>
        <w:fldChar w:fldCharType="separate"/>
      </w:r>
      <w:r>
        <w:rPr>
          <w:noProof/>
        </w:rPr>
        <w:t>28</w:t>
      </w:r>
      <w:r>
        <w:rPr>
          <w:noProof/>
        </w:rPr>
        <w:fldChar w:fldCharType="end"/>
      </w:r>
    </w:p>
    <w:p w14:paraId="2646C5DA" w14:textId="5BAA30F5" w:rsidR="00D92FB1" w:rsidRDefault="00D92FB1">
      <w:pPr>
        <w:pStyle w:val="TOC1"/>
        <w:rPr>
          <w:rFonts w:asciiTheme="minorHAnsi" w:hAnsiTheme="minorHAnsi" w:cstheme="minorBidi"/>
          <w:b w:val="0"/>
          <w:noProof/>
          <w:color w:val="auto"/>
          <w:szCs w:val="22"/>
          <w:lang w:val="en-AU" w:eastAsia="en-AU"/>
        </w:rPr>
      </w:pPr>
      <w:r w:rsidRPr="00D97AA5">
        <w:rPr>
          <w:noProof/>
          <w:lang w:val="en-AU"/>
        </w:rPr>
        <w:t>Appendix 3 – Key resources</w:t>
      </w:r>
      <w:r>
        <w:rPr>
          <w:noProof/>
        </w:rPr>
        <w:tab/>
      </w:r>
      <w:r>
        <w:rPr>
          <w:noProof/>
        </w:rPr>
        <w:fldChar w:fldCharType="begin"/>
      </w:r>
      <w:r>
        <w:rPr>
          <w:noProof/>
        </w:rPr>
        <w:instrText xml:space="preserve"> PAGEREF _Toc2864120 \h </w:instrText>
      </w:r>
      <w:r>
        <w:rPr>
          <w:noProof/>
        </w:rPr>
      </w:r>
      <w:r>
        <w:rPr>
          <w:noProof/>
        </w:rPr>
        <w:fldChar w:fldCharType="separate"/>
      </w:r>
      <w:r>
        <w:rPr>
          <w:noProof/>
        </w:rPr>
        <w:t>29</w:t>
      </w:r>
      <w:r>
        <w:rPr>
          <w:noProof/>
        </w:rPr>
        <w:fldChar w:fldCharType="end"/>
      </w:r>
    </w:p>
    <w:p w14:paraId="04210DB9" w14:textId="0216D985" w:rsidR="00D92FB1" w:rsidRDefault="00D92FB1">
      <w:pPr>
        <w:pStyle w:val="TOC2"/>
        <w:tabs>
          <w:tab w:val="right" w:leader="dot" w:pos="9622"/>
        </w:tabs>
        <w:rPr>
          <w:rFonts w:asciiTheme="minorHAnsi" w:hAnsiTheme="minorHAnsi" w:cstheme="minorBidi"/>
          <w:noProof/>
          <w:color w:val="auto"/>
          <w:szCs w:val="22"/>
          <w:lang w:val="en-AU" w:eastAsia="en-AU"/>
        </w:rPr>
      </w:pPr>
      <w:r w:rsidRPr="00D97AA5">
        <w:rPr>
          <w:noProof/>
          <w:lang w:val="en-AU"/>
        </w:rPr>
        <w:t>Victorian Curriculum and Assessment Authority</w:t>
      </w:r>
      <w:r>
        <w:rPr>
          <w:noProof/>
        </w:rPr>
        <w:tab/>
      </w:r>
      <w:r>
        <w:rPr>
          <w:noProof/>
        </w:rPr>
        <w:fldChar w:fldCharType="begin"/>
      </w:r>
      <w:r>
        <w:rPr>
          <w:noProof/>
        </w:rPr>
        <w:instrText xml:space="preserve"> PAGEREF _Toc2864121 \h </w:instrText>
      </w:r>
      <w:r>
        <w:rPr>
          <w:noProof/>
        </w:rPr>
      </w:r>
      <w:r>
        <w:rPr>
          <w:noProof/>
        </w:rPr>
        <w:fldChar w:fldCharType="separate"/>
      </w:r>
      <w:r>
        <w:rPr>
          <w:noProof/>
        </w:rPr>
        <w:t>29</w:t>
      </w:r>
      <w:r>
        <w:rPr>
          <w:noProof/>
        </w:rPr>
        <w:fldChar w:fldCharType="end"/>
      </w:r>
    </w:p>
    <w:p w14:paraId="0318174D" w14:textId="08D58274" w:rsidR="00D92FB1" w:rsidRDefault="00D92FB1">
      <w:pPr>
        <w:pStyle w:val="TOC2"/>
        <w:tabs>
          <w:tab w:val="right" w:leader="dot" w:pos="9622"/>
        </w:tabs>
        <w:rPr>
          <w:rFonts w:asciiTheme="minorHAnsi" w:hAnsiTheme="minorHAnsi" w:cstheme="minorBidi"/>
          <w:noProof/>
          <w:color w:val="auto"/>
          <w:szCs w:val="22"/>
          <w:lang w:val="en-AU" w:eastAsia="en-AU"/>
        </w:rPr>
      </w:pPr>
      <w:r w:rsidRPr="00D97AA5">
        <w:rPr>
          <w:noProof/>
          <w:lang w:val="en-AU"/>
        </w:rPr>
        <w:lastRenderedPageBreak/>
        <w:t>Marrung: Aboriginal Action Plan 2016 – 2026</w:t>
      </w:r>
      <w:r>
        <w:rPr>
          <w:noProof/>
        </w:rPr>
        <w:tab/>
      </w:r>
      <w:r>
        <w:rPr>
          <w:noProof/>
        </w:rPr>
        <w:fldChar w:fldCharType="begin"/>
      </w:r>
      <w:r>
        <w:rPr>
          <w:noProof/>
        </w:rPr>
        <w:instrText xml:space="preserve"> PAGEREF _Toc2864122 \h </w:instrText>
      </w:r>
      <w:r>
        <w:rPr>
          <w:noProof/>
        </w:rPr>
      </w:r>
      <w:r>
        <w:rPr>
          <w:noProof/>
        </w:rPr>
        <w:fldChar w:fldCharType="separate"/>
      </w:r>
      <w:r>
        <w:rPr>
          <w:noProof/>
        </w:rPr>
        <w:t>29</w:t>
      </w:r>
      <w:r>
        <w:rPr>
          <w:noProof/>
        </w:rPr>
        <w:fldChar w:fldCharType="end"/>
      </w:r>
    </w:p>
    <w:p w14:paraId="4E429513" w14:textId="426EF710" w:rsidR="00D92FB1" w:rsidRDefault="00D92FB1">
      <w:pPr>
        <w:pStyle w:val="TOC2"/>
        <w:tabs>
          <w:tab w:val="right" w:leader="dot" w:pos="9622"/>
        </w:tabs>
        <w:rPr>
          <w:rFonts w:asciiTheme="minorHAnsi" w:hAnsiTheme="minorHAnsi" w:cstheme="minorBidi"/>
          <w:noProof/>
          <w:color w:val="auto"/>
          <w:szCs w:val="22"/>
          <w:lang w:val="en-AU" w:eastAsia="en-AU"/>
        </w:rPr>
      </w:pPr>
      <w:r w:rsidRPr="00D97AA5">
        <w:rPr>
          <w:noProof/>
          <w:lang w:val="en-AU"/>
        </w:rPr>
        <w:t>Framework for Improving Student Outcomes (FISO)</w:t>
      </w:r>
      <w:r>
        <w:rPr>
          <w:noProof/>
        </w:rPr>
        <w:tab/>
      </w:r>
      <w:r>
        <w:rPr>
          <w:noProof/>
        </w:rPr>
        <w:fldChar w:fldCharType="begin"/>
      </w:r>
      <w:r>
        <w:rPr>
          <w:noProof/>
        </w:rPr>
        <w:instrText xml:space="preserve"> PAGEREF _Toc2864123 \h </w:instrText>
      </w:r>
      <w:r>
        <w:rPr>
          <w:noProof/>
        </w:rPr>
      </w:r>
      <w:r>
        <w:rPr>
          <w:noProof/>
        </w:rPr>
        <w:fldChar w:fldCharType="separate"/>
      </w:r>
      <w:r>
        <w:rPr>
          <w:noProof/>
        </w:rPr>
        <w:t>30</w:t>
      </w:r>
      <w:r>
        <w:rPr>
          <w:noProof/>
        </w:rPr>
        <w:fldChar w:fldCharType="end"/>
      </w:r>
    </w:p>
    <w:p w14:paraId="6B5DEB45" w14:textId="74B839FC" w:rsidR="00D92FB1" w:rsidRDefault="00D92FB1">
      <w:pPr>
        <w:pStyle w:val="TOC2"/>
        <w:tabs>
          <w:tab w:val="right" w:leader="dot" w:pos="9622"/>
        </w:tabs>
        <w:rPr>
          <w:rFonts w:asciiTheme="minorHAnsi" w:hAnsiTheme="minorHAnsi" w:cstheme="minorBidi"/>
          <w:noProof/>
          <w:color w:val="auto"/>
          <w:szCs w:val="22"/>
          <w:lang w:val="en-AU" w:eastAsia="en-AU"/>
        </w:rPr>
      </w:pPr>
      <w:r w:rsidRPr="00D97AA5">
        <w:rPr>
          <w:noProof/>
          <w:lang w:val="en-AU"/>
        </w:rPr>
        <w:t>Literacy and Numeracy Strategy</w:t>
      </w:r>
      <w:r>
        <w:rPr>
          <w:noProof/>
        </w:rPr>
        <w:tab/>
      </w:r>
      <w:r>
        <w:rPr>
          <w:noProof/>
        </w:rPr>
        <w:fldChar w:fldCharType="begin"/>
      </w:r>
      <w:r>
        <w:rPr>
          <w:noProof/>
        </w:rPr>
        <w:instrText xml:space="preserve"> PAGEREF _Toc2864124 \h </w:instrText>
      </w:r>
      <w:r>
        <w:rPr>
          <w:noProof/>
        </w:rPr>
      </w:r>
      <w:r>
        <w:rPr>
          <w:noProof/>
        </w:rPr>
        <w:fldChar w:fldCharType="separate"/>
      </w:r>
      <w:r>
        <w:rPr>
          <w:noProof/>
        </w:rPr>
        <w:t>31</w:t>
      </w:r>
      <w:r>
        <w:rPr>
          <w:noProof/>
        </w:rPr>
        <w:fldChar w:fldCharType="end"/>
      </w:r>
    </w:p>
    <w:p w14:paraId="0D17A018" w14:textId="738E7792" w:rsidR="00D92FB1" w:rsidRDefault="00D92FB1">
      <w:pPr>
        <w:pStyle w:val="TOC2"/>
        <w:tabs>
          <w:tab w:val="right" w:leader="dot" w:pos="9622"/>
        </w:tabs>
        <w:rPr>
          <w:rFonts w:asciiTheme="minorHAnsi" w:hAnsiTheme="minorHAnsi" w:cstheme="minorBidi"/>
          <w:noProof/>
          <w:color w:val="auto"/>
          <w:szCs w:val="22"/>
          <w:lang w:val="en-AU" w:eastAsia="en-AU"/>
        </w:rPr>
      </w:pPr>
      <w:r w:rsidRPr="00D97AA5">
        <w:rPr>
          <w:noProof/>
          <w:lang w:val="en-AU"/>
        </w:rPr>
        <w:t>The Victorian Teaching and Learning Model</w:t>
      </w:r>
      <w:r>
        <w:rPr>
          <w:noProof/>
        </w:rPr>
        <w:tab/>
      </w:r>
      <w:r>
        <w:rPr>
          <w:noProof/>
        </w:rPr>
        <w:fldChar w:fldCharType="begin"/>
      </w:r>
      <w:r>
        <w:rPr>
          <w:noProof/>
        </w:rPr>
        <w:instrText xml:space="preserve"> PAGEREF _Toc2864125 \h </w:instrText>
      </w:r>
      <w:r>
        <w:rPr>
          <w:noProof/>
        </w:rPr>
      </w:r>
      <w:r>
        <w:rPr>
          <w:noProof/>
        </w:rPr>
        <w:fldChar w:fldCharType="separate"/>
      </w:r>
      <w:r>
        <w:rPr>
          <w:noProof/>
        </w:rPr>
        <w:t>32</w:t>
      </w:r>
      <w:r>
        <w:rPr>
          <w:noProof/>
        </w:rPr>
        <w:fldChar w:fldCharType="end"/>
      </w:r>
    </w:p>
    <w:p w14:paraId="5E656D18" w14:textId="1492D624" w:rsidR="00D92FB1" w:rsidRDefault="00D92FB1">
      <w:pPr>
        <w:pStyle w:val="TOC2"/>
        <w:tabs>
          <w:tab w:val="right" w:leader="dot" w:pos="9622"/>
        </w:tabs>
        <w:rPr>
          <w:rFonts w:asciiTheme="minorHAnsi" w:hAnsiTheme="minorHAnsi" w:cstheme="minorBidi"/>
          <w:noProof/>
          <w:color w:val="auto"/>
          <w:szCs w:val="22"/>
          <w:lang w:val="en-AU" w:eastAsia="en-AU"/>
        </w:rPr>
      </w:pPr>
      <w:r w:rsidRPr="00D97AA5">
        <w:rPr>
          <w:noProof/>
          <w:lang w:val="en-AU"/>
        </w:rPr>
        <w:t>Peer observation, feedback and reflection</w:t>
      </w:r>
      <w:r>
        <w:rPr>
          <w:noProof/>
        </w:rPr>
        <w:tab/>
      </w:r>
      <w:r>
        <w:rPr>
          <w:noProof/>
        </w:rPr>
        <w:fldChar w:fldCharType="begin"/>
      </w:r>
      <w:r>
        <w:rPr>
          <w:noProof/>
        </w:rPr>
        <w:instrText xml:space="preserve"> PAGEREF _Toc2864126 \h </w:instrText>
      </w:r>
      <w:r>
        <w:rPr>
          <w:noProof/>
        </w:rPr>
      </w:r>
      <w:r>
        <w:rPr>
          <w:noProof/>
        </w:rPr>
        <w:fldChar w:fldCharType="separate"/>
      </w:r>
      <w:r>
        <w:rPr>
          <w:noProof/>
        </w:rPr>
        <w:t>32</w:t>
      </w:r>
      <w:r>
        <w:rPr>
          <w:noProof/>
        </w:rPr>
        <w:fldChar w:fldCharType="end"/>
      </w:r>
    </w:p>
    <w:p w14:paraId="74170A48" w14:textId="1C48DCF2" w:rsidR="00D92FB1" w:rsidRDefault="00D92FB1">
      <w:pPr>
        <w:pStyle w:val="TOC2"/>
        <w:tabs>
          <w:tab w:val="right" w:leader="dot" w:pos="9622"/>
        </w:tabs>
        <w:rPr>
          <w:rFonts w:asciiTheme="minorHAnsi" w:hAnsiTheme="minorHAnsi" w:cstheme="minorBidi"/>
          <w:noProof/>
          <w:color w:val="auto"/>
          <w:szCs w:val="22"/>
          <w:lang w:val="en-AU" w:eastAsia="en-AU"/>
        </w:rPr>
      </w:pPr>
      <w:r w:rsidRPr="00D97AA5">
        <w:rPr>
          <w:noProof/>
          <w:lang w:val="en-AU"/>
        </w:rPr>
        <w:t>Amplify: Empowering students through voice, agency and leadership</w:t>
      </w:r>
      <w:r>
        <w:rPr>
          <w:noProof/>
        </w:rPr>
        <w:tab/>
      </w:r>
      <w:r>
        <w:rPr>
          <w:noProof/>
        </w:rPr>
        <w:fldChar w:fldCharType="begin"/>
      </w:r>
      <w:r>
        <w:rPr>
          <w:noProof/>
        </w:rPr>
        <w:instrText xml:space="preserve"> PAGEREF _Toc2864127 \h </w:instrText>
      </w:r>
      <w:r>
        <w:rPr>
          <w:noProof/>
        </w:rPr>
      </w:r>
      <w:r>
        <w:rPr>
          <w:noProof/>
        </w:rPr>
        <w:fldChar w:fldCharType="separate"/>
      </w:r>
      <w:r>
        <w:rPr>
          <w:noProof/>
        </w:rPr>
        <w:t>33</w:t>
      </w:r>
      <w:r>
        <w:rPr>
          <w:noProof/>
        </w:rPr>
        <w:fldChar w:fldCharType="end"/>
      </w:r>
    </w:p>
    <w:p w14:paraId="32F260D2" w14:textId="154C8C28" w:rsidR="00D92FB1" w:rsidRDefault="00D92FB1">
      <w:pPr>
        <w:pStyle w:val="TOC2"/>
        <w:tabs>
          <w:tab w:val="right" w:leader="dot" w:pos="9622"/>
        </w:tabs>
        <w:rPr>
          <w:rFonts w:asciiTheme="minorHAnsi" w:hAnsiTheme="minorHAnsi" w:cstheme="minorBidi"/>
          <w:noProof/>
          <w:color w:val="auto"/>
          <w:szCs w:val="22"/>
          <w:lang w:val="en-AU" w:eastAsia="en-AU"/>
        </w:rPr>
      </w:pPr>
      <w:r w:rsidRPr="00D97AA5">
        <w:rPr>
          <w:noProof/>
          <w:lang w:val="en-AU"/>
        </w:rPr>
        <w:t>Other key resources to improve your teaching</w:t>
      </w:r>
      <w:r>
        <w:rPr>
          <w:noProof/>
        </w:rPr>
        <w:tab/>
      </w:r>
      <w:r>
        <w:rPr>
          <w:noProof/>
        </w:rPr>
        <w:fldChar w:fldCharType="begin"/>
      </w:r>
      <w:r>
        <w:rPr>
          <w:noProof/>
        </w:rPr>
        <w:instrText xml:space="preserve"> PAGEREF _Toc2864128 \h </w:instrText>
      </w:r>
      <w:r>
        <w:rPr>
          <w:noProof/>
        </w:rPr>
      </w:r>
      <w:r>
        <w:rPr>
          <w:noProof/>
        </w:rPr>
        <w:fldChar w:fldCharType="separate"/>
      </w:r>
      <w:r>
        <w:rPr>
          <w:noProof/>
        </w:rPr>
        <w:t>34</w:t>
      </w:r>
      <w:r>
        <w:rPr>
          <w:noProof/>
        </w:rPr>
        <w:fldChar w:fldCharType="end"/>
      </w:r>
    </w:p>
    <w:p w14:paraId="0042E7F9" w14:textId="2D90634F" w:rsidR="00DA3218" w:rsidRPr="00507B15" w:rsidRDefault="00DA3218" w:rsidP="00EB4033">
      <w:pPr>
        <w:pStyle w:val="TOC3"/>
        <w:rPr>
          <w:rFonts w:cstheme="minorHAnsi"/>
          <w:color w:val="7F7F7F" w:themeColor="text1" w:themeTint="80"/>
          <w:sz w:val="24"/>
          <w:szCs w:val="24"/>
        </w:rPr>
      </w:pPr>
      <w:r w:rsidRPr="00507B15">
        <w:rPr>
          <w:sz w:val="24"/>
          <w:szCs w:val="24"/>
        </w:rPr>
        <w:fldChar w:fldCharType="end"/>
      </w:r>
    </w:p>
    <w:p w14:paraId="111101D9" w14:textId="3984CE71" w:rsidR="0030257A" w:rsidRPr="00507B15" w:rsidRDefault="0030257A" w:rsidP="0030257A">
      <w:pPr>
        <w:rPr>
          <w:rStyle w:val="Strong"/>
        </w:rPr>
      </w:pPr>
      <w:r w:rsidRPr="00507B15">
        <w:rPr>
          <w:rStyle w:val="Strong"/>
        </w:rPr>
        <w:t>More information</w:t>
      </w:r>
    </w:p>
    <w:p w14:paraId="5480AEA2" w14:textId="77777777" w:rsidR="0030257A" w:rsidRPr="00123242" w:rsidRDefault="0030257A" w:rsidP="009731C9">
      <w:pPr>
        <w:spacing w:after="200"/>
        <w:rPr>
          <w:bCs/>
          <w:sz w:val="24"/>
        </w:rPr>
      </w:pPr>
      <w:r w:rsidRPr="00123242">
        <w:rPr>
          <w:bCs/>
          <w:sz w:val="24"/>
        </w:rPr>
        <w:t xml:space="preserve">While this Guide is </w:t>
      </w:r>
      <w:r w:rsidRPr="00123242">
        <w:rPr>
          <w:sz w:val="24"/>
          <w:lang w:val="en-AU"/>
        </w:rPr>
        <w:t>aimed</w:t>
      </w:r>
      <w:r w:rsidRPr="00123242">
        <w:rPr>
          <w:bCs/>
          <w:sz w:val="24"/>
        </w:rPr>
        <w:t xml:space="preserve"> at providing information </w:t>
      </w:r>
      <w:r w:rsidRPr="00123242">
        <w:rPr>
          <w:sz w:val="24"/>
          <w:lang w:val="en-AU"/>
        </w:rPr>
        <w:t>for</w:t>
      </w:r>
      <w:r w:rsidRPr="00123242">
        <w:rPr>
          <w:bCs/>
          <w:sz w:val="24"/>
        </w:rPr>
        <w:t xml:space="preserve"> recent graduates, principals and school leaders can also apply relevant supports to any teacher who is new to a school.</w:t>
      </w:r>
    </w:p>
    <w:p w14:paraId="67B85DA8" w14:textId="7E2E2587" w:rsidR="0030257A" w:rsidRPr="00507B15" w:rsidRDefault="0030257A" w:rsidP="0030257A">
      <w:pPr>
        <w:pStyle w:val="Bullet1"/>
        <w:rPr>
          <w:rStyle w:val="Strong"/>
          <w:b w:val="0"/>
          <w:sz w:val="24"/>
        </w:rPr>
      </w:pPr>
      <w:r w:rsidRPr="00507B15">
        <w:rPr>
          <w:rStyle w:val="Strong"/>
          <w:b w:val="0"/>
          <w:sz w:val="24"/>
        </w:rPr>
        <w:t xml:space="preserve">Starting a job in a government school (induction): </w:t>
      </w:r>
      <w:hyperlink r:id="rId14" w:history="1">
        <w:r w:rsidRPr="00507B15">
          <w:rPr>
            <w:rStyle w:val="Hyperlink"/>
            <w:b/>
            <w:sz w:val="24"/>
          </w:rPr>
          <w:t>https://www.education.vic.gov.au/school/teachers/profdev/Pages/induction.aspx</w:t>
        </w:r>
      </w:hyperlink>
    </w:p>
    <w:p w14:paraId="1034C2AE" w14:textId="43EFFA79" w:rsidR="0030257A" w:rsidRPr="00507B15" w:rsidRDefault="0030257A" w:rsidP="0030257A">
      <w:pPr>
        <w:pStyle w:val="Bullet1"/>
        <w:rPr>
          <w:rStyle w:val="Strong"/>
          <w:b w:val="0"/>
          <w:sz w:val="24"/>
        </w:rPr>
      </w:pPr>
      <w:r w:rsidRPr="00507B15">
        <w:rPr>
          <w:rStyle w:val="Strong"/>
          <w:b w:val="0"/>
          <w:sz w:val="24"/>
        </w:rPr>
        <w:t xml:space="preserve">Induction for New and Beginning Teachers: </w:t>
      </w:r>
      <w:hyperlink r:id="rId15" w:history="1">
        <w:r w:rsidRPr="00507B15">
          <w:rPr>
            <w:rStyle w:val="Hyperlink"/>
            <w:b/>
            <w:sz w:val="24"/>
          </w:rPr>
          <w:t>https://edugate.eduweb.vic.gov.au/edrms/keyprocess/teachers-induction/Pages/Home.aspx</w:t>
        </w:r>
      </w:hyperlink>
    </w:p>
    <w:p w14:paraId="734DB3F8" w14:textId="25FF57F7" w:rsidR="007F2207" w:rsidRPr="00507B15" w:rsidRDefault="0030257A" w:rsidP="0030257A">
      <w:pPr>
        <w:pStyle w:val="Bullet1"/>
        <w:rPr>
          <w:rStyle w:val="Strong"/>
          <w:b w:val="0"/>
          <w:sz w:val="24"/>
        </w:rPr>
      </w:pPr>
      <w:r w:rsidRPr="00507B15">
        <w:rPr>
          <w:rStyle w:val="Strong"/>
          <w:b w:val="0"/>
          <w:sz w:val="24"/>
        </w:rPr>
        <w:t xml:space="preserve">Contact: </w:t>
      </w:r>
      <w:hyperlink r:id="rId16" w:history="1">
        <w:r w:rsidRPr="00507B15">
          <w:rPr>
            <w:rStyle w:val="Hyperlink"/>
            <w:b/>
            <w:sz w:val="24"/>
          </w:rPr>
          <w:t>professional.practice@edumail.vic.gov.au</w:t>
        </w:r>
      </w:hyperlink>
    </w:p>
    <w:p w14:paraId="2082F487" w14:textId="7AC6106A" w:rsidR="00DA3218" w:rsidRPr="007F2207" w:rsidRDefault="00DA3218" w:rsidP="002A7A8F">
      <w:pPr>
        <w:pStyle w:val="Bullet1"/>
        <w:sectPr w:rsidR="00DA3218" w:rsidRPr="007F2207" w:rsidSect="00610D61">
          <w:headerReference w:type="default" r:id="rId17"/>
          <w:footerReference w:type="default" r:id="rId18"/>
          <w:pgSz w:w="11900" w:h="16840"/>
          <w:pgMar w:top="1985" w:right="1134" w:bottom="1701" w:left="1134" w:header="709" w:footer="709" w:gutter="0"/>
          <w:cols w:space="708"/>
          <w:titlePg/>
          <w:docGrid w:linePitch="360"/>
        </w:sectPr>
      </w:pPr>
    </w:p>
    <w:p w14:paraId="3E7080F5" w14:textId="686EF6F5" w:rsidR="00624A55" w:rsidRPr="00624A55" w:rsidRDefault="00C87EAE" w:rsidP="00624A55">
      <w:pPr>
        <w:pStyle w:val="Heading1"/>
        <w:rPr>
          <w:lang w:val="en-AU"/>
        </w:rPr>
      </w:pPr>
      <w:bookmarkStart w:id="0" w:name="_Toc2864054"/>
      <w:r w:rsidRPr="00C87EAE">
        <w:rPr>
          <w:lang w:val="en-AU"/>
        </w:rPr>
        <w:lastRenderedPageBreak/>
        <w:t>Introduction</w:t>
      </w:r>
      <w:bookmarkEnd w:id="0"/>
    </w:p>
    <w:p w14:paraId="7D101E54" w14:textId="03FF8674" w:rsidR="00624A55" w:rsidRPr="00831496" w:rsidRDefault="0030257A" w:rsidP="00624A55">
      <w:pPr>
        <w:pStyle w:val="Intro"/>
        <w:rPr>
          <w:sz w:val="24"/>
        </w:rPr>
      </w:pPr>
      <w:r w:rsidRPr="00831496">
        <w:rPr>
          <w:sz w:val="24"/>
        </w:rPr>
        <w:t>During the first two years of teaching, graduate teachers undergo enormous growth. A consistent and thorough approach to induction supports graduate teachers to develop strong relationships with students and colleagues whilst building their pedagogical knowledge and experience.</w:t>
      </w:r>
    </w:p>
    <w:p w14:paraId="6DEDBEF2" w14:textId="77777777" w:rsidR="0030257A" w:rsidRPr="00831496" w:rsidRDefault="0030257A" w:rsidP="00123242">
      <w:pPr>
        <w:spacing w:after="200"/>
        <w:rPr>
          <w:sz w:val="24"/>
          <w:lang w:val="en-AU"/>
        </w:rPr>
      </w:pPr>
      <w:r w:rsidRPr="00831496">
        <w:rPr>
          <w:sz w:val="24"/>
          <w:lang w:val="en-AU"/>
        </w:rPr>
        <w:t xml:space="preserve">A well supported graduate teacher will have an immediate impact on student learning and meaningfully contribute to all aspects of school life. </w:t>
      </w:r>
    </w:p>
    <w:p w14:paraId="54C34DF0" w14:textId="77777777" w:rsidR="0030257A" w:rsidRPr="00831496" w:rsidRDefault="0030257A" w:rsidP="00123242">
      <w:pPr>
        <w:spacing w:after="200"/>
        <w:rPr>
          <w:sz w:val="24"/>
          <w:lang w:val="en-AU"/>
        </w:rPr>
      </w:pPr>
      <w:r w:rsidRPr="00831496">
        <w:rPr>
          <w:sz w:val="24"/>
          <w:lang w:val="en-AU"/>
        </w:rPr>
        <w:t xml:space="preserve">Graduate teachers provide dynamism in our teaching workforce and actively engage their recent and ongoing learning to improve student learning outcomes. Graduate teachers are critical to the success of our future generations of students. </w:t>
      </w:r>
    </w:p>
    <w:p w14:paraId="6391CC1F" w14:textId="77777777" w:rsidR="0030257A" w:rsidRPr="00831496" w:rsidRDefault="0030257A" w:rsidP="00123242">
      <w:pPr>
        <w:spacing w:after="200"/>
        <w:rPr>
          <w:sz w:val="24"/>
          <w:lang w:val="en-AU"/>
        </w:rPr>
      </w:pPr>
      <w:r w:rsidRPr="00831496">
        <w:rPr>
          <w:sz w:val="24"/>
          <w:lang w:val="en-AU"/>
        </w:rPr>
        <w:t xml:space="preserve">Strong and consistent school leadership is crucial to the successful implementation of effective graduate teacher support. This Guide has been developed to assist principals and school leaders to foster the motivation, dedication and enthusiasm of graduate teachers. </w:t>
      </w:r>
    </w:p>
    <w:p w14:paraId="6B50BC97" w14:textId="77777777" w:rsidR="0030257A" w:rsidRPr="00831496" w:rsidRDefault="0030257A" w:rsidP="009731C9">
      <w:pPr>
        <w:spacing w:after="200"/>
        <w:rPr>
          <w:sz w:val="24"/>
          <w:lang w:val="en-AU"/>
        </w:rPr>
      </w:pPr>
      <w:r w:rsidRPr="00831496">
        <w:rPr>
          <w:sz w:val="24"/>
          <w:lang w:val="en-AU"/>
        </w:rPr>
        <w:t xml:space="preserve">The Guide: </w:t>
      </w:r>
    </w:p>
    <w:p w14:paraId="135FEC50" w14:textId="2E62CCA1" w:rsidR="0030257A" w:rsidRPr="00831496" w:rsidRDefault="0030257A" w:rsidP="0030257A">
      <w:pPr>
        <w:pStyle w:val="Bullet1"/>
        <w:rPr>
          <w:sz w:val="24"/>
        </w:rPr>
      </w:pPr>
      <w:r w:rsidRPr="00831496">
        <w:rPr>
          <w:sz w:val="24"/>
        </w:rPr>
        <w:t>provides practical implementation steps for a comprehensive induction process</w:t>
      </w:r>
    </w:p>
    <w:p w14:paraId="61F96B7D" w14:textId="629CD310" w:rsidR="0030257A" w:rsidRPr="00831496" w:rsidRDefault="0030257A" w:rsidP="0030257A">
      <w:pPr>
        <w:pStyle w:val="Bullet1"/>
        <w:rPr>
          <w:sz w:val="24"/>
        </w:rPr>
      </w:pPr>
      <w:proofErr w:type="gramStart"/>
      <w:r w:rsidRPr="00831496">
        <w:rPr>
          <w:sz w:val="24"/>
        </w:rPr>
        <w:t>addresses</w:t>
      </w:r>
      <w:proofErr w:type="gramEnd"/>
      <w:r w:rsidRPr="00831496">
        <w:rPr>
          <w:sz w:val="24"/>
        </w:rPr>
        <w:t xml:space="preserve"> specific areas of challenge to graduate teachers to build their skills, confidence and experience.</w:t>
      </w:r>
    </w:p>
    <w:p w14:paraId="6B17D2ED" w14:textId="469A0839" w:rsidR="00C87EAE" w:rsidRPr="00831496" w:rsidRDefault="0030257A" w:rsidP="00123242">
      <w:pPr>
        <w:spacing w:after="200"/>
        <w:rPr>
          <w:sz w:val="24"/>
          <w:lang w:val="en-AU"/>
        </w:rPr>
      </w:pPr>
      <w:r w:rsidRPr="00831496">
        <w:rPr>
          <w:sz w:val="24"/>
          <w:lang w:val="en-AU"/>
        </w:rPr>
        <w:t>The companion guide to this resource: Graduate Teacher Induction Guide is designed and written for graduate teachers. Used together, these two guides can support consistent and collaborative conversations between school leaders and graduate teachers about professional practice, professional identity, orientation and wellbeing.</w:t>
      </w:r>
    </w:p>
    <w:p w14:paraId="1E3A3CAA" w14:textId="04A02807" w:rsidR="0030257A" w:rsidRPr="00831496" w:rsidRDefault="00831496" w:rsidP="0030257A">
      <w:pPr>
        <w:pStyle w:val="IntenseQuote"/>
        <w:rPr>
          <w:sz w:val="24"/>
          <w:lang w:val="en-AU"/>
        </w:rPr>
      </w:pPr>
      <w:r>
        <w:rPr>
          <w:sz w:val="24"/>
          <w:lang w:val="en-AU"/>
        </w:rPr>
        <w:t>‘</w:t>
      </w:r>
      <w:r w:rsidR="0030257A" w:rsidRPr="00831496">
        <w:rPr>
          <w:sz w:val="24"/>
          <w:lang w:val="en-AU"/>
        </w:rPr>
        <w:t>When I’m feeling happy in my teaching practice I am positive and collaborative. I’m open to new le</w:t>
      </w:r>
      <w:r>
        <w:rPr>
          <w:sz w:val="24"/>
          <w:lang w:val="en-AU"/>
        </w:rPr>
        <w:t xml:space="preserve">arning and ideas. I am inspired’ – Graduate </w:t>
      </w:r>
      <w:r w:rsidR="0030257A" w:rsidRPr="00831496">
        <w:rPr>
          <w:sz w:val="24"/>
          <w:lang w:val="en-AU"/>
        </w:rPr>
        <w:t>Teacher 2018</w:t>
      </w:r>
    </w:p>
    <w:p w14:paraId="0BB58815" w14:textId="3C0B7BF6" w:rsidR="00DA57D1" w:rsidRDefault="00DA57D1" w:rsidP="00DA57D1">
      <w:pPr>
        <w:pStyle w:val="Heading1"/>
        <w:rPr>
          <w:lang w:val="en-AU"/>
        </w:rPr>
      </w:pPr>
      <w:bookmarkStart w:id="1" w:name="_Toc2864055"/>
      <w:bookmarkStart w:id="2" w:name="_GoBack"/>
      <w:bookmarkEnd w:id="2"/>
      <w:r>
        <w:rPr>
          <w:lang w:val="en-AU"/>
        </w:rPr>
        <w:t>Why is it important to support graduate teachers?</w:t>
      </w:r>
      <w:bookmarkEnd w:id="1"/>
    </w:p>
    <w:p w14:paraId="26456BC8" w14:textId="77777777" w:rsidR="00DA57D1" w:rsidRPr="00DA57D1" w:rsidRDefault="00DA57D1" w:rsidP="00DA57D1">
      <w:pPr>
        <w:pStyle w:val="Heading2"/>
        <w:rPr>
          <w:lang w:val="en-AU"/>
        </w:rPr>
      </w:pPr>
      <w:bookmarkStart w:id="3" w:name="_Toc2864056"/>
      <w:r w:rsidRPr="00DA57D1">
        <w:rPr>
          <w:lang w:val="en-AU"/>
        </w:rPr>
        <w:t>From provisional to full registration</w:t>
      </w:r>
      <w:bookmarkEnd w:id="3"/>
    </w:p>
    <w:p w14:paraId="50448F41" w14:textId="77777777" w:rsidR="00DA57D1" w:rsidRPr="00831496" w:rsidRDefault="00DA57D1" w:rsidP="00123242">
      <w:pPr>
        <w:spacing w:after="200"/>
        <w:rPr>
          <w:sz w:val="24"/>
          <w:lang w:val="en-AU"/>
        </w:rPr>
      </w:pPr>
      <w:r w:rsidRPr="00831496">
        <w:rPr>
          <w:sz w:val="24"/>
          <w:lang w:val="en-AU"/>
        </w:rPr>
        <w:t xml:space="preserve">A graduate teacher is a recent graduate of an Initial Teacher Education course who is employed in a </w:t>
      </w:r>
      <w:r w:rsidRPr="009731C9">
        <w:rPr>
          <w:bCs/>
          <w:sz w:val="24"/>
        </w:rPr>
        <w:t>Victorian</w:t>
      </w:r>
      <w:r w:rsidRPr="00831496">
        <w:rPr>
          <w:sz w:val="24"/>
          <w:lang w:val="en-AU"/>
        </w:rPr>
        <w:t xml:space="preserve"> government school, and who is registered with the Victorian Institute of Teaching (VIT) as a provisionally registered teacher (PRT). The VIT sets a two-year period within which a PRT can demonstrate that they meet the requirements for full registration.</w:t>
      </w:r>
    </w:p>
    <w:p w14:paraId="713881E8" w14:textId="77777777" w:rsidR="00DA57D1" w:rsidRPr="00DA57D1" w:rsidRDefault="00DA57D1" w:rsidP="00DA57D1">
      <w:pPr>
        <w:pStyle w:val="Heading2"/>
        <w:rPr>
          <w:lang w:val="en-AU"/>
        </w:rPr>
      </w:pPr>
      <w:bookmarkStart w:id="4" w:name="_Toc2864057"/>
      <w:r w:rsidRPr="00DA57D1">
        <w:rPr>
          <w:lang w:val="en-AU"/>
        </w:rPr>
        <w:lastRenderedPageBreak/>
        <w:t>The Education State vision for inspired graduate teachers</w:t>
      </w:r>
      <w:bookmarkEnd w:id="4"/>
    </w:p>
    <w:p w14:paraId="1FDCA48F" w14:textId="77777777" w:rsidR="00DA57D1" w:rsidRPr="00831496" w:rsidRDefault="00DA57D1" w:rsidP="009731C9">
      <w:pPr>
        <w:spacing w:after="200"/>
        <w:rPr>
          <w:sz w:val="24"/>
          <w:lang w:val="en-AU"/>
        </w:rPr>
      </w:pPr>
      <w:r w:rsidRPr="00831496">
        <w:rPr>
          <w:sz w:val="24"/>
          <w:lang w:val="en-AU"/>
        </w:rPr>
        <w:t>Graduate teachers can make a significant difference to improving student learning outcomes. Drawing on the evidence base and extensive stakeholder feedback, the Department of Education and Training’s (the Department) vision for graduate teachers is that:</w:t>
      </w:r>
    </w:p>
    <w:p w14:paraId="6EA1BE6A" w14:textId="3603CF26" w:rsidR="00DA57D1" w:rsidRPr="00831496" w:rsidRDefault="00DA57D1" w:rsidP="00DA57D1">
      <w:pPr>
        <w:rPr>
          <w:rStyle w:val="IntenseEmphasis"/>
          <w:sz w:val="24"/>
          <w:lang w:val="en-AU"/>
        </w:rPr>
      </w:pPr>
      <w:r w:rsidRPr="00831496">
        <w:rPr>
          <w:rStyle w:val="IntenseEmphasis"/>
          <w:sz w:val="24"/>
          <w:lang w:val="en-AU"/>
        </w:rPr>
        <w:t>Graduate teachers are inspired to collaborate with their peers, build professional practice expertise, and act as professional change agents through a supportive, developmentally focused induction into the teaching profession.</w:t>
      </w:r>
    </w:p>
    <w:p w14:paraId="56CC3C3C" w14:textId="77777777" w:rsidR="00CC23CE" w:rsidRPr="00CC23CE" w:rsidRDefault="00CC23CE" w:rsidP="00CC23CE">
      <w:pPr>
        <w:pStyle w:val="Heading2"/>
        <w:rPr>
          <w:lang w:val="en-AU"/>
        </w:rPr>
      </w:pPr>
      <w:bookmarkStart w:id="5" w:name="_Toc2864058"/>
      <w:r w:rsidRPr="00CC23CE">
        <w:rPr>
          <w:lang w:val="en-AU"/>
        </w:rPr>
        <w:t>Supporting excellence</w:t>
      </w:r>
      <w:bookmarkEnd w:id="5"/>
    </w:p>
    <w:p w14:paraId="742FAB5A" w14:textId="77777777" w:rsidR="00CC23CE" w:rsidRPr="00831496" w:rsidRDefault="00CC23CE" w:rsidP="00123242">
      <w:pPr>
        <w:spacing w:after="200"/>
        <w:rPr>
          <w:sz w:val="24"/>
          <w:lang w:val="en-AU"/>
        </w:rPr>
      </w:pPr>
      <w:r w:rsidRPr="00831496">
        <w:rPr>
          <w:sz w:val="24"/>
          <w:lang w:val="en-AU"/>
        </w:rPr>
        <w:t xml:space="preserve">Strengthening of induction and mentoring for graduate teachers was identified as an important </w:t>
      </w:r>
      <w:r w:rsidRPr="009731C9">
        <w:rPr>
          <w:bCs/>
          <w:sz w:val="24"/>
        </w:rPr>
        <w:t>component</w:t>
      </w:r>
      <w:r w:rsidRPr="00831496">
        <w:rPr>
          <w:sz w:val="24"/>
          <w:lang w:val="en-AU"/>
        </w:rPr>
        <w:t xml:space="preserve"> of the Excellence in Teacher Education reforms announced by the Minister of Education in November 2016. Alongside improving the support for early career teachers, the reforms include measures to: raise entry standards into initial teacher education; support robust alternative pathways into teaching to promote diversity; and improve the quality of initial teacher education courses.</w:t>
      </w:r>
    </w:p>
    <w:p w14:paraId="63CD8890" w14:textId="77777777" w:rsidR="00CC23CE" w:rsidRPr="00CC23CE" w:rsidRDefault="00CC23CE" w:rsidP="00CC23CE">
      <w:pPr>
        <w:pStyle w:val="Heading2"/>
        <w:rPr>
          <w:lang w:val="en-AU"/>
        </w:rPr>
      </w:pPr>
      <w:bookmarkStart w:id="6" w:name="_Toc2864059"/>
      <w:r w:rsidRPr="00CC23CE">
        <w:rPr>
          <w:lang w:val="en-AU"/>
        </w:rPr>
        <w:t>Improving student outcomes</w:t>
      </w:r>
      <w:bookmarkEnd w:id="6"/>
    </w:p>
    <w:p w14:paraId="5EFCF9AA" w14:textId="77777777" w:rsidR="00CC23CE" w:rsidRPr="00831496" w:rsidRDefault="00CC23CE" w:rsidP="00123242">
      <w:pPr>
        <w:spacing w:after="200"/>
        <w:rPr>
          <w:sz w:val="24"/>
          <w:lang w:val="en-AU"/>
        </w:rPr>
      </w:pPr>
      <w:r w:rsidRPr="00831496">
        <w:rPr>
          <w:sz w:val="24"/>
          <w:lang w:val="en-AU"/>
        </w:rPr>
        <w:t xml:space="preserve">The single most important thing we can do to improve student outcomes is to improve the quality of teaching and </w:t>
      </w:r>
      <w:r w:rsidRPr="009731C9">
        <w:rPr>
          <w:sz w:val="24"/>
          <w:lang w:val="en-AU"/>
        </w:rPr>
        <w:t>learning</w:t>
      </w:r>
      <w:r w:rsidRPr="00831496">
        <w:rPr>
          <w:sz w:val="24"/>
          <w:lang w:val="en-AU"/>
        </w:rPr>
        <w:t xml:space="preserve"> in every classroom. Teachers play a pivotal role in building the Education State and are at the core of all workforce reform. Graduate teachers are the next generation of collaborative professionals.</w:t>
      </w:r>
    </w:p>
    <w:p w14:paraId="2A02EA8A" w14:textId="77777777" w:rsidR="00CC23CE" w:rsidRPr="00CC23CE" w:rsidRDefault="00CC23CE" w:rsidP="00CC23CE">
      <w:pPr>
        <w:pStyle w:val="Heading2"/>
        <w:rPr>
          <w:lang w:val="en-AU"/>
        </w:rPr>
      </w:pPr>
      <w:bookmarkStart w:id="7" w:name="_Toc2864060"/>
      <w:r w:rsidRPr="00CC23CE">
        <w:rPr>
          <w:lang w:val="en-AU"/>
        </w:rPr>
        <w:t>Commitment to the profession</w:t>
      </w:r>
      <w:bookmarkEnd w:id="7"/>
    </w:p>
    <w:p w14:paraId="4CEC8CAB" w14:textId="77777777" w:rsidR="00CC23CE" w:rsidRPr="00C07463" w:rsidRDefault="00CC23CE" w:rsidP="009731C9">
      <w:pPr>
        <w:spacing w:after="200"/>
        <w:rPr>
          <w:sz w:val="24"/>
          <w:lang w:val="en-AU"/>
        </w:rPr>
      </w:pPr>
      <w:r w:rsidRPr="00C07463">
        <w:rPr>
          <w:sz w:val="24"/>
          <w:lang w:val="en-AU"/>
        </w:rPr>
        <w:t>Graduate teachers who participate in teacher induction, work with mentors and are supported from the beginning of their careers:</w:t>
      </w:r>
    </w:p>
    <w:p w14:paraId="29DD627A" w14:textId="0538F242" w:rsidR="00CC23CE" w:rsidRPr="00C07463" w:rsidRDefault="00CC23CE" w:rsidP="00CC23CE">
      <w:pPr>
        <w:pStyle w:val="Bullet1"/>
        <w:rPr>
          <w:sz w:val="24"/>
        </w:rPr>
      </w:pPr>
      <w:r w:rsidRPr="00C07463">
        <w:rPr>
          <w:sz w:val="24"/>
        </w:rPr>
        <w:t>feel more satisfied with their job and committed to the profession</w:t>
      </w:r>
      <w:r w:rsidR="00831496" w:rsidRPr="00C07463">
        <w:rPr>
          <w:rStyle w:val="FootnoteReference"/>
          <w:sz w:val="24"/>
          <w:szCs w:val="24"/>
        </w:rPr>
        <w:footnoteReference w:id="1"/>
      </w:r>
    </w:p>
    <w:p w14:paraId="2D179A71" w14:textId="78C82DF1" w:rsidR="00CC23CE" w:rsidRPr="00C07463" w:rsidRDefault="00CC23CE" w:rsidP="00CC23CE">
      <w:pPr>
        <w:pStyle w:val="Bullet1"/>
        <w:rPr>
          <w:sz w:val="24"/>
        </w:rPr>
      </w:pPr>
      <w:r w:rsidRPr="00C07463">
        <w:rPr>
          <w:sz w:val="24"/>
        </w:rPr>
        <w:t>are more effective in supporting their students to continuously improve learning outcomes</w:t>
      </w:r>
      <w:r w:rsidR="00831496" w:rsidRPr="00C07463">
        <w:rPr>
          <w:rStyle w:val="FootnoteReference"/>
          <w:sz w:val="24"/>
          <w:szCs w:val="24"/>
        </w:rPr>
        <w:footnoteReference w:id="2"/>
      </w:r>
    </w:p>
    <w:p w14:paraId="7D8CBCC2" w14:textId="6FEA920D" w:rsidR="00CC23CE" w:rsidRPr="00C07463" w:rsidRDefault="00CC23CE" w:rsidP="00CC23CE">
      <w:pPr>
        <w:pStyle w:val="Bullet1"/>
        <w:rPr>
          <w:sz w:val="24"/>
        </w:rPr>
      </w:pPr>
      <w:proofErr w:type="gramStart"/>
      <w:r w:rsidRPr="00C07463">
        <w:rPr>
          <w:sz w:val="24"/>
        </w:rPr>
        <w:t>are</w:t>
      </w:r>
      <w:proofErr w:type="gramEnd"/>
      <w:r w:rsidRPr="00C07463">
        <w:rPr>
          <w:sz w:val="24"/>
        </w:rPr>
        <w:t xml:space="preserve"> committed to ongoing professional development.</w:t>
      </w:r>
    </w:p>
    <w:p w14:paraId="7849F53A" w14:textId="54541BCC" w:rsidR="00CC23CE" w:rsidRPr="00C07463" w:rsidRDefault="00CC23CE" w:rsidP="00123242">
      <w:pPr>
        <w:spacing w:after="200"/>
        <w:rPr>
          <w:sz w:val="24"/>
          <w:lang w:val="en-AU"/>
        </w:rPr>
      </w:pPr>
      <w:r w:rsidRPr="00C07463">
        <w:rPr>
          <w:sz w:val="24"/>
          <w:lang w:val="en-AU"/>
        </w:rPr>
        <w:t>A well-designed induction program may help teachers improve student engagement and th</w:t>
      </w:r>
      <w:r w:rsidR="00831496" w:rsidRPr="00C07463">
        <w:rPr>
          <w:sz w:val="24"/>
          <w:lang w:val="en-AU"/>
        </w:rPr>
        <w:t>eir classroom management skills</w:t>
      </w:r>
      <w:r w:rsidR="00331C73">
        <w:rPr>
          <w:rStyle w:val="FootnoteReference"/>
          <w:lang w:val="en-AU"/>
        </w:rPr>
        <w:footnoteReference w:id="3"/>
      </w:r>
      <w:r w:rsidR="00831496" w:rsidRPr="00C07463">
        <w:rPr>
          <w:sz w:val="24"/>
          <w:lang w:val="en-AU"/>
        </w:rPr>
        <w:t>.</w:t>
      </w:r>
      <w:r w:rsidRPr="00C07463">
        <w:rPr>
          <w:sz w:val="24"/>
          <w:lang w:val="en-AU"/>
        </w:rPr>
        <w:t xml:space="preserve"> Retention of graduate teachers can improve by as much as 85 per </w:t>
      </w:r>
      <w:r w:rsidRPr="009731C9">
        <w:rPr>
          <w:bCs/>
          <w:sz w:val="24"/>
        </w:rPr>
        <w:t>cent</w:t>
      </w:r>
      <w:r w:rsidRPr="00C07463">
        <w:rPr>
          <w:sz w:val="24"/>
          <w:lang w:val="en-AU"/>
        </w:rPr>
        <w:t xml:space="preserve"> when they have a positive and engaging experience in induction processes and are working with well-trained mentors</w:t>
      </w:r>
      <w:r w:rsidR="00831496" w:rsidRPr="00C07463">
        <w:rPr>
          <w:sz w:val="24"/>
          <w:lang w:val="en-AU"/>
        </w:rPr>
        <w:t>.</w:t>
      </w:r>
    </w:p>
    <w:p w14:paraId="4851B6FE" w14:textId="77777777" w:rsidR="00CC23CE" w:rsidRPr="00CC23CE" w:rsidRDefault="00CC23CE" w:rsidP="00CC23CE">
      <w:pPr>
        <w:pStyle w:val="Heading2"/>
        <w:rPr>
          <w:lang w:val="en-AU"/>
        </w:rPr>
      </w:pPr>
      <w:bookmarkStart w:id="8" w:name="_Toc2864061"/>
      <w:r w:rsidRPr="00CC23CE">
        <w:rPr>
          <w:lang w:val="en-AU"/>
        </w:rPr>
        <w:t>Classroom readiness</w:t>
      </w:r>
      <w:bookmarkEnd w:id="8"/>
    </w:p>
    <w:p w14:paraId="01E6111C" w14:textId="77777777" w:rsidR="00CC23CE" w:rsidRPr="00831496" w:rsidRDefault="00CC23CE" w:rsidP="009731C9">
      <w:pPr>
        <w:spacing w:after="200"/>
        <w:rPr>
          <w:sz w:val="24"/>
          <w:lang w:val="en-AU"/>
        </w:rPr>
      </w:pPr>
      <w:r w:rsidRPr="00831496">
        <w:rPr>
          <w:sz w:val="24"/>
          <w:lang w:val="en-AU"/>
        </w:rPr>
        <w:t>We also know that commencing graduate teachers have varying levels of classroom readiness and may need support with:</w:t>
      </w:r>
    </w:p>
    <w:p w14:paraId="722B02AF" w14:textId="192B2B40" w:rsidR="00CC23CE" w:rsidRPr="00831496" w:rsidRDefault="00CC23CE" w:rsidP="00CC23CE">
      <w:pPr>
        <w:pStyle w:val="Bullet1"/>
        <w:rPr>
          <w:sz w:val="24"/>
        </w:rPr>
      </w:pPr>
      <w:r w:rsidRPr="00831496">
        <w:rPr>
          <w:sz w:val="24"/>
        </w:rPr>
        <w:t>accessing school-wide curriculum plans</w:t>
      </w:r>
    </w:p>
    <w:p w14:paraId="7712F786" w14:textId="0ECEFA74" w:rsidR="00CC23CE" w:rsidRPr="00831496" w:rsidRDefault="00CC23CE" w:rsidP="00CC23CE">
      <w:pPr>
        <w:pStyle w:val="Bullet1"/>
        <w:rPr>
          <w:sz w:val="24"/>
        </w:rPr>
      </w:pPr>
      <w:r w:rsidRPr="00831496">
        <w:rPr>
          <w:sz w:val="24"/>
        </w:rPr>
        <w:lastRenderedPageBreak/>
        <w:t>establishing clear classroom protocols and managing challenging behaviour</w:t>
      </w:r>
    </w:p>
    <w:p w14:paraId="2DAEBB81" w14:textId="4CA270F2" w:rsidR="00CC23CE" w:rsidRPr="00831496" w:rsidRDefault="00CC23CE" w:rsidP="00CC23CE">
      <w:pPr>
        <w:pStyle w:val="Bullet1"/>
        <w:rPr>
          <w:sz w:val="24"/>
        </w:rPr>
      </w:pPr>
      <w:r w:rsidRPr="00831496">
        <w:rPr>
          <w:sz w:val="24"/>
        </w:rPr>
        <w:t>assessing and reporting student progress</w:t>
      </w:r>
    </w:p>
    <w:p w14:paraId="235C0607" w14:textId="726241A1" w:rsidR="00CC23CE" w:rsidRPr="00831496" w:rsidRDefault="00CC23CE" w:rsidP="00CC23CE">
      <w:pPr>
        <w:pStyle w:val="Bullet1"/>
        <w:rPr>
          <w:sz w:val="24"/>
        </w:rPr>
      </w:pPr>
      <w:r w:rsidRPr="00831496">
        <w:rPr>
          <w:sz w:val="24"/>
        </w:rPr>
        <w:t>communicating with parents/carers</w:t>
      </w:r>
    </w:p>
    <w:p w14:paraId="1C5FFCEF" w14:textId="556EC3E8" w:rsidR="00CC23CE" w:rsidRPr="00831496" w:rsidRDefault="00CC23CE" w:rsidP="00CC23CE">
      <w:pPr>
        <w:pStyle w:val="Bullet1"/>
        <w:rPr>
          <w:sz w:val="24"/>
        </w:rPr>
      </w:pPr>
      <w:r w:rsidRPr="00831496">
        <w:rPr>
          <w:sz w:val="24"/>
        </w:rPr>
        <w:t>cultural competencies and supporting student priority cohorts</w:t>
      </w:r>
    </w:p>
    <w:p w14:paraId="29770DC1" w14:textId="542CF8F3" w:rsidR="00CC23CE" w:rsidRPr="00831496" w:rsidRDefault="00CC23CE" w:rsidP="00CC23CE">
      <w:pPr>
        <w:pStyle w:val="Bullet1"/>
        <w:rPr>
          <w:sz w:val="24"/>
        </w:rPr>
      </w:pPr>
      <w:r w:rsidRPr="00831496">
        <w:rPr>
          <w:sz w:val="24"/>
        </w:rPr>
        <w:t>developing resilience in their professional practice</w:t>
      </w:r>
    </w:p>
    <w:p w14:paraId="4B2EC5B0" w14:textId="4F20500B" w:rsidR="00DA57D1" w:rsidRPr="00831496" w:rsidRDefault="00CC23CE" w:rsidP="00CC23CE">
      <w:pPr>
        <w:pStyle w:val="Bullet1"/>
        <w:rPr>
          <w:sz w:val="24"/>
        </w:rPr>
      </w:pPr>
      <w:proofErr w:type="gramStart"/>
      <w:r w:rsidRPr="00831496">
        <w:rPr>
          <w:sz w:val="24"/>
        </w:rPr>
        <w:t>progressing</w:t>
      </w:r>
      <w:proofErr w:type="gramEnd"/>
      <w:r w:rsidRPr="00831496">
        <w:rPr>
          <w:sz w:val="24"/>
        </w:rPr>
        <w:t xml:space="preserve"> from provisional to full registration with the VIT.</w:t>
      </w:r>
    </w:p>
    <w:p w14:paraId="04AFE52B" w14:textId="77777777" w:rsidR="00CC23CE" w:rsidRPr="00CC23CE" w:rsidRDefault="00CC23CE" w:rsidP="00CC23CE">
      <w:pPr>
        <w:pStyle w:val="Heading2"/>
        <w:rPr>
          <w:lang w:val="en-AU"/>
        </w:rPr>
      </w:pPr>
      <w:bookmarkStart w:id="9" w:name="_Toc2864062"/>
      <w:r w:rsidRPr="00CC23CE">
        <w:rPr>
          <w:lang w:val="en-AU"/>
        </w:rPr>
        <w:t>Self-</w:t>
      </w:r>
      <w:r w:rsidRPr="00CC23CE">
        <w:t>efficacy</w:t>
      </w:r>
      <w:bookmarkEnd w:id="9"/>
    </w:p>
    <w:p w14:paraId="6AF74B28" w14:textId="77777777" w:rsidR="00CC23CE" w:rsidRPr="00831496" w:rsidRDefault="00CC23CE" w:rsidP="009731C9">
      <w:pPr>
        <w:spacing w:after="200"/>
        <w:rPr>
          <w:sz w:val="24"/>
          <w:lang w:val="en-AU"/>
        </w:rPr>
      </w:pPr>
      <w:r w:rsidRPr="00831496">
        <w:rPr>
          <w:sz w:val="24"/>
          <w:lang w:val="en-AU"/>
        </w:rPr>
        <w:t xml:space="preserve">Broad </w:t>
      </w:r>
      <w:r w:rsidRPr="009731C9">
        <w:rPr>
          <w:bCs/>
          <w:sz w:val="24"/>
        </w:rPr>
        <w:t>consultations</w:t>
      </w:r>
      <w:r w:rsidRPr="00831496">
        <w:rPr>
          <w:sz w:val="24"/>
          <w:lang w:val="en-AU"/>
        </w:rPr>
        <w:t xml:space="preserve"> with the education community found that graduate teachers:</w:t>
      </w:r>
    </w:p>
    <w:p w14:paraId="2C0B21A3" w14:textId="63B0B29E" w:rsidR="00CC23CE" w:rsidRPr="00831496" w:rsidRDefault="00CC23CE" w:rsidP="00CC23CE">
      <w:pPr>
        <w:pStyle w:val="Bullet1"/>
        <w:rPr>
          <w:sz w:val="24"/>
        </w:rPr>
      </w:pPr>
      <w:r w:rsidRPr="00831496">
        <w:rPr>
          <w:sz w:val="24"/>
        </w:rPr>
        <w:t>join the profession because they want to make a difference</w:t>
      </w:r>
    </w:p>
    <w:p w14:paraId="42163777" w14:textId="54F46CBD" w:rsidR="00CC23CE" w:rsidRPr="00831496" w:rsidRDefault="00CC23CE" w:rsidP="00CC23CE">
      <w:pPr>
        <w:pStyle w:val="Bullet1"/>
        <w:rPr>
          <w:sz w:val="24"/>
        </w:rPr>
      </w:pPr>
      <w:r w:rsidRPr="00831496">
        <w:rPr>
          <w:sz w:val="24"/>
        </w:rPr>
        <w:t>are ready to use available data, and are disposed to reflection and observation to improve practice</w:t>
      </w:r>
    </w:p>
    <w:p w14:paraId="25AB886B" w14:textId="706AD487" w:rsidR="00CC23CE" w:rsidRPr="00831496" w:rsidRDefault="00CC23CE" w:rsidP="00CC23CE">
      <w:pPr>
        <w:pStyle w:val="Bullet1"/>
        <w:rPr>
          <w:sz w:val="24"/>
        </w:rPr>
      </w:pPr>
      <w:proofErr w:type="gramStart"/>
      <w:r w:rsidRPr="00831496">
        <w:rPr>
          <w:sz w:val="24"/>
        </w:rPr>
        <w:t>expect</w:t>
      </w:r>
      <w:proofErr w:type="gramEnd"/>
      <w:r w:rsidRPr="00831496">
        <w:rPr>
          <w:sz w:val="24"/>
        </w:rPr>
        <w:t xml:space="preserve"> challenges and support in their first years of teaching.</w:t>
      </w:r>
    </w:p>
    <w:p w14:paraId="4D682ACA" w14:textId="44C2E41D" w:rsidR="00CC23CE" w:rsidRPr="00831496" w:rsidRDefault="00831496" w:rsidP="00CC23CE">
      <w:pPr>
        <w:pStyle w:val="IntenseQuote"/>
        <w:rPr>
          <w:sz w:val="24"/>
          <w:lang w:val="en-AU"/>
        </w:rPr>
      </w:pPr>
      <w:r w:rsidRPr="00831496">
        <w:rPr>
          <w:sz w:val="24"/>
          <w:lang w:val="en-AU"/>
        </w:rPr>
        <w:t>‘</w:t>
      </w:r>
      <w:r w:rsidR="00CC23CE" w:rsidRPr="00831496">
        <w:rPr>
          <w:sz w:val="24"/>
          <w:lang w:val="en-AU"/>
        </w:rPr>
        <w:t>My tip for new teachers is to focus on positive attitude and effort – target y</w:t>
      </w:r>
      <w:r w:rsidRPr="00831496">
        <w:rPr>
          <w:sz w:val="24"/>
          <w:lang w:val="en-AU"/>
        </w:rPr>
        <w:t xml:space="preserve">our students’ engagement’ – </w:t>
      </w:r>
      <w:r w:rsidR="00CC23CE" w:rsidRPr="00831496">
        <w:rPr>
          <w:sz w:val="24"/>
          <w:lang w:val="en-AU"/>
        </w:rPr>
        <w:t>Graduate Teacher 2018</w:t>
      </w:r>
    </w:p>
    <w:p w14:paraId="7F8C2D97" w14:textId="77777777" w:rsidR="00CC23CE" w:rsidRPr="00CC23CE" w:rsidRDefault="00CC23CE" w:rsidP="00CC23CE">
      <w:pPr>
        <w:pStyle w:val="Heading2"/>
        <w:rPr>
          <w:lang w:val="en-AU"/>
        </w:rPr>
      </w:pPr>
      <w:bookmarkStart w:id="10" w:name="_Toc2864063"/>
      <w:r w:rsidRPr="00CC23CE">
        <w:rPr>
          <w:lang w:val="en-AU"/>
        </w:rPr>
        <w:t>Alignment with the Framework for Improving Student Outcomes</w:t>
      </w:r>
      <w:bookmarkEnd w:id="10"/>
    </w:p>
    <w:p w14:paraId="377D589C" w14:textId="3F89CD24" w:rsidR="00CC23CE" w:rsidRPr="00831496" w:rsidRDefault="00CC23CE" w:rsidP="009731C9">
      <w:pPr>
        <w:spacing w:after="200"/>
        <w:rPr>
          <w:sz w:val="24"/>
          <w:lang w:val="en-AU"/>
        </w:rPr>
      </w:pPr>
      <w:r w:rsidRPr="00831496">
        <w:rPr>
          <w:sz w:val="24"/>
          <w:lang w:val="en-AU"/>
        </w:rPr>
        <w:t>Induction and mentoring supports in Victoria align with two components of the Framework for Improving Student Outcomes (FISO) – the Excellence in Teaching and Learning priority, and the Strategic Resource Management dimension of the Professional Leadership priority.</w:t>
      </w:r>
    </w:p>
    <w:p w14:paraId="479E379D" w14:textId="67D98E7D" w:rsidR="00CC23CE" w:rsidRDefault="007549D4" w:rsidP="00CC23CE">
      <w:pPr>
        <w:rPr>
          <w:lang w:val="en-AU"/>
        </w:rPr>
      </w:pPr>
      <w:r>
        <w:rPr>
          <w:noProof/>
          <w:lang w:val="en-AU" w:eastAsia="en-AU"/>
        </w:rPr>
        <w:lastRenderedPageBreak/>
        <w:drawing>
          <wp:inline distT="0" distB="0" distL="0" distR="0" wp14:anchorId="203C463A" wp14:editId="435ED95D">
            <wp:extent cx="5562600" cy="5562600"/>
            <wp:effectExtent l="0" t="0" r="0" b="0"/>
            <wp:docPr id="4" name="Picture 4" descr="The key elements of the framework are: an Improvement Cycle for continuous improvement; an Improvement Model - with four state-wide priorities, including six high-impact, evidence-based improvement initiatives on which to focus effort; and Improvement Measures​ to enable us to measure ​our success." title="Figure 1.1 FISO Improvement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576135" cy="5576135"/>
                    </a:xfrm>
                    <a:prstGeom prst="rect">
                      <a:avLst/>
                    </a:prstGeom>
                    <a:noFill/>
                    <a:ln>
                      <a:noFill/>
                    </a:ln>
                  </pic:spPr>
                </pic:pic>
              </a:graphicData>
            </a:graphic>
          </wp:inline>
        </w:drawing>
      </w:r>
    </w:p>
    <w:p w14:paraId="18839D93" w14:textId="77777777" w:rsidR="00CC23CE" w:rsidRDefault="00CC23CE" w:rsidP="00CC23CE">
      <w:pPr>
        <w:pStyle w:val="Heading1"/>
        <w:rPr>
          <w:lang w:val="en-AU"/>
        </w:rPr>
      </w:pPr>
      <w:bookmarkStart w:id="11" w:name="_Toc2864064"/>
      <w:r>
        <w:rPr>
          <w:lang w:val="en-AU"/>
        </w:rPr>
        <w:t>Induction and mentoring supports in Victoria</w:t>
      </w:r>
      <w:bookmarkEnd w:id="11"/>
    </w:p>
    <w:p w14:paraId="5025C554" w14:textId="77777777" w:rsidR="00CC23CE" w:rsidRPr="00831496" w:rsidRDefault="00CC23CE" w:rsidP="00123242">
      <w:pPr>
        <w:spacing w:after="200"/>
        <w:rPr>
          <w:sz w:val="24"/>
          <w:lang w:val="en-AU"/>
        </w:rPr>
      </w:pPr>
      <w:r w:rsidRPr="00831496">
        <w:rPr>
          <w:sz w:val="24"/>
          <w:lang w:val="en-AU"/>
        </w:rPr>
        <w:t>Induction is not an isolated practice. School leaders have leveraged their professional networks to build strong, area-based collaborative induction practices. Principals and school leaders provide resources and supports to graduates from within their schools, regions, and central program areas in the Department to develop a quality induction experience.</w:t>
      </w:r>
    </w:p>
    <w:p w14:paraId="54100493" w14:textId="77777777" w:rsidR="00CC23CE" w:rsidRPr="00831496" w:rsidRDefault="00CC23CE" w:rsidP="00123242">
      <w:pPr>
        <w:spacing w:after="200"/>
        <w:rPr>
          <w:sz w:val="24"/>
          <w:lang w:val="en-AU"/>
        </w:rPr>
      </w:pPr>
      <w:r w:rsidRPr="00831496">
        <w:rPr>
          <w:sz w:val="24"/>
          <w:lang w:val="en-AU"/>
        </w:rPr>
        <w:t>In addition, several system-level components are in place to support graduate teacher induction:</w:t>
      </w:r>
    </w:p>
    <w:p w14:paraId="058C6C2C" w14:textId="69A33462" w:rsidR="00CC23CE" w:rsidRPr="00831496" w:rsidRDefault="00CC23CE" w:rsidP="00CC23CE">
      <w:pPr>
        <w:pStyle w:val="Bullet1"/>
        <w:rPr>
          <w:sz w:val="24"/>
        </w:rPr>
      </w:pPr>
      <w:r w:rsidRPr="00831496">
        <w:rPr>
          <w:sz w:val="24"/>
        </w:rPr>
        <w:t>Graduate Teacher Conferences to support graduate teachers to build professional practice and identity and establish professional networks beyond their own schools.</w:t>
      </w:r>
    </w:p>
    <w:p w14:paraId="771E959E" w14:textId="3180E551" w:rsidR="00CC23CE" w:rsidRPr="00831496" w:rsidRDefault="00CC23CE" w:rsidP="00CC23CE">
      <w:pPr>
        <w:pStyle w:val="Bullet1"/>
        <w:rPr>
          <w:sz w:val="24"/>
        </w:rPr>
      </w:pPr>
      <w:r w:rsidRPr="00831496">
        <w:rPr>
          <w:sz w:val="24"/>
        </w:rPr>
        <w:lastRenderedPageBreak/>
        <w:t>The Effective Mentoring Program (EMP) to prepare teacher mentors for supporting graduate teachers’ professional growth and wellbeing during the first two years of employment.</w:t>
      </w:r>
    </w:p>
    <w:p w14:paraId="6B5ED318" w14:textId="6B960166" w:rsidR="00CC23CE" w:rsidRPr="00831496" w:rsidRDefault="00CC23CE" w:rsidP="00CC23CE">
      <w:pPr>
        <w:pStyle w:val="Bullet1"/>
        <w:rPr>
          <w:sz w:val="24"/>
        </w:rPr>
      </w:pPr>
      <w:r w:rsidRPr="00831496">
        <w:rPr>
          <w:sz w:val="24"/>
        </w:rPr>
        <w:t>The Mentoring Capability Framework (MCF) for graduate teachers, mentor teachers and school leadership to support and guide the mentoring relationship.</w:t>
      </w:r>
    </w:p>
    <w:p w14:paraId="2FD533EF" w14:textId="23034A8F" w:rsidR="00CC23CE" w:rsidRPr="00831496" w:rsidRDefault="00CC23CE" w:rsidP="00CC23CE">
      <w:pPr>
        <w:pStyle w:val="Bullet1"/>
        <w:rPr>
          <w:sz w:val="24"/>
        </w:rPr>
      </w:pPr>
      <w:r w:rsidRPr="00831496">
        <w:rPr>
          <w:sz w:val="24"/>
        </w:rPr>
        <w:t>The Graduate Teacher Learning Series (Learning Series) – an online professional learning series designed to address specific graduate needs, reflect graduate voice and encourage development of professional networks.</w:t>
      </w:r>
    </w:p>
    <w:p w14:paraId="2136272D" w14:textId="755570F9" w:rsidR="00CC23CE" w:rsidRPr="00831496" w:rsidRDefault="00CC23CE" w:rsidP="00CC23CE">
      <w:pPr>
        <w:pStyle w:val="Bullet1"/>
        <w:rPr>
          <w:sz w:val="24"/>
        </w:rPr>
      </w:pPr>
      <w:r w:rsidRPr="00831496">
        <w:rPr>
          <w:sz w:val="24"/>
        </w:rPr>
        <w:t>A graduate teacher induction portal that consolidates resources and information for graduate teachers.</w:t>
      </w:r>
    </w:p>
    <w:p w14:paraId="3589AA89" w14:textId="0FE493A6" w:rsidR="00CC23CE" w:rsidRPr="00831496" w:rsidRDefault="00CC23CE" w:rsidP="00CC23CE">
      <w:pPr>
        <w:pStyle w:val="Bullet1"/>
        <w:rPr>
          <w:sz w:val="24"/>
        </w:rPr>
      </w:pPr>
      <w:r w:rsidRPr="00831496">
        <w:rPr>
          <w:sz w:val="24"/>
        </w:rPr>
        <w:t>Guidance and resources that step out a best practice induction experience, including:</w:t>
      </w:r>
    </w:p>
    <w:p w14:paraId="7D6024A7" w14:textId="68C5E90E" w:rsidR="00CC23CE" w:rsidRPr="00831496" w:rsidRDefault="00CC23CE" w:rsidP="00CC23CE">
      <w:pPr>
        <w:pStyle w:val="Bullet1"/>
        <w:numPr>
          <w:ilvl w:val="1"/>
          <w:numId w:val="14"/>
        </w:numPr>
        <w:rPr>
          <w:sz w:val="24"/>
        </w:rPr>
      </w:pPr>
      <w:r w:rsidRPr="00831496">
        <w:rPr>
          <w:sz w:val="24"/>
        </w:rPr>
        <w:t>Principal and School Leader Guide to Induction of Graduate Teachers (this document)</w:t>
      </w:r>
    </w:p>
    <w:p w14:paraId="6C6B2788" w14:textId="76000641" w:rsidR="00CC23CE" w:rsidRPr="00831496" w:rsidRDefault="00CC23CE" w:rsidP="00CC23CE">
      <w:pPr>
        <w:pStyle w:val="Bullet1"/>
        <w:numPr>
          <w:ilvl w:val="1"/>
          <w:numId w:val="14"/>
        </w:numPr>
        <w:rPr>
          <w:sz w:val="24"/>
        </w:rPr>
      </w:pPr>
      <w:r w:rsidRPr="00831496">
        <w:rPr>
          <w:sz w:val="24"/>
        </w:rPr>
        <w:t>Graduate Teacher Induction Guide</w:t>
      </w:r>
    </w:p>
    <w:p w14:paraId="18C98F48" w14:textId="716742F3" w:rsidR="00CC23CE" w:rsidRPr="00831496" w:rsidRDefault="00CC23CE" w:rsidP="00CC23CE">
      <w:pPr>
        <w:pStyle w:val="Bullet1"/>
        <w:numPr>
          <w:ilvl w:val="1"/>
          <w:numId w:val="14"/>
        </w:numPr>
        <w:rPr>
          <w:sz w:val="24"/>
        </w:rPr>
      </w:pPr>
      <w:r w:rsidRPr="00831496">
        <w:rPr>
          <w:sz w:val="24"/>
        </w:rPr>
        <w:t>Induction timeline and checklists for graduate teachers – Years 1 &amp; 2 which sets out key induction tasks from the time of a graduate teacher’s recruitment through the first two years of teaching (see Appendix 1).</w:t>
      </w:r>
    </w:p>
    <w:p w14:paraId="33B15C36" w14:textId="162F125A" w:rsidR="00CC23CE" w:rsidRPr="00CC23CE" w:rsidRDefault="00CC23CE" w:rsidP="00CC23CE">
      <w:pPr>
        <w:pStyle w:val="Heading2"/>
        <w:rPr>
          <w:lang w:val="en-AU"/>
        </w:rPr>
      </w:pPr>
      <w:bookmarkStart w:id="12" w:name="_Toc2864065"/>
      <w:r>
        <w:rPr>
          <w:lang w:val="en-AU"/>
        </w:rPr>
        <w:t>How to use this guide</w:t>
      </w:r>
      <w:bookmarkEnd w:id="12"/>
    </w:p>
    <w:p w14:paraId="35D5E3E5" w14:textId="2645D0D3" w:rsidR="00CC23CE" w:rsidRPr="00831496" w:rsidRDefault="00CC23CE" w:rsidP="00123242">
      <w:pPr>
        <w:spacing w:after="200"/>
        <w:rPr>
          <w:sz w:val="24"/>
          <w:lang w:val="en-AU"/>
        </w:rPr>
      </w:pPr>
      <w:r w:rsidRPr="00831496">
        <w:rPr>
          <w:sz w:val="24"/>
          <w:lang w:val="en-AU"/>
        </w:rPr>
        <w:t>These guidelines, associated supports and resources will assist graduate teachers to develop their professional practice and expand their repertoire of skills to manage the varying responsibilities and challenges teachers experience within the classroom.</w:t>
      </w:r>
    </w:p>
    <w:p w14:paraId="070D3397" w14:textId="77777777" w:rsidR="00CC23CE" w:rsidRPr="00831496" w:rsidRDefault="00CC23CE" w:rsidP="00123242">
      <w:pPr>
        <w:spacing w:after="200"/>
        <w:rPr>
          <w:sz w:val="24"/>
          <w:lang w:val="en-AU"/>
        </w:rPr>
      </w:pPr>
      <w:r w:rsidRPr="00831496">
        <w:rPr>
          <w:sz w:val="24"/>
          <w:lang w:val="en-AU"/>
        </w:rPr>
        <w:t>In this Guide, principals and school leaders will find:</w:t>
      </w:r>
    </w:p>
    <w:p w14:paraId="2080D5DD" w14:textId="12B6E9B7" w:rsidR="00CC23CE" w:rsidRPr="00831496" w:rsidRDefault="00CC23CE" w:rsidP="00CC23CE">
      <w:pPr>
        <w:pStyle w:val="Bullet1"/>
        <w:rPr>
          <w:sz w:val="24"/>
        </w:rPr>
      </w:pPr>
      <w:r w:rsidRPr="00831496">
        <w:rPr>
          <w:sz w:val="24"/>
        </w:rPr>
        <w:t>evidence and a rationale for a rigorous and consistent approach to graduate teacher induction</w:t>
      </w:r>
    </w:p>
    <w:p w14:paraId="099946FF" w14:textId="6BE7E71E" w:rsidR="00CC23CE" w:rsidRPr="00831496" w:rsidRDefault="00CC23CE" w:rsidP="00CC23CE">
      <w:pPr>
        <w:pStyle w:val="Bullet1"/>
        <w:rPr>
          <w:sz w:val="24"/>
        </w:rPr>
      </w:pPr>
      <w:r w:rsidRPr="00831496">
        <w:rPr>
          <w:sz w:val="24"/>
        </w:rPr>
        <w:t>a breakdown of the supports available to assist schools to put in place a best practice induction process</w:t>
      </w:r>
    </w:p>
    <w:p w14:paraId="58455198" w14:textId="2E88A6ED" w:rsidR="00CC23CE" w:rsidRPr="00831496" w:rsidRDefault="00CC23CE" w:rsidP="00CC23CE">
      <w:pPr>
        <w:pStyle w:val="Bullet1"/>
        <w:rPr>
          <w:sz w:val="24"/>
        </w:rPr>
      </w:pPr>
      <w:proofErr w:type="gramStart"/>
      <w:r w:rsidRPr="00831496">
        <w:rPr>
          <w:sz w:val="24"/>
        </w:rPr>
        <w:t>a</w:t>
      </w:r>
      <w:proofErr w:type="gramEnd"/>
      <w:r w:rsidRPr="00831496">
        <w:rPr>
          <w:sz w:val="24"/>
        </w:rPr>
        <w:t xml:space="preserve"> timeline and checklist (Appendix 1) for graduate teachers that outlines all of the key stages and processes required to complete a successful induction.</w:t>
      </w:r>
    </w:p>
    <w:p w14:paraId="2B092828" w14:textId="77777777" w:rsidR="00CC23CE" w:rsidRPr="00831496" w:rsidRDefault="00CC23CE" w:rsidP="009731C9">
      <w:pPr>
        <w:spacing w:after="200"/>
        <w:rPr>
          <w:sz w:val="24"/>
          <w:lang w:val="en-AU"/>
        </w:rPr>
      </w:pPr>
      <w:r w:rsidRPr="00831496">
        <w:rPr>
          <w:sz w:val="24"/>
          <w:lang w:val="en-AU"/>
        </w:rPr>
        <w:t xml:space="preserve">Graduate teachers are invited to work with experienced colleagues, mentor teachers and school leadership to: </w:t>
      </w:r>
    </w:p>
    <w:p w14:paraId="19565AAE" w14:textId="0B7111F7" w:rsidR="00CC23CE" w:rsidRPr="00831496" w:rsidRDefault="00CC23CE" w:rsidP="00CC23CE">
      <w:pPr>
        <w:pStyle w:val="Bullet1"/>
        <w:rPr>
          <w:sz w:val="24"/>
        </w:rPr>
      </w:pPr>
      <w:r w:rsidRPr="00831496">
        <w:rPr>
          <w:sz w:val="24"/>
        </w:rPr>
        <w:t>understand the role graduate teachers play in their own induction</w:t>
      </w:r>
    </w:p>
    <w:p w14:paraId="20E17804" w14:textId="49439AEA" w:rsidR="00CC23CE" w:rsidRPr="00831496" w:rsidRDefault="00CC23CE" w:rsidP="00CC23CE">
      <w:pPr>
        <w:pStyle w:val="Bullet1"/>
        <w:rPr>
          <w:sz w:val="24"/>
        </w:rPr>
      </w:pPr>
      <w:r w:rsidRPr="00831496">
        <w:rPr>
          <w:sz w:val="24"/>
        </w:rPr>
        <w:t xml:space="preserve">understand how the school and system will support their induction </w:t>
      </w:r>
    </w:p>
    <w:p w14:paraId="04C5EAC7" w14:textId="5480584E" w:rsidR="00CC23CE" w:rsidRPr="00831496" w:rsidRDefault="00CC23CE" w:rsidP="00CC23CE">
      <w:pPr>
        <w:pStyle w:val="Bullet1"/>
        <w:rPr>
          <w:sz w:val="24"/>
        </w:rPr>
      </w:pPr>
      <w:r w:rsidRPr="00831496">
        <w:rPr>
          <w:sz w:val="24"/>
        </w:rPr>
        <w:t xml:space="preserve">review the timeline and checklist (Appendix 1) to help plan for induction processes and plan for opportunities to engage with school policies and procedures </w:t>
      </w:r>
    </w:p>
    <w:p w14:paraId="37CC860C" w14:textId="63ACDFAC" w:rsidR="00CC23CE" w:rsidRPr="00831496" w:rsidRDefault="00CC23CE" w:rsidP="00CC23CE">
      <w:pPr>
        <w:pStyle w:val="Bullet1"/>
        <w:rPr>
          <w:sz w:val="24"/>
        </w:rPr>
      </w:pPr>
      <w:proofErr w:type="gramStart"/>
      <w:r w:rsidRPr="00831496">
        <w:rPr>
          <w:sz w:val="24"/>
        </w:rPr>
        <w:t>explore</w:t>
      </w:r>
      <w:proofErr w:type="gramEnd"/>
      <w:r w:rsidRPr="00831496">
        <w:rPr>
          <w:sz w:val="24"/>
        </w:rPr>
        <w:t xml:space="preserve"> opportunities to build networks and supports to assist with further development.</w:t>
      </w:r>
    </w:p>
    <w:p w14:paraId="7E1A8F45" w14:textId="515AEDDA" w:rsidR="00CC23CE" w:rsidRPr="00831496" w:rsidRDefault="00CC23CE" w:rsidP="009731C9">
      <w:pPr>
        <w:spacing w:after="200"/>
        <w:rPr>
          <w:sz w:val="24"/>
          <w:lang w:val="en-AU"/>
        </w:rPr>
      </w:pPr>
      <w:r w:rsidRPr="00831496">
        <w:rPr>
          <w:sz w:val="24"/>
          <w:lang w:val="en-AU"/>
        </w:rPr>
        <w:lastRenderedPageBreak/>
        <w:t>Understanding the professional development context for graduate teachers is important. During their first and second years of teaching, graduate teachers are often focused on achieving their VIT registration. However, principals and school leaders play an important role in guiding graduate teachers to view their professional development within the context of a whole-school approach. Understanding their professional learning within the school context will assist with achieving a strong and seamless transition to the professional learning cycle of the school once they achieve full registration.</w:t>
      </w:r>
    </w:p>
    <w:p w14:paraId="3DD9360C" w14:textId="18B9195B" w:rsidR="002B008D" w:rsidRPr="002B008D" w:rsidRDefault="002B008D" w:rsidP="002B008D">
      <w:pPr>
        <w:pStyle w:val="Heading1"/>
        <w:rPr>
          <w:lang w:val="en-AU"/>
        </w:rPr>
      </w:pPr>
      <w:bookmarkStart w:id="13" w:name="_Toc2864066"/>
      <w:r w:rsidRPr="002B008D">
        <w:rPr>
          <w:lang w:val="en-AU"/>
        </w:rPr>
        <w:t>What does effective induction look like?</w:t>
      </w:r>
      <w:bookmarkEnd w:id="13"/>
    </w:p>
    <w:p w14:paraId="50FB348A" w14:textId="64A71D54" w:rsidR="002B008D" w:rsidRPr="002B008D" w:rsidRDefault="002B008D" w:rsidP="002B008D">
      <w:pPr>
        <w:pStyle w:val="Heading2"/>
        <w:rPr>
          <w:lang w:val="en-AU"/>
        </w:rPr>
      </w:pPr>
      <w:bookmarkStart w:id="14" w:name="_Toc2864067"/>
      <w:r w:rsidRPr="002B008D">
        <w:t>Focus</w:t>
      </w:r>
      <w:r>
        <w:rPr>
          <w:lang w:val="en-AU"/>
        </w:rPr>
        <w:t xml:space="preserve"> areas</w:t>
      </w:r>
      <w:bookmarkEnd w:id="14"/>
    </w:p>
    <w:p w14:paraId="2B080EC5" w14:textId="6E39125F" w:rsidR="002B008D" w:rsidRPr="00831496" w:rsidRDefault="002B008D" w:rsidP="009731C9">
      <w:pPr>
        <w:spacing w:after="200"/>
        <w:rPr>
          <w:sz w:val="24"/>
          <w:lang w:val="en-AU"/>
        </w:rPr>
      </w:pPr>
      <w:r w:rsidRPr="00831496">
        <w:rPr>
          <w:sz w:val="24"/>
          <w:lang w:val="en-AU"/>
        </w:rPr>
        <w:t xml:space="preserve">The </w:t>
      </w:r>
      <w:hyperlink r:id="rId20" w:history="1">
        <w:r w:rsidRPr="00331C73">
          <w:rPr>
            <w:rStyle w:val="Hyperlink"/>
            <w:sz w:val="24"/>
            <w:lang w:val="en-AU"/>
          </w:rPr>
          <w:t>Graduate to Proficient: Australian guidelines for teacher induction into the profession</w:t>
        </w:r>
      </w:hyperlink>
      <w:r w:rsidRPr="00831496">
        <w:rPr>
          <w:sz w:val="24"/>
          <w:lang w:val="en-AU"/>
        </w:rPr>
        <w:t xml:space="preserve"> (the Australian Institute for Teaching and School Leadership (AITSL) guidelines) identifies four focus areas that are critical for effective induction: Professional Practices, Professional Identity, Orientation and Wellbeing.</w:t>
      </w:r>
    </w:p>
    <w:p w14:paraId="543087BC" w14:textId="30988BA8" w:rsidR="009D64B6" w:rsidRDefault="007549D4" w:rsidP="002B008D">
      <w:pPr>
        <w:rPr>
          <w:rStyle w:val="SubtleEmphasis"/>
          <w:sz w:val="24"/>
          <w:lang w:val="en-AU"/>
        </w:rPr>
      </w:pPr>
      <w:r>
        <w:rPr>
          <w:noProof/>
          <w:lang w:val="en-AU" w:eastAsia="en-AU"/>
        </w:rPr>
        <w:drawing>
          <wp:anchor distT="0" distB="0" distL="114300" distR="114300" simplePos="0" relativeHeight="251669504" behindDoc="0" locked="0" layoutInCell="1" allowOverlap="1" wp14:anchorId="673283EC" wp14:editId="17FBD10C">
            <wp:simplePos x="0" y="0"/>
            <wp:positionH relativeFrom="margin">
              <wp:posOffset>0</wp:posOffset>
            </wp:positionH>
            <wp:positionV relativeFrom="paragraph">
              <wp:posOffset>243840</wp:posOffset>
            </wp:positionV>
            <wp:extent cx="6050280" cy="4290060"/>
            <wp:effectExtent l="0" t="0" r="7620" b="0"/>
            <wp:wrapTopAndBottom/>
            <wp:docPr id="6" name="Picture 6" descr="Adopted from Graduate to Proficient: Australian guidelines for teacher induction into the profession (the AITSL guidelines).&#10;Professional Practices &#10;Provision of support and challenges to drive graduate practice improvement&#10;Opportunities to observe and reflect on excellence in teaching and learning&#10;Building skills and knowledge about evidence-based teaching strategies and measuring their impact&#10;Professional Identity &#10;Support in understanding expectations of teachers in school/education settings &#10;Guidance on technical, intellectual, ethical and cultural elements of professional identity &#10;Participation in continuing professional conversation through networks and positive relationships with learners, parents and colleagues&#10;Orientation &#10;Understanding of formal policies, practice, procedural and compliance requirements of the school setting &#10;Understanding of cultural, interpersonal and administrative requirements and informal expectations of colleagues and the community&#10;Wellbeing &#10;Support in building teacher resilience, emotional wellbeing and relationships with other professionals &#10;Strengthen individuals’ capacity to manage personal and professional demands of the role" title="Focus of in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hqprint">
                      <a:extLst>
                        <a:ext uri="{28A0092B-C50C-407E-A947-70E740481C1C}">
                          <a14:useLocalDpi xmlns:a14="http://schemas.microsoft.com/office/drawing/2010/main" val="0"/>
                        </a:ext>
                      </a:extLst>
                    </a:blip>
                    <a:srcRect/>
                    <a:stretch/>
                  </pic:blipFill>
                  <pic:spPr bwMode="auto">
                    <a:xfrm>
                      <a:off x="0" y="0"/>
                      <a:ext cx="6050280" cy="4290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5831DE" w14:textId="7436AE1F" w:rsidR="002B008D" w:rsidRPr="00831496" w:rsidRDefault="002B008D" w:rsidP="002B008D">
      <w:pPr>
        <w:rPr>
          <w:rStyle w:val="SubtleEmphasis"/>
          <w:sz w:val="24"/>
        </w:rPr>
      </w:pPr>
      <w:r w:rsidRPr="00831496">
        <w:rPr>
          <w:rStyle w:val="SubtleEmphasis"/>
          <w:sz w:val="24"/>
          <w:lang w:val="en-AU"/>
        </w:rPr>
        <w:t xml:space="preserve">Adopted from </w:t>
      </w:r>
      <w:hyperlink r:id="rId22" w:history="1">
        <w:r w:rsidRPr="00331C73">
          <w:rPr>
            <w:rStyle w:val="Hyperlink"/>
            <w:sz w:val="24"/>
            <w:lang w:val="en-AU"/>
          </w:rPr>
          <w:t>Graduate to Proficient: Australian guidelines for teacher induction into the profession</w:t>
        </w:r>
      </w:hyperlink>
      <w:r w:rsidRPr="00831496">
        <w:rPr>
          <w:rStyle w:val="SubtleEmphasis"/>
          <w:sz w:val="24"/>
          <w:lang w:val="en-AU"/>
        </w:rPr>
        <w:t xml:space="preserve"> (the AITSL guidelines).</w:t>
      </w:r>
    </w:p>
    <w:p w14:paraId="342A9933" w14:textId="55EDE4B3" w:rsidR="002B008D" w:rsidRPr="002B008D" w:rsidRDefault="002B008D" w:rsidP="002B008D">
      <w:pPr>
        <w:pStyle w:val="Heading2"/>
      </w:pPr>
      <w:bookmarkStart w:id="15" w:name="_Toc2864068"/>
      <w:r w:rsidRPr="002B008D">
        <w:lastRenderedPageBreak/>
        <w:t>Theory of change</w:t>
      </w:r>
      <w:bookmarkEnd w:id="15"/>
    </w:p>
    <w:p w14:paraId="1F159973" w14:textId="3695203C" w:rsidR="002B008D" w:rsidRDefault="002B008D" w:rsidP="002B008D">
      <w:pPr>
        <w:rPr>
          <w:sz w:val="24"/>
          <w:lang w:val="en-AU"/>
        </w:rPr>
      </w:pPr>
      <w:r w:rsidRPr="00831496">
        <w:rPr>
          <w:sz w:val="24"/>
          <w:lang w:val="en-AU"/>
        </w:rPr>
        <w:t>The four focus areas are embedded within the following theory of change:</w:t>
      </w:r>
    </w:p>
    <w:p w14:paraId="1B386E01" w14:textId="5D14F724" w:rsidR="002B008D" w:rsidRDefault="009D64B6" w:rsidP="009D64B6">
      <w:pPr>
        <w:pStyle w:val="Heading1"/>
        <w:rPr>
          <w:lang w:val="en-AU"/>
        </w:rPr>
      </w:pPr>
      <w:bookmarkStart w:id="16" w:name="_Toc2864069"/>
      <w:r>
        <w:rPr>
          <w:noProof/>
          <w:lang w:val="en-AU" w:eastAsia="en-AU"/>
        </w:rPr>
        <w:drawing>
          <wp:anchor distT="0" distB="0" distL="114300" distR="114300" simplePos="0" relativeHeight="251667456" behindDoc="0" locked="0" layoutInCell="1" allowOverlap="1" wp14:anchorId="4BE145F8" wp14:editId="27D72FD2">
            <wp:simplePos x="0" y="0"/>
            <wp:positionH relativeFrom="margin">
              <wp:align>left</wp:align>
            </wp:positionH>
            <wp:positionV relativeFrom="paragraph">
              <wp:posOffset>4445</wp:posOffset>
            </wp:positionV>
            <wp:extent cx="5989955" cy="1594485"/>
            <wp:effectExtent l="0" t="0" r="0" b="5715"/>
            <wp:wrapTopAndBottom/>
            <wp:docPr id="8" name="Picture 8" descr="If we support graduate teachers to build a strong professional identity through an integrated school, region and system-based approach that embeds assessment of student learning and collaborative professional practice then we will boost graduate teacher effectiveness and sustain their commitment to improving student learning outcomes then teachers will have strengthened self-efficacy and more students will have a proficient teacher in their classroomso students will achieve better learning outcomes." title="Theory of chang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cstate="hqprint">
                      <a:extLst>
                        <a:ext uri="{28A0092B-C50C-407E-A947-70E740481C1C}">
                          <a14:useLocalDpi xmlns:a14="http://schemas.microsoft.com/office/drawing/2010/main" val="0"/>
                        </a:ext>
                      </a:extLst>
                    </a:blip>
                    <a:srcRect/>
                    <a:stretch/>
                  </pic:blipFill>
                  <pic:spPr bwMode="auto">
                    <a:xfrm>
                      <a:off x="0" y="0"/>
                      <a:ext cx="5989955" cy="1594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008D" w:rsidRPr="002B008D">
        <w:rPr>
          <w:lang w:val="en-AU"/>
        </w:rPr>
        <w:t>Orientation</w:t>
      </w:r>
      <w:bookmarkEnd w:id="16"/>
    </w:p>
    <w:p w14:paraId="4286CAFC" w14:textId="77777777" w:rsidR="002B008D" w:rsidRPr="002B008D" w:rsidRDefault="002B008D" w:rsidP="002B008D">
      <w:pPr>
        <w:pStyle w:val="Heading2"/>
      </w:pPr>
      <w:bookmarkStart w:id="17" w:name="_Toc2864070"/>
      <w:r w:rsidRPr="002B008D">
        <w:t>Welco</w:t>
      </w:r>
      <w:r w:rsidRPr="002B008D">
        <w:rPr>
          <w:rStyle w:val="Heading3Char"/>
          <w:b/>
          <w:color w:val="AF272F" w:themeColor="accent1"/>
        </w:rPr>
        <w:t>m</w:t>
      </w:r>
      <w:r w:rsidRPr="002B008D">
        <w:t>ing graduate teachers</w:t>
      </w:r>
      <w:bookmarkEnd w:id="17"/>
    </w:p>
    <w:p w14:paraId="4825F86B" w14:textId="77777777" w:rsidR="002B008D" w:rsidRPr="00831496" w:rsidRDefault="002B008D" w:rsidP="009731C9">
      <w:pPr>
        <w:spacing w:after="200"/>
        <w:rPr>
          <w:sz w:val="24"/>
          <w:lang w:val="en-AU"/>
        </w:rPr>
      </w:pPr>
      <w:r w:rsidRPr="00831496">
        <w:rPr>
          <w:sz w:val="24"/>
          <w:lang w:val="en-AU"/>
        </w:rPr>
        <w:t>A formal welcome offered alongside a well-organised orientation process sends a strong message of inclusion and support to a graduate teacher starting their career. Welcoming graduate teachers to a school’s community ensures that teachers have access to resources and supports needed for their work. Leaders can organise graduate teacher school orientations, put teachers in contact with their mentors, and actively monitor graduate teachers’ journeys through induction.</w:t>
      </w:r>
    </w:p>
    <w:p w14:paraId="73B7F6A9" w14:textId="77777777" w:rsidR="002B008D" w:rsidRPr="002B008D" w:rsidRDefault="002B008D" w:rsidP="002B008D">
      <w:pPr>
        <w:pStyle w:val="Heading2"/>
      </w:pPr>
      <w:bookmarkStart w:id="18" w:name="_Toc2864071"/>
      <w:r w:rsidRPr="002B008D">
        <w:t>School orientation</w:t>
      </w:r>
      <w:bookmarkEnd w:id="18"/>
    </w:p>
    <w:p w14:paraId="737EB0C5" w14:textId="77777777" w:rsidR="002B008D" w:rsidRPr="00831496" w:rsidRDefault="002B008D" w:rsidP="00123242">
      <w:pPr>
        <w:spacing w:after="200"/>
        <w:rPr>
          <w:sz w:val="24"/>
          <w:lang w:val="en-AU"/>
        </w:rPr>
      </w:pPr>
      <w:r w:rsidRPr="00831496">
        <w:rPr>
          <w:sz w:val="24"/>
          <w:lang w:val="en-AU"/>
        </w:rPr>
        <w:t xml:space="preserve">A coordinated orientation to the school context and the profession is the focus of a graduate teacher’s first term at the school. Schools may commence graduate teacher orientation activities in the pre-commencement period to help graduate teachers’ transition into the first term. Engagement in pre-commencement induction activities is voluntary and graduate teachers may elect to wait until their employment formally begins before participating in their school’s orientation. </w:t>
      </w:r>
    </w:p>
    <w:p w14:paraId="5E506DAD" w14:textId="772F70D7" w:rsidR="002B008D" w:rsidRPr="00831496" w:rsidRDefault="002B008D" w:rsidP="00123242">
      <w:pPr>
        <w:spacing w:after="200"/>
        <w:rPr>
          <w:sz w:val="24"/>
          <w:lang w:val="en-AU"/>
        </w:rPr>
      </w:pPr>
      <w:r w:rsidRPr="00831496">
        <w:rPr>
          <w:sz w:val="24"/>
          <w:lang w:val="en-AU"/>
        </w:rPr>
        <w:t xml:space="preserve">A school principal or a delegate will meet with a graduate teacher and take them through school policies and procedures, and introduce them to the broader context of the school within the community. The school office will support graduate teachers as they undertake and complete administrative tasks and acquaint themselves with the processes and regulations for everyday operation of the school. </w:t>
      </w:r>
    </w:p>
    <w:p w14:paraId="4E8C6648" w14:textId="77777777" w:rsidR="002B008D" w:rsidRPr="00831496" w:rsidRDefault="002B008D" w:rsidP="009731C9">
      <w:pPr>
        <w:spacing w:after="200"/>
        <w:rPr>
          <w:sz w:val="24"/>
          <w:lang w:val="en-AU"/>
        </w:rPr>
      </w:pPr>
      <w:r w:rsidRPr="00831496">
        <w:rPr>
          <w:sz w:val="24"/>
          <w:lang w:val="en-AU"/>
        </w:rPr>
        <w:t xml:space="preserve">School-based induction supports graduate teachers to: </w:t>
      </w:r>
    </w:p>
    <w:p w14:paraId="7B3CA93A" w14:textId="55D4A92B" w:rsidR="002B008D" w:rsidRPr="00831496" w:rsidRDefault="002B008D" w:rsidP="002B008D">
      <w:pPr>
        <w:pStyle w:val="Bullet1"/>
        <w:rPr>
          <w:sz w:val="24"/>
        </w:rPr>
      </w:pPr>
      <w:r w:rsidRPr="00831496">
        <w:rPr>
          <w:sz w:val="24"/>
        </w:rPr>
        <w:t xml:space="preserve">perform teaching duties successfully </w:t>
      </w:r>
    </w:p>
    <w:p w14:paraId="61350470" w14:textId="08884B67" w:rsidR="002B008D" w:rsidRPr="00831496" w:rsidRDefault="002B008D" w:rsidP="002B008D">
      <w:pPr>
        <w:pStyle w:val="Bullet1"/>
        <w:rPr>
          <w:sz w:val="24"/>
        </w:rPr>
      </w:pPr>
      <w:r w:rsidRPr="00831496">
        <w:rPr>
          <w:sz w:val="24"/>
        </w:rPr>
        <w:t xml:space="preserve">adhere to the policies of the school </w:t>
      </w:r>
    </w:p>
    <w:p w14:paraId="49F82BF5" w14:textId="4D9313E8" w:rsidR="002B008D" w:rsidRPr="00831496" w:rsidRDefault="002B008D" w:rsidP="002B008D">
      <w:pPr>
        <w:pStyle w:val="Bullet1"/>
        <w:rPr>
          <w:sz w:val="24"/>
        </w:rPr>
      </w:pPr>
      <w:r w:rsidRPr="00831496">
        <w:rPr>
          <w:sz w:val="24"/>
        </w:rPr>
        <w:t xml:space="preserve">ensure their own physical and mental wellbeing </w:t>
      </w:r>
    </w:p>
    <w:p w14:paraId="50BB25BA" w14:textId="2D820A6D" w:rsidR="002B008D" w:rsidRPr="00831496" w:rsidRDefault="002B008D" w:rsidP="002B008D">
      <w:pPr>
        <w:pStyle w:val="Bullet1"/>
        <w:rPr>
          <w:sz w:val="24"/>
        </w:rPr>
      </w:pPr>
      <w:r w:rsidRPr="00831496">
        <w:rPr>
          <w:sz w:val="24"/>
        </w:rPr>
        <w:t xml:space="preserve">receive a 5 per cent reduction in scheduled duties over the school week during the first year of teaching (within the resources available to the school) to engage in professional learning </w:t>
      </w:r>
    </w:p>
    <w:p w14:paraId="36A3349A" w14:textId="57FBD70A" w:rsidR="002B008D" w:rsidRPr="00831496" w:rsidRDefault="002B008D" w:rsidP="002B008D">
      <w:pPr>
        <w:pStyle w:val="Bullet1"/>
        <w:rPr>
          <w:sz w:val="24"/>
        </w:rPr>
      </w:pPr>
      <w:r w:rsidRPr="00831496">
        <w:rPr>
          <w:sz w:val="24"/>
        </w:rPr>
        <w:lastRenderedPageBreak/>
        <w:t xml:space="preserve">access their professional practice days (one day of release from their scheduled duties, including teaching, per school term for full time teachers or pro rata for part time employees) </w:t>
      </w:r>
    </w:p>
    <w:p w14:paraId="2E25BE3B" w14:textId="666EC43E" w:rsidR="002B008D" w:rsidRPr="00831496" w:rsidRDefault="002B008D" w:rsidP="002B008D">
      <w:pPr>
        <w:pStyle w:val="Bullet1"/>
        <w:rPr>
          <w:sz w:val="24"/>
        </w:rPr>
      </w:pPr>
      <w:r w:rsidRPr="00831496">
        <w:rPr>
          <w:sz w:val="24"/>
        </w:rPr>
        <w:t xml:space="preserve">work with a teacher mentor </w:t>
      </w:r>
    </w:p>
    <w:p w14:paraId="78FF9F71" w14:textId="2CDDEDFE" w:rsidR="002B008D" w:rsidRPr="00831496" w:rsidRDefault="002B008D" w:rsidP="002B008D">
      <w:pPr>
        <w:pStyle w:val="Bullet1"/>
        <w:rPr>
          <w:sz w:val="24"/>
        </w:rPr>
      </w:pPr>
      <w:r w:rsidRPr="00831496">
        <w:rPr>
          <w:sz w:val="24"/>
        </w:rPr>
        <w:t xml:space="preserve">work with Professional Learning Communities </w:t>
      </w:r>
    </w:p>
    <w:p w14:paraId="0194B33B" w14:textId="3C6C3318" w:rsidR="002B008D" w:rsidRPr="00831496" w:rsidRDefault="002B008D" w:rsidP="002B008D">
      <w:pPr>
        <w:pStyle w:val="Bullet1"/>
        <w:rPr>
          <w:sz w:val="24"/>
        </w:rPr>
      </w:pPr>
      <w:r w:rsidRPr="00831496">
        <w:rPr>
          <w:sz w:val="24"/>
        </w:rPr>
        <w:t xml:space="preserve">work with Communities of Practice (if applicable) and relevant networks </w:t>
      </w:r>
    </w:p>
    <w:p w14:paraId="40AC979B" w14:textId="3C281358" w:rsidR="002B008D" w:rsidRPr="00831496" w:rsidRDefault="002B008D" w:rsidP="002B008D">
      <w:pPr>
        <w:pStyle w:val="Bullet1"/>
        <w:rPr>
          <w:sz w:val="24"/>
        </w:rPr>
      </w:pPr>
      <w:proofErr w:type="gramStart"/>
      <w:r w:rsidRPr="00831496">
        <w:rPr>
          <w:sz w:val="24"/>
        </w:rPr>
        <w:t>collect</w:t>
      </w:r>
      <w:proofErr w:type="gramEnd"/>
      <w:r w:rsidRPr="00831496">
        <w:rPr>
          <w:sz w:val="24"/>
        </w:rPr>
        <w:t xml:space="preserve"> evidence of teaching to progress to full VIT registration. </w:t>
      </w:r>
    </w:p>
    <w:p w14:paraId="2BCA9CF9" w14:textId="77777777" w:rsidR="002B008D" w:rsidRPr="00831496" w:rsidRDefault="002B008D" w:rsidP="009731C9">
      <w:pPr>
        <w:spacing w:after="200"/>
        <w:rPr>
          <w:sz w:val="24"/>
          <w:lang w:val="en-AU"/>
        </w:rPr>
      </w:pPr>
      <w:r w:rsidRPr="00831496">
        <w:rPr>
          <w:sz w:val="24"/>
          <w:lang w:val="en-AU"/>
        </w:rPr>
        <w:t xml:space="preserve">Principals are encouraged to invite Australian Education Union (AEU) representatives to explain the role of the AEU to commencing graduate teachers and provide an opportunity to join the union available to teachers. </w:t>
      </w:r>
    </w:p>
    <w:p w14:paraId="16F4B8C7" w14:textId="77777777" w:rsidR="002B008D" w:rsidRPr="00831496" w:rsidRDefault="002B008D" w:rsidP="009731C9">
      <w:pPr>
        <w:spacing w:after="200"/>
        <w:rPr>
          <w:sz w:val="24"/>
          <w:lang w:val="en-AU"/>
        </w:rPr>
      </w:pPr>
      <w:r w:rsidRPr="00831496">
        <w:rPr>
          <w:sz w:val="24"/>
          <w:lang w:val="en-AU"/>
        </w:rPr>
        <w:t>School leaders will make sure that graduate teachers are familiar and compliant with the following policies and procedures at the commencement of Term 1:</w:t>
      </w:r>
    </w:p>
    <w:p w14:paraId="4561663C" w14:textId="09F14A94" w:rsidR="002B008D" w:rsidRPr="00331C73" w:rsidRDefault="00397B05" w:rsidP="002B008D">
      <w:pPr>
        <w:pStyle w:val="Bullet1"/>
        <w:rPr>
          <w:sz w:val="24"/>
        </w:rPr>
      </w:pPr>
      <w:hyperlink r:id="rId24" w:anchor="/app/content/1936/" w:history="1">
        <w:r w:rsidR="002B008D" w:rsidRPr="00331C73">
          <w:rPr>
            <w:rStyle w:val="Hyperlink"/>
            <w:sz w:val="24"/>
          </w:rPr>
          <w:t>Code of Conduct for Victorian Public Sector Employees</w:t>
        </w:r>
      </w:hyperlink>
      <w:r w:rsidR="002B008D" w:rsidRPr="00331C73">
        <w:rPr>
          <w:sz w:val="24"/>
        </w:rPr>
        <w:t xml:space="preserve"> </w:t>
      </w:r>
    </w:p>
    <w:p w14:paraId="449BF1A0" w14:textId="46E55154" w:rsidR="002B008D" w:rsidRPr="00331C73" w:rsidRDefault="00397B05" w:rsidP="002B008D">
      <w:pPr>
        <w:pStyle w:val="Bullet1"/>
        <w:rPr>
          <w:sz w:val="24"/>
        </w:rPr>
      </w:pPr>
      <w:hyperlink r:id="rId25" w:history="1">
        <w:r w:rsidR="002B008D" w:rsidRPr="00331C73">
          <w:rPr>
            <w:rStyle w:val="Hyperlink"/>
            <w:sz w:val="24"/>
          </w:rPr>
          <w:t>DET’s Values: A School Guide</w:t>
        </w:r>
      </w:hyperlink>
      <w:r w:rsidR="002B008D" w:rsidRPr="00331C73">
        <w:rPr>
          <w:sz w:val="24"/>
        </w:rPr>
        <w:t xml:space="preserve"> </w:t>
      </w:r>
    </w:p>
    <w:p w14:paraId="265870E5" w14:textId="547359A7" w:rsidR="002B008D" w:rsidRPr="00331C73" w:rsidRDefault="00397B05" w:rsidP="002B008D">
      <w:pPr>
        <w:pStyle w:val="Bullet1"/>
        <w:rPr>
          <w:sz w:val="24"/>
        </w:rPr>
      </w:pPr>
      <w:hyperlink r:id="rId26" w:history="1">
        <w:r w:rsidR="002B008D" w:rsidRPr="00331C73">
          <w:rPr>
            <w:rStyle w:val="Hyperlink"/>
            <w:sz w:val="24"/>
          </w:rPr>
          <w:t>Protecting Children</w:t>
        </w:r>
      </w:hyperlink>
    </w:p>
    <w:p w14:paraId="0D78556A" w14:textId="77777777" w:rsidR="002B008D" w:rsidRPr="002B008D" w:rsidRDefault="002B008D" w:rsidP="002B008D">
      <w:pPr>
        <w:pStyle w:val="Heading2"/>
      </w:pPr>
      <w:bookmarkStart w:id="19" w:name="_Toc2864072"/>
      <w:r w:rsidRPr="002B008D">
        <w:t>Induction timeline and checklists to plan for orientation</w:t>
      </w:r>
      <w:bookmarkEnd w:id="19"/>
    </w:p>
    <w:p w14:paraId="5C716AC5" w14:textId="77777777" w:rsidR="002B008D" w:rsidRPr="00831496" w:rsidRDefault="002B008D" w:rsidP="00123242">
      <w:pPr>
        <w:spacing w:after="200"/>
        <w:rPr>
          <w:sz w:val="24"/>
          <w:lang w:val="en-AU"/>
        </w:rPr>
      </w:pPr>
      <w:r w:rsidRPr="00831496">
        <w:rPr>
          <w:sz w:val="24"/>
          <w:lang w:val="en-AU"/>
        </w:rPr>
        <w:t>Induction timeline and checklists for graduate teachers – Years 1 &amp; 2 (Appendix 1) sets out key induction tasks from the time of recruitment through the first two years of teaching. Links to online resources will help graduate teachers dive deeper into the areas of learning relevant to them at different points in time. The checklist will help graduate teachers to plan, manage and monitor induction, with the support of their mentor teacher and school leadership.</w:t>
      </w:r>
    </w:p>
    <w:p w14:paraId="0619E84D" w14:textId="77777777" w:rsidR="002B008D" w:rsidRPr="002B008D" w:rsidRDefault="002B008D" w:rsidP="002B008D">
      <w:pPr>
        <w:pStyle w:val="Heading2"/>
      </w:pPr>
      <w:bookmarkStart w:id="20" w:name="_Toc2864073"/>
      <w:r w:rsidRPr="002B008D">
        <w:t>Graduate teacher induction portal</w:t>
      </w:r>
      <w:bookmarkEnd w:id="20"/>
    </w:p>
    <w:p w14:paraId="2AF1988F" w14:textId="77777777" w:rsidR="002B008D" w:rsidRPr="00831496" w:rsidRDefault="002B008D" w:rsidP="00123242">
      <w:pPr>
        <w:spacing w:after="200"/>
        <w:rPr>
          <w:sz w:val="24"/>
          <w:lang w:val="en-AU"/>
        </w:rPr>
      </w:pPr>
      <w:r w:rsidRPr="00831496">
        <w:rPr>
          <w:sz w:val="24"/>
          <w:lang w:val="en-AU"/>
        </w:rPr>
        <w:t xml:space="preserve">The Department maintains an online </w:t>
      </w:r>
      <w:r w:rsidRPr="00123242">
        <w:rPr>
          <w:sz w:val="24"/>
          <w:lang w:val="en-AU"/>
        </w:rPr>
        <w:t>graduate teacher induction portal</w:t>
      </w:r>
      <w:r w:rsidRPr="00831496">
        <w:rPr>
          <w:sz w:val="24"/>
          <w:lang w:val="en-AU"/>
        </w:rPr>
        <w:t>. The portal is a repository of information and resources covering topics such as the Department’s values, codes of conduct, professional obligations, teaching practice, teacher wellbeing, and working with families and communities.</w:t>
      </w:r>
    </w:p>
    <w:p w14:paraId="34A131CB" w14:textId="3549B73A" w:rsidR="00831496" w:rsidRPr="00831496" w:rsidRDefault="002B008D" w:rsidP="002B008D">
      <w:pPr>
        <w:rPr>
          <w:sz w:val="24"/>
          <w:lang w:val="en-AU"/>
        </w:rPr>
      </w:pPr>
      <w:r w:rsidRPr="00831496">
        <w:rPr>
          <w:sz w:val="24"/>
          <w:lang w:val="en-AU"/>
        </w:rPr>
        <w:t>For further information see:</w:t>
      </w:r>
      <w:hyperlink r:id="rId27" w:history="1">
        <w:r w:rsidRPr="00831496">
          <w:rPr>
            <w:rStyle w:val="Hyperlink"/>
            <w:sz w:val="24"/>
            <w:lang w:val="en-AU"/>
          </w:rPr>
          <w:t xml:space="preserve"> https://edugate.eduweb.vic.gov.au/edrms/keyprocess/ teachers-induction/Pages/Home.aspx</w:t>
        </w:r>
      </w:hyperlink>
    </w:p>
    <w:p w14:paraId="77C76180" w14:textId="2B674496" w:rsidR="002B008D" w:rsidRDefault="002B008D" w:rsidP="002B008D">
      <w:pPr>
        <w:pStyle w:val="Heading1"/>
        <w:rPr>
          <w:lang w:val="en-AU"/>
        </w:rPr>
      </w:pPr>
      <w:bookmarkStart w:id="21" w:name="_Toc2864074"/>
      <w:r w:rsidRPr="002B008D">
        <w:rPr>
          <w:lang w:val="en-AU"/>
        </w:rPr>
        <w:t>Professional Identity</w:t>
      </w:r>
      <w:bookmarkEnd w:id="21"/>
    </w:p>
    <w:p w14:paraId="73CE3791" w14:textId="77777777" w:rsidR="002B008D" w:rsidRPr="002B008D" w:rsidRDefault="002B008D" w:rsidP="002B008D">
      <w:pPr>
        <w:pStyle w:val="Heading2"/>
      </w:pPr>
      <w:bookmarkStart w:id="22" w:name="_Toc2864075"/>
      <w:r w:rsidRPr="002B008D">
        <w:t>Probationary period</w:t>
      </w:r>
      <w:bookmarkEnd w:id="22"/>
    </w:p>
    <w:p w14:paraId="4936A757" w14:textId="77777777" w:rsidR="002B008D" w:rsidRPr="00831496" w:rsidRDefault="002B008D" w:rsidP="00123242">
      <w:pPr>
        <w:spacing w:after="200"/>
        <w:rPr>
          <w:sz w:val="24"/>
          <w:lang w:val="en-AU"/>
        </w:rPr>
      </w:pPr>
      <w:r w:rsidRPr="00831496">
        <w:rPr>
          <w:sz w:val="24"/>
          <w:lang w:val="en-AU"/>
        </w:rPr>
        <w:t xml:space="preserve">Graduate teachers who are employed in an ongoing position are required to undergo a probationary period not exceeding 12 months. The purpose of the probationary period is to ascertain whether the conduct and work performance of the teacher meet the standards expected of employees in the teaching service in Victorian government schools before the full rights and responsibilities of ongoing employment are confirmed. As part of probation, </w:t>
      </w:r>
      <w:r w:rsidRPr="00831496">
        <w:rPr>
          <w:sz w:val="24"/>
          <w:lang w:val="en-AU"/>
        </w:rPr>
        <w:lastRenderedPageBreak/>
        <w:t xml:space="preserve">graduate teachers are provided with support and feedback throughout their first year of ongoing employment. </w:t>
      </w:r>
    </w:p>
    <w:p w14:paraId="50BEA393" w14:textId="77777777" w:rsidR="002B008D" w:rsidRPr="00831496" w:rsidRDefault="002B008D" w:rsidP="00123242">
      <w:pPr>
        <w:spacing w:after="200"/>
        <w:rPr>
          <w:sz w:val="24"/>
          <w:lang w:val="en-AU"/>
        </w:rPr>
      </w:pPr>
      <w:r w:rsidRPr="00831496">
        <w:rPr>
          <w:sz w:val="24"/>
          <w:lang w:val="en-AU"/>
        </w:rPr>
        <w:t xml:space="preserve">During the probationary period the principal will monitor the employee’s performance and provide regular feedback. The employee should be given the opportunity to discuss their performance with the delegate. </w:t>
      </w:r>
    </w:p>
    <w:p w14:paraId="3C96189E" w14:textId="77777777" w:rsidR="002B008D" w:rsidRPr="00831496" w:rsidRDefault="002B008D" w:rsidP="00123242">
      <w:pPr>
        <w:spacing w:after="200"/>
        <w:rPr>
          <w:sz w:val="24"/>
          <w:lang w:val="en-AU"/>
        </w:rPr>
      </w:pPr>
      <w:r w:rsidRPr="00831496">
        <w:rPr>
          <w:sz w:val="24"/>
          <w:lang w:val="en-AU"/>
        </w:rPr>
        <w:t xml:space="preserve">A probationary period is not required where a person is employed fixed-term or on a casual basis. </w:t>
      </w:r>
    </w:p>
    <w:p w14:paraId="653B338C" w14:textId="5A96D3F7" w:rsidR="002B008D" w:rsidRPr="00831496" w:rsidRDefault="002B008D" w:rsidP="002B008D">
      <w:pPr>
        <w:rPr>
          <w:sz w:val="24"/>
          <w:lang w:val="en-AU"/>
        </w:rPr>
      </w:pPr>
      <w:r w:rsidRPr="00831496">
        <w:rPr>
          <w:sz w:val="24"/>
          <w:lang w:val="en-AU"/>
        </w:rPr>
        <w:t xml:space="preserve">For further information see: </w:t>
      </w:r>
      <w:hyperlink r:id="rId28" w:history="1">
        <w:r w:rsidR="00831496" w:rsidRPr="00831496">
          <w:rPr>
            <w:rStyle w:val="Hyperlink"/>
            <w:sz w:val="24"/>
            <w:lang w:val="en-AU"/>
          </w:rPr>
          <w:t>https://www.education.vic.gov.au/hrweb/workm/Pages/probTS.aspx</w:t>
        </w:r>
      </w:hyperlink>
    </w:p>
    <w:p w14:paraId="2B356D02" w14:textId="77777777" w:rsidR="002B008D" w:rsidRPr="002B008D" w:rsidRDefault="002B008D" w:rsidP="002B008D">
      <w:pPr>
        <w:pStyle w:val="Heading2"/>
      </w:pPr>
      <w:bookmarkStart w:id="23" w:name="_Toc2864076"/>
      <w:r w:rsidRPr="002B008D">
        <w:t>VIT registration</w:t>
      </w:r>
      <w:bookmarkEnd w:id="23"/>
    </w:p>
    <w:p w14:paraId="3BA3B5D3" w14:textId="352BA8E4" w:rsidR="002B008D" w:rsidRPr="00831496" w:rsidRDefault="002B008D" w:rsidP="00123242">
      <w:pPr>
        <w:spacing w:after="200"/>
        <w:rPr>
          <w:sz w:val="24"/>
          <w:lang w:val="en-AU"/>
        </w:rPr>
      </w:pPr>
      <w:r w:rsidRPr="00831496">
        <w:rPr>
          <w:sz w:val="24"/>
          <w:lang w:val="en-AU"/>
        </w:rPr>
        <w:t>Schools will support graduate teachers to achieve full registration within the first two years of practice. The VIT specifies the requirements for moving from provisional to full</w:t>
      </w:r>
      <w:r w:rsidR="00FE31C0" w:rsidRPr="00831496">
        <w:rPr>
          <w:sz w:val="24"/>
          <w:lang w:val="en-AU"/>
        </w:rPr>
        <w:t xml:space="preserve"> registration on their website.</w:t>
      </w:r>
      <w:r w:rsidR="00276D83">
        <w:rPr>
          <w:rStyle w:val="FootnoteReference"/>
          <w:lang w:val="en-AU"/>
        </w:rPr>
        <w:footnoteReference w:id="4"/>
      </w:r>
      <w:r w:rsidRPr="00831496">
        <w:rPr>
          <w:sz w:val="24"/>
          <w:lang w:val="en-AU"/>
        </w:rPr>
        <w:t xml:space="preserve"> After graduation, graduate teachers register with the VIT as provisionally registered teachers. To achieve full registration by the end of the second year of teaching, graduate teachers must provide the VIT with the evidence that they:</w:t>
      </w:r>
    </w:p>
    <w:p w14:paraId="1283402A" w14:textId="6B305223" w:rsidR="002B008D" w:rsidRPr="00831496" w:rsidRDefault="002B008D" w:rsidP="002B008D">
      <w:pPr>
        <w:pStyle w:val="Bullet1"/>
        <w:rPr>
          <w:sz w:val="24"/>
        </w:rPr>
      </w:pPr>
      <w:r w:rsidRPr="00831496">
        <w:rPr>
          <w:sz w:val="24"/>
        </w:rPr>
        <w:t xml:space="preserve">have met </w:t>
      </w:r>
      <w:r w:rsidRPr="00331C73">
        <w:rPr>
          <w:sz w:val="24"/>
        </w:rPr>
        <w:t xml:space="preserve">the </w:t>
      </w:r>
      <w:hyperlink r:id="rId29" w:history="1">
        <w:r w:rsidRPr="00331C73">
          <w:rPr>
            <w:rStyle w:val="Hyperlink"/>
            <w:sz w:val="24"/>
          </w:rPr>
          <w:t>Australian Professional Standards for Teaching</w:t>
        </w:r>
      </w:hyperlink>
      <w:r w:rsidRPr="00831496">
        <w:rPr>
          <w:sz w:val="24"/>
        </w:rPr>
        <w:t xml:space="preserve"> at the proficient teacher level using the inquiry approach, and </w:t>
      </w:r>
    </w:p>
    <w:p w14:paraId="50413CEF" w14:textId="53FCC1E3" w:rsidR="002B008D" w:rsidRPr="00831496" w:rsidRDefault="002B008D" w:rsidP="002B008D">
      <w:pPr>
        <w:pStyle w:val="Bullet1"/>
        <w:rPr>
          <w:sz w:val="24"/>
        </w:rPr>
      </w:pPr>
      <w:proofErr w:type="gramStart"/>
      <w:r w:rsidRPr="00831496">
        <w:rPr>
          <w:sz w:val="24"/>
        </w:rPr>
        <w:t>have</w:t>
      </w:r>
      <w:proofErr w:type="gramEnd"/>
      <w:r w:rsidRPr="00831496">
        <w:rPr>
          <w:sz w:val="24"/>
        </w:rPr>
        <w:t xml:space="preserve"> taught for a total of at least 80 days in one or more Australian or New Zealand schools or early childhood services. </w:t>
      </w:r>
    </w:p>
    <w:p w14:paraId="2809AD1C" w14:textId="77777777" w:rsidR="002B008D" w:rsidRPr="00831496" w:rsidRDefault="002B008D" w:rsidP="00123242">
      <w:pPr>
        <w:spacing w:after="200"/>
        <w:rPr>
          <w:sz w:val="24"/>
          <w:lang w:val="en-AU"/>
        </w:rPr>
      </w:pPr>
      <w:r w:rsidRPr="00831496">
        <w:rPr>
          <w:sz w:val="24"/>
          <w:lang w:val="en-AU"/>
        </w:rPr>
        <w:t xml:space="preserve">Teacher mentors work with graduate teachers to undertake professional learning, which may include peer observation to continuously improve their teaching, collect evidence of their work and apply for full registration. </w:t>
      </w:r>
    </w:p>
    <w:p w14:paraId="1642D07C" w14:textId="3513EAFE" w:rsidR="002B008D" w:rsidRDefault="002B008D" w:rsidP="00123242">
      <w:pPr>
        <w:spacing w:after="200"/>
        <w:rPr>
          <w:sz w:val="24"/>
          <w:lang w:val="en-AU"/>
        </w:rPr>
      </w:pPr>
      <w:r w:rsidRPr="00831496">
        <w:rPr>
          <w:sz w:val="24"/>
          <w:lang w:val="en-AU"/>
        </w:rPr>
        <w:t xml:space="preserve">For further information see: </w:t>
      </w:r>
      <w:hyperlink r:id="rId30" w:history="1">
        <w:r w:rsidR="00276D83" w:rsidRPr="005C0CA1">
          <w:rPr>
            <w:rStyle w:val="Hyperlink"/>
            <w:sz w:val="24"/>
            <w:lang w:val="en-AU"/>
          </w:rPr>
          <w:t>www.vit.vic.edu.au/registered-teacher/moving-to-full-registration</w:t>
        </w:r>
      </w:hyperlink>
    </w:p>
    <w:p w14:paraId="1C44D933" w14:textId="77777777" w:rsidR="002B008D" w:rsidRPr="002B008D" w:rsidRDefault="002B008D" w:rsidP="002B008D">
      <w:pPr>
        <w:pStyle w:val="Heading2"/>
      </w:pPr>
      <w:bookmarkStart w:id="24" w:name="_Toc2864077"/>
      <w:r w:rsidRPr="002B008D">
        <w:t>The Graduate Teacher Learning Series</w:t>
      </w:r>
      <w:bookmarkEnd w:id="24"/>
    </w:p>
    <w:p w14:paraId="184D3D31" w14:textId="77777777" w:rsidR="002B008D" w:rsidRPr="00831496" w:rsidRDefault="002B008D" w:rsidP="00123242">
      <w:pPr>
        <w:spacing w:after="200"/>
        <w:rPr>
          <w:sz w:val="24"/>
          <w:lang w:val="en-AU"/>
        </w:rPr>
      </w:pPr>
      <w:r w:rsidRPr="00831496">
        <w:rPr>
          <w:sz w:val="24"/>
          <w:lang w:val="en-AU"/>
        </w:rPr>
        <w:t>The Graduate Teacher Learning Series (Learning Series) is an online professional learning series designed to address specific graduate needs, reflect graduate voice and encourage development of professional networks. The Learning Series is delivered direct to graduate teachers in the form of an online magazine. It includes monthly articles on focus topics identified as areas of challenge to graduate teachers, including:</w:t>
      </w:r>
    </w:p>
    <w:p w14:paraId="66313519" w14:textId="7A2C7490" w:rsidR="002B008D" w:rsidRPr="00831496" w:rsidRDefault="002B008D" w:rsidP="002B008D">
      <w:pPr>
        <w:pStyle w:val="Bullet1"/>
        <w:rPr>
          <w:sz w:val="24"/>
        </w:rPr>
      </w:pPr>
      <w:r w:rsidRPr="00831496">
        <w:rPr>
          <w:sz w:val="24"/>
        </w:rPr>
        <w:t>using formative assessment to improve student learning</w:t>
      </w:r>
    </w:p>
    <w:p w14:paraId="08CEF80C" w14:textId="2A3239C7" w:rsidR="002B008D" w:rsidRPr="00831496" w:rsidRDefault="002B008D" w:rsidP="002B008D">
      <w:pPr>
        <w:pStyle w:val="Bullet1"/>
        <w:rPr>
          <w:sz w:val="24"/>
        </w:rPr>
      </w:pPr>
      <w:r w:rsidRPr="00831496">
        <w:rPr>
          <w:sz w:val="24"/>
        </w:rPr>
        <w:t>student engagement as a behaviour management strategy</w:t>
      </w:r>
    </w:p>
    <w:p w14:paraId="070E906C" w14:textId="64925136" w:rsidR="002B008D" w:rsidRPr="00831496" w:rsidRDefault="002B008D" w:rsidP="002B008D">
      <w:pPr>
        <w:pStyle w:val="Bullet1"/>
        <w:rPr>
          <w:sz w:val="24"/>
        </w:rPr>
      </w:pPr>
      <w:proofErr w:type="gramStart"/>
      <w:r w:rsidRPr="00831496">
        <w:rPr>
          <w:sz w:val="24"/>
        </w:rPr>
        <w:t>teacher</w:t>
      </w:r>
      <w:proofErr w:type="gramEnd"/>
      <w:r w:rsidRPr="00831496">
        <w:rPr>
          <w:sz w:val="24"/>
        </w:rPr>
        <w:t xml:space="preserve"> wellbeing and resilience.</w:t>
      </w:r>
    </w:p>
    <w:p w14:paraId="77D1CEB8" w14:textId="77777777" w:rsidR="002B008D" w:rsidRPr="00831496" w:rsidRDefault="002B008D" w:rsidP="00123242">
      <w:pPr>
        <w:spacing w:after="200"/>
        <w:rPr>
          <w:sz w:val="24"/>
          <w:lang w:val="en-AU"/>
        </w:rPr>
      </w:pPr>
      <w:r w:rsidRPr="00831496">
        <w:rPr>
          <w:sz w:val="24"/>
          <w:lang w:val="en-AU"/>
        </w:rPr>
        <w:t>The Learning Series features views and perspectives of graduate teachers and is designed to deliver content at point-of-need across the school calendar year.</w:t>
      </w:r>
    </w:p>
    <w:p w14:paraId="62E19C1D" w14:textId="7C955FCA" w:rsidR="002B008D" w:rsidRDefault="002B008D" w:rsidP="00123242">
      <w:pPr>
        <w:spacing w:after="200"/>
        <w:rPr>
          <w:sz w:val="24"/>
          <w:lang w:val="en-AU"/>
        </w:rPr>
      </w:pPr>
      <w:r w:rsidRPr="00831496">
        <w:rPr>
          <w:sz w:val="24"/>
          <w:lang w:val="en-AU"/>
        </w:rPr>
        <w:lastRenderedPageBreak/>
        <w:t xml:space="preserve">For further information see: </w:t>
      </w:r>
      <w:hyperlink r:id="rId31" w:history="1">
        <w:r w:rsidR="009731C9" w:rsidRPr="00D804FD">
          <w:rPr>
            <w:rStyle w:val="Hyperlink"/>
            <w:sz w:val="24"/>
            <w:lang w:val="en-AU"/>
          </w:rPr>
          <w:t>https://www.education.vic.gov.au/school/teachers/profdev/Pages/induction.aspx</w:t>
        </w:r>
      </w:hyperlink>
    </w:p>
    <w:p w14:paraId="25A00115" w14:textId="7FDF9732" w:rsidR="00330A66" w:rsidRDefault="00330A66" w:rsidP="00330A66">
      <w:pPr>
        <w:pStyle w:val="Heading1"/>
        <w:rPr>
          <w:lang w:val="en-AU"/>
        </w:rPr>
      </w:pPr>
      <w:bookmarkStart w:id="25" w:name="_Toc2864078"/>
      <w:r w:rsidRPr="00330A66">
        <w:rPr>
          <w:lang w:val="en-AU"/>
        </w:rPr>
        <w:t>Professional Practices</w:t>
      </w:r>
      <w:bookmarkEnd w:id="25"/>
    </w:p>
    <w:p w14:paraId="41FA689B" w14:textId="77777777" w:rsidR="00330A66" w:rsidRPr="00330A66" w:rsidRDefault="00330A66" w:rsidP="00330A66">
      <w:pPr>
        <w:pStyle w:val="Heading2"/>
        <w:rPr>
          <w:lang w:val="en-AU"/>
        </w:rPr>
      </w:pPr>
      <w:bookmarkStart w:id="26" w:name="_Toc2864079"/>
      <w:r w:rsidRPr="00330A66">
        <w:rPr>
          <w:lang w:val="en-AU"/>
        </w:rPr>
        <w:t>Graduate Teacher Conferences</w:t>
      </w:r>
      <w:bookmarkEnd w:id="26"/>
      <w:r w:rsidRPr="00330A66">
        <w:rPr>
          <w:lang w:val="en-AU"/>
        </w:rPr>
        <w:t xml:space="preserve"> </w:t>
      </w:r>
    </w:p>
    <w:p w14:paraId="3E8BEBF5" w14:textId="20714FF1" w:rsidR="00330A66" w:rsidRPr="00831496" w:rsidRDefault="00330A66" w:rsidP="00123242">
      <w:pPr>
        <w:spacing w:after="200"/>
        <w:rPr>
          <w:sz w:val="24"/>
          <w:lang w:val="en-AU"/>
        </w:rPr>
      </w:pPr>
      <w:r w:rsidRPr="00831496">
        <w:rPr>
          <w:sz w:val="24"/>
          <w:lang w:val="en-AU"/>
        </w:rPr>
        <w:t xml:space="preserve">School principals and leaders are encouraged to support graduate teachers to attend a </w:t>
      </w:r>
      <w:hyperlink r:id="rId32" w:history="1">
        <w:r w:rsidRPr="009E2CFE">
          <w:rPr>
            <w:rStyle w:val="Hyperlink"/>
            <w:sz w:val="24"/>
            <w:lang w:val="en-AU"/>
          </w:rPr>
          <w:t>Graduate Teacher Conference</w:t>
        </w:r>
      </w:hyperlink>
      <w:r w:rsidRPr="00831496">
        <w:rPr>
          <w:sz w:val="24"/>
          <w:lang w:val="en-AU"/>
        </w:rPr>
        <w:t xml:space="preserve"> in their Area during Term 3. Conferences are offered across the 17 Areas and teachers are invited to attend a conference closest to their place of work to support the development of collegiate relationships with fellow graduate teachers in the same Area. The conferences are designed to develop graduate teachers’ knowledge and ability to access available supports, build on their professional practice and become strong collaborators. Graduate teachers will also be introduced to effective use of evidence-based professional practice resources. </w:t>
      </w:r>
    </w:p>
    <w:p w14:paraId="18E7F431" w14:textId="55922C46" w:rsidR="00330A66" w:rsidRPr="00831496" w:rsidRDefault="00330A66" w:rsidP="00330A66">
      <w:pPr>
        <w:rPr>
          <w:sz w:val="24"/>
          <w:lang w:val="en-AU"/>
        </w:rPr>
      </w:pPr>
      <w:r w:rsidRPr="00831496">
        <w:rPr>
          <w:sz w:val="24"/>
          <w:lang w:val="en-AU"/>
        </w:rPr>
        <w:t xml:space="preserve">For further information see: </w:t>
      </w:r>
      <w:hyperlink r:id="rId33" w:history="1">
        <w:r w:rsidR="00831496" w:rsidRPr="00831496">
          <w:rPr>
            <w:rStyle w:val="Hyperlink"/>
            <w:sz w:val="24"/>
            <w:lang w:val="en-AU"/>
          </w:rPr>
          <w:t>https://www.education.vic.gov.au/school/teachers/profdev/Pages/induction.aspx</w:t>
        </w:r>
      </w:hyperlink>
    </w:p>
    <w:p w14:paraId="158FBBA5" w14:textId="77777777" w:rsidR="00330A66" w:rsidRPr="00330A66" w:rsidRDefault="00330A66" w:rsidP="00330A66">
      <w:pPr>
        <w:pStyle w:val="Heading2"/>
        <w:rPr>
          <w:lang w:val="en-AU"/>
        </w:rPr>
      </w:pPr>
      <w:bookmarkStart w:id="27" w:name="_Toc2864080"/>
      <w:r w:rsidRPr="00330A66">
        <w:rPr>
          <w:lang w:val="en-AU"/>
        </w:rPr>
        <w:t>Professional Practice Days</w:t>
      </w:r>
      <w:bookmarkEnd w:id="27"/>
      <w:r w:rsidRPr="00330A66">
        <w:rPr>
          <w:lang w:val="en-AU"/>
        </w:rPr>
        <w:t xml:space="preserve"> </w:t>
      </w:r>
    </w:p>
    <w:p w14:paraId="461E5320" w14:textId="77777777" w:rsidR="00330A66" w:rsidRPr="00831496" w:rsidRDefault="00330A66" w:rsidP="00123242">
      <w:pPr>
        <w:spacing w:after="200"/>
        <w:rPr>
          <w:sz w:val="24"/>
          <w:lang w:val="en-AU"/>
        </w:rPr>
      </w:pPr>
      <w:r w:rsidRPr="00831496">
        <w:rPr>
          <w:sz w:val="24"/>
          <w:lang w:val="en-AU"/>
        </w:rPr>
        <w:t xml:space="preserve">The Victorian Government Schools Agreement 2017 provides that each teacher is entitled to one day per term (four days per year, pro rata for a teacher employed part time) released from their scheduled duties, including teaching, to focus on improved delivery of high-quality teaching and learning. </w:t>
      </w:r>
    </w:p>
    <w:p w14:paraId="1467D695" w14:textId="77777777" w:rsidR="00330A66" w:rsidRPr="00831496" w:rsidRDefault="00330A66" w:rsidP="00123242">
      <w:pPr>
        <w:spacing w:after="200"/>
        <w:rPr>
          <w:sz w:val="24"/>
          <w:lang w:val="en-AU"/>
        </w:rPr>
      </w:pPr>
      <w:r w:rsidRPr="00831496">
        <w:rPr>
          <w:sz w:val="24"/>
          <w:lang w:val="en-AU"/>
        </w:rPr>
        <w:t xml:space="preserve">The work undertaken on Professional Practice Days must be consistent with departmental and school priorities and selected from the following areas: planning, preparation, assessment of student learning, collaboration, curriculum development, relevant professional development and peer observation, including feedback and reflection. </w:t>
      </w:r>
    </w:p>
    <w:p w14:paraId="6E9FD171" w14:textId="77777777" w:rsidR="00330A66" w:rsidRPr="00831496" w:rsidRDefault="00330A66" w:rsidP="00123242">
      <w:pPr>
        <w:spacing w:after="200"/>
        <w:rPr>
          <w:sz w:val="24"/>
          <w:lang w:val="en-AU"/>
        </w:rPr>
      </w:pPr>
      <w:r w:rsidRPr="00831496">
        <w:rPr>
          <w:sz w:val="24"/>
          <w:lang w:val="en-AU"/>
        </w:rPr>
        <w:t>School leaders may review the Induction timeline and checklists for graduate teachers – Years 1 &amp; 2 and the Welcome pack checklist (</w:t>
      </w:r>
      <w:r w:rsidRPr="00276D83">
        <w:rPr>
          <w:b/>
          <w:sz w:val="24"/>
          <w:lang w:val="en-AU"/>
        </w:rPr>
        <w:t>Appendices 1 &amp; 2</w:t>
      </w:r>
      <w:r w:rsidRPr="00831496">
        <w:rPr>
          <w:sz w:val="24"/>
          <w:lang w:val="en-AU"/>
        </w:rPr>
        <w:t>) as a useful document to support discussions about the focus of graduate teachers’ Professional Practice Days.</w:t>
      </w:r>
    </w:p>
    <w:p w14:paraId="0432C88D" w14:textId="77777777" w:rsidR="00330A66" w:rsidRPr="00330A66" w:rsidRDefault="00330A66" w:rsidP="00330A66">
      <w:pPr>
        <w:pStyle w:val="Heading2"/>
        <w:rPr>
          <w:lang w:val="en-AU"/>
        </w:rPr>
      </w:pPr>
      <w:bookmarkStart w:id="28" w:name="_Toc2864081"/>
      <w:r w:rsidRPr="00330A66">
        <w:rPr>
          <w:lang w:val="en-AU"/>
        </w:rPr>
        <w:t>Providing peer observation opportunities</w:t>
      </w:r>
      <w:bookmarkEnd w:id="28"/>
      <w:r w:rsidRPr="00330A66">
        <w:rPr>
          <w:lang w:val="en-AU"/>
        </w:rPr>
        <w:t xml:space="preserve"> </w:t>
      </w:r>
    </w:p>
    <w:p w14:paraId="2B447D4D" w14:textId="0C9BD7E5" w:rsidR="00330A66" w:rsidRPr="00831496" w:rsidRDefault="00330A66" w:rsidP="00123242">
      <w:pPr>
        <w:spacing w:after="200"/>
        <w:rPr>
          <w:sz w:val="24"/>
          <w:lang w:val="en-AU"/>
        </w:rPr>
      </w:pPr>
      <w:r w:rsidRPr="00831496">
        <w:rPr>
          <w:sz w:val="24"/>
          <w:lang w:val="en-AU"/>
        </w:rPr>
        <w:t xml:space="preserve">School leaders will support graduate teachers to participate in </w:t>
      </w:r>
      <w:hyperlink r:id="rId34" w:history="1">
        <w:r w:rsidRPr="009E2CFE">
          <w:rPr>
            <w:rStyle w:val="Hyperlink"/>
            <w:sz w:val="24"/>
            <w:lang w:val="en-AU"/>
          </w:rPr>
          <w:t>peer observation</w:t>
        </w:r>
      </w:hyperlink>
      <w:r w:rsidRPr="00831496">
        <w:rPr>
          <w:sz w:val="24"/>
          <w:lang w:val="en-AU"/>
        </w:rPr>
        <w:t xml:space="preserve"> early on in their career to observe best practice across the school and gain better understanding of their own practice. Teacher mentors will guide graduate teachers through the first peer observation activities. </w:t>
      </w:r>
    </w:p>
    <w:p w14:paraId="7D87AFA9" w14:textId="77777777" w:rsidR="00330A66" w:rsidRPr="00831496" w:rsidRDefault="00330A66" w:rsidP="00123242">
      <w:pPr>
        <w:spacing w:after="200"/>
        <w:rPr>
          <w:sz w:val="24"/>
          <w:lang w:val="en-AU"/>
        </w:rPr>
      </w:pPr>
      <w:r w:rsidRPr="00831496">
        <w:rPr>
          <w:sz w:val="24"/>
          <w:lang w:val="en-AU"/>
        </w:rPr>
        <w:t xml:space="preserve">The purpose of peer observation is to improve teaching practice through a structured feedback dialogue against a set of agreed criteria with a focus on progressing student learning. Using an inquiry cycle, teachers can evaluate the impact of their practice on student learning and identify areas for improvement. </w:t>
      </w:r>
    </w:p>
    <w:p w14:paraId="596AEB8A" w14:textId="77777777" w:rsidR="00330A66" w:rsidRPr="00831496" w:rsidRDefault="00330A66" w:rsidP="00123242">
      <w:pPr>
        <w:spacing w:after="200"/>
        <w:rPr>
          <w:sz w:val="24"/>
          <w:lang w:val="en-AU"/>
        </w:rPr>
      </w:pPr>
      <w:r w:rsidRPr="00831496">
        <w:rPr>
          <w:sz w:val="24"/>
          <w:lang w:val="en-AU"/>
        </w:rPr>
        <w:t xml:space="preserve">The Department offers a number of resources to support peer observation including practical guides, tools and templates. The cycle of peer observation in the figure below provides a basis for the implementation of peer observation, reflection and feedback. </w:t>
      </w:r>
    </w:p>
    <w:p w14:paraId="75DB04CA" w14:textId="77777777" w:rsidR="00330A66" w:rsidRPr="00831496" w:rsidRDefault="00330A66" w:rsidP="00123242">
      <w:pPr>
        <w:spacing w:after="200"/>
        <w:rPr>
          <w:sz w:val="24"/>
          <w:lang w:val="en-AU"/>
        </w:rPr>
      </w:pPr>
      <w:r w:rsidRPr="00831496">
        <w:rPr>
          <w:sz w:val="24"/>
          <w:lang w:val="en-AU"/>
        </w:rPr>
        <w:lastRenderedPageBreak/>
        <w:t xml:space="preserve">The peer observation process follows five important steps: </w:t>
      </w:r>
    </w:p>
    <w:p w14:paraId="6E53BCA8" w14:textId="057ECC8D" w:rsidR="00330A66" w:rsidRPr="00831496" w:rsidRDefault="00330A66" w:rsidP="00330A66">
      <w:pPr>
        <w:pStyle w:val="Numberlist"/>
        <w:rPr>
          <w:sz w:val="24"/>
        </w:rPr>
      </w:pPr>
      <w:r w:rsidRPr="00831496">
        <w:rPr>
          <w:sz w:val="24"/>
        </w:rPr>
        <w:t xml:space="preserve">Teacher self-reflection: graduate teachers reflect on their practice and identify possible areas of focus to guide the upcoming peer observation activities. </w:t>
      </w:r>
    </w:p>
    <w:p w14:paraId="1D795BDD" w14:textId="51A56834" w:rsidR="00330A66" w:rsidRPr="00831496" w:rsidRDefault="00330A66" w:rsidP="00330A66">
      <w:pPr>
        <w:pStyle w:val="Numberlist"/>
        <w:rPr>
          <w:sz w:val="24"/>
        </w:rPr>
      </w:pPr>
      <w:r w:rsidRPr="00831496">
        <w:rPr>
          <w:sz w:val="24"/>
        </w:rPr>
        <w:t xml:space="preserve">Pre-observation conversation: graduate teachers meet with teacher mentors to discuss the focus and the plan for conducting the upcoming peer observations. The developmental nature of peer observation should be discussed and agreed upon prior to commencing the peer observation activities. </w:t>
      </w:r>
    </w:p>
    <w:p w14:paraId="53C5F73D" w14:textId="61D769AF" w:rsidR="00330A66" w:rsidRPr="00831496" w:rsidRDefault="00330A66" w:rsidP="00330A66">
      <w:pPr>
        <w:pStyle w:val="Numberlist"/>
        <w:rPr>
          <w:sz w:val="24"/>
        </w:rPr>
      </w:pPr>
      <w:r w:rsidRPr="00831496">
        <w:rPr>
          <w:sz w:val="24"/>
        </w:rPr>
        <w:t xml:space="preserve">Peer observation: teachers participate in peer observation to learn from one another, building a shared understanding of effective practice. Teacher mentors support graduate teachers to: </w:t>
      </w:r>
    </w:p>
    <w:p w14:paraId="6CAAC3B6" w14:textId="683B7E97" w:rsidR="00330A66" w:rsidRPr="00831496" w:rsidRDefault="00330A66" w:rsidP="00330A66">
      <w:pPr>
        <w:pStyle w:val="Bullet1"/>
        <w:rPr>
          <w:sz w:val="24"/>
        </w:rPr>
      </w:pPr>
      <w:r w:rsidRPr="00831496">
        <w:rPr>
          <w:sz w:val="24"/>
        </w:rPr>
        <w:t xml:space="preserve">observe examples of best practice in the teacher mentor’s and other colleagues’ classrooms </w:t>
      </w:r>
    </w:p>
    <w:p w14:paraId="6E23142D" w14:textId="7F1CC823" w:rsidR="00330A66" w:rsidRPr="00831496" w:rsidRDefault="00330A66" w:rsidP="00330A66">
      <w:pPr>
        <w:pStyle w:val="Bullet1"/>
        <w:rPr>
          <w:sz w:val="24"/>
        </w:rPr>
      </w:pPr>
      <w:proofErr w:type="gramStart"/>
      <w:r w:rsidRPr="00831496">
        <w:rPr>
          <w:sz w:val="24"/>
        </w:rPr>
        <w:t>deliver</w:t>
      </w:r>
      <w:proofErr w:type="gramEnd"/>
      <w:r w:rsidRPr="00831496">
        <w:rPr>
          <w:sz w:val="24"/>
        </w:rPr>
        <w:t xml:space="preserve"> lessons that are observed by teacher mentors. </w:t>
      </w:r>
    </w:p>
    <w:p w14:paraId="141F82C9" w14:textId="1A819EA9" w:rsidR="00330A66" w:rsidRPr="00831496" w:rsidRDefault="00330A66" w:rsidP="00330A66">
      <w:pPr>
        <w:pStyle w:val="Numberlist"/>
        <w:rPr>
          <w:sz w:val="24"/>
        </w:rPr>
      </w:pPr>
      <w:r w:rsidRPr="00831496">
        <w:rPr>
          <w:sz w:val="24"/>
        </w:rPr>
        <w:t>Teacher and observer reflection: following the observation, graduate teachers and teacher mentors reflect on the observed teaching episodes, review evidence of learning and discuss both areas of strength and areas for improvement. Teacher mentors provide constructive and specific feedback, based on agreed criteria with a focus on progressing student learning.</w:t>
      </w:r>
    </w:p>
    <w:p w14:paraId="3FB8680D" w14:textId="47B2C81A" w:rsidR="00330A66" w:rsidRPr="00831496" w:rsidRDefault="00330A66" w:rsidP="00330A66">
      <w:pPr>
        <w:pStyle w:val="Numberlist"/>
        <w:rPr>
          <w:sz w:val="24"/>
        </w:rPr>
      </w:pPr>
      <w:r w:rsidRPr="00831496">
        <w:rPr>
          <w:sz w:val="24"/>
        </w:rPr>
        <w:t>Post-observation conversation: based on reflections, graduate teachers work with teacher mentors to design and implement new strategies to improve teaching and learning.</w:t>
      </w:r>
    </w:p>
    <w:p w14:paraId="777A6D6B" w14:textId="4AD2C9C6" w:rsidR="00330A66" w:rsidRDefault="00330A66" w:rsidP="00123242">
      <w:pPr>
        <w:spacing w:after="200"/>
        <w:rPr>
          <w:sz w:val="24"/>
          <w:lang w:val="en-AU"/>
        </w:rPr>
      </w:pPr>
      <w:r w:rsidRPr="00831496">
        <w:rPr>
          <w:sz w:val="24"/>
          <w:lang w:val="en-AU"/>
        </w:rPr>
        <w:t xml:space="preserve">For further information see: </w:t>
      </w:r>
      <w:hyperlink r:id="rId35" w:history="1">
        <w:r w:rsidR="00831496" w:rsidRPr="00112A60">
          <w:rPr>
            <w:rStyle w:val="Hyperlink"/>
            <w:sz w:val="24"/>
            <w:lang w:val="en-AU"/>
          </w:rPr>
          <w:t>https://www.education.vic.gov.au/school/teachers/teachingresources/practice/improve/Pages/peerobservation.aspx?&amp;Redirect=1</w:t>
        </w:r>
      </w:hyperlink>
    </w:p>
    <w:p w14:paraId="0E0E7B9A" w14:textId="77777777" w:rsidR="004F3B5C" w:rsidRDefault="004F3B5C" w:rsidP="00330A66">
      <w:pPr>
        <w:rPr>
          <w:noProof/>
          <w:lang w:val="en-AU" w:eastAsia="en-AU"/>
        </w:rPr>
      </w:pPr>
    </w:p>
    <w:p w14:paraId="0E08FBF2" w14:textId="42F3A77E" w:rsidR="00330A66" w:rsidRDefault="000A49EF" w:rsidP="00330A66">
      <w:pPr>
        <w:rPr>
          <w:noProof/>
          <w:lang w:eastAsia="en-AU"/>
        </w:rPr>
      </w:pPr>
      <w:r w:rsidRPr="002C1D4F">
        <w:rPr>
          <w:noProof/>
          <w:lang w:val="en-AU" w:eastAsia="en-AU"/>
        </w:rPr>
        <w:lastRenderedPageBreak/>
        <w:drawing>
          <wp:inline distT="0" distB="0" distL="0" distR="0" wp14:anchorId="4F0F9F8A" wp14:editId="61C8AD89">
            <wp:extent cx="5190476" cy="3638095"/>
            <wp:effectExtent l="0" t="0" r="0" b="635"/>
            <wp:docPr id="1" name="Picture 1" title="Cycle of peer obser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190476" cy="3638095"/>
                    </a:xfrm>
                    <a:prstGeom prst="rect">
                      <a:avLst/>
                    </a:prstGeom>
                  </pic:spPr>
                </pic:pic>
              </a:graphicData>
            </a:graphic>
          </wp:inline>
        </w:drawing>
      </w:r>
    </w:p>
    <w:p w14:paraId="46F8CFFE" w14:textId="77777777" w:rsidR="00330A66" w:rsidRDefault="00330A66" w:rsidP="003518BD">
      <w:pPr>
        <w:pStyle w:val="Heading2"/>
        <w:rPr>
          <w:noProof/>
          <w:lang w:eastAsia="en-AU"/>
        </w:rPr>
      </w:pPr>
      <w:bookmarkStart w:id="29" w:name="_Toc2864082"/>
      <w:r>
        <w:rPr>
          <w:noProof/>
          <w:lang w:eastAsia="en-AU"/>
        </w:rPr>
        <w:t>Supporting graduate teachers through provision of a mentor teacher</w:t>
      </w:r>
      <w:bookmarkEnd w:id="29"/>
      <w:r>
        <w:rPr>
          <w:noProof/>
          <w:lang w:eastAsia="en-AU"/>
        </w:rPr>
        <w:t xml:space="preserve"> </w:t>
      </w:r>
    </w:p>
    <w:p w14:paraId="5250152B" w14:textId="77777777" w:rsidR="00330A66" w:rsidRPr="00123242" w:rsidRDefault="00330A66" w:rsidP="00123242">
      <w:pPr>
        <w:spacing w:after="200"/>
        <w:rPr>
          <w:sz w:val="24"/>
          <w:lang w:val="en-AU"/>
        </w:rPr>
      </w:pPr>
      <w:r w:rsidRPr="00123242">
        <w:rPr>
          <w:sz w:val="24"/>
          <w:lang w:val="en-AU"/>
        </w:rPr>
        <w:t xml:space="preserve">Mentoring is an important formative influence on graduate teachers’ professional practice and identity. The role of principals and school leaders is to: </w:t>
      </w:r>
    </w:p>
    <w:p w14:paraId="654900EA" w14:textId="6BB0185E" w:rsidR="00330A66" w:rsidRPr="00831496" w:rsidRDefault="00330A66" w:rsidP="00330A66">
      <w:pPr>
        <w:pStyle w:val="Bullet1"/>
        <w:rPr>
          <w:noProof/>
          <w:sz w:val="24"/>
          <w:lang w:eastAsia="en-AU"/>
        </w:rPr>
      </w:pPr>
      <w:r w:rsidRPr="00831496">
        <w:rPr>
          <w:noProof/>
          <w:sz w:val="24"/>
          <w:lang w:eastAsia="en-AU"/>
        </w:rPr>
        <w:t xml:space="preserve">become familiar with the EMP, including the roles of teacher mentors and the school in supporting graduate teacher development and wellbeing </w:t>
      </w:r>
    </w:p>
    <w:p w14:paraId="3CB4F93C" w14:textId="5ACE4F0B" w:rsidR="00330A66" w:rsidRPr="00831496" w:rsidRDefault="00330A66" w:rsidP="00330A66">
      <w:pPr>
        <w:pStyle w:val="Bullet1"/>
        <w:rPr>
          <w:noProof/>
          <w:sz w:val="24"/>
          <w:lang w:eastAsia="en-AU"/>
        </w:rPr>
      </w:pPr>
      <w:r w:rsidRPr="00831496">
        <w:rPr>
          <w:noProof/>
          <w:sz w:val="24"/>
          <w:lang w:eastAsia="en-AU"/>
        </w:rPr>
        <w:t xml:space="preserve">ensure that candidates for teacher mentor roles are selected in a timely manner based on clear criteria informed by the MCF </w:t>
      </w:r>
    </w:p>
    <w:p w14:paraId="05CA3FAD" w14:textId="358D20EB" w:rsidR="00330A66" w:rsidRPr="00831496" w:rsidRDefault="00330A66" w:rsidP="00330A66">
      <w:pPr>
        <w:pStyle w:val="Bullet1"/>
        <w:rPr>
          <w:noProof/>
          <w:sz w:val="24"/>
          <w:lang w:eastAsia="en-AU"/>
        </w:rPr>
      </w:pPr>
      <w:r w:rsidRPr="00831496">
        <w:rPr>
          <w:noProof/>
          <w:sz w:val="24"/>
          <w:lang w:eastAsia="en-AU"/>
        </w:rPr>
        <w:t xml:space="preserve">provide release from duties and appropriate support to prospective teacher mentors to undertake full EMP or refresher training </w:t>
      </w:r>
    </w:p>
    <w:p w14:paraId="3AF99143" w14:textId="07EC2651" w:rsidR="00330A66" w:rsidRPr="00831496" w:rsidRDefault="00330A66" w:rsidP="00330A66">
      <w:pPr>
        <w:pStyle w:val="Bullet1"/>
        <w:rPr>
          <w:noProof/>
          <w:sz w:val="24"/>
          <w:lang w:eastAsia="en-AU"/>
        </w:rPr>
      </w:pPr>
      <w:r w:rsidRPr="00831496">
        <w:rPr>
          <w:noProof/>
          <w:sz w:val="24"/>
          <w:lang w:eastAsia="en-AU"/>
        </w:rPr>
        <w:t xml:space="preserve">provide ongoing support to teacher mentors within the school and encourage them to access the supports available at the system level </w:t>
      </w:r>
    </w:p>
    <w:p w14:paraId="134680C6" w14:textId="6C16B8BA" w:rsidR="00330A66" w:rsidRPr="00831496" w:rsidRDefault="00330A66" w:rsidP="00330A66">
      <w:pPr>
        <w:pStyle w:val="Bullet1"/>
        <w:rPr>
          <w:noProof/>
          <w:sz w:val="24"/>
          <w:lang w:eastAsia="en-AU"/>
        </w:rPr>
      </w:pPr>
      <w:r w:rsidRPr="00831496">
        <w:rPr>
          <w:noProof/>
          <w:sz w:val="24"/>
          <w:lang w:eastAsia="en-AU"/>
        </w:rPr>
        <w:t xml:space="preserve">carefully consider within the school context, individual needs of graduate teachers as well as knowledge, skills and experience of teacher mentors when matching mentors with mentees </w:t>
      </w:r>
    </w:p>
    <w:p w14:paraId="12C6DFB5" w14:textId="4D766475" w:rsidR="00330A66" w:rsidRPr="00831496" w:rsidRDefault="00330A66" w:rsidP="00330A66">
      <w:pPr>
        <w:pStyle w:val="Bullet1"/>
        <w:rPr>
          <w:noProof/>
          <w:sz w:val="24"/>
          <w:lang w:eastAsia="en-AU"/>
        </w:rPr>
      </w:pPr>
      <w:r w:rsidRPr="00831496">
        <w:rPr>
          <w:noProof/>
          <w:sz w:val="24"/>
          <w:lang w:eastAsia="en-AU"/>
        </w:rPr>
        <w:t xml:space="preserve">take into account a graduate teachers’ needs and abilities when adjusting graduate teachers’ teaching load and class allocation in the first two years of teaching </w:t>
      </w:r>
    </w:p>
    <w:p w14:paraId="7280E9EF" w14:textId="7FE60B39" w:rsidR="00330A66" w:rsidRPr="00831496" w:rsidRDefault="00330A66" w:rsidP="00330A66">
      <w:pPr>
        <w:pStyle w:val="Bullet1"/>
        <w:rPr>
          <w:noProof/>
          <w:sz w:val="24"/>
          <w:lang w:eastAsia="en-AU"/>
        </w:rPr>
      </w:pPr>
      <w:r w:rsidRPr="00831496">
        <w:rPr>
          <w:noProof/>
          <w:sz w:val="24"/>
          <w:lang w:eastAsia="en-AU"/>
        </w:rPr>
        <w:t xml:space="preserve">enable collaboration among all teachers within the school, including PLCs, and encourage teacher mentors to share their knowledge and experience within a wider school network to continue building up mentoring skills </w:t>
      </w:r>
    </w:p>
    <w:p w14:paraId="569B6517" w14:textId="794BBD75" w:rsidR="00330A66" w:rsidRPr="00831496" w:rsidRDefault="00330A66" w:rsidP="00330A66">
      <w:pPr>
        <w:pStyle w:val="Bullet1"/>
        <w:rPr>
          <w:noProof/>
          <w:sz w:val="24"/>
          <w:lang w:eastAsia="en-AU"/>
        </w:rPr>
      </w:pPr>
      <w:r w:rsidRPr="00831496">
        <w:rPr>
          <w:noProof/>
          <w:sz w:val="24"/>
          <w:lang w:eastAsia="en-AU"/>
        </w:rPr>
        <w:lastRenderedPageBreak/>
        <w:t xml:space="preserve">carefully monitor the mentoring process, collecting relevant data to evaluate the success of the mentoring program and adjust supports if needed </w:t>
      </w:r>
    </w:p>
    <w:p w14:paraId="675D0078" w14:textId="72EB87FB" w:rsidR="00330A66" w:rsidRPr="00831496" w:rsidRDefault="00330A66" w:rsidP="00330A66">
      <w:pPr>
        <w:pStyle w:val="Bullet1"/>
        <w:rPr>
          <w:noProof/>
          <w:sz w:val="24"/>
          <w:lang w:eastAsia="en-AU"/>
        </w:rPr>
      </w:pPr>
      <w:r w:rsidRPr="00831496">
        <w:rPr>
          <w:noProof/>
          <w:sz w:val="24"/>
          <w:lang w:eastAsia="en-AU"/>
        </w:rPr>
        <w:t>establish a school-based leadership role as graduate teacher induction and mentoring coordinator.</w:t>
      </w:r>
    </w:p>
    <w:p w14:paraId="29895CE7" w14:textId="77777777" w:rsidR="00330A66" w:rsidRPr="00330A66" w:rsidRDefault="00330A66" w:rsidP="00330A66">
      <w:pPr>
        <w:pStyle w:val="Heading2"/>
        <w:rPr>
          <w:lang w:val="en-AU" w:eastAsia="en-AU"/>
        </w:rPr>
      </w:pPr>
      <w:bookmarkStart w:id="30" w:name="_Toc2864083"/>
      <w:r w:rsidRPr="00330A66">
        <w:rPr>
          <w:lang w:val="en-AU" w:eastAsia="en-AU"/>
        </w:rPr>
        <w:t>Effective Mentoring Program</w:t>
      </w:r>
      <w:bookmarkEnd w:id="30"/>
    </w:p>
    <w:p w14:paraId="15BDD406" w14:textId="175FD460" w:rsidR="00330A66" w:rsidRPr="00831496" w:rsidRDefault="00330A66" w:rsidP="00123242">
      <w:pPr>
        <w:spacing w:after="200"/>
        <w:rPr>
          <w:sz w:val="24"/>
          <w:lang w:val="en-AU"/>
        </w:rPr>
      </w:pPr>
      <w:r w:rsidRPr="00831496">
        <w:rPr>
          <w:sz w:val="24"/>
          <w:lang w:val="en-AU"/>
        </w:rPr>
        <w:t xml:space="preserve">All teacher mentors should be trained through the </w:t>
      </w:r>
      <w:hyperlink r:id="rId37" w:history="1">
        <w:r w:rsidRPr="009E2CFE">
          <w:rPr>
            <w:rStyle w:val="Hyperlink"/>
            <w:sz w:val="24"/>
            <w:lang w:val="en-AU"/>
          </w:rPr>
          <w:t>EMP</w:t>
        </w:r>
      </w:hyperlink>
      <w:r w:rsidRPr="00831496">
        <w:rPr>
          <w:sz w:val="24"/>
          <w:lang w:val="en-AU"/>
        </w:rPr>
        <w:t xml:space="preserve">, which has been jointly developed by the Department and the VIT. This program is delivered to all Victorian government schools free of charge to facilitate graduate teacher induction and maintain consistently high standards of mentoring across the system. The EMP provides opportunities for experienced teachers to develop their mentoring skills and provide the support required to induct and build the professional practice of beginning teachers. </w:t>
      </w:r>
    </w:p>
    <w:p w14:paraId="2E7BB64F" w14:textId="77777777" w:rsidR="00330A66" w:rsidRPr="00831496" w:rsidRDefault="00330A66" w:rsidP="00123242">
      <w:pPr>
        <w:spacing w:after="200"/>
        <w:rPr>
          <w:sz w:val="24"/>
          <w:lang w:val="en-AU"/>
        </w:rPr>
      </w:pPr>
      <w:r w:rsidRPr="00831496">
        <w:rPr>
          <w:sz w:val="24"/>
          <w:lang w:val="en-AU"/>
        </w:rPr>
        <w:t>The two-day EMP provides teachers with the mentoring skills to support graduate teachers through ongoing professional learning embedded in their day-to-day practice, and therefore build the capacity of PRT as they move to full registration. The EMP will help both mentors and mentees to view mentoring as developmental, evidence-based and collaborative.</w:t>
      </w:r>
    </w:p>
    <w:p w14:paraId="50CC8FA9" w14:textId="640A726E" w:rsidR="00330A66" w:rsidRPr="004F3B5C" w:rsidRDefault="00330A66" w:rsidP="00330A66">
      <w:pPr>
        <w:pStyle w:val="IntenseQuote"/>
        <w:rPr>
          <w:sz w:val="24"/>
          <w:lang w:val="en-AU" w:eastAsia="en-AU"/>
        </w:rPr>
      </w:pPr>
      <w:r w:rsidRPr="004F3B5C">
        <w:rPr>
          <w:sz w:val="24"/>
          <w:lang w:val="en-AU" w:eastAsia="en-AU"/>
        </w:rPr>
        <w:t>New teachers need a like-minded support network to help the</w:t>
      </w:r>
      <w:r w:rsidR="004F3B5C">
        <w:rPr>
          <w:sz w:val="24"/>
          <w:lang w:val="en-AU" w:eastAsia="en-AU"/>
        </w:rPr>
        <w:t xml:space="preserve">m through difficult challenges – </w:t>
      </w:r>
      <w:r w:rsidRPr="004F3B5C">
        <w:rPr>
          <w:sz w:val="24"/>
          <w:lang w:val="en-AU" w:eastAsia="en-AU"/>
        </w:rPr>
        <w:t>Graduate Teacher 2018</w:t>
      </w:r>
    </w:p>
    <w:p w14:paraId="40129D38" w14:textId="77777777" w:rsidR="00330A66" w:rsidRPr="00330A66" w:rsidRDefault="00330A66" w:rsidP="00330A66">
      <w:pPr>
        <w:pStyle w:val="Heading2"/>
        <w:rPr>
          <w:lang w:val="en-AU" w:eastAsia="en-AU"/>
        </w:rPr>
      </w:pPr>
      <w:bookmarkStart w:id="31" w:name="_Toc2864084"/>
      <w:r w:rsidRPr="00330A66">
        <w:rPr>
          <w:lang w:val="en-AU" w:eastAsia="en-AU"/>
        </w:rPr>
        <w:t>Mentoring Capability Framework</w:t>
      </w:r>
      <w:bookmarkEnd w:id="31"/>
      <w:r w:rsidRPr="00330A66">
        <w:rPr>
          <w:lang w:val="en-AU" w:eastAsia="en-AU"/>
        </w:rPr>
        <w:t xml:space="preserve"> </w:t>
      </w:r>
    </w:p>
    <w:p w14:paraId="25264CA8" w14:textId="137134CC" w:rsidR="00330A66" w:rsidRPr="00831496" w:rsidRDefault="00330A66" w:rsidP="00123242">
      <w:pPr>
        <w:spacing w:after="200"/>
        <w:rPr>
          <w:sz w:val="24"/>
          <w:lang w:val="en-AU"/>
        </w:rPr>
      </w:pPr>
      <w:r w:rsidRPr="00831496">
        <w:rPr>
          <w:sz w:val="24"/>
          <w:lang w:val="en-AU"/>
        </w:rPr>
        <w:t xml:space="preserve">Teacher mentor training is based on the MCF. The framework sets out expectations and behaviours for mentees, mentors and schools in the six domains shown in </w:t>
      </w:r>
      <w:r w:rsidRPr="00123242">
        <w:rPr>
          <w:sz w:val="24"/>
          <w:lang w:val="en-AU"/>
        </w:rPr>
        <w:t xml:space="preserve">the diagram on page </w:t>
      </w:r>
      <w:r w:rsidR="00276D83">
        <w:rPr>
          <w:sz w:val="24"/>
          <w:lang w:val="en-AU"/>
        </w:rPr>
        <w:t>17</w:t>
      </w:r>
      <w:r w:rsidRPr="00123242">
        <w:rPr>
          <w:sz w:val="24"/>
          <w:lang w:val="en-AU"/>
        </w:rPr>
        <w:t>.</w:t>
      </w:r>
      <w:r w:rsidRPr="00831496">
        <w:rPr>
          <w:sz w:val="24"/>
          <w:lang w:val="en-AU"/>
        </w:rPr>
        <w:t xml:space="preserve"> </w:t>
      </w:r>
    </w:p>
    <w:p w14:paraId="1E180FCD" w14:textId="25D8B916" w:rsidR="00330A66" w:rsidRPr="00831496" w:rsidRDefault="00330A66" w:rsidP="00330A66">
      <w:pPr>
        <w:rPr>
          <w:sz w:val="24"/>
          <w:lang w:val="en-AU" w:eastAsia="en-AU"/>
        </w:rPr>
      </w:pPr>
      <w:r w:rsidRPr="00831496">
        <w:rPr>
          <w:sz w:val="24"/>
          <w:lang w:val="en-AU" w:eastAsia="en-AU"/>
        </w:rPr>
        <w:t xml:space="preserve">For further information see: </w:t>
      </w:r>
      <w:hyperlink r:id="rId38" w:history="1">
        <w:r w:rsidRPr="00831496">
          <w:rPr>
            <w:rStyle w:val="Hyperlink"/>
            <w:sz w:val="24"/>
            <w:lang w:val="en-AU" w:eastAsia="en-AU"/>
          </w:rPr>
          <w:t>https://www.education.vic.gov.au/school/teachers/profdev/Pages/mentor.aspx</w:t>
        </w:r>
      </w:hyperlink>
    </w:p>
    <w:p w14:paraId="0346E5DD" w14:textId="77777777" w:rsidR="003376F3" w:rsidRPr="003376F3" w:rsidRDefault="003376F3" w:rsidP="003376F3">
      <w:pPr>
        <w:pStyle w:val="Heading2"/>
        <w:rPr>
          <w:lang w:val="en-AU" w:eastAsia="en-AU"/>
        </w:rPr>
      </w:pPr>
      <w:bookmarkStart w:id="32" w:name="_Toc2864085"/>
      <w:r w:rsidRPr="003376F3">
        <w:rPr>
          <w:lang w:val="en-AU" w:eastAsia="en-AU"/>
        </w:rPr>
        <w:t>Supporting graduate teachers in Professional Learning Communities</w:t>
      </w:r>
      <w:bookmarkEnd w:id="32"/>
      <w:r w:rsidRPr="003376F3">
        <w:rPr>
          <w:lang w:val="en-AU" w:eastAsia="en-AU"/>
        </w:rPr>
        <w:t xml:space="preserve"> </w:t>
      </w:r>
    </w:p>
    <w:p w14:paraId="51ED0216" w14:textId="381F1857" w:rsidR="003376F3" w:rsidRPr="00831496" w:rsidRDefault="009E2CFE" w:rsidP="00123242">
      <w:pPr>
        <w:spacing w:after="200"/>
        <w:rPr>
          <w:sz w:val="24"/>
          <w:lang w:val="en-AU"/>
        </w:rPr>
      </w:pPr>
      <w:hyperlink r:id="rId39" w:history="1">
        <w:r w:rsidR="003376F3" w:rsidRPr="009E2CFE">
          <w:rPr>
            <w:rStyle w:val="Hyperlink"/>
            <w:sz w:val="24"/>
            <w:lang w:val="en-AU"/>
          </w:rPr>
          <w:t>Professional Learning Communities</w:t>
        </w:r>
      </w:hyperlink>
      <w:r w:rsidR="003376F3" w:rsidRPr="00123242">
        <w:rPr>
          <w:sz w:val="24"/>
          <w:lang w:val="en-AU"/>
        </w:rPr>
        <w:t xml:space="preserve"> (PLCs)</w:t>
      </w:r>
      <w:r w:rsidR="003376F3" w:rsidRPr="00831496">
        <w:rPr>
          <w:sz w:val="24"/>
          <w:lang w:val="en-AU"/>
        </w:rPr>
        <w:t xml:space="preserve"> are an approach to school improvement where groups of teachers work collaboratively at the school level to improve student outcomes. Schools are responsible for creating conditions conducive to teachers working together and welcoming graduate teachers into PLCs. Building PLCs helps create a school culture that is: </w:t>
      </w:r>
    </w:p>
    <w:p w14:paraId="0C75E5AE" w14:textId="27C3056D" w:rsidR="003376F3" w:rsidRPr="00831496" w:rsidRDefault="003376F3" w:rsidP="003518BD">
      <w:pPr>
        <w:pStyle w:val="Bullet1"/>
        <w:rPr>
          <w:sz w:val="24"/>
        </w:rPr>
      </w:pPr>
      <w:r w:rsidRPr="00831496">
        <w:rPr>
          <w:sz w:val="24"/>
        </w:rPr>
        <w:t xml:space="preserve">focused on continuous improvement by linking the learning needs, interests and abilities of students with the professional learning and practice of teachers </w:t>
      </w:r>
    </w:p>
    <w:p w14:paraId="21F90CF8" w14:textId="735EA6F7" w:rsidR="003376F3" w:rsidRPr="00831496" w:rsidRDefault="003376F3" w:rsidP="003518BD">
      <w:pPr>
        <w:pStyle w:val="Bullet1"/>
        <w:rPr>
          <w:sz w:val="24"/>
        </w:rPr>
      </w:pPr>
      <w:r w:rsidRPr="00831496">
        <w:rPr>
          <w:sz w:val="24"/>
        </w:rPr>
        <w:t xml:space="preserve">committed to professionalism </w:t>
      </w:r>
    </w:p>
    <w:p w14:paraId="6A7347E1" w14:textId="62614CBE" w:rsidR="003376F3" w:rsidRPr="00831496" w:rsidRDefault="003376F3" w:rsidP="003518BD">
      <w:pPr>
        <w:pStyle w:val="Bullet1"/>
        <w:rPr>
          <w:sz w:val="24"/>
        </w:rPr>
      </w:pPr>
      <w:proofErr w:type="gramStart"/>
      <w:r w:rsidRPr="00831496">
        <w:rPr>
          <w:sz w:val="24"/>
        </w:rPr>
        <w:t>fuelled</w:t>
      </w:r>
      <w:proofErr w:type="gramEnd"/>
      <w:r w:rsidRPr="00831496">
        <w:rPr>
          <w:sz w:val="24"/>
        </w:rPr>
        <w:t xml:space="preserve"> by collaborative expertise. </w:t>
      </w:r>
    </w:p>
    <w:p w14:paraId="10448BA0" w14:textId="77777777" w:rsidR="003376F3" w:rsidRPr="00831496" w:rsidRDefault="003376F3" w:rsidP="00123242">
      <w:pPr>
        <w:spacing w:after="200"/>
        <w:rPr>
          <w:sz w:val="24"/>
          <w:lang w:val="en-AU"/>
        </w:rPr>
      </w:pPr>
      <w:r w:rsidRPr="00831496">
        <w:rPr>
          <w:sz w:val="24"/>
          <w:lang w:val="en-AU"/>
        </w:rPr>
        <w:lastRenderedPageBreak/>
        <w:t xml:space="preserve">A specific focus of PLC implementation relevant to graduate teachers is the role of PLC Instructional Leaders. Instructional Leaders are classroom-based specialists who work directly with teachers to improve classroom practice. Graduate teachers should work with Instructional Leaders from their commencement. </w:t>
      </w:r>
    </w:p>
    <w:p w14:paraId="7B57B5DD" w14:textId="57EB2273" w:rsidR="00330A66" w:rsidRPr="00831496" w:rsidRDefault="003376F3" w:rsidP="00123242">
      <w:pPr>
        <w:spacing w:after="200"/>
        <w:rPr>
          <w:sz w:val="24"/>
          <w:lang w:val="en-AU"/>
        </w:rPr>
      </w:pPr>
      <w:r w:rsidRPr="00831496">
        <w:rPr>
          <w:sz w:val="24"/>
          <w:lang w:val="en-AU"/>
        </w:rPr>
        <w:t>PLC Instructional Leaders work with other PLC schools in their geographic area to share effective practice and solve common problems. Over time these networks of ‘middle leaders’ will bring together common school improvement priorities.</w:t>
      </w:r>
    </w:p>
    <w:p w14:paraId="72958677" w14:textId="63E2708B" w:rsidR="003376F3" w:rsidRPr="00507B15" w:rsidRDefault="00507B15" w:rsidP="00507B15">
      <w:pPr>
        <w:pStyle w:val="Heading2"/>
      </w:pPr>
      <w:bookmarkStart w:id="33" w:name="_Toc2864086"/>
      <w:r w:rsidRPr="00060733">
        <w:rPr>
          <w:noProof/>
          <w:sz w:val="24"/>
          <w:lang w:val="en-AU" w:eastAsia="en-AU"/>
        </w:rPr>
        <w:drawing>
          <wp:anchor distT="0" distB="0" distL="114300" distR="114300" simplePos="0" relativeHeight="251665408" behindDoc="0" locked="0" layoutInCell="1" allowOverlap="1" wp14:anchorId="48ADBA02" wp14:editId="3AE714EE">
            <wp:simplePos x="0" y="0"/>
            <wp:positionH relativeFrom="margin">
              <wp:align>left</wp:align>
            </wp:positionH>
            <wp:positionV relativeFrom="paragraph">
              <wp:posOffset>270510</wp:posOffset>
            </wp:positionV>
            <wp:extent cx="4252595" cy="4215130"/>
            <wp:effectExtent l="0" t="0" r="0" b="0"/>
            <wp:wrapTopAndBottom/>
            <wp:docPr id="3" name="Picture 3" descr="Effective Mentoring:&#10;Domain 1 Teaching and Learning&#10;Domain 2 Professional Identity&#10;Domain 3 Communication and Interpersonal Skills&#10;Domain 4 Collaborative Partnerships&#10;Domain 5 Professional Generosity and Empathy&#10;Domain 6 Professional Culture and Context" title="Figure 1.2 The domains of effective ment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cstate="screen">
                      <a:extLst>
                        <a:ext uri="{28A0092B-C50C-407E-A947-70E740481C1C}">
                          <a14:useLocalDpi xmlns:a14="http://schemas.microsoft.com/office/drawing/2010/main" val="0"/>
                        </a:ext>
                      </a:extLst>
                    </a:blip>
                    <a:srcRect/>
                    <a:stretch/>
                  </pic:blipFill>
                  <pic:spPr bwMode="auto">
                    <a:xfrm>
                      <a:off x="0" y="0"/>
                      <a:ext cx="4252595" cy="4215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376F3" w:rsidRPr="00507B15">
        <w:t>The domains of effective mentoring</w:t>
      </w:r>
      <w:bookmarkEnd w:id="33"/>
    </w:p>
    <w:p w14:paraId="40F6A349" w14:textId="3A54D7AA" w:rsidR="003518BD" w:rsidRDefault="003518BD" w:rsidP="009D64B6">
      <w:pPr>
        <w:pStyle w:val="Heading1"/>
        <w:rPr>
          <w:lang w:val="en-AU" w:eastAsia="en-AU"/>
        </w:rPr>
      </w:pPr>
      <w:bookmarkStart w:id="34" w:name="_Toc2864087"/>
      <w:r w:rsidRPr="003518BD">
        <w:rPr>
          <w:lang w:val="en-AU" w:eastAsia="en-AU"/>
        </w:rPr>
        <w:t>Wellbeing</w:t>
      </w:r>
      <w:bookmarkEnd w:id="34"/>
    </w:p>
    <w:p w14:paraId="4C80D652" w14:textId="77777777" w:rsidR="003518BD" w:rsidRPr="003518BD" w:rsidRDefault="003518BD" w:rsidP="003518BD">
      <w:pPr>
        <w:pStyle w:val="Heading2"/>
        <w:rPr>
          <w:lang w:val="en-AU" w:eastAsia="en-AU"/>
        </w:rPr>
      </w:pPr>
      <w:bookmarkStart w:id="35" w:name="_Toc2864088"/>
      <w:r w:rsidRPr="003518BD">
        <w:rPr>
          <w:lang w:val="en-AU" w:eastAsia="en-AU"/>
        </w:rPr>
        <w:t>In-school supports</w:t>
      </w:r>
      <w:bookmarkEnd w:id="35"/>
      <w:r w:rsidRPr="003518BD">
        <w:rPr>
          <w:lang w:val="en-AU" w:eastAsia="en-AU"/>
        </w:rPr>
        <w:t xml:space="preserve"> </w:t>
      </w:r>
    </w:p>
    <w:p w14:paraId="05AAE920" w14:textId="77777777" w:rsidR="003518BD" w:rsidRPr="00831496" w:rsidRDefault="003518BD" w:rsidP="009731C9">
      <w:pPr>
        <w:spacing w:after="200"/>
        <w:rPr>
          <w:sz w:val="24"/>
          <w:lang w:val="en-AU" w:eastAsia="en-AU"/>
        </w:rPr>
      </w:pPr>
      <w:r w:rsidRPr="00831496">
        <w:rPr>
          <w:sz w:val="24"/>
          <w:lang w:val="en-AU" w:eastAsia="en-AU"/>
        </w:rPr>
        <w:t xml:space="preserve">Graduate teachers are encouraged to speak to their teacher mentors, colleagues or school leaders when they face issues related to their mental </w:t>
      </w:r>
      <w:r w:rsidRPr="00831496">
        <w:rPr>
          <w:sz w:val="24"/>
          <w:lang w:val="en-AU"/>
        </w:rPr>
        <w:t>health</w:t>
      </w:r>
      <w:r w:rsidRPr="00831496">
        <w:rPr>
          <w:sz w:val="24"/>
          <w:lang w:val="en-AU" w:eastAsia="en-AU"/>
        </w:rPr>
        <w:t xml:space="preserve"> and wellbeing. For any urgent or complex issues related to mental </w:t>
      </w:r>
      <w:r w:rsidRPr="00831496">
        <w:rPr>
          <w:sz w:val="24"/>
          <w:lang w:val="en-AU"/>
        </w:rPr>
        <w:t>health</w:t>
      </w:r>
      <w:r w:rsidRPr="00831496">
        <w:rPr>
          <w:sz w:val="24"/>
          <w:lang w:val="en-AU" w:eastAsia="en-AU"/>
        </w:rPr>
        <w:t xml:space="preserve"> and wellbeing, graduate teachers are strongly encouraged to call the Employee Assistance Program on 1300 361 008. </w:t>
      </w:r>
    </w:p>
    <w:p w14:paraId="08BE223B" w14:textId="77777777" w:rsidR="003518BD" w:rsidRPr="00831496" w:rsidRDefault="003518BD" w:rsidP="009731C9">
      <w:pPr>
        <w:spacing w:after="200"/>
        <w:rPr>
          <w:sz w:val="24"/>
          <w:lang w:val="en-AU" w:eastAsia="en-AU"/>
        </w:rPr>
      </w:pPr>
      <w:r w:rsidRPr="00831496">
        <w:rPr>
          <w:sz w:val="24"/>
          <w:lang w:val="en-AU" w:eastAsia="en-AU"/>
        </w:rPr>
        <w:t xml:space="preserve">Principals need to advise graduate teachers that if they suspect there is a high likelihood of immediate harm to themselves or others, </w:t>
      </w:r>
      <w:r w:rsidRPr="00831496">
        <w:rPr>
          <w:sz w:val="24"/>
          <w:lang w:val="en-AU"/>
        </w:rPr>
        <w:t>they</w:t>
      </w:r>
      <w:r w:rsidRPr="00831496">
        <w:rPr>
          <w:sz w:val="24"/>
          <w:lang w:val="en-AU" w:eastAsia="en-AU"/>
        </w:rPr>
        <w:t xml:space="preserve"> </w:t>
      </w:r>
      <w:r w:rsidRPr="00831496">
        <w:rPr>
          <w:sz w:val="24"/>
          <w:lang w:val="en-AU"/>
        </w:rPr>
        <w:t>need</w:t>
      </w:r>
      <w:r w:rsidRPr="00831496">
        <w:rPr>
          <w:sz w:val="24"/>
          <w:lang w:val="en-AU" w:eastAsia="en-AU"/>
        </w:rPr>
        <w:t xml:space="preserve"> to contact the school principal immediately to determine the appropriate course of action.</w:t>
      </w:r>
    </w:p>
    <w:p w14:paraId="76756D18" w14:textId="39E9C234" w:rsidR="003518BD" w:rsidRPr="00831496" w:rsidRDefault="003518BD" w:rsidP="003518BD">
      <w:pPr>
        <w:pStyle w:val="IntenseQuote"/>
        <w:rPr>
          <w:sz w:val="24"/>
          <w:lang w:val="en-AU" w:eastAsia="en-AU"/>
        </w:rPr>
      </w:pPr>
      <w:r w:rsidRPr="00831496">
        <w:rPr>
          <w:sz w:val="24"/>
          <w:lang w:val="en-AU" w:eastAsia="en-AU"/>
        </w:rPr>
        <w:lastRenderedPageBreak/>
        <w:t>To support my health and wellbeing this term I debriefed my concerns and frustrations with another staff member. I talked to a trusted colleague, my mento</w:t>
      </w:r>
      <w:r w:rsidR="00276D83">
        <w:rPr>
          <w:sz w:val="24"/>
          <w:lang w:val="en-AU" w:eastAsia="en-AU"/>
        </w:rPr>
        <w:t>r teacher or one of my peers – G</w:t>
      </w:r>
      <w:r w:rsidRPr="00831496">
        <w:rPr>
          <w:sz w:val="24"/>
          <w:lang w:val="en-AU" w:eastAsia="en-AU"/>
        </w:rPr>
        <w:t>raduate Teacher 2018</w:t>
      </w:r>
    </w:p>
    <w:p w14:paraId="4A90FE1B" w14:textId="77777777" w:rsidR="003518BD" w:rsidRPr="003518BD" w:rsidRDefault="003518BD" w:rsidP="003518BD">
      <w:pPr>
        <w:pStyle w:val="Heading2"/>
        <w:rPr>
          <w:lang w:val="en-AU" w:eastAsia="en-AU"/>
        </w:rPr>
      </w:pPr>
      <w:bookmarkStart w:id="36" w:name="_Toc2864089"/>
      <w:r w:rsidRPr="003518BD">
        <w:rPr>
          <w:lang w:val="en-AU" w:eastAsia="en-AU"/>
        </w:rPr>
        <w:t>My Induction app</w:t>
      </w:r>
      <w:bookmarkEnd w:id="36"/>
      <w:r w:rsidRPr="003518BD">
        <w:rPr>
          <w:lang w:val="en-AU" w:eastAsia="en-AU"/>
        </w:rPr>
        <w:t xml:space="preserve"> </w:t>
      </w:r>
    </w:p>
    <w:p w14:paraId="37713683" w14:textId="46522DD9" w:rsidR="003518BD" w:rsidRPr="00831496" w:rsidRDefault="003518BD" w:rsidP="009731C9">
      <w:pPr>
        <w:spacing w:after="200"/>
        <w:rPr>
          <w:sz w:val="24"/>
          <w:lang w:val="en-AU" w:eastAsia="en-AU"/>
        </w:rPr>
      </w:pPr>
      <w:r w:rsidRPr="00831496">
        <w:rPr>
          <w:sz w:val="24"/>
          <w:lang w:val="en-AU" w:eastAsia="en-AU"/>
        </w:rPr>
        <w:t xml:space="preserve">The </w:t>
      </w:r>
      <w:hyperlink r:id="rId41" w:history="1">
        <w:r w:rsidRPr="009F7F6C">
          <w:rPr>
            <w:rStyle w:val="Hyperlink"/>
            <w:sz w:val="24"/>
            <w:lang w:val="en-AU" w:eastAsia="en-AU"/>
          </w:rPr>
          <w:t>My Induction app</w:t>
        </w:r>
      </w:hyperlink>
      <w:r w:rsidRPr="00831496">
        <w:rPr>
          <w:sz w:val="24"/>
          <w:lang w:val="en-AU" w:eastAsia="en-AU"/>
        </w:rPr>
        <w:t xml:space="preserve"> brings together resources and activities to support graduate teachers’ development in the </w:t>
      </w:r>
      <w:r w:rsidRPr="00831496">
        <w:rPr>
          <w:sz w:val="24"/>
          <w:lang w:val="en-AU"/>
        </w:rPr>
        <w:t>first</w:t>
      </w:r>
      <w:r w:rsidRPr="00831496">
        <w:rPr>
          <w:sz w:val="24"/>
          <w:lang w:val="en-AU" w:eastAsia="en-AU"/>
        </w:rPr>
        <w:t xml:space="preserve"> few years of teaching. It tracks teachers’ growth and </w:t>
      </w:r>
      <w:r w:rsidRPr="00831496">
        <w:rPr>
          <w:sz w:val="24"/>
          <w:lang w:val="en-AU"/>
        </w:rPr>
        <w:t>personal wellbeing to help them maintain work-life balance and achieve better mental health, happiness and a reduced likelihood of burning out. The My Induction app provides advice and strategies for maintaining personal wellbeing while transitioning to life as a working teacher. Teachers can access the question bank to find expert responses to questions that graduate teachers often share.</w:t>
      </w:r>
      <w:r w:rsidRPr="00831496">
        <w:rPr>
          <w:sz w:val="24"/>
          <w:lang w:val="en-AU" w:eastAsia="en-AU"/>
        </w:rPr>
        <w:t xml:space="preserve"> </w:t>
      </w:r>
    </w:p>
    <w:p w14:paraId="12F91942" w14:textId="74E0A4B4" w:rsidR="003518BD" w:rsidRPr="00831496" w:rsidRDefault="003518BD" w:rsidP="009731C9">
      <w:pPr>
        <w:spacing w:after="200"/>
        <w:rPr>
          <w:sz w:val="24"/>
          <w:u w:val="single"/>
          <w:lang w:val="en-AU" w:eastAsia="en-AU"/>
        </w:rPr>
      </w:pPr>
      <w:r w:rsidRPr="00831496">
        <w:rPr>
          <w:sz w:val="24"/>
          <w:lang w:val="en-AU" w:eastAsia="en-AU"/>
        </w:rPr>
        <w:t xml:space="preserve">Teacher and </w:t>
      </w:r>
      <w:r w:rsidRPr="009F7F6C">
        <w:rPr>
          <w:sz w:val="24"/>
          <w:lang w:val="en-AU" w:eastAsia="en-AU"/>
        </w:rPr>
        <w:t xml:space="preserve">school leaders can download the </w:t>
      </w:r>
      <w:hyperlink r:id="rId42" w:history="1">
        <w:r w:rsidRPr="009F7F6C">
          <w:rPr>
            <w:rStyle w:val="Hyperlink"/>
            <w:sz w:val="24"/>
            <w:lang w:val="en-AU" w:eastAsia="en-AU"/>
          </w:rPr>
          <w:t>My Induction app</w:t>
        </w:r>
      </w:hyperlink>
      <w:r w:rsidRPr="009F7F6C">
        <w:rPr>
          <w:sz w:val="24"/>
          <w:lang w:val="en-AU" w:eastAsia="en-AU"/>
        </w:rPr>
        <w:t xml:space="preserve"> and </w:t>
      </w:r>
      <w:hyperlink r:id="rId43" w:history="1">
        <w:r w:rsidRPr="009F7F6C">
          <w:rPr>
            <w:rStyle w:val="Hyperlink"/>
            <w:sz w:val="24"/>
            <w:lang w:val="en-AU" w:eastAsia="en-AU"/>
          </w:rPr>
          <w:t>My Induction: A guide for mentors and school leaders</w:t>
        </w:r>
      </w:hyperlink>
      <w:r w:rsidRPr="009F7F6C">
        <w:rPr>
          <w:sz w:val="24"/>
          <w:lang w:val="en-AU" w:eastAsia="en-AU"/>
        </w:rPr>
        <w:t xml:space="preserve"> from the </w:t>
      </w:r>
      <w:hyperlink r:id="rId44" w:history="1">
        <w:r w:rsidRPr="009F7F6C">
          <w:rPr>
            <w:rStyle w:val="Hyperlink"/>
            <w:sz w:val="24"/>
            <w:lang w:val="en-AU" w:eastAsia="en-AU"/>
          </w:rPr>
          <w:t>AITSL website</w:t>
        </w:r>
      </w:hyperlink>
      <w:r w:rsidRPr="009F7F6C">
        <w:rPr>
          <w:sz w:val="24"/>
          <w:lang w:val="en-AU" w:eastAsia="en-AU"/>
        </w:rPr>
        <w:t>.</w:t>
      </w:r>
    </w:p>
    <w:p w14:paraId="44D0ADA5" w14:textId="77777777" w:rsidR="003518BD" w:rsidRPr="003518BD" w:rsidRDefault="003518BD" w:rsidP="003518BD">
      <w:pPr>
        <w:pStyle w:val="Heading2"/>
        <w:rPr>
          <w:lang w:val="en-AU" w:eastAsia="en-AU"/>
        </w:rPr>
      </w:pPr>
      <w:bookmarkStart w:id="37" w:name="_Toc2864090"/>
      <w:r w:rsidRPr="003518BD">
        <w:rPr>
          <w:lang w:val="en-AU" w:eastAsia="en-AU"/>
        </w:rPr>
        <w:t>Workplace Contact Officers</w:t>
      </w:r>
      <w:bookmarkEnd w:id="37"/>
      <w:r w:rsidRPr="003518BD">
        <w:rPr>
          <w:lang w:val="en-AU" w:eastAsia="en-AU"/>
        </w:rPr>
        <w:t xml:space="preserve"> </w:t>
      </w:r>
    </w:p>
    <w:p w14:paraId="14A2684A" w14:textId="77777777" w:rsidR="003518BD" w:rsidRPr="00831496" w:rsidRDefault="003518BD" w:rsidP="009731C9">
      <w:pPr>
        <w:spacing w:after="200"/>
        <w:rPr>
          <w:sz w:val="24"/>
          <w:lang w:val="en-AU"/>
        </w:rPr>
      </w:pPr>
      <w:r w:rsidRPr="00831496">
        <w:rPr>
          <w:sz w:val="24"/>
          <w:lang w:val="en-AU"/>
        </w:rPr>
        <w:t xml:space="preserve">The Workplace Contact Officer (WCO) network is a group of staff who have volunteered and been trained as a point-of-contact for colleagues experiencing harassment, discrimination, bullying, victimisation or family violence. Any WCO in the network can be contacted for a confidential discussion and to seek information, and they can be contacted at any time during work hours. </w:t>
      </w:r>
    </w:p>
    <w:p w14:paraId="35878E17" w14:textId="535E25AB" w:rsidR="003518BD" w:rsidRDefault="003518BD" w:rsidP="003518BD">
      <w:pPr>
        <w:rPr>
          <w:sz w:val="24"/>
          <w:lang w:val="en-AU" w:eastAsia="en-AU"/>
        </w:rPr>
      </w:pPr>
      <w:r w:rsidRPr="00831496">
        <w:rPr>
          <w:sz w:val="24"/>
          <w:lang w:val="en-AU" w:eastAsia="en-AU"/>
        </w:rPr>
        <w:t xml:space="preserve">For further information see: </w:t>
      </w:r>
      <w:hyperlink r:id="rId45" w:history="1">
        <w:r w:rsidR="009F7F6C" w:rsidRPr="005C0CA1">
          <w:rPr>
            <w:rStyle w:val="Hyperlink"/>
            <w:sz w:val="24"/>
            <w:lang w:val="en-AU" w:eastAsia="en-AU"/>
          </w:rPr>
          <w:t>https://www.education.vic.gov.au/hrweb/divequity/Pages/WCONet.aspx</w:t>
        </w:r>
      </w:hyperlink>
    </w:p>
    <w:p w14:paraId="2C62CC78" w14:textId="77777777" w:rsidR="003518BD" w:rsidRPr="003518BD" w:rsidRDefault="003518BD" w:rsidP="003518BD">
      <w:pPr>
        <w:pStyle w:val="Heading2"/>
        <w:rPr>
          <w:lang w:val="en-AU" w:eastAsia="en-AU"/>
        </w:rPr>
      </w:pPr>
      <w:bookmarkStart w:id="38" w:name="_Toc2864091"/>
      <w:r w:rsidRPr="003518BD">
        <w:rPr>
          <w:lang w:val="en-AU" w:eastAsia="en-AU"/>
        </w:rPr>
        <w:t>Employee Assistance Program</w:t>
      </w:r>
      <w:bookmarkEnd w:id="38"/>
      <w:r w:rsidRPr="003518BD">
        <w:rPr>
          <w:lang w:val="en-AU" w:eastAsia="en-AU"/>
        </w:rPr>
        <w:t xml:space="preserve"> </w:t>
      </w:r>
    </w:p>
    <w:p w14:paraId="654ACF57" w14:textId="77777777" w:rsidR="003518BD" w:rsidRPr="00831496" w:rsidRDefault="003518BD" w:rsidP="009731C9">
      <w:pPr>
        <w:spacing w:after="200"/>
        <w:rPr>
          <w:sz w:val="24"/>
          <w:lang w:val="en-AU" w:eastAsia="en-AU"/>
        </w:rPr>
      </w:pPr>
      <w:r w:rsidRPr="00831496">
        <w:rPr>
          <w:sz w:val="24"/>
          <w:lang w:val="en-AU" w:eastAsia="en-AU"/>
        </w:rPr>
        <w:t xml:space="preserve">The Employee Assistance Program (EAP) is a short-term, solution-focused and strictly confidential counselling </w:t>
      </w:r>
      <w:r w:rsidRPr="00831496">
        <w:rPr>
          <w:sz w:val="24"/>
          <w:lang w:val="en-AU"/>
        </w:rPr>
        <w:t>service</w:t>
      </w:r>
      <w:r w:rsidRPr="00831496">
        <w:rPr>
          <w:sz w:val="24"/>
          <w:lang w:val="en-AU" w:eastAsia="en-AU"/>
        </w:rPr>
        <w:t xml:space="preserve">. The EAP is available 24/7 for Department employees to discuss any personal or work-related issues. </w:t>
      </w:r>
    </w:p>
    <w:p w14:paraId="056590DD" w14:textId="0F409888" w:rsidR="003518BD" w:rsidRPr="00831496" w:rsidRDefault="003518BD" w:rsidP="009731C9">
      <w:pPr>
        <w:spacing w:after="200"/>
        <w:rPr>
          <w:sz w:val="24"/>
          <w:lang w:val="en-AU" w:eastAsia="en-AU"/>
        </w:rPr>
      </w:pPr>
      <w:r w:rsidRPr="00831496">
        <w:rPr>
          <w:sz w:val="24"/>
          <w:lang w:val="en-AU" w:eastAsia="en-AU"/>
        </w:rPr>
        <w:t xml:space="preserve">For further </w:t>
      </w:r>
      <w:r w:rsidRPr="00831496">
        <w:rPr>
          <w:sz w:val="24"/>
          <w:lang w:val="en-AU"/>
        </w:rPr>
        <w:t>information</w:t>
      </w:r>
      <w:r w:rsidRPr="00831496">
        <w:rPr>
          <w:sz w:val="24"/>
          <w:lang w:val="en-AU" w:eastAsia="en-AU"/>
        </w:rPr>
        <w:t xml:space="preserve"> see: </w:t>
      </w:r>
      <w:hyperlink r:id="rId46" w:history="1">
        <w:r w:rsidRPr="00831496">
          <w:rPr>
            <w:rStyle w:val="Hyperlink"/>
            <w:sz w:val="24"/>
            <w:lang w:val="en-AU" w:eastAsia="en-AU"/>
          </w:rPr>
          <w:t>https://www.education.vic.gov.au/hrweb/safetyhw/Pages/employeeservices.aspx</w:t>
        </w:r>
      </w:hyperlink>
    </w:p>
    <w:p w14:paraId="5C803078" w14:textId="240DA878" w:rsidR="003518BD" w:rsidRDefault="003518BD" w:rsidP="003518BD">
      <w:pPr>
        <w:rPr>
          <w:lang w:val="en-AU" w:eastAsia="en-AU"/>
        </w:rPr>
      </w:pPr>
    </w:p>
    <w:p w14:paraId="65BA3F60" w14:textId="77777777" w:rsidR="0098200E" w:rsidRDefault="0098200E">
      <w:pPr>
        <w:spacing w:after="0"/>
        <w:rPr>
          <w:rFonts w:asciiTheme="majorHAnsi" w:eastAsiaTheme="majorEastAsia" w:hAnsiTheme="majorHAnsi" w:cstheme="majorBidi"/>
          <w:b/>
          <w:caps/>
          <w:color w:val="AF272F" w:themeColor="accent1"/>
          <w:sz w:val="44"/>
          <w:szCs w:val="32"/>
          <w:lang w:val="en-AU" w:eastAsia="en-AU"/>
        </w:rPr>
      </w:pPr>
      <w:r>
        <w:rPr>
          <w:lang w:val="en-AU" w:eastAsia="en-AU"/>
        </w:rPr>
        <w:br w:type="page"/>
      </w:r>
    </w:p>
    <w:p w14:paraId="3B04B8A5" w14:textId="2C376F6C" w:rsidR="003518BD" w:rsidRDefault="003518BD" w:rsidP="003518BD">
      <w:pPr>
        <w:pStyle w:val="Heading1"/>
        <w:rPr>
          <w:lang w:val="en-AU" w:eastAsia="en-AU"/>
        </w:rPr>
      </w:pPr>
      <w:bookmarkStart w:id="39" w:name="_Toc2864092"/>
      <w:r w:rsidRPr="003518BD">
        <w:rPr>
          <w:lang w:val="en-AU" w:eastAsia="en-AU"/>
        </w:rPr>
        <w:lastRenderedPageBreak/>
        <w:t>Appendix 1 – Induction timeline and checklists for graduate teachers – Years 1 &amp; 2</w:t>
      </w:r>
      <w:bookmarkEnd w:id="39"/>
    </w:p>
    <w:p w14:paraId="79D84B3E" w14:textId="77777777" w:rsidR="003518BD" w:rsidRPr="00831496" w:rsidRDefault="003518BD" w:rsidP="003518BD">
      <w:pPr>
        <w:pStyle w:val="Intro"/>
        <w:rPr>
          <w:sz w:val="24"/>
          <w:lang w:eastAsia="en-AU"/>
        </w:rPr>
      </w:pPr>
      <w:r w:rsidRPr="00831496">
        <w:rPr>
          <w:sz w:val="24"/>
          <w:lang w:eastAsia="en-AU"/>
        </w:rPr>
        <w:t>Graduate teachers have varying levels of classroom readiness and should expect support from school leadership and their mentors to develop skills needed at specific points in time throughout the year.</w:t>
      </w:r>
    </w:p>
    <w:p w14:paraId="79CB8706" w14:textId="77777777" w:rsidR="003518BD" w:rsidRPr="00831496" w:rsidRDefault="003518BD" w:rsidP="009731C9">
      <w:pPr>
        <w:spacing w:after="200"/>
        <w:rPr>
          <w:sz w:val="24"/>
          <w:lang w:val="en-AU" w:eastAsia="en-AU"/>
        </w:rPr>
      </w:pPr>
      <w:r w:rsidRPr="00831496">
        <w:rPr>
          <w:sz w:val="24"/>
          <w:lang w:val="en-AU" w:eastAsia="en-AU"/>
        </w:rPr>
        <w:t xml:space="preserve">This includes assistance with monitoring and following up with student attendance, communicating </w:t>
      </w:r>
      <w:r w:rsidRPr="00831496">
        <w:rPr>
          <w:sz w:val="24"/>
          <w:lang w:val="en-AU"/>
        </w:rPr>
        <w:t>with</w:t>
      </w:r>
      <w:r w:rsidRPr="00831496">
        <w:rPr>
          <w:sz w:val="24"/>
          <w:lang w:val="en-AU" w:eastAsia="en-AU"/>
        </w:rPr>
        <w:t xml:space="preserve"> parents, writing reports and understanding their role whilst on yard duty. Schools will likely have </w:t>
      </w:r>
      <w:r w:rsidRPr="00831496">
        <w:rPr>
          <w:sz w:val="24"/>
          <w:lang w:val="en-AU"/>
        </w:rPr>
        <w:t>slightly</w:t>
      </w:r>
      <w:r w:rsidRPr="00831496">
        <w:rPr>
          <w:sz w:val="24"/>
          <w:lang w:val="en-AU" w:eastAsia="en-AU"/>
        </w:rPr>
        <w:t xml:space="preserve"> different approaches and guidance surrounding these tasks so graduate teachers are encouraged to speak with their mentor teacher or school leadership. The section below brings together a few handy tips and resources to help graduate teachers navigate these tasks and understand their responsibilities.</w:t>
      </w:r>
    </w:p>
    <w:p w14:paraId="1007FAFA" w14:textId="77777777" w:rsidR="003518BD" w:rsidRPr="003518BD" w:rsidRDefault="003518BD" w:rsidP="003518BD">
      <w:pPr>
        <w:pStyle w:val="Heading2"/>
        <w:rPr>
          <w:lang w:val="en-AU" w:eastAsia="en-AU"/>
        </w:rPr>
      </w:pPr>
      <w:bookmarkStart w:id="40" w:name="_Toc2864093"/>
      <w:r w:rsidRPr="003518BD">
        <w:rPr>
          <w:lang w:val="en-AU" w:eastAsia="en-AU"/>
        </w:rPr>
        <w:t>Pre-commencement to Week 1: familiarisation, welcome, meeting and planning</w:t>
      </w:r>
      <w:bookmarkEnd w:id="40"/>
    </w:p>
    <w:p w14:paraId="1D33FDCC" w14:textId="77777777" w:rsidR="003518BD" w:rsidRPr="00831496" w:rsidRDefault="003518BD" w:rsidP="009731C9">
      <w:pPr>
        <w:spacing w:after="200"/>
        <w:rPr>
          <w:sz w:val="24"/>
          <w:lang w:val="en-AU" w:eastAsia="en-AU"/>
        </w:rPr>
      </w:pPr>
      <w:r w:rsidRPr="00831496">
        <w:rPr>
          <w:sz w:val="24"/>
          <w:lang w:val="en-AU" w:eastAsia="en-AU"/>
        </w:rPr>
        <w:t xml:space="preserve">The orientation activities listed in the pre-commencement, Week 1 and Term 1 stages will assist teachers to complete the </w:t>
      </w:r>
      <w:r w:rsidRPr="00831496">
        <w:rPr>
          <w:sz w:val="24"/>
          <w:lang w:val="en-AU"/>
        </w:rPr>
        <w:t>most</w:t>
      </w:r>
      <w:r w:rsidRPr="00831496">
        <w:rPr>
          <w:sz w:val="24"/>
          <w:lang w:val="en-AU" w:eastAsia="en-AU"/>
        </w:rPr>
        <w:t xml:space="preserve"> urgent tasks, get set up in their school, become familiar with the </w:t>
      </w:r>
      <w:r w:rsidRPr="00831496">
        <w:rPr>
          <w:sz w:val="24"/>
          <w:lang w:val="en-AU"/>
        </w:rPr>
        <w:t>Department</w:t>
      </w:r>
      <w:r w:rsidRPr="00831496">
        <w:rPr>
          <w:sz w:val="24"/>
          <w:lang w:val="en-AU" w:eastAsia="en-AU"/>
        </w:rPr>
        <w:t xml:space="preserve"> and school policies, and begin developing professional relationships with colleagues. </w:t>
      </w:r>
    </w:p>
    <w:p w14:paraId="6E9C3EB1" w14:textId="77777777" w:rsidR="003518BD" w:rsidRPr="00831496" w:rsidRDefault="003518BD" w:rsidP="009731C9">
      <w:pPr>
        <w:spacing w:after="200"/>
        <w:rPr>
          <w:sz w:val="24"/>
          <w:lang w:val="en-AU" w:eastAsia="en-AU"/>
        </w:rPr>
      </w:pPr>
      <w:r w:rsidRPr="00831496">
        <w:rPr>
          <w:sz w:val="24"/>
          <w:lang w:val="en-AU" w:eastAsia="en-AU"/>
        </w:rPr>
        <w:t xml:space="preserve">After the teaching appointment is confirmed, schools are encouraged to issue each graduate teacher with a </w:t>
      </w:r>
      <w:r w:rsidRPr="00831496">
        <w:rPr>
          <w:sz w:val="24"/>
          <w:lang w:val="en-AU"/>
        </w:rPr>
        <w:t>welcome</w:t>
      </w:r>
      <w:r w:rsidRPr="00831496">
        <w:rPr>
          <w:sz w:val="24"/>
          <w:lang w:val="en-AU" w:eastAsia="en-AU"/>
        </w:rPr>
        <w:t xml:space="preserve"> pack that contains important information on school policies, procedures and supports for graduate teachers. An example of a checklist to include in a welcome pack is set out in Appendix 2.</w:t>
      </w:r>
    </w:p>
    <w:p w14:paraId="7B1E065B" w14:textId="77777777" w:rsidR="003518BD" w:rsidRPr="00831496" w:rsidRDefault="003518BD" w:rsidP="009731C9">
      <w:pPr>
        <w:spacing w:after="200"/>
        <w:rPr>
          <w:sz w:val="24"/>
          <w:lang w:val="en-AU" w:eastAsia="en-AU"/>
        </w:rPr>
      </w:pPr>
      <w:r w:rsidRPr="00831496">
        <w:rPr>
          <w:sz w:val="24"/>
          <w:lang w:val="en-AU" w:eastAsia="en-AU"/>
        </w:rPr>
        <w:t>During the pre-</w:t>
      </w:r>
      <w:r w:rsidRPr="00831496">
        <w:rPr>
          <w:sz w:val="24"/>
          <w:lang w:val="en-AU"/>
        </w:rPr>
        <w:t>commencement</w:t>
      </w:r>
      <w:r w:rsidRPr="00831496">
        <w:rPr>
          <w:sz w:val="24"/>
          <w:lang w:val="en-AU" w:eastAsia="en-AU"/>
        </w:rPr>
        <w:t xml:space="preserve"> stage, schools are encouraged to provide graduate teachers with opportunities to </w:t>
      </w:r>
      <w:r w:rsidRPr="00831496">
        <w:rPr>
          <w:sz w:val="24"/>
          <w:lang w:val="en-AU"/>
        </w:rPr>
        <w:t>voluntarily</w:t>
      </w:r>
      <w:r w:rsidRPr="00831496">
        <w:rPr>
          <w:sz w:val="24"/>
          <w:lang w:val="en-AU" w:eastAsia="en-AU"/>
        </w:rPr>
        <w:t xml:space="preserve"> visit their new school, meet teacher mentors and access resources needed to plan learning cycles.</w:t>
      </w:r>
    </w:p>
    <w:p w14:paraId="49E6CD37" w14:textId="77777777" w:rsidR="003518BD" w:rsidRPr="003518BD" w:rsidRDefault="003518BD" w:rsidP="003518BD">
      <w:pPr>
        <w:pStyle w:val="Heading2"/>
        <w:rPr>
          <w:lang w:val="en-AU" w:eastAsia="en-AU"/>
        </w:rPr>
      </w:pPr>
      <w:bookmarkStart w:id="41" w:name="_Toc2864094"/>
      <w:r w:rsidRPr="003518BD">
        <w:rPr>
          <w:lang w:val="en-AU" w:eastAsia="en-AU"/>
        </w:rPr>
        <w:t>Year 1, Term 1: laying foundations</w:t>
      </w:r>
      <w:bookmarkEnd w:id="41"/>
    </w:p>
    <w:p w14:paraId="365B9012" w14:textId="77777777" w:rsidR="003518BD" w:rsidRPr="00831496" w:rsidRDefault="003518BD" w:rsidP="009731C9">
      <w:pPr>
        <w:spacing w:after="200"/>
        <w:rPr>
          <w:sz w:val="24"/>
          <w:lang w:val="en-AU" w:eastAsia="en-AU"/>
        </w:rPr>
      </w:pPr>
      <w:r w:rsidRPr="00831496">
        <w:rPr>
          <w:sz w:val="24"/>
          <w:lang w:val="en-AU" w:eastAsia="en-AU"/>
        </w:rPr>
        <w:t xml:space="preserve">In Term 1, much of the induction focuses on learning about the school context and establishing a </w:t>
      </w:r>
      <w:r w:rsidRPr="00831496">
        <w:rPr>
          <w:sz w:val="24"/>
          <w:lang w:val="en-AU"/>
        </w:rPr>
        <w:t>relationship</w:t>
      </w:r>
      <w:r w:rsidRPr="00831496">
        <w:rPr>
          <w:sz w:val="24"/>
          <w:lang w:val="en-AU" w:eastAsia="en-AU"/>
        </w:rPr>
        <w:t xml:space="preserve"> with a </w:t>
      </w:r>
      <w:r w:rsidRPr="00831496">
        <w:rPr>
          <w:sz w:val="24"/>
          <w:lang w:val="en-AU"/>
        </w:rPr>
        <w:t>teacher</w:t>
      </w:r>
      <w:r w:rsidRPr="00831496">
        <w:rPr>
          <w:sz w:val="24"/>
          <w:lang w:val="en-AU" w:eastAsia="en-AU"/>
        </w:rPr>
        <w:t xml:space="preserve"> mentor.</w:t>
      </w:r>
    </w:p>
    <w:p w14:paraId="71B2DB40" w14:textId="77777777" w:rsidR="003518BD" w:rsidRPr="00831496" w:rsidRDefault="003518BD" w:rsidP="003518BD">
      <w:pPr>
        <w:rPr>
          <w:sz w:val="24"/>
          <w:lang w:val="en-AU" w:eastAsia="en-AU"/>
        </w:rPr>
      </w:pPr>
      <w:r w:rsidRPr="00831496">
        <w:rPr>
          <w:sz w:val="24"/>
          <w:lang w:val="en-AU" w:eastAsia="en-AU"/>
        </w:rPr>
        <w:t>In Term 1, graduate teachers meet their teacher mentors and become familiar with:</w:t>
      </w:r>
    </w:p>
    <w:p w14:paraId="759228D9" w14:textId="1369013C" w:rsidR="003518BD" w:rsidRPr="00831496" w:rsidRDefault="003518BD" w:rsidP="003518BD">
      <w:pPr>
        <w:pStyle w:val="Bullet1"/>
        <w:rPr>
          <w:sz w:val="24"/>
          <w:lang w:eastAsia="en-AU"/>
        </w:rPr>
      </w:pPr>
      <w:r w:rsidRPr="00831496">
        <w:rPr>
          <w:sz w:val="24"/>
          <w:lang w:eastAsia="en-AU"/>
        </w:rPr>
        <w:t>the work of the school-based Professional Learning Communities (where relevant)</w:t>
      </w:r>
    </w:p>
    <w:p w14:paraId="0335FDC1" w14:textId="32CF277E" w:rsidR="003518BD" w:rsidRPr="009F7F6C" w:rsidRDefault="003518BD" w:rsidP="003518BD">
      <w:pPr>
        <w:pStyle w:val="Bullet1"/>
        <w:rPr>
          <w:sz w:val="24"/>
          <w:lang w:eastAsia="en-AU"/>
        </w:rPr>
      </w:pPr>
      <w:r w:rsidRPr="00831496">
        <w:rPr>
          <w:sz w:val="24"/>
          <w:lang w:eastAsia="en-AU"/>
        </w:rPr>
        <w:t xml:space="preserve">projects informed by the </w:t>
      </w:r>
      <w:hyperlink r:id="rId47" w:history="1">
        <w:r w:rsidRPr="009F7F6C">
          <w:rPr>
            <w:rStyle w:val="Hyperlink"/>
            <w:sz w:val="24"/>
            <w:lang w:eastAsia="en-AU"/>
          </w:rPr>
          <w:t>Framework for Improving Student Outcomes (FISO)</w:t>
        </w:r>
      </w:hyperlink>
    </w:p>
    <w:p w14:paraId="49547E66" w14:textId="70922A0D" w:rsidR="003518BD" w:rsidRPr="009F7F6C" w:rsidRDefault="003518BD" w:rsidP="003518BD">
      <w:pPr>
        <w:pStyle w:val="Bullet1"/>
        <w:rPr>
          <w:sz w:val="24"/>
          <w:lang w:eastAsia="en-AU"/>
        </w:rPr>
      </w:pPr>
      <w:proofErr w:type="gramStart"/>
      <w:r w:rsidRPr="00831496">
        <w:rPr>
          <w:sz w:val="24"/>
          <w:lang w:eastAsia="en-AU"/>
        </w:rPr>
        <w:t>the</w:t>
      </w:r>
      <w:proofErr w:type="gramEnd"/>
      <w:r w:rsidRPr="009F7F6C">
        <w:rPr>
          <w:sz w:val="24"/>
          <w:lang w:eastAsia="en-AU"/>
        </w:rPr>
        <w:t xml:space="preserve"> </w:t>
      </w:r>
      <w:hyperlink r:id="rId48" w:history="1">
        <w:r w:rsidRPr="009F7F6C">
          <w:rPr>
            <w:rStyle w:val="Hyperlink"/>
            <w:sz w:val="24"/>
            <w:lang w:eastAsia="en-AU"/>
          </w:rPr>
          <w:t>Victorian Teaching and Learning Model</w:t>
        </w:r>
      </w:hyperlink>
      <w:r w:rsidRPr="009F7F6C">
        <w:rPr>
          <w:sz w:val="24"/>
          <w:lang w:eastAsia="en-AU"/>
        </w:rPr>
        <w:t>.</w:t>
      </w:r>
    </w:p>
    <w:p w14:paraId="184C1C4F" w14:textId="1A70290A" w:rsidR="003518BD" w:rsidRPr="00831496" w:rsidRDefault="003518BD" w:rsidP="003518BD">
      <w:pPr>
        <w:rPr>
          <w:sz w:val="24"/>
          <w:lang w:val="en-AU" w:eastAsia="en-AU"/>
        </w:rPr>
      </w:pPr>
      <w:r w:rsidRPr="00831496">
        <w:rPr>
          <w:sz w:val="24"/>
          <w:lang w:val="en-AU" w:eastAsia="en-AU"/>
        </w:rPr>
        <w:t>Graduate teachers focus on:</w:t>
      </w:r>
      <w:r w:rsidR="009F7F6C">
        <w:rPr>
          <w:sz w:val="24"/>
          <w:lang w:val="en-AU" w:eastAsia="en-AU"/>
        </w:rPr>
        <w:tab/>
      </w:r>
    </w:p>
    <w:p w14:paraId="40AB253A" w14:textId="74234866" w:rsidR="003518BD" w:rsidRPr="006D40D7" w:rsidRDefault="003518BD" w:rsidP="003518BD">
      <w:pPr>
        <w:pStyle w:val="Bullet1"/>
        <w:rPr>
          <w:sz w:val="24"/>
          <w:lang w:eastAsia="en-AU"/>
        </w:rPr>
      </w:pPr>
      <w:r w:rsidRPr="00831496">
        <w:rPr>
          <w:sz w:val="24"/>
          <w:lang w:eastAsia="en-AU"/>
        </w:rPr>
        <w:t>getting to know their students</w:t>
      </w:r>
    </w:p>
    <w:p w14:paraId="00BFEFC6" w14:textId="5C0248BF" w:rsidR="003518BD" w:rsidRPr="006D40D7" w:rsidRDefault="003518BD" w:rsidP="003518BD">
      <w:pPr>
        <w:pStyle w:val="Bullet1"/>
        <w:rPr>
          <w:sz w:val="24"/>
          <w:lang w:eastAsia="en-AU"/>
        </w:rPr>
      </w:pPr>
      <w:r w:rsidRPr="006D40D7">
        <w:rPr>
          <w:sz w:val="24"/>
          <w:lang w:eastAsia="en-AU"/>
        </w:rPr>
        <w:t xml:space="preserve">developing sound learning programs based on the </w:t>
      </w:r>
      <w:hyperlink r:id="rId49" w:history="1">
        <w:r w:rsidRPr="006D40D7">
          <w:rPr>
            <w:rStyle w:val="Hyperlink"/>
            <w:sz w:val="24"/>
            <w:lang w:eastAsia="en-AU"/>
          </w:rPr>
          <w:t>Victorian Curriculum F-10</w:t>
        </w:r>
      </w:hyperlink>
      <w:r w:rsidRPr="006D40D7">
        <w:rPr>
          <w:sz w:val="24"/>
          <w:lang w:eastAsia="en-AU"/>
        </w:rPr>
        <w:t xml:space="preserve"> and student needs</w:t>
      </w:r>
    </w:p>
    <w:p w14:paraId="5E5E4044" w14:textId="0DC65D00" w:rsidR="003518BD" w:rsidRPr="00831496" w:rsidRDefault="003518BD" w:rsidP="003518BD">
      <w:pPr>
        <w:pStyle w:val="Bullet1"/>
        <w:rPr>
          <w:sz w:val="24"/>
          <w:lang w:eastAsia="en-AU"/>
        </w:rPr>
      </w:pPr>
      <w:r w:rsidRPr="00831496">
        <w:rPr>
          <w:sz w:val="24"/>
          <w:lang w:eastAsia="en-AU"/>
        </w:rPr>
        <w:lastRenderedPageBreak/>
        <w:t>design of different types of assessment</w:t>
      </w:r>
    </w:p>
    <w:p w14:paraId="60D45987" w14:textId="66A8D590" w:rsidR="003518BD" w:rsidRPr="00831496" w:rsidRDefault="003518BD" w:rsidP="003518BD">
      <w:pPr>
        <w:pStyle w:val="Bullet1"/>
        <w:rPr>
          <w:sz w:val="24"/>
          <w:lang w:eastAsia="en-AU"/>
        </w:rPr>
      </w:pPr>
      <w:proofErr w:type="gramStart"/>
      <w:r w:rsidRPr="00831496">
        <w:rPr>
          <w:sz w:val="24"/>
          <w:lang w:eastAsia="en-AU"/>
        </w:rPr>
        <w:t>working</w:t>
      </w:r>
      <w:proofErr w:type="gramEnd"/>
      <w:r w:rsidRPr="00831496">
        <w:rPr>
          <w:sz w:val="24"/>
          <w:lang w:eastAsia="en-AU"/>
        </w:rPr>
        <w:t xml:space="preserve"> with teacher mentors to establish good teaching practice.</w:t>
      </w:r>
    </w:p>
    <w:p w14:paraId="14FB395C" w14:textId="699FB065" w:rsidR="003518BD" w:rsidRPr="00831496" w:rsidRDefault="003518BD" w:rsidP="003518BD">
      <w:pPr>
        <w:rPr>
          <w:sz w:val="24"/>
          <w:lang w:val="en-AU" w:eastAsia="en-AU"/>
        </w:rPr>
      </w:pPr>
      <w:r w:rsidRPr="00831496">
        <w:rPr>
          <w:sz w:val="24"/>
          <w:lang w:val="en-AU" w:eastAsia="en-AU"/>
        </w:rPr>
        <w:t xml:space="preserve">Department resources are available for graduate </w:t>
      </w:r>
      <w:r w:rsidRPr="009F7F6C">
        <w:rPr>
          <w:sz w:val="24"/>
          <w:lang w:val="en-AU" w:eastAsia="en-AU"/>
        </w:rPr>
        <w:t xml:space="preserve">teachers to </w:t>
      </w:r>
      <w:hyperlink r:id="rId50" w:history="1">
        <w:r w:rsidRPr="009F7F6C">
          <w:rPr>
            <w:rStyle w:val="Hyperlink"/>
            <w:sz w:val="24"/>
            <w:lang w:val="en-AU" w:eastAsia="en-AU"/>
          </w:rPr>
          <w:t>improve their teaching</w:t>
        </w:r>
      </w:hyperlink>
      <w:r w:rsidRPr="009F7F6C">
        <w:rPr>
          <w:sz w:val="24"/>
          <w:lang w:val="en-AU" w:eastAsia="en-AU"/>
        </w:rPr>
        <w:t>.</w:t>
      </w:r>
      <w:r w:rsidRPr="00831496">
        <w:rPr>
          <w:sz w:val="24"/>
          <w:lang w:val="en-AU" w:eastAsia="en-AU"/>
        </w:rPr>
        <w:t xml:space="preserve"> Access to the VIT’s </w:t>
      </w:r>
      <w:hyperlink r:id="rId51" w:history="1">
        <w:r w:rsidRPr="009F7F6C">
          <w:rPr>
            <w:rStyle w:val="Hyperlink"/>
            <w:i/>
            <w:sz w:val="24"/>
            <w:lang w:val="en-AU" w:eastAsia="en-AU"/>
          </w:rPr>
          <w:t>Supporting Provisionally Registered Teacher</w:t>
        </w:r>
      </w:hyperlink>
      <w:r w:rsidRPr="009F7F6C">
        <w:rPr>
          <w:i/>
          <w:sz w:val="24"/>
          <w:lang w:val="en-AU" w:eastAsia="en-AU"/>
        </w:rPr>
        <w:t>.</w:t>
      </w:r>
    </w:p>
    <w:p w14:paraId="1C2E71EC" w14:textId="6DA4DC4D" w:rsidR="003518BD" w:rsidRPr="00831496" w:rsidRDefault="003518BD" w:rsidP="003518BD">
      <w:pPr>
        <w:rPr>
          <w:sz w:val="24"/>
          <w:lang w:val="en-AU" w:eastAsia="en-AU"/>
        </w:rPr>
      </w:pPr>
      <w:r w:rsidRPr="00831496">
        <w:rPr>
          <w:sz w:val="24"/>
          <w:lang w:val="en-AU" w:eastAsia="en-AU"/>
        </w:rPr>
        <w:t>While all teachers are encouraged to participate in PLCs, additional planning may be required to ensure that graduate teachers maximise the benefits of working in a PLC. Teacher mentors may ask PLCs to plan for customised graduate teacher participation in ways that support their progress towards full VIT registration.</w:t>
      </w:r>
    </w:p>
    <w:p w14:paraId="35BD7393" w14:textId="77777777" w:rsidR="003518BD" w:rsidRPr="003518BD" w:rsidRDefault="003518BD" w:rsidP="003518BD">
      <w:pPr>
        <w:pStyle w:val="Heading2"/>
        <w:rPr>
          <w:lang w:val="en-AU" w:eastAsia="en-AU"/>
        </w:rPr>
      </w:pPr>
      <w:bookmarkStart w:id="42" w:name="_Toc2864095"/>
      <w:r w:rsidRPr="003518BD">
        <w:rPr>
          <w:lang w:val="en-AU" w:eastAsia="en-AU"/>
        </w:rPr>
        <w:t>Year 1, Terms 2, 3 and 4: anchoring professional growth</w:t>
      </w:r>
      <w:bookmarkEnd w:id="42"/>
    </w:p>
    <w:p w14:paraId="4007AB2A" w14:textId="77777777" w:rsidR="003518BD" w:rsidRPr="00831496" w:rsidRDefault="003518BD" w:rsidP="009731C9">
      <w:pPr>
        <w:spacing w:after="200"/>
        <w:rPr>
          <w:sz w:val="24"/>
          <w:lang w:val="en-AU" w:eastAsia="en-AU"/>
        </w:rPr>
      </w:pPr>
      <w:r w:rsidRPr="00831496">
        <w:rPr>
          <w:sz w:val="24"/>
          <w:lang w:val="en-AU" w:eastAsia="en-AU"/>
        </w:rPr>
        <w:t xml:space="preserve">From Term 2, the </w:t>
      </w:r>
      <w:r w:rsidRPr="00831496">
        <w:rPr>
          <w:sz w:val="24"/>
          <w:lang w:val="en-AU"/>
        </w:rPr>
        <w:t>graduate</w:t>
      </w:r>
      <w:r w:rsidRPr="00831496">
        <w:rPr>
          <w:sz w:val="24"/>
          <w:lang w:val="en-AU" w:eastAsia="en-AU"/>
        </w:rPr>
        <w:t xml:space="preserve"> focus shifts to reflecting on professional practice, collecting evidence </w:t>
      </w:r>
      <w:r w:rsidRPr="00831496">
        <w:rPr>
          <w:sz w:val="24"/>
          <w:lang w:val="en-AU"/>
        </w:rPr>
        <w:t>o</w:t>
      </w:r>
      <w:r w:rsidRPr="00831496">
        <w:rPr>
          <w:sz w:val="24"/>
          <w:lang w:val="en-AU" w:eastAsia="en-AU"/>
        </w:rPr>
        <w:t>f student learning and working with the PLCs (where relevant) to improve teaching. During Term 2, graduate teachers:</w:t>
      </w:r>
    </w:p>
    <w:p w14:paraId="013E3F28" w14:textId="745513B5" w:rsidR="003518BD" w:rsidRPr="00831496" w:rsidRDefault="003518BD" w:rsidP="003518BD">
      <w:pPr>
        <w:pStyle w:val="Bullet1"/>
        <w:rPr>
          <w:sz w:val="24"/>
          <w:lang w:eastAsia="en-AU"/>
        </w:rPr>
      </w:pPr>
      <w:r w:rsidRPr="00831496">
        <w:rPr>
          <w:sz w:val="24"/>
          <w:lang w:eastAsia="en-AU"/>
        </w:rPr>
        <w:t>will benefit from participating in structured activities (including PLCs) and peer observation to gain understanding of their own practice and view examples of excellent practice across the school</w:t>
      </w:r>
    </w:p>
    <w:p w14:paraId="4C098D4A" w14:textId="582B0B3A" w:rsidR="003518BD" w:rsidRPr="00831496" w:rsidRDefault="003518BD" w:rsidP="003518BD">
      <w:pPr>
        <w:pStyle w:val="Bullet1"/>
        <w:rPr>
          <w:sz w:val="24"/>
          <w:lang w:eastAsia="en-AU"/>
        </w:rPr>
      </w:pPr>
      <w:r w:rsidRPr="00831496">
        <w:rPr>
          <w:sz w:val="24"/>
          <w:lang w:eastAsia="en-AU"/>
        </w:rPr>
        <w:t xml:space="preserve">should continue to build their understanding of the </w:t>
      </w:r>
      <w:hyperlink r:id="rId52" w:history="1">
        <w:r w:rsidRPr="00F35C82">
          <w:rPr>
            <w:rStyle w:val="Hyperlink"/>
            <w:sz w:val="24"/>
            <w:lang w:eastAsia="en-AU"/>
          </w:rPr>
          <w:t>Education State targets</w:t>
        </w:r>
      </w:hyperlink>
      <w:r w:rsidRPr="00F35C82">
        <w:rPr>
          <w:sz w:val="24"/>
          <w:lang w:eastAsia="en-AU"/>
        </w:rPr>
        <w:t>,</w:t>
      </w:r>
      <w:r w:rsidRPr="00831496">
        <w:rPr>
          <w:sz w:val="24"/>
          <w:lang w:eastAsia="en-AU"/>
        </w:rPr>
        <w:t xml:space="preserve"> the </w:t>
      </w:r>
      <w:hyperlink r:id="rId53" w:history="1">
        <w:r w:rsidRPr="00F35C82">
          <w:rPr>
            <w:rStyle w:val="Hyperlink"/>
            <w:sz w:val="24"/>
            <w:lang w:eastAsia="en-AU"/>
          </w:rPr>
          <w:t>FISO</w:t>
        </w:r>
      </w:hyperlink>
      <w:r w:rsidRPr="00831496">
        <w:rPr>
          <w:sz w:val="24"/>
          <w:lang w:eastAsia="en-AU"/>
        </w:rPr>
        <w:t xml:space="preserve">, the </w:t>
      </w:r>
      <w:hyperlink r:id="rId54" w:history="1">
        <w:r w:rsidRPr="00F35C82">
          <w:rPr>
            <w:rStyle w:val="Hyperlink"/>
            <w:sz w:val="24"/>
            <w:lang w:eastAsia="en-AU"/>
          </w:rPr>
          <w:t>Victorian Teaching and Learning Model</w:t>
        </w:r>
      </w:hyperlink>
      <w:r w:rsidRPr="00F35C82">
        <w:rPr>
          <w:sz w:val="24"/>
          <w:lang w:eastAsia="en-AU"/>
        </w:rPr>
        <w:t>, the</w:t>
      </w:r>
      <w:r w:rsidRPr="00831496">
        <w:rPr>
          <w:sz w:val="24"/>
          <w:lang w:eastAsia="en-AU"/>
        </w:rPr>
        <w:t xml:space="preserve"> School Strategic Plan and the school’s Annual Implementation Plan</w:t>
      </w:r>
    </w:p>
    <w:p w14:paraId="257E2CB9" w14:textId="78A1E925" w:rsidR="003518BD" w:rsidRPr="00831496" w:rsidRDefault="003518BD" w:rsidP="003518BD">
      <w:pPr>
        <w:pStyle w:val="Bullet1"/>
        <w:rPr>
          <w:sz w:val="24"/>
          <w:lang w:eastAsia="en-AU"/>
        </w:rPr>
      </w:pPr>
      <w:proofErr w:type="gramStart"/>
      <w:r w:rsidRPr="00831496">
        <w:rPr>
          <w:sz w:val="24"/>
          <w:lang w:eastAsia="en-AU"/>
        </w:rPr>
        <w:t>will</w:t>
      </w:r>
      <w:proofErr w:type="gramEnd"/>
      <w:r w:rsidRPr="00831496">
        <w:rPr>
          <w:sz w:val="24"/>
          <w:lang w:eastAsia="en-AU"/>
        </w:rPr>
        <w:t xml:space="preserve"> work with teacher mentors to understand the requirements for conducting parent teacher conferences and writing reports. </w:t>
      </w:r>
    </w:p>
    <w:p w14:paraId="65703BF7" w14:textId="77777777" w:rsidR="003518BD" w:rsidRPr="00831496" w:rsidRDefault="003518BD" w:rsidP="009731C9">
      <w:pPr>
        <w:spacing w:after="200"/>
        <w:rPr>
          <w:sz w:val="24"/>
          <w:lang w:val="en-AU" w:eastAsia="en-AU"/>
        </w:rPr>
      </w:pPr>
      <w:r w:rsidRPr="00831496">
        <w:rPr>
          <w:sz w:val="24"/>
          <w:lang w:val="en-AU" w:eastAsia="en-AU"/>
        </w:rPr>
        <w:t xml:space="preserve">Arrangements should be put in place to guide graduate teachers through two crucial activities that </w:t>
      </w:r>
      <w:r w:rsidRPr="00831496">
        <w:rPr>
          <w:sz w:val="24"/>
          <w:lang w:val="en-AU"/>
        </w:rPr>
        <w:t>graduate</w:t>
      </w:r>
      <w:r w:rsidRPr="00831496">
        <w:rPr>
          <w:sz w:val="24"/>
          <w:lang w:val="en-AU" w:eastAsia="en-AU"/>
        </w:rPr>
        <w:t xml:space="preserve"> teachers often cite as challenging: parent-teacher conferences and report writing. </w:t>
      </w:r>
      <w:r w:rsidRPr="00831496">
        <w:rPr>
          <w:sz w:val="24"/>
          <w:lang w:val="en-AU"/>
        </w:rPr>
        <w:t>Teacher</w:t>
      </w:r>
      <w:r w:rsidRPr="00831496">
        <w:rPr>
          <w:sz w:val="24"/>
          <w:lang w:val="en-AU" w:eastAsia="en-AU"/>
        </w:rPr>
        <w:t xml:space="preserve"> mentors and school leaders will ensure that graduate teachers are not only performing their duties but also protecting their wellbeing and successfully managing the pressures of this busy period.</w:t>
      </w:r>
    </w:p>
    <w:p w14:paraId="1DB965BF" w14:textId="77777777" w:rsidR="003518BD" w:rsidRPr="00831496" w:rsidRDefault="003518BD" w:rsidP="009731C9">
      <w:pPr>
        <w:spacing w:after="200"/>
        <w:rPr>
          <w:sz w:val="24"/>
          <w:lang w:val="en-AU" w:eastAsia="en-AU"/>
        </w:rPr>
      </w:pPr>
      <w:r w:rsidRPr="00831496">
        <w:rPr>
          <w:sz w:val="24"/>
          <w:lang w:val="en-AU" w:eastAsia="en-AU"/>
        </w:rPr>
        <w:t xml:space="preserve">In Term 3, graduate teachers are encouraged to attend the Graduate Teacher Conferences to </w:t>
      </w:r>
      <w:r w:rsidRPr="00831496">
        <w:rPr>
          <w:sz w:val="24"/>
          <w:lang w:val="en-AU"/>
        </w:rPr>
        <w:t>build</w:t>
      </w:r>
      <w:r w:rsidRPr="00831496">
        <w:rPr>
          <w:sz w:val="24"/>
          <w:lang w:val="en-AU" w:eastAsia="en-AU"/>
        </w:rPr>
        <w:t xml:space="preserve"> professional practice and identity, establish professional networks beyond their own schools, and further unpack teaching resources. </w:t>
      </w:r>
    </w:p>
    <w:p w14:paraId="68A45C2C" w14:textId="78F7DE62" w:rsidR="003518BD" w:rsidRPr="00831496" w:rsidRDefault="003518BD" w:rsidP="009731C9">
      <w:pPr>
        <w:spacing w:after="200"/>
        <w:rPr>
          <w:sz w:val="24"/>
          <w:lang w:val="en-AU" w:eastAsia="en-AU"/>
        </w:rPr>
      </w:pPr>
      <w:r w:rsidRPr="00831496">
        <w:rPr>
          <w:sz w:val="24"/>
          <w:lang w:val="en-AU" w:eastAsia="en-AU"/>
        </w:rPr>
        <w:t xml:space="preserve">Throughout the year, graduate teachers will continue to collect evidence of student learning, review </w:t>
      </w:r>
      <w:r w:rsidRPr="00831496">
        <w:rPr>
          <w:sz w:val="24"/>
          <w:lang w:val="en-AU"/>
        </w:rPr>
        <w:t>student</w:t>
      </w:r>
      <w:r w:rsidRPr="00831496">
        <w:rPr>
          <w:sz w:val="24"/>
          <w:lang w:val="en-AU" w:eastAsia="en-AU"/>
        </w:rPr>
        <w:t xml:space="preserve"> progress and adjust their teaching where relevant. PLCs can provide additional support for graduate teachers as they navigate their first year.</w:t>
      </w:r>
    </w:p>
    <w:p w14:paraId="1BA14365" w14:textId="77777777" w:rsidR="003518BD" w:rsidRPr="003518BD" w:rsidRDefault="003518BD" w:rsidP="003518BD">
      <w:pPr>
        <w:pStyle w:val="Heading2"/>
        <w:rPr>
          <w:lang w:val="en-AU" w:eastAsia="en-AU"/>
        </w:rPr>
      </w:pPr>
      <w:bookmarkStart w:id="43" w:name="_Toc2864096"/>
      <w:r w:rsidRPr="003518BD">
        <w:rPr>
          <w:lang w:val="en-AU" w:eastAsia="en-AU"/>
        </w:rPr>
        <w:t>Year 2: accelerating professional growth</w:t>
      </w:r>
      <w:bookmarkEnd w:id="43"/>
    </w:p>
    <w:p w14:paraId="14A3326A" w14:textId="77777777" w:rsidR="003518BD" w:rsidRPr="00831496" w:rsidRDefault="003518BD" w:rsidP="009731C9">
      <w:pPr>
        <w:spacing w:after="200"/>
        <w:rPr>
          <w:sz w:val="24"/>
          <w:lang w:val="en-AU" w:eastAsia="en-AU"/>
        </w:rPr>
      </w:pPr>
      <w:r w:rsidRPr="00831496">
        <w:rPr>
          <w:sz w:val="24"/>
          <w:lang w:val="en-AU" w:eastAsia="en-AU"/>
        </w:rPr>
        <w:t xml:space="preserve">In Year 2, the </w:t>
      </w:r>
      <w:r w:rsidRPr="00831496">
        <w:rPr>
          <w:sz w:val="24"/>
          <w:lang w:val="en-AU"/>
        </w:rPr>
        <w:t>induction</w:t>
      </w:r>
      <w:r w:rsidRPr="00831496">
        <w:rPr>
          <w:sz w:val="24"/>
          <w:lang w:val="en-AU" w:eastAsia="en-AU"/>
        </w:rPr>
        <w:t xml:space="preserve"> process shifts toward embedding the collaborative professional foundations laid in Year 1. Graduate teachers are:</w:t>
      </w:r>
    </w:p>
    <w:p w14:paraId="53D1D33D" w14:textId="58D9F039" w:rsidR="003518BD" w:rsidRPr="00831496" w:rsidRDefault="003518BD" w:rsidP="003518BD">
      <w:pPr>
        <w:pStyle w:val="Bullet1"/>
        <w:rPr>
          <w:sz w:val="24"/>
          <w:lang w:eastAsia="en-AU"/>
        </w:rPr>
      </w:pPr>
      <w:r w:rsidRPr="00831496">
        <w:rPr>
          <w:sz w:val="24"/>
          <w:lang w:eastAsia="en-AU"/>
        </w:rPr>
        <w:t>expected to have better understanding of their school context, broader school community and particular student needs, interests and abilities</w:t>
      </w:r>
    </w:p>
    <w:p w14:paraId="33A1B6FC" w14:textId="6277032E" w:rsidR="003518BD" w:rsidRPr="00831496" w:rsidRDefault="003518BD" w:rsidP="003518BD">
      <w:pPr>
        <w:pStyle w:val="Bullet1"/>
        <w:rPr>
          <w:sz w:val="24"/>
          <w:lang w:eastAsia="en-AU"/>
        </w:rPr>
      </w:pPr>
      <w:r w:rsidRPr="00831496">
        <w:rPr>
          <w:sz w:val="24"/>
          <w:lang w:eastAsia="en-AU"/>
        </w:rPr>
        <w:t xml:space="preserve">building professional efficacy by developing strong collaborative relationships with teacher mentors and colleagues </w:t>
      </w:r>
    </w:p>
    <w:p w14:paraId="5DF5A3A2" w14:textId="358F43C6" w:rsidR="003518BD" w:rsidRPr="00831496" w:rsidRDefault="003518BD" w:rsidP="003518BD">
      <w:pPr>
        <w:pStyle w:val="Bullet1"/>
        <w:rPr>
          <w:sz w:val="24"/>
          <w:lang w:eastAsia="en-AU"/>
        </w:rPr>
      </w:pPr>
      <w:r w:rsidRPr="00831496">
        <w:rPr>
          <w:sz w:val="24"/>
          <w:lang w:eastAsia="en-AU"/>
        </w:rPr>
        <w:lastRenderedPageBreak/>
        <w:t>developing the skills to analyse student learning growth</w:t>
      </w:r>
    </w:p>
    <w:p w14:paraId="33935FA2" w14:textId="76BF37DA" w:rsidR="003518BD" w:rsidRPr="00831496" w:rsidRDefault="003518BD" w:rsidP="003518BD">
      <w:pPr>
        <w:pStyle w:val="Bullet1"/>
        <w:rPr>
          <w:sz w:val="24"/>
          <w:lang w:eastAsia="en-AU"/>
        </w:rPr>
      </w:pPr>
      <w:proofErr w:type="gramStart"/>
      <w:r w:rsidRPr="00831496">
        <w:rPr>
          <w:sz w:val="24"/>
          <w:lang w:eastAsia="en-AU"/>
        </w:rPr>
        <w:t>accelerating</w:t>
      </w:r>
      <w:proofErr w:type="gramEnd"/>
      <w:r w:rsidRPr="00831496">
        <w:rPr>
          <w:sz w:val="24"/>
          <w:lang w:eastAsia="en-AU"/>
        </w:rPr>
        <w:t xml:space="preserve"> professional growth and resilience.</w:t>
      </w:r>
    </w:p>
    <w:p w14:paraId="2778EC42" w14:textId="77777777" w:rsidR="003518BD" w:rsidRPr="00831496" w:rsidRDefault="003518BD" w:rsidP="009731C9">
      <w:pPr>
        <w:spacing w:after="200"/>
        <w:rPr>
          <w:sz w:val="24"/>
          <w:lang w:val="en-AU" w:eastAsia="en-AU"/>
        </w:rPr>
      </w:pPr>
      <w:r w:rsidRPr="00831496">
        <w:rPr>
          <w:sz w:val="24"/>
          <w:lang w:val="en-AU" w:eastAsia="en-AU"/>
        </w:rPr>
        <w:t xml:space="preserve">Year 2 induction focuses on targeted professional development and reinforcing collegiate relationships with </w:t>
      </w:r>
      <w:r w:rsidRPr="00831496">
        <w:rPr>
          <w:sz w:val="24"/>
          <w:lang w:val="en-AU"/>
        </w:rPr>
        <w:t>teacher</w:t>
      </w:r>
      <w:r w:rsidRPr="00831496">
        <w:rPr>
          <w:sz w:val="24"/>
          <w:lang w:val="en-AU" w:eastAsia="en-AU"/>
        </w:rPr>
        <w:t xml:space="preserve"> mentors and other colleagues. Schools will also have been preparing graduate teachers to achieve full VIT registration and transition their professional learning into the professional learning cycle of the school.</w:t>
      </w:r>
    </w:p>
    <w:p w14:paraId="581B579A" w14:textId="4F52B531" w:rsidR="003518BD" w:rsidRPr="00831496" w:rsidRDefault="003518BD" w:rsidP="003518BD">
      <w:pPr>
        <w:pStyle w:val="IntenseQuote"/>
        <w:rPr>
          <w:sz w:val="24"/>
          <w:lang w:val="en-AU" w:eastAsia="en-AU"/>
        </w:rPr>
      </w:pPr>
      <w:r w:rsidRPr="00831496">
        <w:rPr>
          <w:sz w:val="24"/>
          <w:lang w:val="en-AU" w:eastAsia="en-AU"/>
        </w:rPr>
        <w:t>I leave the school feeling on top of things and know what’s on th</w:t>
      </w:r>
      <w:r w:rsidR="00507B15">
        <w:rPr>
          <w:sz w:val="24"/>
          <w:lang w:val="en-AU" w:eastAsia="en-AU"/>
        </w:rPr>
        <w:t>e next day and am ready to go</w:t>
      </w:r>
      <w:r w:rsidR="00831496">
        <w:rPr>
          <w:sz w:val="24"/>
          <w:lang w:val="en-AU" w:eastAsia="en-AU"/>
        </w:rPr>
        <w:t xml:space="preserve"> – </w:t>
      </w:r>
      <w:r w:rsidRPr="00831496">
        <w:rPr>
          <w:sz w:val="24"/>
          <w:lang w:val="en-AU" w:eastAsia="en-AU"/>
        </w:rPr>
        <w:t>Graduate Teacher 2018</w:t>
      </w:r>
    </w:p>
    <w:p w14:paraId="6D6092AA" w14:textId="77777777" w:rsidR="0068683F" w:rsidRPr="0068683F" w:rsidRDefault="0068683F" w:rsidP="0068683F">
      <w:pPr>
        <w:pStyle w:val="Heading2"/>
        <w:rPr>
          <w:lang w:val="en-AU" w:eastAsia="en-AU"/>
        </w:rPr>
      </w:pPr>
      <w:bookmarkStart w:id="44" w:name="_Toc2864097"/>
      <w:r w:rsidRPr="0068683F">
        <w:rPr>
          <w:lang w:val="en-AU" w:eastAsia="en-AU"/>
        </w:rPr>
        <w:t>Pre-commencement Checklist</w:t>
      </w:r>
      <w:bookmarkEnd w:id="44"/>
      <w:r w:rsidRPr="0068683F">
        <w:rPr>
          <w:lang w:val="en-AU" w:eastAsia="en-AU"/>
        </w:rPr>
        <w:t xml:space="preserve"> </w:t>
      </w:r>
    </w:p>
    <w:p w14:paraId="2CE76398" w14:textId="77777777" w:rsidR="0068683F" w:rsidRPr="007E4CDA" w:rsidRDefault="0068683F" w:rsidP="0068683F">
      <w:pPr>
        <w:pStyle w:val="Bullet1"/>
        <w:rPr>
          <w:sz w:val="24"/>
          <w:lang w:eastAsia="en-AU"/>
        </w:rPr>
      </w:pPr>
      <w:r w:rsidRPr="007E4CDA">
        <w:rPr>
          <w:sz w:val="24"/>
          <w:lang w:eastAsia="en-AU"/>
        </w:rPr>
        <w:t>Work through the Welcome pack, read the Graduate Teacher Induction Guide and become familiar with the induction portal and the Graduate Teacher Learning Series</w:t>
      </w:r>
    </w:p>
    <w:p w14:paraId="43E47DFC" w14:textId="77777777" w:rsidR="0068683F" w:rsidRPr="007E4CDA" w:rsidRDefault="0068683F" w:rsidP="0068683F">
      <w:pPr>
        <w:pStyle w:val="Bullet1"/>
        <w:rPr>
          <w:sz w:val="24"/>
          <w:lang w:eastAsia="en-AU"/>
        </w:rPr>
      </w:pPr>
      <w:r w:rsidRPr="007E4CDA">
        <w:rPr>
          <w:sz w:val="24"/>
          <w:lang w:eastAsia="en-AU"/>
        </w:rPr>
        <w:t xml:space="preserve">Read about the </w:t>
      </w:r>
      <w:hyperlink r:id="rId55" w:history="1">
        <w:r w:rsidRPr="007E4CDA">
          <w:rPr>
            <w:rStyle w:val="Hyperlink"/>
            <w:sz w:val="24"/>
            <w:lang w:eastAsia="en-AU"/>
          </w:rPr>
          <w:t>Department of Education and Training</w:t>
        </w:r>
      </w:hyperlink>
      <w:r w:rsidRPr="007E4CDA">
        <w:rPr>
          <w:sz w:val="24"/>
          <w:lang w:eastAsia="en-AU"/>
        </w:rPr>
        <w:t xml:space="preserve"> </w:t>
      </w:r>
    </w:p>
    <w:p w14:paraId="2FC1F621" w14:textId="77777777" w:rsidR="0068683F" w:rsidRPr="007E4CDA" w:rsidRDefault="0068683F" w:rsidP="0068683F">
      <w:pPr>
        <w:pStyle w:val="Bullet1"/>
        <w:rPr>
          <w:sz w:val="24"/>
          <w:lang w:eastAsia="en-AU"/>
        </w:rPr>
      </w:pPr>
      <w:r w:rsidRPr="007E4CDA">
        <w:rPr>
          <w:sz w:val="24"/>
          <w:lang w:eastAsia="en-AU"/>
        </w:rPr>
        <w:t xml:space="preserve">Organise Orientation Day/s </w:t>
      </w:r>
    </w:p>
    <w:p w14:paraId="3F0C11B3" w14:textId="77777777" w:rsidR="0068683F" w:rsidRPr="007E4CDA" w:rsidRDefault="0068683F" w:rsidP="0068683F">
      <w:pPr>
        <w:pStyle w:val="Bullet1"/>
        <w:rPr>
          <w:sz w:val="24"/>
          <w:lang w:eastAsia="en-AU"/>
        </w:rPr>
      </w:pPr>
      <w:r w:rsidRPr="007E4CDA">
        <w:rPr>
          <w:sz w:val="24"/>
          <w:lang w:eastAsia="en-AU"/>
        </w:rPr>
        <w:t xml:space="preserve">Become familiar with the </w:t>
      </w:r>
      <w:hyperlink r:id="rId56" w:history="1">
        <w:r w:rsidRPr="007E4CDA">
          <w:rPr>
            <w:rStyle w:val="Hyperlink"/>
            <w:sz w:val="24"/>
            <w:lang w:eastAsia="en-AU"/>
          </w:rPr>
          <w:t>Victorian Government Schools Agreement 2017 (VGSA 2017)</w:t>
        </w:r>
      </w:hyperlink>
      <w:r w:rsidRPr="007E4CDA">
        <w:rPr>
          <w:sz w:val="24"/>
          <w:lang w:eastAsia="en-AU"/>
        </w:rPr>
        <w:t xml:space="preserve"> </w:t>
      </w:r>
    </w:p>
    <w:p w14:paraId="4D0FE554" w14:textId="77777777" w:rsidR="0068683F" w:rsidRPr="007E4CDA" w:rsidRDefault="0068683F" w:rsidP="0068683F">
      <w:pPr>
        <w:pStyle w:val="Bullet1"/>
        <w:rPr>
          <w:sz w:val="24"/>
          <w:lang w:eastAsia="en-AU"/>
        </w:rPr>
      </w:pPr>
      <w:r w:rsidRPr="007E4CDA">
        <w:rPr>
          <w:sz w:val="24"/>
          <w:lang w:eastAsia="en-AU"/>
        </w:rPr>
        <w:t xml:space="preserve">Review the </w:t>
      </w:r>
      <w:hyperlink r:id="rId57" w:history="1">
        <w:r w:rsidRPr="007E4CDA">
          <w:rPr>
            <w:rStyle w:val="Hyperlink"/>
            <w:sz w:val="24"/>
            <w:lang w:eastAsia="en-AU"/>
          </w:rPr>
          <w:t>Code of Conduct and Ethics</w:t>
        </w:r>
      </w:hyperlink>
      <w:r w:rsidRPr="007E4CDA">
        <w:rPr>
          <w:sz w:val="24"/>
          <w:lang w:eastAsia="en-AU"/>
        </w:rPr>
        <w:t xml:space="preserve"> </w:t>
      </w:r>
    </w:p>
    <w:p w14:paraId="75DDB788" w14:textId="77777777" w:rsidR="0068683F" w:rsidRPr="007E4CDA" w:rsidRDefault="0068683F" w:rsidP="006D40D7">
      <w:pPr>
        <w:pStyle w:val="Heading3"/>
        <w:rPr>
          <w:lang w:val="en-AU" w:eastAsia="en-AU"/>
        </w:rPr>
      </w:pPr>
      <w:bookmarkStart w:id="45" w:name="_Toc2864098"/>
      <w:r w:rsidRPr="007E4CDA">
        <w:rPr>
          <w:lang w:val="en-AU" w:eastAsia="en-AU"/>
        </w:rPr>
        <w:t>Review the Department’s policies and procedures</w:t>
      </w:r>
      <w:bookmarkEnd w:id="45"/>
      <w:r w:rsidRPr="007E4CDA">
        <w:rPr>
          <w:lang w:val="en-AU" w:eastAsia="en-AU"/>
        </w:rPr>
        <w:t xml:space="preserve"> </w:t>
      </w:r>
    </w:p>
    <w:p w14:paraId="55D6CB73" w14:textId="77777777" w:rsidR="0068683F" w:rsidRPr="007E4CDA" w:rsidRDefault="0068683F" w:rsidP="0068683F">
      <w:pPr>
        <w:pStyle w:val="Bullet1"/>
        <w:rPr>
          <w:sz w:val="24"/>
          <w:lang w:eastAsia="en-AU"/>
        </w:rPr>
      </w:pPr>
      <w:hyperlink r:id="rId58" w:anchor="/app/content/1936/" w:history="1">
        <w:r w:rsidRPr="007E4CDA">
          <w:rPr>
            <w:rStyle w:val="Hyperlink"/>
            <w:sz w:val="24"/>
            <w:lang w:eastAsia="en-AU"/>
          </w:rPr>
          <w:t>Code of Conduct for Victorian Public Sector Employees</w:t>
        </w:r>
      </w:hyperlink>
      <w:r w:rsidRPr="007E4CDA">
        <w:rPr>
          <w:sz w:val="24"/>
          <w:lang w:eastAsia="en-AU"/>
        </w:rPr>
        <w:t xml:space="preserve"> </w:t>
      </w:r>
    </w:p>
    <w:p w14:paraId="2C47DC1C" w14:textId="77777777" w:rsidR="0068683F" w:rsidRPr="007E4CDA" w:rsidRDefault="0068683F" w:rsidP="0068683F">
      <w:pPr>
        <w:pStyle w:val="Bullet1"/>
        <w:rPr>
          <w:sz w:val="24"/>
          <w:lang w:eastAsia="en-AU"/>
        </w:rPr>
      </w:pPr>
      <w:hyperlink r:id="rId59" w:history="1">
        <w:r w:rsidRPr="007E4CDA">
          <w:rPr>
            <w:rStyle w:val="Hyperlink"/>
            <w:sz w:val="24"/>
            <w:lang w:eastAsia="en-AU"/>
          </w:rPr>
          <w:t>DET’s Values: A School Guide</w:t>
        </w:r>
      </w:hyperlink>
      <w:r w:rsidRPr="007E4CDA">
        <w:rPr>
          <w:sz w:val="24"/>
          <w:lang w:eastAsia="en-AU"/>
        </w:rPr>
        <w:t xml:space="preserve"> </w:t>
      </w:r>
    </w:p>
    <w:p w14:paraId="5BD3F623" w14:textId="77777777" w:rsidR="0068683F" w:rsidRPr="007E4CDA" w:rsidRDefault="0068683F" w:rsidP="0068683F">
      <w:pPr>
        <w:pStyle w:val="Bullet1"/>
        <w:rPr>
          <w:sz w:val="24"/>
          <w:lang w:eastAsia="en-AU"/>
        </w:rPr>
      </w:pPr>
      <w:hyperlink r:id="rId60" w:history="1">
        <w:r w:rsidRPr="007E4CDA">
          <w:rPr>
            <w:rStyle w:val="Hyperlink"/>
            <w:sz w:val="24"/>
            <w:lang w:eastAsia="en-AU"/>
          </w:rPr>
          <w:t>Protecting children</w:t>
        </w:r>
      </w:hyperlink>
      <w:r w:rsidRPr="007E4CDA">
        <w:rPr>
          <w:sz w:val="24"/>
          <w:lang w:eastAsia="en-AU"/>
        </w:rPr>
        <w:t xml:space="preserve"> </w:t>
      </w:r>
    </w:p>
    <w:p w14:paraId="6D967FFE" w14:textId="77777777" w:rsidR="0068683F" w:rsidRPr="007E4CDA" w:rsidRDefault="0068683F" w:rsidP="006D40D7">
      <w:pPr>
        <w:pStyle w:val="Heading3"/>
        <w:rPr>
          <w:lang w:val="en-AU" w:eastAsia="en-AU"/>
        </w:rPr>
      </w:pPr>
      <w:bookmarkStart w:id="46" w:name="_Toc2864099"/>
      <w:r w:rsidRPr="007E4CDA">
        <w:rPr>
          <w:lang w:val="en-AU" w:eastAsia="en-AU"/>
        </w:rPr>
        <w:t>Graduate teacher and principal/school leader meeting which covers the following items:</w:t>
      </w:r>
      <w:bookmarkEnd w:id="46"/>
      <w:r w:rsidRPr="007E4CDA">
        <w:rPr>
          <w:lang w:val="en-AU" w:eastAsia="en-AU"/>
        </w:rPr>
        <w:t xml:space="preserve"> </w:t>
      </w:r>
    </w:p>
    <w:p w14:paraId="41B926F7" w14:textId="77777777" w:rsidR="0068683F" w:rsidRPr="007E4CDA" w:rsidRDefault="0068683F" w:rsidP="0068683F">
      <w:pPr>
        <w:pStyle w:val="Bullet1"/>
        <w:rPr>
          <w:sz w:val="24"/>
          <w:lang w:eastAsia="en-AU"/>
        </w:rPr>
      </w:pPr>
      <w:r w:rsidRPr="007E4CDA">
        <w:rPr>
          <w:sz w:val="24"/>
          <w:lang w:eastAsia="en-AU"/>
        </w:rPr>
        <w:t>Discuss graduate teacher’s induction plan and role</w:t>
      </w:r>
    </w:p>
    <w:p w14:paraId="77189696" w14:textId="77777777" w:rsidR="0068683F" w:rsidRPr="007E4CDA" w:rsidRDefault="0068683F" w:rsidP="0068683F">
      <w:pPr>
        <w:pStyle w:val="Bullet1"/>
        <w:rPr>
          <w:sz w:val="24"/>
          <w:lang w:eastAsia="en-AU"/>
        </w:rPr>
      </w:pPr>
      <w:r w:rsidRPr="007E4CDA">
        <w:rPr>
          <w:sz w:val="24"/>
          <w:lang w:eastAsia="en-AU"/>
        </w:rPr>
        <w:t>Graduate teacher’s introduction to their team</w:t>
      </w:r>
    </w:p>
    <w:p w14:paraId="0555F5ED" w14:textId="77777777" w:rsidR="0068683F" w:rsidRPr="007E4CDA" w:rsidRDefault="0068683F" w:rsidP="0068683F">
      <w:pPr>
        <w:pStyle w:val="Bullet1"/>
        <w:rPr>
          <w:sz w:val="24"/>
          <w:lang w:eastAsia="en-AU"/>
        </w:rPr>
      </w:pPr>
      <w:r w:rsidRPr="007E4CDA">
        <w:rPr>
          <w:sz w:val="24"/>
          <w:lang w:eastAsia="en-AU"/>
        </w:rPr>
        <w:t>Tour facilities and obtain a school map</w:t>
      </w:r>
    </w:p>
    <w:p w14:paraId="4DC83B45" w14:textId="77777777" w:rsidR="0068683F" w:rsidRPr="007E4CDA" w:rsidRDefault="0068683F" w:rsidP="0068683F">
      <w:pPr>
        <w:pStyle w:val="Bullet1"/>
        <w:rPr>
          <w:sz w:val="24"/>
          <w:lang w:eastAsia="en-AU"/>
        </w:rPr>
      </w:pPr>
      <w:r w:rsidRPr="007E4CDA">
        <w:rPr>
          <w:sz w:val="24"/>
          <w:lang w:eastAsia="en-AU"/>
        </w:rPr>
        <w:t>Introduce graduate teacher to their teacher mentor</w:t>
      </w:r>
    </w:p>
    <w:p w14:paraId="1596AC6C" w14:textId="77777777" w:rsidR="0068683F" w:rsidRPr="007E4CDA" w:rsidRDefault="0068683F" w:rsidP="0068683F">
      <w:pPr>
        <w:pStyle w:val="Bullet1"/>
        <w:rPr>
          <w:sz w:val="24"/>
          <w:lang w:eastAsia="en-AU"/>
        </w:rPr>
      </w:pPr>
      <w:r w:rsidRPr="007E4CDA">
        <w:rPr>
          <w:sz w:val="24"/>
          <w:lang w:eastAsia="en-AU"/>
        </w:rPr>
        <w:t>Organise graduate teacher’s access to their classroom so they can set up the room, and provide guidance to</w:t>
      </w:r>
    </w:p>
    <w:p w14:paraId="5061635B" w14:textId="77777777" w:rsidR="0068683F" w:rsidRPr="007E4CDA" w:rsidRDefault="0068683F" w:rsidP="0068683F">
      <w:pPr>
        <w:pStyle w:val="Bullet1"/>
        <w:rPr>
          <w:sz w:val="24"/>
          <w:lang w:eastAsia="en-AU"/>
        </w:rPr>
      </w:pPr>
      <w:r w:rsidRPr="007E4CDA">
        <w:rPr>
          <w:sz w:val="24"/>
          <w:lang w:eastAsia="en-AU"/>
        </w:rPr>
        <w:t>the graduate teacher about resource allocation</w:t>
      </w:r>
    </w:p>
    <w:p w14:paraId="432D75C5" w14:textId="77777777" w:rsidR="0068683F" w:rsidRPr="007E4CDA" w:rsidRDefault="0068683F" w:rsidP="0068683F">
      <w:pPr>
        <w:pStyle w:val="Bullet1"/>
        <w:rPr>
          <w:sz w:val="24"/>
          <w:lang w:eastAsia="en-AU"/>
        </w:rPr>
      </w:pPr>
      <w:r w:rsidRPr="007E4CDA">
        <w:rPr>
          <w:sz w:val="24"/>
          <w:lang w:eastAsia="en-AU"/>
        </w:rPr>
        <w:t xml:space="preserve">Receive guidance about using </w:t>
      </w:r>
      <w:proofErr w:type="spellStart"/>
      <w:r w:rsidRPr="007E4CDA">
        <w:rPr>
          <w:sz w:val="24"/>
          <w:lang w:eastAsia="en-AU"/>
        </w:rPr>
        <w:t>eduMail</w:t>
      </w:r>
      <w:proofErr w:type="spellEnd"/>
      <w:r w:rsidRPr="007E4CDA">
        <w:rPr>
          <w:sz w:val="24"/>
          <w:lang w:eastAsia="en-AU"/>
        </w:rPr>
        <w:t xml:space="preserve"> and the school intranet</w:t>
      </w:r>
    </w:p>
    <w:p w14:paraId="420BECFE" w14:textId="77777777" w:rsidR="0068683F" w:rsidRPr="007E4CDA" w:rsidRDefault="0068683F" w:rsidP="0068683F">
      <w:pPr>
        <w:pStyle w:val="Bullet1"/>
        <w:rPr>
          <w:sz w:val="24"/>
          <w:lang w:eastAsia="en-AU"/>
        </w:rPr>
      </w:pPr>
      <w:r w:rsidRPr="007E4CDA">
        <w:rPr>
          <w:sz w:val="24"/>
          <w:lang w:eastAsia="en-AU"/>
        </w:rPr>
        <w:t>Discuss security of belongings and personal property liability</w:t>
      </w:r>
    </w:p>
    <w:p w14:paraId="5E8FB1BA" w14:textId="77777777" w:rsidR="0068683F" w:rsidRPr="007E4CDA" w:rsidRDefault="0068683F" w:rsidP="0068683F">
      <w:pPr>
        <w:pStyle w:val="Bullet1"/>
        <w:rPr>
          <w:sz w:val="24"/>
          <w:lang w:eastAsia="en-AU"/>
        </w:rPr>
      </w:pPr>
      <w:r w:rsidRPr="007E4CDA">
        <w:rPr>
          <w:sz w:val="24"/>
          <w:lang w:eastAsia="en-AU"/>
        </w:rPr>
        <w:t>Receive an overview of first working day’s program and Week 1 induction activities</w:t>
      </w:r>
    </w:p>
    <w:p w14:paraId="49A20429" w14:textId="77777777" w:rsidR="0068683F" w:rsidRPr="007E4CDA" w:rsidRDefault="0068683F" w:rsidP="0068683F">
      <w:pPr>
        <w:pStyle w:val="Bullet1"/>
        <w:rPr>
          <w:sz w:val="24"/>
          <w:lang w:eastAsia="en-AU"/>
        </w:rPr>
      </w:pPr>
      <w:r w:rsidRPr="007E4CDA">
        <w:rPr>
          <w:sz w:val="24"/>
          <w:lang w:eastAsia="en-AU"/>
        </w:rPr>
        <w:lastRenderedPageBreak/>
        <w:t>Receive an overview of the school context</w:t>
      </w:r>
    </w:p>
    <w:p w14:paraId="67867FB2" w14:textId="77777777" w:rsidR="0068683F" w:rsidRPr="007E4CDA" w:rsidRDefault="0068683F" w:rsidP="0068683F">
      <w:pPr>
        <w:pStyle w:val="Bullet1"/>
        <w:rPr>
          <w:sz w:val="24"/>
          <w:lang w:eastAsia="en-AU"/>
        </w:rPr>
      </w:pPr>
      <w:r w:rsidRPr="007E4CDA">
        <w:rPr>
          <w:sz w:val="24"/>
          <w:lang w:eastAsia="en-AU"/>
        </w:rPr>
        <w:t xml:space="preserve">Discuss </w:t>
      </w:r>
      <w:hyperlink r:id="rId61" w:history="1">
        <w:r w:rsidRPr="007E4CDA">
          <w:rPr>
            <w:rStyle w:val="Hyperlink"/>
            <w:sz w:val="24"/>
            <w:lang w:eastAsia="en-AU"/>
          </w:rPr>
          <w:t>Outside Employment guidelines</w:t>
        </w:r>
      </w:hyperlink>
      <w:r w:rsidRPr="007E4CDA">
        <w:rPr>
          <w:sz w:val="24"/>
          <w:lang w:eastAsia="en-AU"/>
        </w:rPr>
        <w:t xml:space="preserve"> and </w:t>
      </w:r>
      <w:hyperlink r:id="rId62" w:history="1">
        <w:r w:rsidRPr="007E4CDA">
          <w:rPr>
            <w:rStyle w:val="Hyperlink"/>
            <w:sz w:val="24"/>
            <w:lang w:eastAsia="en-AU"/>
          </w:rPr>
          <w:t>Complaints – information for employees</w:t>
        </w:r>
      </w:hyperlink>
    </w:p>
    <w:p w14:paraId="2DDDB199" w14:textId="77777777" w:rsidR="0068683F" w:rsidRPr="007E4CDA" w:rsidRDefault="0068683F" w:rsidP="006D40D7">
      <w:pPr>
        <w:pStyle w:val="Heading3"/>
        <w:rPr>
          <w:lang w:val="en-AU" w:eastAsia="en-AU"/>
        </w:rPr>
      </w:pPr>
      <w:bookmarkStart w:id="47" w:name="_Toc2864100"/>
      <w:r w:rsidRPr="007E4CDA">
        <w:rPr>
          <w:lang w:val="en-AU" w:eastAsia="en-AU"/>
        </w:rPr>
        <w:t>Meet with school office staff to initiate or complete administrative tasks, which may include:</w:t>
      </w:r>
      <w:bookmarkEnd w:id="47"/>
      <w:r w:rsidRPr="007E4CDA">
        <w:rPr>
          <w:lang w:val="en-AU" w:eastAsia="en-AU"/>
        </w:rPr>
        <w:t xml:space="preserve"> </w:t>
      </w:r>
    </w:p>
    <w:p w14:paraId="2CF2FD92" w14:textId="77777777" w:rsidR="0068683F" w:rsidRPr="007E4CDA" w:rsidRDefault="0068683F" w:rsidP="0068683F">
      <w:pPr>
        <w:pStyle w:val="Bullet1"/>
        <w:rPr>
          <w:sz w:val="24"/>
          <w:lang w:eastAsia="en-AU"/>
        </w:rPr>
      </w:pPr>
      <w:r w:rsidRPr="007E4CDA">
        <w:rPr>
          <w:sz w:val="24"/>
          <w:lang w:eastAsia="en-AU"/>
        </w:rPr>
        <w:t>Name on pigeonhole</w:t>
      </w:r>
    </w:p>
    <w:p w14:paraId="00F68C5B" w14:textId="77777777" w:rsidR="0068683F" w:rsidRPr="007E4CDA" w:rsidRDefault="0068683F" w:rsidP="0068683F">
      <w:pPr>
        <w:pStyle w:val="Bullet1"/>
        <w:rPr>
          <w:sz w:val="24"/>
          <w:lang w:eastAsia="en-AU"/>
        </w:rPr>
      </w:pPr>
      <w:r w:rsidRPr="007E4CDA">
        <w:rPr>
          <w:sz w:val="24"/>
          <w:lang w:eastAsia="en-AU"/>
        </w:rPr>
        <w:t>Allocate keys/access cards</w:t>
      </w:r>
    </w:p>
    <w:p w14:paraId="0D732906" w14:textId="77777777" w:rsidR="0068683F" w:rsidRPr="007E4CDA" w:rsidRDefault="0068683F" w:rsidP="0068683F">
      <w:pPr>
        <w:pStyle w:val="Bullet1"/>
        <w:rPr>
          <w:sz w:val="24"/>
          <w:lang w:eastAsia="en-AU"/>
        </w:rPr>
      </w:pPr>
      <w:r w:rsidRPr="007E4CDA">
        <w:rPr>
          <w:sz w:val="24"/>
          <w:lang w:eastAsia="en-AU"/>
        </w:rPr>
        <w:t>Car parking instructions</w:t>
      </w:r>
    </w:p>
    <w:p w14:paraId="15F973DF" w14:textId="77777777" w:rsidR="0068683F" w:rsidRPr="007E4CDA" w:rsidRDefault="0068683F" w:rsidP="0068683F">
      <w:pPr>
        <w:pStyle w:val="Bullet1"/>
        <w:rPr>
          <w:sz w:val="24"/>
          <w:lang w:eastAsia="en-AU"/>
        </w:rPr>
      </w:pPr>
      <w:r w:rsidRPr="007E4CDA">
        <w:rPr>
          <w:sz w:val="24"/>
          <w:lang w:eastAsia="en-AU"/>
        </w:rPr>
        <w:t>Allocate photocopy and printing card/code</w:t>
      </w:r>
    </w:p>
    <w:p w14:paraId="1DDEE2D4" w14:textId="77777777" w:rsidR="0068683F" w:rsidRPr="007E4CDA" w:rsidRDefault="0068683F" w:rsidP="0068683F">
      <w:pPr>
        <w:pStyle w:val="Bullet1"/>
        <w:rPr>
          <w:sz w:val="24"/>
          <w:lang w:eastAsia="en-AU"/>
        </w:rPr>
      </w:pPr>
      <w:r w:rsidRPr="007E4CDA">
        <w:rPr>
          <w:sz w:val="24"/>
          <w:lang w:eastAsia="en-AU"/>
        </w:rPr>
        <w:t>Allocate staff room desk</w:t>
      </w:r>
    </w:p>
    <w:p w14:paraId="0AB0B2AD" w14:textId="77777777" w:rsidR="0068683F" w:rsidRPr="007E4CDA" w:rsidRDefault="0068683F" w:rsidP="0068683F">
      <w:pPr>
        <w:pStyle w:val="Bullet1"/>
        <w:rPr>
          <w:sz w:val="24"/>
          <w:lang w:eastAsia="en-AU"/>
        </w:rPr>
      </w:pPr>
      <w:r w:rsidRPr="007E4CDA">
        <w:rPr>
          <w:sz w:val="24"/>
          <w:lang w:eastAsia="en-AU"/>
        </w:rPr>
        <w:t xml:space="preserve">Set up </w:t>
      </w:r>
      <w:proofErr w:type="spellStart"/>
      <w:r w:rsidRPr="007E4CDA">
        <w:rPr>
          <w:sz w:val="24"/>
          <w:lang w:eastAsia="en-AU"/>
        </w:rPr>
        <w:t>eduMail</w:t>
      </w:r>
      <w:proofErr w:type="spellEnd"/>
      <w:r w:rsidRPr="007E4CDA">
        <w:rPr>
          <w:sz w:val="24"/>
          <w:lang w:eastAsia="en-AU"/>
        </w:rPr>
        <w:t xml:space="preserve"> account</w:t>
      </w:r>
    </w:p>
    <w:p w14:paraId="37C355E7" w14:textId="77777777" w:rsidR="0068683F" w:rsidRPr="007E4CDA" w:rsidRDefault="0068683F" w:rsidP="0068683F">
      <w:pPr>
        <w:pStyle w:val="Bullet1"/>
        <w:rPr>
          <w:sz w:val="24"/>
          <w:lang w:eastAsia="en-AU"/>
        </w:rPr>
      </w:pPr>
      <w:r w:rsidRPr="007E4CDA">
        <w:rPr>
          <w:sz w:val="24"/>
          <w:lang w:eastAsia="en-AU"/>
        </w:rPr>
        <w:t>Organise other necessary passwords</w:t>
      </w:r>
    </w:p>
    <w:p w14:paraId="5BC33FD8" w14:textId="095C3F36" w:rsidR="0068683F" w:rsidRPr="007E4CDA" w:rsidRDefault="0068683F" w:rsidP="0068683F">
      <w:pPr>
        <w:pStyle w:val="Bullet1"/>
        <w:rPr>
          <w:sz w:val="24"/>
          <w:lang w:eastAsia="en-AU"/>
        </w:rPr>
      </w:pPr>
      <w:r w:rsidRPr="007E4CDA">
        <w:rPr>
          <w:sz w:val="24"/>
          <w:lang w:eastAsia="en-AU"/>
        </w:rPr>
        <w:t xml:space="preserve">Enter details on </w:t>
      </w:r>
      <w:proofErr w:type="spellStart"/>
      <w:r w:rsidRPr="007E4CDA">
        <w:rPr>
          <w:sz w:val="24"/>
          <w:lang w:eastAsia="en-AU"/>
        </w:rPr>
        <w:t>eduPay</w:t>
      </w:r>
      <w:proofErr w:type="spellEnd"/>
    </w:p>
    <w:p w14:paraId="63075E7B" w14:textId="77777777" w:rsidR="0068683F" w:rsidRPr="006D40D7" w:rsidRDefault="0068683F" w:rsidP="006D40D7">
      <w:pPr>
        <w:pStyle w:val="Heading2"/>
        <w:rPr>
          <w:lang w:val="en-AU" w:eastAsia="en-AU"/>
        </w:rPr>
      </w:pPr>
      <w:bookmarkStart w:id="48" w:name="_Toc2864101"/>
      <w:r w:rsidRPr="006D40D7">
        <w:rPr>
          <w:lang w:val="en-AU" w:eastAsia="en-AU"/>
        </w:rPr>
        <w:t>Week 1 Induction Checklist</w:t>
      </w:r>
      <w:bookmarkEnd w:id="48"/>
    </w:p>
    <w:p w14:paraId="2CC090FE" w14:textId="77777777" w:rsidR="0068683F" w:rsidRPr="007E4CDA" w:rsidRDefault="0068683F" w:rsidP="0068683F">
      <w:pPr>
        <w:pStyle w:val="Bullet1"/>
        <w:rPr>
          <w:sz w:val="24"/>
          <w:lang w:eastAsia="en-AU"/>
        </w:rPr>
      </w:pPr>
      <w:r w:rsidRPr="007E4CDA">
        <w:rPr>
          <w:sz w:val="24"/>
          <w:lang w:eastAsia="en-AU"/>
        </w:rPr>
        <w:t>First day meeting between graduate teacher and their teacher mentor</w:t>
      </w:r>
    </w:p>
    <w:p w14:paraId="728720DC" w14:textId="77777777" w:rsidR="0068683F" w:rsidRPr="007E4CDA" w:rsidRDefault="0068683F" w:rsidP="0068683F">
      <w:pPr>
        <w:pStyle w:val="Bullet1"/>
        <w:rPr>
          <w:sz w:val="24"/>
          <w:lang w:eastAsia="en-AU"/>
        </w:rPr>
      </w:pPr>
      <w:r w:rsidRPr="007E4CDA">
        <w:rPr>
          <w:sz w:val="24"/>
          <w:lang w:eastAsia="en-AU"/>
        </w:rPr>
        <w:t>Graduate teacher and teacher mentor agree contact arrangements</w:t>
      </w:r>
    </w:p>
    <w:p w14:paraId="450487CA" w14:textId="77777777" w:rsidR="0068683F" w:rsidRPr="007E4CDA" w:rsidRDefault="0068683F" w:rsidP="0068683F">
      <w:pPr>
        <w:pStyle w:val="Bullet1"/>
        <w:rPr>
          <w:sz w:val="24"/>
          <w:lang w:eastAsia="en-AU"/>
        </w:rPr>
      </w:pPr>
      <w:r w:rsidRPr="007E4CDA">
        <w:rPr>
          <w:sz w:val="24"/>
          <w:lang w:eastAsia="en-AU"/>
        </w:rPr>
        <w:t>Graduate teacher meets other new teachers individually</w:t>
      </w:r>
    </w:p>
    <w:p w14:paraId="59DA3190" w14:textId="77777777" w:rsidR="0068683F" w:rsidRPr="007E4CDA" w:rsidRDefault="0068683F" w:rsidP="0068683F">
      <w:pPr>
        <w:pStyle w:val="Bullet1"/>
        <w:rPr>
          <w:sz w:val="24"/>
          <w:lang w:eastAsia="en-AU"/>
        </w:rPr>
      </w:pPr>
      <w:r w:rsidRPr="007E4CDA">
        <w:rPr>
          <w:sz w:val="24"/>
          <w:lang w:eastAsia="en-AU"/>
        </w:rPr>
        <w:t>Graduate teacher meets education support staff</w:t>
      </w:r>
    </w:p>
    <w:p w14:paraId="22AC51B5" w14:textId="77777777" w:rsidR="0068683F" w:rsidRPr="007E4CDA" w:rsidRDefault="0068683F" w:rsidP="0068683F">
      <w:pPr>
        <w:pStyle w:val="Bullet1"/>
        <w:rPr>
          <w:sz w:val="24"/>
          <w:lang w:eastAsia="en-AU"/>
        </w:rPr>
      </w:pPr>
      <w:r w:rsidRPr="007E4CDA">
        <w:rPr>
          <w:sz w:val="24"/>
          <w:lang w:eastAsia="en-AU"/>
        </w:rPr>
        <w:t xml:space="preserve">For future reference, access and review </w:t>
      </w:r>
      <w:hyperlink r:id="rId63" w:history="1">
        <w:r w:rsidRPr="007E4CDA">
          <w:rPr>
            <w:rStyle w:val="Hyperlink"/>
            <w:sz w:val="24"/>
            <w:lang w:eastAsia="en-AU"/>
          </w:rPr>
          <w:t>School Policy and Advisory Guide: Information for Schools</w:t>
        </w:r>
      </w:hyperlink>
    </w:p>
    <w:p w14:paraId="47C751EA" w14:textId="77777777" w:rsidR="0068683F" w:rsidRPr="007E4CDA" w:rsidRDefault="0068683F" w:rsidP="0068683F">
      <w:pPr>
        <w:pStyle w:val="Bullet1"/>
        <w:rPr>
          <w:sz w:val="24"/>
          <w:lang w:eastAsia="en-AU"/>
        </w:rPr>
      </w:pPr>
      <w:r w:rsidRPr="007E4CDA">
        <w:rPr>
          <w:sz w:val="24"/>
          <w:lang w:eastAsia="en-AU"/>
        </w:rPr>
        <w:t xml:space="preserve">Download and explore the </w:t>
      </w:r>
      <w:hyperlink r:id="rId64" w:history="1">
        <w:r w:rsidRPr="007E4CDA">
          <w:rPr>
            <w:rStyle w:val="Hyperlink"/>
            <w:sz w:val="24"/>
            <w:lang w:eastAsia="en-AU"/>
          </w:rPr>
          <w:t>My Induction app</w:t>
        </w:r>
      </w:hyperlink>
      <w:r w:rsidRPr="007E4CDA">
        <w:rPr>
          <w:sz w:val="24"/>
          <w:lang w:eastAsia="en-AU"/>
        </w:rPr>
        <w:t xml:space="preserve"> developed by the Australian Institute for Teaching and School Leadership</w:t>
      </w:r>
    </w:p>
    <w:p w14:paraId="449E4A96" w14:textId="77777777" w:rsidR="0068683F" w:rsidRPr="007E4CDA" w:rsidRDefault="0068683F" w:rsidP="0068683F">
      <w:pPr>
        <w:pStyle w:val="Bullet1"/>
        <w:rPr>
          <w:sz w:val="24"/>
          <w:lang w:eastAsia="en-AU"/>
        </w:rPr>
      </w:pPr>
      <w:r w:rsidRPr="007E4CDA">
        <w:rPr>
          <w:sz w:val="24"/>
          <w:lang w:eastAsia="en-AU"/>
        </w:rPr>
        <w:t xml:space="preserve">Review educator’s section of </w:t>
      </w:r>
      <w:hyperlink r:id="rId65" w:history="1">
        <w:r w:rsidRPr="007E4CDA">
          <w:rPr>
            <w:rStyle w:val="Hyperlink"/>
            <w:sz w:val="24"/>
            <w:lang w:eastAsia="en-AU"/>
          </w:rPr>
          <w:t>Victoria Curriculum and Assessment Authority (VCAA)</w:t>
        </w:r>
      </w:hyperlink>
      <w:r w:rsidRPr="007E4CDA">
        <w:rPr>
          <w:sz w:val="24"/>
          <w:lang w:eastAsia="en-AU"/>
        </w:rPr>
        <w:t xml:space="preserve"> website</w:t>
      </w:r>
    </w:p>
    <w:p w14:paraId="07A02866" w14:textId="77777777" w:rsidR="0068683F" w:rsidRPr="007E4CDA" w:rsidRDefault="0068683F" w:rsidP="006D40D7">
      <w:pPr>
        <w:pStyle w:val="Heading3"/>
        <w:rPr>
          <w:lang w:val="en-AU" w:eastAsia="en-AU"/>
        </w:rPr>
      </w:pPr>
      <w:bookmarkStart w:id="49" w:name="_Toc2864102"/>
      <w:r w:rsidRPr="007E4CDA">
        <w:rPr>
          <w:lang w:val="en-AU" w:eastAsia="en-AU"/>
        </w:rPr>
        <w:t>Review school policies and procedures</w:t>
      </w:r>
      <w:bookmarkEnd w:id="49"/>
    </w:p>
    <w:p w14:paraId="263A849B" w14:textId="77777777" w:rsidR="0068683F" w:rsidRPr="007E4CDA" w:rsidRDefault="0068683F" w:rsidP="0068683F">
      <w:pPr>
        <w:pStyle w:val="Bullet1"/>
        <w:rPr>
          <w:sz w:val="24"/>
          <w:lang w:eastAsia="en-AU"/>
        </w:rPr>
      </w:pPr>
      <w:r w:rsidRPr="007E4CDA">
        <w:rPr>
          <w:sz w:val="24"/>
          <w:lang w:eastAsia="en-AU"/>
        </w:rPr>
        <w:t>School timetable</w:t>
      </w:r>
    </w:p>
    <w:p w14:paraId="2DFE06F3" w14:textId="77777777" w:rsidR="0068683F" w:rsidRPr="007E4CDA" w:rsidRDefault="0068683F" w:rsidP="0068683F">
      <w:pPr>
        <w:pStyle w:val="Bullet1"/>
        <w:rPr>
          <w:sz w:val="24"/>
          <w:lang w:eastAsia="en-AU"/>
        </w:rPr>
      </w:pPr>
      <w:r w:rsidRPr="007E4CDA">
        <w:rPr>
          <w:sz w:val="24"/>
          <w:lang w:eastAsia="en-AU"/>
        </w:rPr>
        <w:t>Roll taking policy</w:t>
      </w:r>
    </w:p>
    <w:p w14:paraId="055D6D8D" w14:textId="77777777" w:rsidR="0068683F" w:rsidRPr="007E4CDA" w:rsidRDefault="0068683F" w:rsidP="0068683F">
      <w:pPr>
        <w:pStyle w:val="Bullet1"/>
        <w:rPr>
          <w:sz w:val="24"/>
          <w:lang w:eastAsia="en-AU"/>
        </w:rPr>
      </w:pPr>
      <w:r w:rsidRPr="007E4CDA">
        <w:rPr>
          <w:sz w:val="24"/>
          <w:lang w:eastAsia="en-AU"/>
        </w:rPr>
        <w:t>Emergency and evacuation procedures</w:t>
      </w:r>
    </w:p>
    <w:p w14:paraId="6C406275" w14:textId="77777777" w:rsidR="0068683F" w:rsidRPr="007E4CDA" w:rsidRDefault="0068683F" w:rsidP="0068683F">
      <w:pPr>
        <w:pStyle w:val="Bullet1"/>
        <w:rPr>
          <w:sz w:val="24"/>
          <w:lang w:eastAsia="en-AU"/>
        </w:rPr>
      </w:pPr>
      <w:r w:rsidRPr="007E4CDA">
        <w:rPr>
          <w:sz w:val="24"/>
          <w:lang w:eastAsia="en-AU"/>
        </w:rPr>
        <w:t>Playground duties, roles and responsibilities (duty of care)</w:t>
      </w:r>
    </w:p>
    <w:p w14:paraId="7D0E1118" w14:textId="77777777" w:rsidR="0068683F" w:rsidRPr="007E4CDA" w:rsidRDefault="0068683F" w:rsidP="0068683F">
      <w:pPr>
        <w:pStyle w:val="Bullet1"/>
        <w:rPr>
          <w:sz w:val="24"/>
          <w:lang w:eastAsia="en-AU"/>
        </w:rPr>
      </w:pPr>
      <w:r w:rsidRPr="007E4CDA">
        <w:rPr>
          <w:sz w:val="24"/>
          <w:lang w:eastAsia="en-AU"/>
        </w:rPr>
        <w:t>Communication procedures – internal (for example, calling in sick, notices, meeting times and venues, school calendars)</w:t>
      </w:r>
    </w:p>
    <w:p w14:paraId="1FB2C9D2" w14:textId="77777777" w:rsidR="0068683F" w:rsidRPr="007E4CDA" w:rsidRDefault="0068683F" w:rsidP="0068683F">
      <w:pPr>
        <w:pStyle w:val="Bullet1"/>
        <w:rPr>
          <w:sz w:val="24"/>
          <w:lang w:eastAsia="en-AU"/>
        </w:rPr>
      </w:pPr>
      <w:r w:rsidRPr="007E4CDA">
        <w:rPr>
          <w:sz w:val="24"/>
          <w:lang w:eastAsia="en-AU"/>
        </w:rPr>
        <w:t>Behaviour management policy</w:t>
      </w:r>
    </w:p>
    <w:p w14:paraId="28F539C2" w14:textId="77777777" w:rsidR="0068683F" w:rsidRPr="007E4CDA" w:rsidRDefault="0068683F" w:rsidP="0068683F">
      <w:pPr>
        <w:pStyle w:val="Bullet1"/>
        <w:rPr>
          <w:sz w:val="24"/>
          <w:lang w:eastAsia="en-AU"/>
        </w:rPr>
      </w:pPr>
      <w:r w:rsidRPr="007E4CDA">
        <w:rPr>
          <w:sz w:val="24"/>
          <w:lang w:eastAsia="en-AU"/>
        </w:rPr>
        <w:t>Curriculum and assessment policies</w:t>
      </w:r>
    </w:p>
    <w:p w14:paraId="62B5915B" w14:textId="77777777" w:rsidR="0068683F" w:rsidRPr="007E4CDA" w:rsidRDefault="0068683F" w:rsidP="006D40D7">
      <w:pPr>
        <w:pStyle w:val="Heading3"/>
        <w:rPr>
          <w:lang w:val="en-AU" w:eastAsia="en-AU"/>
        </w:rPr>
      </w:pPr>
      <w:bookmarkStart w:id="50" w:name="_Toc2864103"/>
      <w:r w:rsidRPr="007E4CDA">
        <w:rPr>
          <w:lang w:val="en-AU" w:eastAsia="en-AU"/>
        </w:rPr>
        <w:lastRenderedPageBreak/>
        <w:t>Commence Occupational Health and Safety (OHS) induction</w:t>
      </w:r>
      <w:bookmarkEnd w:id="50"/>
    </w:p>
    <w:p w14:paraId="6A962DA4" w14:textId="77777777" w:rsidR="0068683F" w:rsidRPr="007E4CDA" w:rsidRDefault="0068683F" w:rsidP="0068683F">
      <w:pPr>
        <w:pStyle w:val="Bullet1"/>
        <w:rPr>
          <w:sz w:val="24"/>
          <w:lang w:eastAsia="en-AU"/>
        </w:rPr>
      </w:pPr>
      <w:hyperlink r:id="rId66" w:history="1">
        <w:r w:rsidRPr="007E4CDA">
          <w:rPr>
            <w:rStyle w:val="Hyperlink"/>
            <w:sz w:val="24"/>
            <w:lang w:eastAsia="en-AU"/>
          </w:rPr>
          <w:t>OHS Policy</w:t>
        </w:r>
      </w:hyperlink>
    </w:p>
    <w:p w14:paraId="1E61E7C3" w14:textId="77777777" w:rsidR="0068683F" w:rsidRPr="007E4CDA" w:rsidRDefault="0068683F" w:rsidP="0068683F">
      <w:pPr>
        <w:pStyle w:val="Bullet1"/>
        <w:rPr>
          <w:sz w:val="24"/>
          <w:lang w:eastAsia="en-AU"/>
        </w:rPr>
      </w:pPr>
      <w:hyperlink r:id="rId67" w:history="1">
        <w:r w:rsidRPr="007E4CDA">
          <w:rPr>
            <w:rStyle w:val="Hyperlink"/>
            <w:sz w:val="24"/>
            <w:lang w:eastAsia="en-AU"/>
          </w:rPr>
          <w:t>OHS Consultation and Communication Policy</w:t>
        </w:r>
      </w:hyperlink>
    </w:p>
    <w:p w14:paraId="2D04EEFF" w14:textId="77777777" w:rsidR="0068683F" w:rsidRPr="007E4CDA" w:rsidRDefault="0068683F" w:rsidP="0068683F">
      <w:pPr>
        <w:pStyle w:val="Bullet1"/>
        <w:rPr>
          <w:sz w:val="24"/>
          <w:lang w:eastAsia="en-AU"/>
        </w:rPr>
      </w:pPr>
      <w:r w:rsidRPr="007E4CDA">
        <w:rPr>
          <w:sz w:val="24"/>
          <w:lang w:eastAsia="en-AU"/>
        </w:rPr>
        <w:t>OHS Issue Resolution Flowchart</w:t>
      </w:r>
    </w:p>
    <w:p w14:paraId="3151673B" w14:textId="77777777" w:rsidR="0068683F" w:rsidRPr="007E4CDA" w:rsidRDefault="0068683F" w:rsidP="0068683F">
      <w:pPr>
        <w:pStyle w:val="Bullet1"/>
        <w:rPr>
          <w:sz w:val="24"/>
          <w:lang w:eastAsia="en-AU"/>
        </w:rPr>
      </w:pPr>
      <w:r w:rsidRPr="007E4CDA">
        <w:rPr>
          <w:sz w:val="24"/>
          <w:lang w:eastAsia="en-AU"/>
        </w:rPr>
        <w:t>Identify health and safety representative</w:t>
      </w:r>
    </w:p>
    <w:p w14:paraId="1AF21DEC" w14:textId="77777777" w:rsidR="0068683F" w:rsidRPr="007E4CDA" w:rsidRDefault="0068683F" w:rsidP="0068683F">
      <w:pPr>
        <w:pStyle w:val="Bullet1"/>
        <w:rPr>
          <w:sz w:val="24"/>
          <w:lang w:eastAsia="en-AU"/>
        </w:rPr>
      </w:pPr>
      <w:hyperlink r:id="rId68" w:history="1">
        <w:r w:rsidRPr="007E4CDA">
          <w:rPr>
            <w:rStyle w:val="Hyperlink"/>
            <w:sz w:val="24"/>
            <w:lang w:eastAsia="en-AU"/>
          </w:rPr>
          <w:t>Hazard, incident and near miss reporting process (</w:t>
        </w:r>
        <w:proofErr w:type="spellStart"/>
        <w:r w:rsidRPr="007E4CDA">
          <w:rPr>
            <w:rStyle w:val="Hyperlink"/>
            <w:sz w:val="24"/>
            <w:lang w:eastAsia="en-AU"/>
          </w:rPr>
          <w:t>eduSafe</w:t>
        </w:r>
        <w:proofErr w:type="spellEnd"/>
        <w:r w:rsidRPr="007E4CDA">
          <w:rPr>
            <w:rStyle w:val="Hyperlink"/>
            <w:sz w:val="24"/>
            <w:lang w:eastAsia="en-AU"/>
          </w:rPr>
          <w:t>)</w:t>
        </w:r>
      </w:hyperlink>
    </w:p>
    <w:p w14:paraId="5572B841" w14:textId="77777777" w:rsidR="0068683F" w:rsidRPr="007E4CDA" w:rsidRDefault="0068683F" w:rsidP="0068683F">
      <w:pPr>
        <w:pStyle w:val="Bullet1"/>
        <w:rPr>
          <w:sz w:val="24"/>
          <w:lang w:eastAsia="en-AU"/>
        </w:rPr>
      </w:pPr>
      <w:hyperlink r:id="rId69" w:history="1">
        <w:r w:rsidRPr="007E4CDA">
          <w:rPr>
            <w:rStyle w:val="Hyperlink"/>
            <w:sz w:val="24"/>
            <w:lang w:eastAsia="en-AU"/>
          </w:rPr>
          <w:t>Information on employee support services (for example, Employee Assistance Program and Conflict Resolution Support Service)</w:t>
        </w:r>
      </w:hyperlink>
    </w:p>
    <w:p w14:paraId="2D13876E" w14:textId="77777777" w:rsidR="0068683F" w:rsidRPr="007E4CDA" w:rsidRDefault="0068683F" w:rsidP="0068683F">
      <w:pPr>
        <w:pStyle w:val="Bullet1"/>
        <w:rPr>
          <w:sz w:val="24"/>
          <w:lang w:eastAsia="en-AU"/>
        </w:rPr>
      </w:pPr>
      <w:hyperlink r:id="rId70" w:history="1">
        <w:r w:rsidRPr="007E4CDA">
          <w:rPr>
            <w:rStyle w:val="Hyperlink"/>
            <w:sz w:val="24"/>
            <w:lang w:eastAsia="en-AU"/>
          </w:rPr>
          <w:t>First Aid and Infection Prevention and Control Procedure</w:t>
        </w:r>
      </w:hyperlink>
    </w:p>
    <w:p w14:paraId="613F5D6D" w14:textId="77777777" w:rsidR="0068683F" w:rsidRPr="007E4CDA" w:rsidRDefault="0068683F" w:rsidP="006D40D7">
      <w:pPr>
        <w:pStyle w:val="Heading3"/>
        <w:rPr>
          <w:lang w:val="en-AU" w:eastAsia="en-AU"/>
        </w:rPr>
      </w:pPr>
      <w:bookmarkStart w:id="51" w:name="_Toc2864104"/>
      <w:r w:rsidRPr="007E4CDA">
        <w:rPr>
          <w:lang w:val="en-AU" w:eastAsia="en-AU"/>
        </w:rPr>
        <w:t>Commence eLearning</w:t>
      </w:r>
      <w:bookmarkEnd w:id="51"/>
    </w:p>
    <w:p w14:paraId="56F00FF7" w14:textId="77777777" w:rsidR="0068683F" w:rsidRPr="007E4CDA" w:rsidRDefault="0068683F" w:rsidP="0068683F">
      <w:pPr>
        <w:pStyle w:val="Bullet1"/>
        <w:rPr>
          <w:sz w:val="24"/>
          <w:lang w:eastAsia="en-AU"/>
        </w:rPr>
      </w:pPr>
      <w:hyperlink r:id="rId71" w:history="1">
        <w:r w:rsidRPr="007E4CDA">
          <w:rPr>
            <w:rStyle w:val="Hyperlink"/>
            <w:sz w:val="24"/>
            <w:lang w:eastAsia="en-AU"/>
          </w:rPr>
          <w:t>Child Safe Standards: Mandatory reporting and other obligations</w:t>
        </w:r>
      </w:hyperlink>
    </w:p>
    <w:p w14:paraId="52A149C0" w14:textId="77777777" w:rsidR="0068683F" w:rsidRPr="007E4CDA" w:rsidRDefault="0068683F" w:rsidP="0068683F">
      <w:pPr>
        <w:pStyle w:val="Bullet1"/>
        <w:rPr>
          <w:sz w:val="24"/>
          <w:lang w:eastAsia="en-AU"/>
        </w:rPr>
      </w:pPr>
      <w:hyperlink r:id="rId72" w:history="1">
        <w:r w:rsidRPr="007E4CDA">
          <w:rPr>
            <w:rStyle w:val="Hyperlink"/>
            <w:sz w:val="24"/>
            <w:lang w:eastAsia="en-AU"/>
          </w:rPr>
          <w:t>OHS for New Employees</w:t>
        </w:r>
      </w:hyperlink>
    </w:p>
    <w:p w14:paraId="12DEF576" w14:textId="77777777" w:rsidR="0068683F" w:rsidRPr="006D40D7" w:rsidRDefault="0068683F" w:rsidP="006D40D7">
      <w:pPr>
        <w:pStyle w:val="Heading2"/>
        <w:rPr>
          <w:lang w:val="en-AU" w:eastAsia="en-AU"/>
        </w:rPr>
      </w:pPr>
      <w:bookmarkStart w:id="52" w:name="_Toc2864105"/>
      <w:r w:rsidRPr="006D40D7">
        <w:rPr>
          <w:lang w:val="en-AU" w:eastAsia="en-AU"/>
        </w:rPr>
        <w:t>Term 1 Induction Checklist</w:t>
      </w:r>
      <w:bookmarkEnd w:id="52"/>
    </w:p>
    <w:p w14:paraId="0E7B5C01" w14:textId="77777777" w:rsidR="0068683F" w:rsidRPr="007E4CDA" w:rsidRDefault="0068683F" w:rsidP="0068683F">
      <w:pPr>
        <w:pStyle w:val="Bullet1"/>
        <w:rPr>
          <w:sz w:val="24"/>
          <w:lang w:eastAsia="en-AU"/>
        </w:rPr>
      </w:pPr>
      <w:r w:rsidRPr="007E4CDA">
        <w:rPr>
          <w:sz w:val="24"/>
          <w:lang w:eastAsia="en-AU"/>
        </w:rPr>
        <w:t>Meetings held with support staff to learn about the support they provide:</w:t>
      </w:r>
    </w:p>
    <w:p w14:paraId="2D854551" w14:textId="77777777" w:rsidR="0068683F" w:rsidRPr="007E4CDA" w:rsidRDefault="0068683F" w:rsidP="0068683F">
      <w:pPr>
        <w:pStyle w:val="Bullet1"/>
        <w:numPr>
          <w:ilvl w:val="1"/>
          <w:numId w:val="14"/>
        </w:numPr>
        <w:rPr>
          <w:sz w:val="24"/>
          <w:lang w:eastAsia="en-AU"/>
        </w:rPr>
      </w:pPr>
      <w:r w:rsidRPr="007E4CDA">
        <w:rPr>
          <w:sz w:val="24"/>
          <w:lang w:eastAsia="en-AU"/>
        </w:rPr>
        <w:t>ICT coordinator</w:t>
      </w:r>
    </w:p>
    <w:p w14:paraId="6CC0FBAE" w14:textId="77777777" w:rsidR="0068683F" w:rsidRPr="007E4CDA" w:rsidRDefault="0068683F" w:rsidP="0068683F">
      <w:pPr>
        <w:pStyle w:val="Bullet1"/>
        <w:numPr>
          <w:ilvl w:val="1"/>
          <w:numId w:val="14"/>
        </w:numPr>
        <w:rPr>
          <w:sz w:val="24"/>
          <w:lang w:eastAsia="en-AU"/>
        </w:rPr>
      </w:pPr>
      <w:r w:rsidRPr="007E4CDA">
        <w:rPr>
          <w:sz w:val="24"/>
          <w:lang w:eastAsia="en-AU"/>
        </w:rPr>
        <w:t>Librarian</w:t>
      </w:r>
    </w:p>
    <w:p w14:paraId="42843873" w14:textId="77777777" w:rsidR="0068683F" w:rsidRPr="007E4CDA" w:rsidRDefault="0068683F" w:rsidP="0068683F">
      <w:pPr>
        <w:pStyle w:val="Bullet1"/>
        <w:numPr>
          <w:ilvl w:val="1"/>
          <w:numId w:val="14"/>
        </w:numPr>
        <w:rPr>
          <w:sz w:val="24"/>
          <w:lang w:eastAsia="en-AU"/>
        </w:rPr>
      </w:pPr>
      <w:r w:rsidRPr="007E4CDA">
        <w:rPr>
          <w:sz w:val="24"/>
          <w:lang w:eastAsia="en-AU"/>
        </w:rPr>
        <w:t>Learning support staff</w:t>
      </w:r>
    </w:p>
    <w:p w14:paraId="65765F87" w14:textId="77777777" w:rsidR="0068683F" w:rsidRPr="007E4CDA" w:rsidRDefault="0068683F" w:rsidP="0068683F">
      <w:pPr>
        <w:pStyle w:val="Bullet1"/>
        <w:rPr>
          <w:sz w:val="24"/>
          <w:lang w:eastAsia="en-AU"/>
        </w:rPr>
      </w:pPr>
      <w:r w:rsidRPr="007E4CDA">
        <w:rPr>
          <w:sz w:val="24"/>
          <w:lang w:eastAsia="en-AU"/>
        </w:rPr>
        <w:t xml:space="preserve">Graduate teacher reviews resources in readiness for development and review of their teaching and learning programs (including the </w:t>
      </w:r>
      <w:hyperlink r:id="rId73" w:history="1">
        <w:r w:rsidRPr="007E4CDA">
          <w:rPr>
            <w:rStyle w:val="Hyperlink"/>
            <w:sz w:val="24"/>
            <w:lang w:eastAsia="en-AU"/>
          </w:rPr>
          <w:t>Victorian Teaching and Learning Model</w:t>
        </w:r>
      </w:hyperlink>
      <w:r w:rsidRPr="007E4CDA">
        <w:rPr>
          <w:sz w:val="24"/>
          <w:lang w:eastAsia="en-AU"/>
        </w:rPr>
        <w:t xml:space="preserve">, </w:t>
      </w:r>
      <w:hyperlink r:id="rId74" w:history="1">
        <w:r w:rsidRPr="007E4CDA">
          <w:rPr>
            <w:rStyle w:val="Hyperlink"/>
            <w:sz w:val="24"/>
            <w:lang w:eastAsia="en-AU"/>
          </w:rPr>
          <w:t>Practice Principles for Excellence in Teaching and Learning</w:t>
        </w:r>
      </w:hyperlink>
      <w:r w:rsidRPr="007E4CDA">
        <w:rPr>
          <w:sz w:val="24"/>
          <w:lang w:eastAsia="en-AU"/>
        </w:rPr>
        <w:t xml:space="preserve">, </w:t>
      </w:r>
      <w:hyperlink r:id="rId75" w:history="1">
        <w:r w:rsidRPr="007E4CDA">
          <w:rPr>
            <w:rStyle w:val="Hyperlink"/>
            <w:sz w:val="24"/>
            <w:lang w:eastAsia="en-AU"/>
          </w:rPr>
          <w:t>High Impact Teaching Strategies (HITS)</w:t>
        </w:r>
      </w:hyperlink>
      <w:r w:rsidRPr="007E4CDA">
        <w:rPr>
          <w:sz w:val="24"/>
          <w:lang w:eastAsia="en-AU"/>
        </w:rPr>
        <w:t xml:space="preserve">, </w:t>
      </w:r>
      <w:hyperlink r:id="rId76" w:history="1">
        <w:r w:rsidRPr="007E4CDA">
          <w:rPr>
            <w:rStyle w:val="Hyperlink"/>
            <w:sz w:val="24"/>
            <w:lang w:eastAsia="en-AU"/>
          </w:rPr>
          <w:t>Amplify</w:t>
        </w:r>
      </w:hyperlink>
      <w:r w:rsidRPr="007E4CDA">
        <w:rPr>
          <w:sz w:val="24"/>
          <w:lang w:eastAsia="en-AU"/>
        </w:rPr>
        <w:t xml:space="preserve">, </w:t>
      </w:r>
      <w:hyperlink r:id="rId77" w:history="1">
        <w:r w:rsidRPr="007E4CDA">
          <w:rPr>
            <w:rStyle w:val="Hyperlink"/>
            <w:sz w:val="24"/>
            <w:lang w:eastAsia="en-AU"/>
          </w:rPr>
          <w:t>Literacy Teaching Toolkit</w:t>
        </w:r>
      </w:hyperlink>
      <w:r w:rsidRPr="007E4CDA">
        <w:rPr>
          <w:sz w:val="24"/>
          <w:lang w:eastAsia="en-AU"/>
        </w:rPr>
        <w:t xml:space="preserve">, </w:t>
      </w:r>
      <w:hyperlink r:id="rId78" w:history="1">
        <w:r w:rsidRPr="007E4CDA">
          <w:rPr>
            <w:rStyle w:val="Hyperlink"/>
            <w:sz w:val="24"/>
            <w:lang w:eastAsia="en-AU"/>
          </w:rPr>
          <w:t>Victorian Literacy Portal</w:t>
        </w:r>
      </w:hyperlink>
      <w:r w:rsidRPr="007E4CDA">
        <w:rPr>
          <w:sz w:val="24"/>
          <w:lang w:eastAsia="en-AU"/>
        </w:rPr>
        <w:t xml:space="preserve"> and the </w:t>
      </w:r>
      <w:hyperlink r:id="rId79" w:history="1">
        <w:r w:rsidRPr="007E4CDA">
          <w:rPr>
            <w:rStyle w:val="Hyperlink"/>
            <w:sz w:val="24"/>
            <w:lang w:eastAsia="en-AU"/>
          </w:rPr>
          <w:t>Victorian Numeracy Portal</w:t>
        </w:r>
      </w:hyperlink>
      <w:r w:rsidRPr="007E4CDA">
        <w:rPr>
          <w:sz w:val="24"/>
          <w:lang w:eastAsia="en-AU"/>
        </w:rPr>
        <w:t>.</w:t>
      </w:r>
    </w:p>
    <w:p w14:paraId="093BB063" w14:textId="77777777" w:rsidR="0068683F" w:rsidRPr="007E4CDA" w:rsidRDefault="0068683F" w:rsidP="0068683F">
      <w:pPr>
        <w:pStyle w:val="Bullet1"/>
        <w:rPr>
          <w:sz w:val="24"/>
          <w:lang w:eastAsia="en-AU"/>
        </w:rPr>
      </w:pPr>
      <w:r w:rsidRPr="007E4CDA">
        <w:rPr>
          <w:sz w:val="24"/>
          <w:lang w:eastAsia="en-AU"/>
        </w:rPr>
        <w:t>Graduate teacher reviews their learning programs, including assessment requirements, in readiness for developing lesson materials and for reporting purposes</w:t>
      </w:r>
    </w:p>
    <w:p w14:paraId="51EA807C" w14:textId="77777777" w:rsidR="0068683F" w:rsidRPr="007E4CDA" w:rsidRDefault="0068683F" w:rsidP="0068683F">
      <w:pPr>
        <w:pStyle w:val="Bullet1"/>
        <w:rPr>
          <w:sz w:val="24"/>
          <w:lang w:eastAsia="en-AU"/>
        </w:rPr>
      </w:pPr>
      <w:r w:rsidRPr="007E4CDA">
        <w:rPr>
          <w:sz w:val="24"/>
          <w:lang w:eastAsia="en-AU"/>
        </w:rPr>
        <w:t>Graduate teacher and their team leader/curriculum (Domain) leaders schedule and hold regular meetings to ensure appropriate and timely support is provided</w:t>
      </w:r>
    </w:p>
    <w:p w14:paraId="2C4FE991" w14:textId="77777777" w:rsidR="0068683F" w:rsidRPr="007E4CDA" w:rsidRDefault="0068683F" w:rsidP="0068683F">
      <w:pPr>
        <w:pStyle w:val="Bullet1"/>
        <w:rPr>
          <w:sz w:val="24"/>
          <w:lang w:eastAsia="en-AU"/>
        </w:rPr>
      </w:pPr>
      <w:r w:rsidRPr="007E4CDA">
        <w:rPr>
          <w:sz w:val="24"/>
          <w:lang w:eastAsia="en-AU"/>
        </w:rPr>
        <w:t xml:space="preserve">Graduate teacher and teacher mentor arrange to observe lessons of experienced teachers and review the </w:t>
      </w:r>
      <w:hyperlink r:id="rId80" w:history="1">
        <w:r w:rsidRPr="007E4CDA">
          <w:rPr>
            <w:rStyle w:val="Hyperlink"/>
            <w:sz w:val="24"/>
            <w:lang w:eastAsia="en-AU"/>
          </w:rPr>
          <w:t>Peer Observation</w:t>
        </w:r>
      </w:hyperlink>
      <w:r w:rsidRPr="007E4CDA">
        <w:rPr>
          <w:sz w:val="24"/>
          <w:lang w:eastAsia="en-AU"/>
        </w:rPr>
        <w:t xml:space="preserve"> guidelines</w:t>
      </w:r>
    </w:p>
    <w:p w14:paraId="10C03552" w14:textId="77777777" w:rsidR="0068683F" w:rsidRPr="007E4CDA" w:rsidRDefault="0068683F" w:rsidP="0068683F">
      <w:pPr>
        <w:pStyle w:val="Bullet1"/>
        <w:rPr>
          <w:sz w:val="24"/>
          <w:lang w:eastAsia="en-AU"/>
        </w:rPr>
      </w:pPr>
      <w:r w:rsidRPr="007E4CDA">
        <w:rPr>
          <w:sz w:val="24"/>
          <w:lang w:eastAsia="en-AU"/>
        </w:rPr>
        <w:t>Towards the end of Week 3, graduate teacher meets with the professional development coordinator or school leaders to provide feedback on induction process and support provided</w:t>
      </w:r>
    </w:p>
    <w:p w14:paraId="38CA55DE" w14:textId="77777777" w:rsidR="0068683F" w:rsidRPr="007E4CDA" w:rsidRDefault="0068683F" w:rsidP="0068683F">
      <w:pPr>
        <w:pStyle w:val="Bullet1"/>
        <w:rPr>
          <w:sz w:val="24"/>
          <w:lang w:eastAsia="en-AU"/>
        </w:rPr>
      </w:pPr>
      <w:r w:rsidRPr="007E4CDA">
        <w:rPr>
          <w:sz w:val="24"/>
          <w:lang w:eastAsia="en-AU"/>
        </w:rPr>
        <w:t>Graduate teacher and their professional development coordinator discuss and organise participation in professional learning opportunities, such as external professional learning, Professional Learning Communities (PLCs) and graduate network events</w:t>
      </w:r>
    </w:p>
    <w:p w14:paraId="454CFFA3" w14:textId="77777777" w:rsidR="0068683F" w:rsidRPr="007E4CDA" w:rsidRDefault="0068683F" w:rsidP="006D40D7">
      <w:pPr>
        <w:pStyle w:val="Heading3"/>
        <w:rPr>
          <w:lang w:val="en-AU" w:eastAsia="en-AU"/>
        </w:rPr>
      </w:pPr>
      <w:bookmarkStart w:id="53" w:name="_Toc2864106"/>
      <w:r w:rsidRPr="007E4CDA">
        <w:rPr>
          <w:lang w:val="en-AU" w:eastAsia="en-AU"/>
        </w:rPr>
        <w:lastRenderedPageBreak/>
        <w:t>Review school policies and procedures</w:t>
      </w:r>
      <w:bookmarkEnd w:id="53"/>
    </w:p>
    <w:p w14:paraId="35F7EFD3" w14:textId="77777777" w:rsidR="0068683F" w:rsidRPr="007E4CDA" w:rsidRDefault="0068683F" w:rsidP="0068683F">
      <w:pPr>
        <w:pStyle w:val="Bullet1"/>
        <w:rPr>
          <w:sz w:val="24"/>
          <w:lang w:eastAsia="en-AU"/>
        </w:rPr>
      </w:pPr>
      <w:r w:rsidRPr="007E4CDA">
        <w:rPr>
          <w:sz w:val="24"/>
          <w:lang w:eastAsia="en-AU"/>
        </w:rPr>
        <w:t>Reporting guidelines and policies (interim report)</w:t>
      </w:r>
    </w:p>
    <w:p w14:paraId="03B842CE" w14:textId="77777777" w:rsidR="0068683F" w:rsidRPr="007E4CDA" w:rsidRDefault="0068683F" w:rsidP="0068683F">
      <w:pPr>
        <w:pStyle w:val="Bullet1"/>
        <w:rPr>
          <w:sz w:val="24"/>
          <w:lang w:eastAsia="en-AU"/>
        </w:rPr>
      </w:pPr>
      <w:r w:rsidRPr="007E4CDA">
        <w:rPr>
          <w:sz w:val="24"/>
          <w:lang w:eastAsia="en-AU"/>
        </w:rPr>
        <w:t>Student incident procedures</w:t>
      </w:r>
    </w:p>
    <w:p w14:paraId="4EE78172" w14:textId="77777777" w:rsidR="0068683F" w:rsidRPr="007E4CDA" w:rsidRDefault="0068683F" w:rsidP="0068683F">
      <w:pPr>
        <w:pStyle w:val="Bullet1"/>
        <w:rPr>
          <w:sz w:val="24"/>
          <w:lang w:eastAsia="en-AU"/>
        </w:rPr>
      </w:pPr>
      <w:r w:rsidRPr="007E4CDA">
        <w:rPr>
          <w:sz w:val="24"/>
          <w:lang w:eastAsia="en-AU"/>
        </w:rPr>
        <w:t>Excursion policy</w:t>
      </w:r>
    </w:p>
    <w:p w14:paraId="225DDD7D" w14:textId="77777777" w:rsidR="0068683F" w:rsidRPr="007E4CDA" w:rsidRDefault="0068683F" w:rsidP="0068683F">
      <w:pPr>
        <w:pStyle w:val="Bullet1"/>
        <w:rPr>
          <w:sz w:val="24"/>
          <w:lang w:eastAsia="en-AU"/>
        </w:rPr>
      </w:pPr>
      <w:r w:rsidRPr="007E4CDA">
        <w:rPr>
          <w:sz w:val="24"/>
          <w:lang w:eastAsia="en-AU"/>
        </w:rPr>
        <w:t>Booking and hiring systems for library and shared resources, such as computer labs</w:t>
      </w:r>
    </w:p>
    <w:p w14:paraId="0606CD8B" w14:textId="77777777" w:rsidR="0068683F" w:rsidRPr="007E4CDA" w:rsidRDefault="0068683F" w:rsidP="0068683F">
      <w:pPr>
        <w:pStyle w:val="Bullet1"/>
        <w:rPr>
          <w:sz w:val="24"/>
          <w:lang w:eastAsia="en-AU"/>
        </w:rPr>
      </w:pPr>
      <w:r w:rsidRPr="007E4CDA">
        <w:rPr>
          <w:sz w:val="24"/>
          <w:lang w:eastAsia="en-AU"/>
        </w:rPr>
        <w:t>Communication procedures – external (for example, parent/carer contact, newsletters, school website)</w:t>
      </w:r>
    </w:p>
    <w:p w14:paraId="4E080BC3" w14:textId="77777777" w:rsidR="0068683F" w:rsidRPr="007E4CDA" w:rsidRDefault="0068683F" w:rsidP="006D40D7">
      <w:pPr>
        <w:pStyle w:val="Heading3"/>
        <w:rPr>
          <w:lang w:val="en-AU" w:eastAsia="en-AU"/>
        </w:rPr>
      </w:pPr>
      <w:bookmarkStart w:id="54" w:name="_Toc2864107"/>
      <w:r w:rsidRPr="007E4CDA">
        <w:rPr>
          <w:lang w:val="en-AU" w:eastAsia="en-AU"/>
        </w:rPr>
        <w:t>Review DET policies and procedures</w:t>
      </w:r>
      <w:bookmarkEnd w:id="54"/>
    </w:p>
    <w:p w14:paraId="25B80F82" w14:textId="77777777" w:rsidR="0068683F" w:rsidRPr="007E4CDA" w:rsidRDefault="0068683F" w:rsidP="0068683F">
      <w:pPr>
        <w:pStyle w:val="Bullet1"/>
        <w:rPr>
          <w:sz w:val="24"/>
          <w:lang w:eastAsia="en-AU"/>
        </w:rPr>
      </w:pPr>
      <w:hyperlink r:id="rId81" w:history="1">
        <w:r w:rsidRPr="007E4CDA">
          <w:rPr>
            <w:rStyle w:val="Hyperlink"/>
            <w:sz w:val="24"/>
            <w:lang w:eastAsia="en-AU"/>
          </w:rPr>
          <w:t>Conflict of Interest</w:t>
        </w:r>
      </w:hyperlink>
    </w:p>
    <w:p w14:paraId="2137B5A3" w14:textId="77777777" w:rsidR="0068683F" w:rsidRPr="007E4CDA" w:rsidRDefault="0068683F" w:rsidP="0068683F">
      <w:pPr>
        <w:pStyle w:val="Bullet1"/>
        <w:rPr>
          <w:sz w:val="24"/>
          <w:lang w:eastAsia="en-AU"/>
        </w:rPr>
      </w:pPr>
      <w:hyperlink r:id="rId82" w:history="1">
        <w:r w:rsidRPr="007E4CDA">
          <w:rPr>
            <w:rStyle w:val="Hyperlink"/>
            <w:sz w:val="24"/>
            <w:lang w:eastAsia="en-AU"/>
          </w:rPr>
          <w:t>Acceptable Use Policy</w:t>
        </w:r>
      </w:hyperlink>
    </w:p>
    <w:p w14:paraId="713FE5A9" w14:textId="77777777" w:rsidR="0068683F" w:rsidRPr="007E4CDA" w:rsidRDefault="0068683F" w:rsidP="0068683F">
      <w:pPr>
        <w:pStyle w:val="Bullet1"/>
        <w:rPr>
          <w:sz w:val="24"/>
          <w:lang w:eastAsia="en-AU"/>
        </w:rPr>
      </w:pPr>
      <w:hyperlink r:id="rId83" w:history="1">
        <w:r w:rsidRPr="007E4CDA">
          <w:rPr>
            <w:rStyle w:val="Hyperlink"/>
            <w:sz w:val="24"/>
            <w:lang w:eastAsia="en-AU"/>
          </w:rPr>
          <w:t>Disability and Reasonable Adjustments</w:t>
        </w:r>
      </w:hyperlink>
    </w:p>
    <w:p w14:paraId="3B5A6E1E" w14:textId="77777777" w:rsidR="0068683F" w:rsidRPr="007E4CDA" w:rsidRDefault="0068683F" w:rsidP="0068683F">
      <w:pPr>
        <w:pStyle w:val="Bullet1"/>
        <w:rPr>
          <w:sz w:val="24"/>
          <w:lang w:eastAsia="en-AU"/>
        </w:rPr>
      </w:pPr>
      <w:hyperlink r:id="rId84" w:history="1">
        <w:r w:rsidRPr="007E4CDA">
          <w:rPr>
            <w:rStyle w:val="Hyperlink"/>
            <w:sz w:val="24"/>
            <w:lang w:eastAsia="en-AU"/>
          </w:rPr>
          <w:t>Equal Opportunity</w:t>
        </w:r>
      </w:hyperlink>
    </w:p>
    <w:p w14:paraId="173F5A21" w14:textId="77777777" w:rsidR="0068683F" w:rsidRPr="007E4CDA" w:rsidRDefault="0068683F" w:rsidP="0068683F">
      <w:pPr>
        <w:pStyle w:val="Bullet1"/>
        <w:rPr>
          <w:sz w:val="24"/>
          <w:lang w:eastAsia="en-AU"/>
        </w:rPr>
      </w:pPr>
      <w:hyperlink r:id="rId85" w:history="1">
        <w:r w:rsidRPr="007E4CDA">
          <w:rPr>
            <w:rStyle w:val="Hyperlink"/>
            <w:sz w:val="24"/>
            <w:lang w:eastAsia="en-AU"/>
          </w:rPr>
          <w:t>Gifts, Benefits and Hospitality Policy</w:t>
        </w:r>
      </w:hyperlink>
    </w:p>
    <w:p w14:paraId="747166AC" w14:textId="77777777" w:rsidR="0068683F" w:rsidRPr="007E4CDA" w:rsidRDefault="0068683F" w:rsidP="0068683F">
      <w:pPr>
        <w:pStyle w:val="Bullet1"/>
        <w:rPr>
          <w:sz w:val="24"/>
          <w:lang w:eastAsia="en-AU"/>
        </w:rPr>
      </w:pPr>
      <w:r w:rsidRPr="007E4CDA">
        <w:rPr>
          <w:sz w:val="24"/>
          <w:lang w:eastAsia="en-AU"/>
        </w:rPr>
        <w:t>Anti-Bullying</w:t>
      </w:r>
    </w:p>
    <w:p w14:paraId="3D7CC7A6" w14:textId="77777777" w:rsidR="0068683F" w:rsidRPr="007E4CDA" w:rsidRDefault="0068683F" w:rsidP="0068683F">
      <w:pPr>
        <w:pStyle w:val="Bullet1"/>
        <w:rPr>
          <w:sz w:val="24"/>
          <w:lang w:eastAsia="en-AU"/>
        </w:rPr>
      </w:pPr>
      <w:hyperlink r:id="rId86" w:history="1">
        <w:r w:rsidRPr="007E4CDA">
          <w:rPr>
            <w:rStyle w:val="Hyperlink"/>
            <w:sz w:val="24"/>
            <w:lang w:eastAsia="en-AU"/>
          </w:rPr>
          <w:t>Sexual Harassment Policy</w:t>
        </w:r>
      </w:hyperlink>
    </w:p>
    <w:p w14:paraId="77040C2F" w14:textId="77777777" w:rsidR="0068683F" w:rsidRPr="007E4CDA" w:rsidRDefault="0068683F" w:rsidP="0068683F">
      <w:pPr>
        <w:pStyle w:val="Bullet1"/>
        <w:rPr>
          <w:sz w:val="24"/>
          <w:lang w:eastAsia="en-AU"/>
        </w:rPr>
      </w:pPr>
      <w:hyperlink r:id="rId87" w:history="1">
        <w:r w:rsidRPr="007E4CDA">
          <w:rPr>
            <w:rStyle w:val="Hyperlink"/>
            <w:sz w:val="24"/>
            <w:lang w:eastAsia="en-AU"/>
          </w:rPr>
          <w:t>Travel Policy</w:t>
        </w:r>
      </w:hyperlink>
    </w:p>
    <w:p w14:paraId="715461F4" w14:textId="77777777" w:rsidR="0068683F" w:rsidRPr="007E4CDA" w:rsidRDefault="0068683F" w:rsidP="0068683F">
      <w:pPr>
        <w:pStyle w:val="Bullet1"/>
        <w:rPr>
          <w:sz w:val="24"/>
          <w:lang w:eastAsia="en-AU"/>
        </w:rPr>
      </w:pPr>
      <w:hyperlink r:id="rId88" w:history="1">
        <w:r w:rsidRPr="007E4CDA">
          <w:rPr>
            <w:rStyle w:val="Hyperlink"/>
            <w:sz w:val="24"/>
            <w:lang w:eastAsia="en-AU"/>
          </w:rPr>
          <w:t>Gifts, Benefits and Hospitality Policy</w:t>
        </w:r>
      </w:hyperlink>
      <w:r w:rsidRPr="007E4CDA">
        <w:rPr>
          <w:sz w:val="24"/>
          <w:lang w:eastAsia="en-AU"/>
        </w:rPr>
        <w:t xml:space="preserve"> and </w:t>
      </w:r>
      <w:hyperlink r:id="rId89" w:anchor="/app/content/2929/support_and_service_(schools)%252Fprocurement,_funding_and_travel%252Fprocurement%252Fthanks_is_enough" w:history="1">
        <w:r w:rsidRPr="007E4CDA">
          <w:rPr>
            <w:rStyle w:val="Hyperlink"/>
            <w:sz w:val="24"/>
            <w:lang w:eastAsia="en-AU"/>
          </w:rPr>
          <w:t>Thanks is Enough standard</w:t>
        </w:r>
      </w:hyperlink>
    </w:p>
    <w:p w14:paraId="4D3EC9A5" w14:textId="77777777" w:rsidR="0068683F" w:rsidRPr="007E4CDA" w:rsidRDefault="0068683F" w:rsidP="0068683F">
      <w:pPr>
        <w:pStyle w:val="Bullet1"/>
        <w:rPr>
          <w:sz w:val="24"/>
          <w:lang w:eastAsia="en-AU"/>
        </w:rPr>
      </w:pPr>
      <w:hyperlink r:id="rId90" w:history="1">
        <w:r w:rsidRPr="007E4CDA">
          <w:rPr>
            <w:rStyle w:val="Hyperlink"/>
            <w:sz w:val="24"/>
            <w:lang w:eastAsia="en-AU"/>
          </w:rPr>
          <w:t>Social media guidelines and fact sheet</w:t>
        </w:r>
      </w:hyperlink>
    </w:p>
    <w:p w14:paraId="7EA76EC2" w14:textId="67B3D8D5" w:rsidR="007A07F2" w:rsidRPr="007A07F2" w:rsidRDefault="007A07F2" w:rsidP="0068683F">
      <w:pPr>
        <w:spacing w:after="0"/>
        <w:rPr>
          <w:rStyle w:val="Strong"/>
          <w:sz w:val="24"/>
        </w:rPr>
      </w:pPr>
      <w:r w:rsidRPr="007A07F2">
        <w:rPr>
          <w:rStyle w:val="Strong"/>
          <w:sz w:val="24"/>
          <w:lang w:val="en-AU" w:eastAsia="en-AU"/>
        </w:rPr>
        <w:t>Continue Occupational Health and Safety (OHS) induction</w:t>
      </w:r>
    </w:p>
    <w:p w14:paraId="67D4DF81" w14:textId="7FA1D64E" w:rsidR="0068683F" w:rsidRPr="007E4CDA" w:rsidRDefault="0068683F" w:rsidP="0068683F">
      <w:pPr>
        <w:spacing w:after="0"/>
        <w:rPr>
          <w:rStyle w:val="Emphasis"/>
          <w:sz w:val="24"/>
          <w:lang w:val="en-AU" w:eastAsia="en-AU"/>
        </w:rPr>
      </w:pPr>
      <w:r w:rsidRPr="007E4CDA">
        <w:rPr>
          <w:rStyle w:val="Emphasis"/>
          <w:sz w:val="24"/>
          <w:lang w:val="en-AU" w:eastAsia="en-AU"/>
        </w:rPr>
        <w:t>Note: Graduate teachers must complete OHS induction within the first month</w:t>
      </w:r>
    </w:p>
    <w:p w14:paraId="6C8F3752" w14:textId="77777777" w:rsidR="0068683F" w:rsidRPr="007E4CDA" w:rsidRDefault="0068683F" w:rsidP="0068683F">
      <w:pPr>
        <w:pStyle w:val="Bullet1"/>
        <w:rPr>
          <w:sz w:val="24"/>
          <w:lang w:eastAsia="en-AU"/>
        </w:rPr>
      </w:pPr>
      <w:r w:rsidRPr="007E4CDA">
        <w:rPr>
          <w:sz w:val="24"/>
          <w:lang w:eastAsia="en-AU"/>
        </w:rPr>
        <w:t>Hazard and incident reporting</w:t>
      </w:r>
    </w:p>
    <w:p w14:paraId="4D4A2E5D" w14:textId="77777777" w:rsidR="0068683F" w:rsidRPr="007E4CDA" w:rsidRDefault="0068683F" w:rsidP="0068683F">
      <w:pPr>
        <w:pStyle w:val="Bullet1"/>
        <w:rPr>
          <w:sz w:val="24"/>
          <w:lang w:eastAsia="en-AU"/>
        </w:rPr>
      </w:pPr>
      <w:r w:rsidRPr="007E4CDA">
        <w:rPr>
          <w:sz w:val="24"/>
          <w:lang w:eastAsia="en-AU"/>
        </w:rPr>
        <w:t>Ergonomics</w:t>
      </w:r>
    </w:p>
    <w:p w14:paraId="32883332" w14:textId="77777777" w:rsidR="0068683F" w:rsidRPr="006D40D7" w:rsidRDefault="0068683F" w:rsidP="006D40D7">
      <w:pPr>
        <w:pStyle w:val="Heading2"/>
        <w:rPr>
          <w:lang w:val="en-AU" w:eastAsia="en-AU"/>
        </w:rPr>
      </w:pPr>
      <w:bookmarkStart w:id="55" w:name="_Toc2864108"/>
      <w:r w:rsidRPr="006D40D7">
        <w:rPr>
          <w:lang w:val="en-AU" w:eastAsia="en-AU"/>
        </w:rPr>
        <w:t>Term 2 Induction Checklist</w:t>
      </w:r>
      <w:bookmarkEnd w:id="55"/>
    </w:p>
    <w:p w14:paraId="2E20D138" w14:textId="77777777" w:rsidR="0068683F" w:rsidRPr="007E4CDA" w:rsidRDefault="0068683F" w:rsidP="0068683F">
      <w:pPr>
        <w:pStyle w:val="Bullet1"/>
        <w:rPr>
          <w:sz w:val="24"/>
          <w:lang w:eastAsia="en-AU"/>
        </w:rPr>
      </w:pPr>
      <w:r w:rsidRPr="007E4CDA">
        <w:rPr>
          <w:sz w:val="24"/>
          <w:lang w:eastAsia="en-AU"/>
        </w:rPr>
        <w:t xml:space="preserve">Read about the </w:t>
      </w:r>
      <w:hyperlink r:id="rId91" w:history="1">
        <w:r w:rsidRPr="007E4CDA">
          <w:rPr>
            <w:rStyle w:val="Hyperlink"/>
            <w:sz w:val="24"/>
            <w:lang w:eastAsia="en-AU"/>
          </w:rPr>
          <w:t>Education State</w:t>
        </w:r>
      </w:hyperlink>
    </w:p>
    <w:p w14:paraId="3C0712D5" w14:textId="77777777" w:rsidR="0068683F" w:rsidRPr="007E4CDA" w:rsidRDefault="0068683F" w:rsidP="0068683F">
      <w:pPr>
        <w:pStyle w:val="Bullet1"/>
        <w:rPr>
          <w:sz w:val="24"/>
          <w:lang w:eastAsia="en-AU"/>
        </w:rPr>
      </w:pPr>
      <w:r w:rsidRPr="007E4CDA">
        <w:rPr>
          <w:sz w:val="24"/>
          <w:lang w:eastAsia="en-AU"/>
        </w:rPr>
        <w:t xml:space="preserve">Read about the </w:t>
      </w:r>
      <w:hyperlink r:id="rId92" w:history="1">
        <w:r w:rsidRPr="007E4CDA">
          <w:rPr>
            <w:rStyle w:val="Hyperlink"/>
            <w:sz w:val="24"/>
            <w:lang w:eastAsia="en-AU"/>
          </w:rPr>
          <w:t>Framework for Improving Student Outcomes (FISO)</w:t>
        </w:r>
      </w:hyperlink>
    </w:p>
    <w:p w14:paraId="766A45C6" w14:textId="77777777" w:rsidR="0068683F" w:rsidRPr="007E4CDA" w:rsidRDefault="0068683F" w:rsidP="0068683F">
      <w:pPr>
        <w:pStyle w:val="Bullet1"/>
        <w:rPr>
          <w:sz w:val="24"/>
          <w:lang w:eastAsia="en-AU"/>
        </w:rPr>
      </w:pPr>
      <w:r w:rsidRPr="007E4CDA">
        <w:rPr>
          <w:sz w:val="24"/>
          <w:lang w:eastAsia="en-AU"/>
        </w:rPr>
        <w:t xml:space="preserve">Review the </w:t>
      </w:r>
      <w:hyperlink r:id="rId93" w:history="1">
        <w:r w:rsidRPr="007E4CDA">
          <w:rPr>
            <w:rStyle w:val="Hyperlink"/>
            <w:sz w:val="24"/>
            <w:lang w:eastAsia="en-AU"/>
          </w:rPr>
          <w:t>Insight Assessment Portal</w:t>
        </w:r>
      </w:hyperlink>
    </w:p>
    <w:p w14:paraId="6603B94F" w14:textId="77777777" w:rsidR="0068683F" w:rsidRPr="007E4CDA" w:rsidRDefault="0068683F" w:rsidP="0068683F">
      <w:pPr>
        <w:pStyle w:val="Bullet1"/>
        <w:rPr>
          <w:sz w:val="24"/>
          <w:lang w:eastAsia="en-AU"/>
        </w:rPr>
      </w:pPr>
      <w:r w:rsidRPr="007E4CDA">
        <w:rPr>
          <w:sz w:val="24"/>
          <w:lang w:eastAsia="en-AU"/>
        </w:rPr>
        <w:t xml:space="preserve">Review the Department website on </w:t>
      </w:r>
      <w:bookmarkStart w:id="56" w:name="_Hlk2860260"/>
      <w:r w:rsidRPr="007E4CDA">
        <w:rPr>
          <w:sz w:val="24"/>
          <w:lang w:eastAsia="en-AU"/>
        </w:rPr>
        <w:fldChar w:fldCharType="begin"/>
      </w:r>
      <w:r w:rsidRPr="007E4CDA">
        <w:rPr>
          <w:sz w:val="24"/>
          <w:lang w:eastAsia="en-AU"/>
        </w:rPr>
        <w:instrText xml:space="preserve"> HYPERLINK "https://www.education.vic.gov.au/school/teachers/management/improvement/plc/Pages/default.aspx?Redirect=1" </w:instrText>
      </w:r>
      <w:r w:rsidRPr="007E4CDA">
        <w:rPr>
          <w:sz w:val="24"/>
          <w:lang w:eastAsia="en-AU"/>
        </w:rPr>
      </w:r>
      <w:r w:rsidRPr="007E4CDA">
        <w:rPr>
          <w:sz w:val="24"/>
          <w:lang w:eastAsia="en-AU"/>
        </w:rPr>
        <w:fldChar w:fldCharType="separate"/>
      </w:r>
      <w:r w:rsidRPr="007E4CDA">
        <w:rPr>
          <w:rStyle w:val="Hyperlink"/>
          <w:sz w:val="24"/>
          <w:lang w:eastAsia="en-AU"/>
        </w:rPr>
        <w:t>Professional Learning Communi</w:t>
      </w:r>
      <w:r w:rsidRPr="007E4CDA">
        <w:rPr>
          <w:rStyle w:val="Hyperlink"/>
          <w:sz w:val="24"/>
          <w:lang w:eastAsia="en-AU"/>
        </w:rPr>
        <w:t>t</w:t>
      </w:r>
      <w:r w:rsidRPr="007E4CDA">
        <w:rPr>
          <w:rStyle w:val="Hyperlink"/>
          <w:sz w:val="24"/>
          <w:lang w:eastAsia="en-AU"/>
        </w:rPr>
        <w:t>ies (PLCs)</w:t>
      </w:r>
      <w:bookmarkEnd w:id="56"/>
      <w:r w:rsidRPr="007E4CDA">
        <w:rPr>
          <w:sz w:val="24"/>
          <w:lang w:eastAsia="en-AU"/>
        </w:rPr>
        <w:fldChar w:fldCharType="end"/>
      </w:r>
    </w:p>
    <w:p w14:paraId="37E8F99F" w14:textId="77777777" w:rsidR="0068683F" w:rsidRPr="007E4CDA" w:rsidRDefault="0068683F" w:rsidP="0068683F">
      <w:pPr>
        <w:pStyle w:val="Bullet1"/>
        <w:rPr>
          <w:sz w:val="24"/>
          <w:lang w:eastAsia="en-AU"/>
        </w:rPr>
      </w:pPr>
      <w:r w:rsidRPr="007E4CDA">
        <w:rPr>
          <w:sz w:val="24"/>
          <w:lang w:eastAsia="en-AU"/>
        </w:rPr>
        <w:t>Graduate teacher collates their assessment records in readiness to commence report writing</w:t>
      </w:r>
    </w:p>
    <w:p w14:paraId="7FBD0E24" w14:textId="77777777" w:rsidR="0068683F" w:rsidRPr="007E4CDA" w:rsidRDefault="0068683F" w:rsidP="006D40D7">
      <w:pPr>
        <w:pStyle w:val="Heading3"/>
        <w:rPr>
          <w:lang w:val="en-AU" w:eastAsia="en-AU"/>
        </w:rPr>
      </w:pPr>
      <w:bookmarkStart w:id="57" w:name="_Toc2864109"/>
      <w:r w:rsidRPr="007E4CDA">
        <w:rPr>
          <w:lang w:val="en-AU" w:eastAsia="en-AU"/>
        </w:rPr>
        <w:t>Review School Strategic Plan (SSP) and Annual Implementation Plan (AIP)</w:t>
      </w:r>
      <w:bookmarkEnd w:id="57"/>
    </w:p>
    <w:p w14:paraId="12D482ED" w14:textId="77777777" w:rsidR="0068683F" w:rsidRPr="007E4CDA" w:rsidRDefault="0068683F" w:rsidP="0068683F">
      <w:pPr>
        <w:pStyle w:val="Bullet1"/>
        <w:rPr>
          <w:sz w:val="24"/>
          <w:lang w:eastAsia="en-AU"/>
        </w:rPr>
      </w:pPr>
      <w:r w:rsidRPr="007E4CDA">
        <w:rPr>
          <w:sz w:val="24"/>
          <w:lang w:eastAsia="en-AU"/>
        </w:rPr>
        <w:t>Reporting guidelines and policies (mid-year report)</w:t>
      </w:r>
    </w:p>
    <w:p w14:paraId="7DAF7DB5" w14:textId="77777777" w:rsidR="0068683F" w:rsidRPr="007E4CDA" w:rsidRDefault="0068683F" w:rsidP="0068683F">
      <w:pPr>
        <w:pStyle w:val="Bullet1"/>
        <w:rPr>
          <w:sz w:val="24"/>
          <w:lang w:eastAsia="en-AU"/>
        </w:rPr>
      </w:pPr>
      <w:r w:rsidRPr="007E4CDA">
        <w:rPr>
          <w:sz w:val="24"/>
          <w:lang w:eastAsia="en-AU"/>
        </w:rPr>
        <w:t>Parent-teacher interviews</w:t>
      </w:r>
    </w:p>
    <w:p w14:paraId="5076911F" w14:textId="77777777" w:rsidR="0068683F" w:rsidRPr="007E4CDA" w:rsidRDefault="0068683F" w:rsidP="0068683F">
      <w:pPr>
        <w:pStyle w:val="Bullet1"/>
        <w:rPr>
          <w:sz w:val="24"/>
          <w:lang w:eastAsia="en-AU"/>
        </w:rPr>
      </w:pPr>
      <w:r w:rsidRPr="007E4CDA">
        <w:rPr>
          <w:sz w:val="24"/>
          <w:lang w:eastAsia="en-AU"/>
        </w:rPr>
        <w:lastRenderedPageBreak/>
        <w:t>Pedagogical approaches</w:t>
      </w:r>
    </w:p>
    <w:p w14:paraId="6FAA4294" w14:textId="77777777" w:rsidR="0068683F" w:rsidRPr="007E4CDA" w:rsidRDefault="0068683F" w:rsidP="0068683F">
      <w:pPr>
        <w:pStyle w:val="Bullet1"/>
        <w:rPr>
          <w:sz w:val="24"/>
          <w:lang w:eastAsia="en-AU"/>
        </w:rPr>
      </w:pPr>
      <w:r w:rsidRPr="007E4CDA">
        <w:rPr>
          <w:sz w:val="24"/>
          <w:lang w:eastAsia="en-AU"/>
        </w:rPr>
        <w:t>School-wide professional learning and Professional Learning Communities (PLCs)w school policies and procedures</w:t>
      </w:r>
    </w:p>
    <w:p w14:paraId="71C90C51" w14:textId="77777777" w:rsidR="0068683F" w:rsidRPr="007E4CDA" w:rsidRDefault="0068683F" w:rsidP="006D40D7">
      <w:pPr>
        <w:pStyle w:val="Heading3"/>
        <w:rPr>
          <w:lang w:val="en-AU" w:eastAsia="en-AU"/>
        </w:rPr>
      </w:pPr>
      <w:bookmarkStart w:id="58" w:name="_Toc2864110"/>
      <w:r w:rsidRPr="007E4CDA">
        <w:rPr>
          <w:lang w:val="en-AU" w:eastAsia="en-AU"/>
        </w:rPr>
        <w:t>Continue eLearning</w:t>
      </w:r>
      <w:bookmarkEnd w:id="58"/>
    </w:p>
    <w:p w14:paraId="48EA76A3" w14:textId="77777777" w:rsidR="0068683F" w:rsidRPr="007E4CDA" w:rsidRDefault="0068683F" w:rsidP="0068683F">
      <w:pPr>
        <w:pStyle w:val="Bullet1"/>
        <w:rPr>
          <w:sz w:val="24"/>
          <w:lang w:eastAsia="en-AU"/>
        </w:rPr>
      </w:pPr>
      <w:hyperlink r:id="rId94" w:history="1">
        <w:r w:rsidRPr="007E4CDA">
          <w:rPr>
            <w:rStyle w:val="Hyperlink"/>
            <w:sz w:val="24"/>
            <w:lang w:eastAsia="en-AU"/>
          </w:rPr>
          <w:t>Understanding DET’s Values</w:t>
        </w:r>
      </w:hyperlink>
    </w:p>
    <w:p w14:paraId="65D624C1" w14:textId="77777777" w:rsidR="0068683F" w:rsidRPr="007E4CDA" w:rsidRDefault="0068683F" w:rsidP="0068683F">
      <w:pPr>
        <w:pStyle w:val="Bullet1"/>
        <w:rPr>
          <w:sz w:val="24"/>
          <w:lang w:eastAsia="en-AU"/>
        </w:rPr>
      </w:pPr>
      <w:hyperlink r:id="rId95" w:history="1">
        <w:r w:rsidRPr="007E4CDA">
          <w:rPr>
            <w:rStyle w:val="Hyperlink"/>
            <w:sz w:val="24"/>
            <w:lang w:eastAsia="en-AU"/>
          </w:rPr>
          <w:t>Respectful Workplaces</w:t>
        </w:r>
      </w:hyperlink>
    </w:p>
    <w:p w14:paraId="634CDC46" w14:textId="77777777" w:rsidR="0068683F" w:rsidRPr="007E4CDA" w:rsidRDefault="0068683F" w:rsidP="0068683F">
      <w:pPr>
        <w:pStyle w:val="Bullet1"/>
        <w:rPr>
          <w:sz w:val="24"/>
          <w:lang w:eastAsia="en-AU"/>
        </w:rPr>
      </w:pPr>
      <w:r w:rsidRPr="007E4CDA">
        <w:rPr>
          <w:sz w:val="24"/>
          <w:lang w:eastAsia="en-AU"/>
        </w:rPr>
        <w:t>Workplace Bullying</w:t>
      </w:r>
    </w:p>
    <w:p w14:paraId="16AB534E" w14:textId="77777777" w:rsidR="0068683F" w:rsidRPr="007E4CDA" w:rsidRDefault="0068683F" w:rsidP="0068683F">
      <w:pPr>
        <w:pStyle w:val="Bullet1"/>
        <w:rPr>
          <w:sz w:val="24"/>
          <w:lang w:eastAsia="en-AU"/>
        </w:rPr>
      </w:pPr>
      <w:r w:rsidRPr="007E4CDA">
        <w:rPr>
          <w:sz w:val="24"/>
          <w:lang w:eastAsia="en-AU"/>
        </w:rPr>
        <w:t>Equal Opportunity</w:t>
      </w:r>
    </w:p>
    <w:p w14:paraId="45A7A410" w14:textId="77777777" w:rsidR="0068683F" w:rsidRPr="007E4CDA" w:rsidRDefault="0068683F" w:rsidP="0068683F">
      <w:pPr>
        <w:pStyle w:val="Bullet1"/>
        <w:rPr>
          <w:sz w:val="24"/>
          <w:lang w:eastAsia="en-AU"/>
        </w:rPr>
      </w:pPr>
      <w:r w:rsidRPr="007E4CDA">
        <w:rPr>
          <w:sz w:val="24"/>
          <w:lang w:eastAsia="en-AU"/>
        </w:rPr>
        <w:t>Working with Integrity</w:t>
      </w:r>
    </w:p>
    <w:p w14:paraId="4B4DD3A7" w14:textId="77777777" w:rsidR="0068683F" w:rsidRPr="007E4CDA" w:rsidRDefault="0068683F" w:rsidP="0068683F">
      <w:pPr>
        <w:pStyle w:val="Bullet1"/>
        <w:rPr>
          <w:sz w:val="24"/>
          <w:lang w:eastAsia="en-AU"/>
        </w:rPr>
      </w:pPr>
      <w:hyperlink r:id="rId96" w:history="1">
        <w:r w:rsidRPr="007E4CDA">
          <w:rPr>
            <w:rStyle w:val="Hyperlink"/>
            <w:sz w:val="24"/>
            <w:lang w:eastAsia="en-AU"/>
          </w:rPr>
          <w:t>Human Rights</w:t>
        </w:r>
      </w:hyperlink>
    </w:p>
    <w:p w14:paraId="03BD7F58" w14:textId="77777777" w:rsidR="0068683F" w:rsidRPr="007E4CDA" w:rsidRDefault="0068683F" w:rsidP="0068683F">
      <w:pPr>
        <w:pStyle w:val="Bullet1"/>
        <w:rPr>
          <w:sz w:val="24"/>
          <w:lang w:eastAsia="en-AU"/>
        </w:rPr>
      </w:pPr>
      <w:r w:rsidRPr="007E4CDA">
        <w:rPr>
          <w:sz w:val="24"/>
          <w:lang w:eastAsia="en-AU"/>
        </w:rPr>
        <w:t>Conflict of Interest</w:t>
      </w:r>
    </w:p>
    <w:p w14:paraId="62B1D5DC" w14:textId="77777777" w:rsidR="0068683F" w:rsidRPr="006D40D7" w:rsidRDefault="0068683F" w:rsidP="006D40D7">
      <w:pPr>
        <w:pStyle w:val="Heading2"/>
        <w:rPr>
          <w:lang w:val="en-AU" w:eastAsia="en-AU"/>
        </w:rPr>
      </w:pPr>
      <w:bookmarkStart w:id="59" w:name="_Toc2864111"/>
      <w:r w:rsidRPr="006D40D7">
        <w:rPr>
          <w:lang w:val="en-AU" w:eastAsia="en-AU"/>
        </w:rPr>
        <w:t>Term 3 Induction Checklist</w:t>
      </w:r>
      <w:bookmarkEnd w:id="59"/>
    </w:p>
    <w:p w14:paraId="5B664B09" w14:textId="77777777" w:rsidR="0068683F" w:rsidRPr="007E4CDA" w:rsidRDefault="0068683F" w:rsidP="0068683F">
      <w:pPr>
        <w:pStyle w:val="Bullet1"/>
        <w:rPr>
          <w:sz w:val="24"/>
          <w:lang w:eastAsia="en-AU"/>
        </w:rPr>
      </w:pPr>
      <w:r w:rsidRPr="007E4CDA">
        <w:rPr>
          <w:sz w:val="24"/>
          <w:lang w:eastAsia="en-AU"/>
        </w:rPr>
        <w:t>Graduate teacher register for, and attend, the Area-based Graduate Teacher Conferences</w:t>
      </w:r>
    </w:p>
    <w:p w14:paraId="7E598A9B" w14:textId="77777777" w:rsidR="0068683F" w:rsidRPr="007E4CDA" w:rsidRDefault="0068683F" w:rsidP="0068683F">
      <w:pPr>
        <w:pStyle w:val="Bullet1"/>
        <w:rPr>
          <w:sz w:val="24"/>
          <w:lang w:eastAsia="en-AU"/>
        </w:rPr>
      </w:pPr>
      <w:r w:rsidRPr="007E4CDA">
        <w:rPr>
          <w:sz w:val="24"/>
          <w:lang w:eastAsia="en-AU"/>
        </w:rPr>
        <w:t>Join/create networks (for example, graduate teacher networks, curriculum specific networks)</w:t>
      </w:r>
    </w:p>
    <w:p w14:paraId="4C27638E" w14:textId="77777777" w:rsidR="0068683F" w:rsidRPr="007E4CDA" w:rsidRDefault="0068683F" w:rsidP="0068683F">
      <w:pPr>
        <w:pStyle w:val="Bullet1"/>
        <w:rPr>
          <w:sz w:val="24"/>
          <w:lang w:eastAsia="en-AU"/>
        </w:rPr>
      </w:pPr>
      <w:r w:rsidRPr="007E4CDA">
        <w:rPr>
          <w:sz w:val="24"/>
          <w:lang w:eastAsia="en-AU"/>
        </w:rPr>
        <w:t xml:space="preserve">Review the regulatory role of the </w:t>
      </w:r>
      <w:hyperlink r:id="rId97" w:history="1">
        <w:r w:rsidRPr="007E4CDA">
          <w:rPr>
            <w:rStyle w:val="Hyperlink"/>
            <w:sz w:val="24"/>
            <w:lang w:eastAsia="en-AU"/>
          </w:rPr>
          <w:t>Victorian Institute of Teaching (VIT)</w:t>
        </w:r>
      </w:hyperlink>
    </w:p>
    <w:p w14:paraId="1E23132F" w14:textId="77777777" w:rsidR="0068683F" w:rsidRPr="007E4CDA" w:rsidRDefault="0068683F" w:rsidP="0068683F">
      <w:pPr>
        <w:pStyle w:val="Bullet1"/>
        <w:rPr>
          <w:sz w:val="24"/>
          <w:lang w:eastAsia="en-AU"/>
        </w:rPr>
      </w:pPr>
      <w:r w:rsidRPr="007E4CDA">
        <w:rPr>
          <w:sz w:val="24"/>
          <w:lang w:eastAsia="en-AU"/>
        </w:rPr>
        <w:t>Graduate teacher and their teacher mentor begin discussing the process for progressing to full VIT registration</w:t>
      </w:r>
    </w:p>
    <w:p w14:paraId="42A3A853" w14:textId="77777777" w:rsidR="0068683F" w:rsidRPr="007E4CDA" w:rsidRDefault="0068683F" w:rsidP="0068683F">
      <w:pPr>
        <w:pStyle w:val="Bullet1"/>
        <w:rPr>
          <w:sz w:val="24"/>
          <w:lang w:eastAsia="en-AU"/>
        </w:rPr>
      </w:pPr>
      <w:r w:rsidRPr="007E4CDA">
        <w:rPr>
          <w:sz w:val="24"/>
          <w:lang w:eastAsia="en-AU"/>
        </w:rPr>
        <w:t xml:space="preserve">Unpack the </w:t>
      </w:r>
      <w:hyperlink r:id="rId98" w:history="1">
        <w:r w:rsidRPr="007E4CDA">
          <w:rPr>
            <w:rStyle w:val="Hyperlink"/>
            <w:sz w:val="24"/>
            <w:lang w:eastAsia="en-AU"/>
          </w:rPr>
          <w:t>Australian Professional Standards for Teachers</w:t>
        </w:r>
      </w:hyperlink>
      <w:r w:rsidRPr="007E4CDA">
        <w:rPr>
          <w:sz w:val="24"/>
          <w:lang w:eastAsia="en-AU"/>
        </w:rPr>
        <w:t xml:space="preserve"> at the proficient level</w:t>
      </w:r>
    </w:p>
    <w:p w14:paraId="1B7D3F1D" w14:textId="77777777" w:rsidR="0068683F" w:rsidRPr="007E4CDA" w:rsidRDefault="0068683F" w:rsidP="0068683F">
      <w:pPr>
        <w:pStyle w:val="Bullet1"/>
        <w:rPr>
          <w:sz w:val="24"/>
          <w:lang w:eastAsia="en-AU"/>
        </w:rPr>
      </w:pPr>
      <w:r w:rsidRPr="007E4CDA">
        <w:rPr>
          <w:sz w:val="24"/>
          <w:lang w:eastAsia="en-AU"/>
        </w:rPr>
        <w:t>Graduate teacher reviews student reports and assessment data to develop strategies that focus on areas of improvement</w:t>
      </w:r>
    </w:p>
    <w:p w14:paraId="2EEAEF89" w14:textId="77777777" w:rsidR="0068683F" w:rsidRPr="007E4CDA" w:rsidRDefault="0068683F" w:rsidP="0068683F">
      <w:pPr>
        <w:pStyle w:val="Bullet1"/>
        <w:rPr>
          <w:sz w:val="24"/>
          <w:lang w:eastAsia="en-AU"/>
        </w:rPr>
      </w:pPr>
      <w:r w:rsidRPr="007E4CDA">
        <w:rPr>
          <w:sz w:val="24"/>
          <w:lang w:eastAsia="en-AU"/>
        </w:rPr>
        <w:t>Institute a formal meeting with the literacy lead within a school to assist with the teaching and learning strategies that may assist with analysis of assessment data and guidance for both discipline based and general literacy teaching</w:t>
      </w:r>
    </w:p>
    <w:p w14:paraId="05F436DC" w14:textId="77777777" w:rsidR="0068683F" w:rsidRPr="007E4CDA" w:rsidRDefault="0068683F" w:rsidP="0068683F">
      <w:pPr>
        <w:pStyle w:val="Bullet1"/>
        <w:rPr>
          <w:sz w:val="24"/>
          <w:lang w:eastAsia="en-AU"/>
        </w:rPr>
      </w:pPr>
      <w:r w:rsidRPr="007E4CDA">
        <w:rPr>
          <w:sz w:val="24"/>
          <w:lang w:eastAsia="en-AU"/>
        </w:rPr>
        <w:t>Participate in curriculum design, planning, assessment and reporting</w:t>
      </w:r>
    </w:p>
    <w:p w14:paraId="04E95278" w14:textId="77777777" w:rsidR="0068683F" w:rsidRPr="007E4CDA" w:rsidRDefault="0068683F" w:rsidP="006D40D7">
      <w:pPr>
        <w:pStyle w:val="Heading3"/>
        <w:rPr>
          <w:lang w:val="en-AU" w:eastAsia="en-AU"/>
        </w:rPr>
      </w:pPr>
      <w:bookmarkStart w:id="60" w:name="_Toc2864112"/>
      <w:r w:rsidRPr="007E4CDA">
        <w:rPr>
          <w:lang w:val="en-AU" w:eastAsia="en-AU"/>
        </w:rPr>
        <w:t>Review Policies and Procedures</w:t>
      </w:r>
      <w:bookmarkEnd w:id="60"/>
    </w:p>
    <w:p w14:paraId="060D7015" w14:textId="77777777" w:rsidR="0068683F" w:rsidRPr="007E4CDA" w:rsidRDefault="0068683F" w:rsidP="0068683F">
      <w:pPr>
        <w:pStyle w:val="Bullet1"/>
        <w:rPr>
          <w:sz w:val="24"/>
          <w:lang w:eastAsia="en-AU"/>
        </w:rPr>
      </w:pPr>
      <w:hyperlink r:id="rId99" w:history="1">
        <w:r w:rsidRPr="007E4CDA">
          <w:rPr>
            <w:rStyle w:val="Hyperlink"/>
            <w:sz w:val="24"/>
            <w:lang w:eastAsia="en-AU"/>
          </w:rPr>
          <w:t>Literacy and Numeracy Strategy</w:t>
        </w:r>
      </w:hyperlink>
    </w:p>
    <w:p w14:paraId="4C9188BB" w14:textId="77777777" w:rsidR="0068683F" w:rsidRPr="007E4CDA" w:rsidRDefault="0068683F" w:rsidP="0068683F">
      <w:pPr>
        <w:pStyle w:val="Bullet1"/>
        <w:rPr>
          <w:sz w:val="24"/>
          <w:lang w:eastAsia="en-AU"/>
        </w:rPr>
      </w:pPr>
      <w:hyperlink r:id="rId100" w:history="1">
        <w:r w:rsidRPr="007E4CDA">
          <w:rPr>
            <w:rStyle w:val="Hyperlink"/>
            <w:sz w:val="24"/>
            <w:lang w:eastAsia="en-AU"/>
          </w:rPr>
          <w:t>Individual Education Plans (IEPs)</w:t>
        </w:r>
      </w:hyperlink>
    </w:p>
    <w:p w14:paraId="06374322" w14:textId="77777777" w:rsidR="0068683F" w:rsidRPr="007E4CDA" w:rsidRDefault="0068683F" w:rsidP="0068683F">
      <w:pPr>
        <w:pStyle w:val="Bullet1"/>
        <w:rPr>
          <w:sz w:val="24"/>
          <w:lang w:eastAsia="en-AU"/>
        </w:rPr>
      </w:pPr>
      <w:hyperlink r:id="rId101" w:history="1">
        <w:proofErr w:type="spellStart"/>
        <w:r w:rsidRPr="007E4CDA">
          <w:rPr>
            <w:rStyle w:val="Hyperlink"/>
            <w:sz w:val="24"/>
            <w:lang w:eastAsia="en-AU"/>
          </w:rPr>
          <w:t>Marrung</w:t>
        </w:r>
        <w:proofErr w:type="spellEnd"/>
        <w:r w:rsidRPr="007E4CDA">
          <w:rPr>
            <w:rStyle w:val="Hyperlink"/>
            <w:sz w:val="24"/>
            <w:lang w:eastAsia="en-AU"/>
          </w:rPr>
          <w:t xml:space="preserve"> – Aboriginal Education Plan</w:t>
        </w:r>
      </w:hyperlink>
    </w:p>
    <w:p w14:paraId="1117109F" w14:textId="77777777" w:rsidR="0068683F" w:rsidRPr="007E4CDA" w:rsidRDefault="0068683F" w:rsidP="0068683F">
      <w:pPr>
        <w:pStyle w:val="Bullet1"/>
        <w:rPr>
          <w:sz w:val="24"/>
          <w:lang w:eastAsia="en-AU"/>
        </w:rPr>
      </w:pPr>
      <w:proofErr w:type="spellStart"/>
      <w:r w:rsidRPr="007E4CDA">
        <w:rPr>
          <w:sz w:val="24"/>
          <w:lang w:eastAsia="en-AU"/>
        </w:rPr>
        <w:t>Koorie</w:t>
      </w:r>
      <w:proofErr w:type="spellEnd"/>
      <w:r w:rsidRPr="007E4CDA">
        <w:rPr>
          <w:sz w:val="24"/>
          <w:lang w:eastAsia="en-AU"/>
        </w:rPr>
        <w:t xml:space="preserve"> Education Learning Plan (KELP)</w:t>
      </w:r>
    </w:p>
    <w:p w14:paraId="3CE5701D" w14:textId="77777777" w:rsidR="0068683F" w:rsidRPr="007E4CDA" w:rsidRDefault="0068683F" w:rsidP="0068683F">
      <w:pPr>
        <w:pStyle w:val="Bullet1"/>
        <w:rPr>
          <w:sz w:val="24"/>
          <w:lang w:eastAsia="en-AU"/>
        </w:rPr>
      </w:pPr>
      <w:r w:rsidRPr="007E4CDA">
        <w:rPr>
          <w:sz w:val="24"/>
          <w:lang w:eastAsia="en-AU"/>
        </w:rPr>
        <w:t xml:space="preserve">Student safety and support (for example, </w:t>
      </w:r>
      <w:hyperlink r:id="rId102" w:history="1">
        <w:r w:rsidRPr="007E4CDA">
          <w:rPr>
            <w:rStyle w:val="Hyperlink"/>
            <w:sz w:val="24"/>
            <w:lang w:eastAsia="en-AU"/>
          </w:rPr>
          <w:t>behaviour and discipline</w:t>
        </w:r>
      </w:hyperlink>
      <w:r w:rsidRPr="007E4CDA">
        <w:rPr>
          <w:sz w:val="24"/>
          <w:lang w:eastAsia="en-AU"/>
        </w:rPr>
        <w:t xml:space="preserve">, </w:t>
      </w:r>
      <w:hyperlink r:id="rId103" w:history="1">
        <w:r w:rsidRPr="007E4CDA">
          <w:rPr>
            <w:rStyle w:val="Hyperlink"/>
            <w:sz w:val="24"/>
            <w:lang w:eastAsia="en-AU"/>
          </w:rPr>
          <w:t>health and wellbeing</w:t>
        </w:r>
      </w:hyperlink>
      <w:r w:rsidRPr="007E4CDA">
        <w:rPr>
          <w:sz w:val="24"/>
          <w:lang w:eastAsia="en-AU"/>
        </w:rPr>
        <w:t xml:space="preserve">, </w:t>
      </w:r>
      <w:hyperlink r:id="rId104" w:history="1">
        <w:r w:rsidRPr="007E4CDA">
          <w:rPr>
            <w:rStyle w:val="Hyperlink"/>
            <w:sz w:val="24"/>
            <w:lang w:eastAsia="en-AU"/>
          </w:rPr>
          <w:t>students with a disability</w:t>
        </w:r>
      </w:hyperlink>
      <w:r w:rsidRPr="007E4CDA">
        <w:rPr>
          <w:sz w:val="24"/>
          <w:lang w:eastAsia="en-AU"/>
        </w:rPr>
        <w:t>)</w:t>
      </w:r>
    </w:p>
    <w:p w14:paraId="490AE5E5" w14:textId="77777777" w:rsidR="0068683F" w:rsidRPr="0068683F" w:rsidRDefault="0068683F" w:rsidP="006D40D7">
      <w:pPr>
        <w:pStyle w:val="Heading2"/>
        <w:rPr>
          <w:lang w:val="en-AU" w:eastAsia="en-AU"/>
        </w:rPr>
      </w:pPr>
      <w:bookmarkStart w:id="61" w:name="_Toc2864113"/>
      <w:r w:rsidRPr="0068683F">
        <w:rPr>
          <w:lang w:val="en-AU" w:eastAsia="en-AU"/>
        </w:rPr>
        <w:lastRenderedPageBreak/>
        <w:t>Term 4 Induction Checklist</w:t>
      </w:r>
      <w:bookmarkEnd w:id="61"/>
    </w:p>
    <w:p w14:paraId="42226878" w14:textId="77777777" w:rsidR="0068683F" w:rsidRPr="007E4CDA" w:rsidRDefault="0068683F" w:rsidP="0068683F">
      <w:pPr>
        <w:pStyle w:val="Bullet1"/>
        <w:rPr>
          <w:sz w:val="24"/>
          <w:lang w:eastAsia="en-AU"/>
        </w:rPr>
      </w:pPr>
      <w:r w:rsidRPr="007E4CDA">
        <w:rPr>
          <w:sz w:val="24"/>
          <w:lang w:eastAsia="en-AU"/>
        </w:rPr>
        <w:t>Graduate teacher continues working towards, and gathering evidence for progression to full registration</w:t>
      </w:r>
    </w:p>
    <w:p w14:paraId="3D0E9B1C" w14:textId="77777777" w:rsidR="0068683F" w:rsidRPr="007E4CDA" w:rsidRDefault="0068683F" w:rsidP="0068683F">
      <w:pPr>
        <w:pStyle w:val="Bullet1"/>
        <w:rPr>
          <w:sz w:val="24"/>
          <w:lang w:eastAsia="en-AU"/>
        </w:rPr>
      </w:pPr>
      <w:r w:rsidRPr="007E4CDA">
        <w:rPr>
          <w:sz w:val="24"/>
          <w:lang w:eastAsia="en-AU"/>
        </w:rPr>
        <w:t xml:space="preserve">Graduate teacher explores the roles of professional learning institutes, including </w:t>
      </w:r>
      <w:hyperlink r:id="rId105" w:history="1">
        <w:r w:rsidRPr="007E4CDA">
          <w:rPr>
            <w:rStyle w:val="Hyperlink"/>
            <w:sz w:val="24"/>
            <w:lang w:eastAsia="en-AU"/>
          </w:rPr>
          <w:t>Australian Institute for Teaching and School Leadership (AITSL)</w:t>
        </w:r>
      </w:hyperlink>
      <w:r w:rsidRPr="007E4CDA">
        <w:rPr>
          <w:sz w:val="24"/>
          <w:lang w:eastAsia="en-AU"/>
        </w:rPr>
        <w:t xml:space="preserve">, </w:t>
      </w:r>
      <w:hyperlink r:id="rId106" w:history="1">
        <w:proofErr w:type="spellStart"/>
        <w:r w:rsidRPr="007E4CDA">
          <w:rPr>
            <w:rStyle w:val="Hyperlink"/>
            <w:sz w:val="24"/>
            <w:lang w:eastAsia="en-AU"/>
          </w:rPr>
          <w:t>Bastow</w:t>
        </w:r>
        <w:proofErr w:type="spellEnd"/>
        <w:r w:rsidRPr="007E4CDA">
          <w:rPr>
            <w:rStyle w:val="Hyperlink"/>
            <w:sz w:val="24"/>
            <w:lang w:eastAsia="en-AU"/>
          </w:rPr>
          <w:t xml:space="preserve"> Institute</w:t>
        </w:r>
      </w:hyperlink>
      <w:r w:rsidRPr="007E4CDA">
        <w:rPr>
          <w:sz w:val="24"/>
          <w:lang w:eastAsia="en-AU"/>
        </w:rPr>
        <w:t xml:space="preserve">, and </w:t>
      </w:r>
      <w:hyperlink r:id="rId107" w:history="1">
        <w:r w:rsidRPr="007E4CDA">
          <w:rPr>
            <w:rStyle w:val="Hyperlink"/>
            <w:sz w:val="24"/>
            <w:lang w:eastAsia="en-AU"/>
          </w:rPr>
          <w:t>Victorian Deaf Education Institute (VDEI)</w:t>
        </w:r>
      </w:hyperlink>
    </w:p>
    <w:p w14:paraId="74616101" w14:textId="77777777" w:rsidR="0068683F" w:rsidRPr="007E4CDA" w:rsidRDefault="0068683F" w:rsidP="0068683F">
      <w:pPr>
        <w:pStyle w:val="Bullet1"/>
        <w:rPr>
          <w:sz w:val="24"/>
          <w:lang w:eastAsia="en-AU"/>
        </w:rPr>
      </w:pPr>
      <w:r w:rsidRPr="007E4CDA">
        <w:rPr>
          <w:sz w:val="24"/>
          <w:lang w:eastAsia="en-AU"/>
        </w:rPr>
        <w:t xml:space="preserve">Graduate teacher explores the roles of regional support staff, including Student Support Services Officers (SSSOs), </w:t>
      </w:r>
      <w:proofErr w:type="spellStart"/>
      <w:r w:rsidRPr="007E4CDA">
        <w:rPr>
          <w:sz w:val="24"/>
          <w:lang w:eastAsia="en-AU"/>
        </w:rPr>
        <w:t>Koorie</w:t>
      </w:r>
      <w:proofErr w:type="spellEnd"/>
      <w:r w:rsidRPr="007E4CDA">
        <w:rPr>
          <w:sz w:val="24"/>
          <w:lang w:eastAsia="en-AU"/>
        </w:rPr>
        <w:t xml:space="preserve"> Engagement Support Officers (KESOs), School Nurses, Specialist Children’s Services and Visiting Teachers (VTs)</w:t>
      </w:r>
    </w:p>
    <w:p w14:paraId="56D3496A" w14:textId="77777777" w:rsidR="0068683F" w:rsidRPr="007E4CDA" w:rsidRDefault="0068683F" w:rsidP="006D40D7">
      <w:pPr>
        <w:pStyle w:val="Heading3"/>
        <w:rPr>
          <w:lang w:val="en-AU" w:eastAsia="en-AU"/>
        </w:rPr>
      </w:pPr>
      <w:bookmarkStart w:id="62" w:name="_Toc2864114"/>
      <w:r w:rsidRPr="007E4CDA">
        <w:rPr>
          <w:lang w:val="en-AU" w:eastAsia="en-AU"/>
        </w:rPr>
        <w:t>Review Policies and Procedures</w:t>
      </w:r>
      <w:bookmarkEnd w:id="62"/>
    </w:p>
    <w:p w14:paraId="02B450A3" w14:textId="77777777" w:rsidR="0068683F" w:rsidRPr="007E4CDA" w:rsidRDefault="0068683F" w:rsidP="0068683F">
      <w:pPr>
        <w:pStyle w:val="Bullet1"/>
        <w:rPr>
          <w:sz w:val="24"/>
          <w:lang w:eastAsia="en-AU"/>
        </w:rPr>
      </w:pPr>
      <w:hyperlink r:id="rId108" w:history="1">
        <w:r w:rsidRPr="007E4CDA">
          <w:rPr>
            <w:rStyle w:val="Hyperlink"/>
            <w:sz w:val="24"/>
            <w:lang w:eastAsia="en-AU"/>
          </w:rPr>
          <w:t>Inclusion online</w:t>
        </w:r>
      </w:hyperlink>
    </w:p>
    <w:p w14:paraId="5A862A9F" w14:textId="77777777" w:rsidR="0068683F" w:rsidRPr="007E4CDA" w:rsidRDefault="0068683F" w:rsidP="0068683F">
      <w:pPr>
        <w:pStyle w:val="Bullet1"/>
        <w:rPr>
          <w:sz w:val="24"/>
          <w:lang w:eastAsia="en-AU"/>
        </w:rPr>
      </w:pPr>
      <w:hyperlink r:id="rId109" w:history="1">
        <w:r w:rsidRPr="007E4CDA">
          <w:rPr>
            <w:rStyle w:val="Hyperlink"/>
            <w:sz w:val="24"/>
            <w:lang w:eastAsia="en-AU"/>
          </w:rPr>
          <w:t>English as an Additional Language (EAL) Teaching Strategies</w:t>
        </w:r>
      </w:hyperlink>
    </w:p>
    <w:p w14:paraId="681DF273" w14:textId="77777777" w:rsidR="0068683F" w:rsidRPr="007E4CDA" w:rsidRDefault="0068683F" w:rsidP="006D40D7">
      <w:pPr>
        <w:pStyle w:val="Heading3"/>
        <w:rPr>
          <w:lang w:val="en-AU" w:eastAsia="en-AU"/>
        </w:rPr>
      </w:pPr>
      <w:bookmarkStart w:id="63" w:name="_Toc2864115"/>
      <w:r w:rsidRPr="007E4CDA">
        <w:rPr>
          <w:lang w:val="en-AU" w:eastAsia="en-AU"/>
        </w:rPr>
        <w:t>Review the year</w:t>
      </w:r>
      <w:bookmarkEnd w:id="63"/>
    </w:p>
    <w:p w14:paraId="5FEB0AB4" w14:textId="77777777" w:rsidR="0068683F" w:rsidRPr="0068683F" w:rsidRDefault="0068683F" w:rsidP="0068683F">
      <w:pPr>
        <w:pStyle w:val="Bullet1"/>
        <w:rPr>
          <w:lang w:eastAsia="en-AU"/>
        </w:rPr>
      </w:pPr>
      <w:r w:rsidRPr="007E4CDA">
        <w:rPr>
          <w:sz w:val="24"/>
          <w:lang w:eastAsia="en-AU"/>
        </w:rPr>
        <w:t>Graduate teacher reflects on their achievements and challenges through the year, and shares their reflections with their teacher mentor</w:t>
      </w:r>
    </w:p>
    <w:p w14:paraId="31A61DBF" w14:textId="77777777" w:rsidR="0068683F" w:rsidRPr="0068683F" w:rsidRDefault="0068683F" w:rsidP="006D40D7">
      <w:pPr>
        <w:pStyle w:val="Heading2"/>
        <w:rPr>
          <w:lang w:val="en-AU" w:eastAsia="en-AU"/>
        </w:rPr>
      </w:pPr>
      <w:bookmarkStart w:id="64" w:name="_Toc2864116"/>
      <w:r w:rsidRPr="0068683F">
        <w:rPr>
          <w:lang w:val="en-AU" w:eastAsia="en-AU"/>
        </w:rPr>
        <w:t>Year 2 Induction Checklist</w:t>
      </w:r>
      <w:bookmarkEnd w:id="64"/>
    </w:p>
    <w:p w14:paraId="63C4134D" w14:textId="77777777" w:rsidR="004566CD" w:rsidRPr="007E4CDA" w:rsidRDefault="00B64455" w:rsidP="0068683F">
      <w:pPr>
        <w:pStyle w:val="Bullet1"/>
        <w:rPr>
          <w:sz w:val="24"/>
          <w:lang w:eastAsia="en-AU"/>
        </w:rPr>
      </w:pPr>
      <w:r w:rsidRPr="007E4CDA">
        <w:rPr>
          <w:sz w:val="24"/>
          <w:lang w:eastAsia="en-AU"/>
        </w:rPr>
        <w:t>Review the school’s SSP and AIP</w:t>
      </w:r>
    </w:p>
    <w:p w14:paraId="7425506E" w14:textId="77777777" w:rsidR="004566CD" w:rsidRPr="007E4CDA" w:rsidRDefault="00B64455" w:rsidP="0068683F">
      <w:pPr>
        <w:pStyle w:val="Bullet1"/>
        <w:rPr>
          <w:sz w:val="24"/>
          <w:lang w:eastAsia="en-AU"/>
        </w:rPr>
      </w:pPr>
      <w:r w:rsidRPr="007E4CDA">
        <w:rPr>
          <w:sz w:val="24"/>
          <w:lang w:eastAsia="en-AU"/>
        </w:rPr>
        <w:t xml:space="preserve">Review </w:t>
      </w:r>
      <w:hyperlink r:id="rId110" w:anchor="/app/content/2670/support_and_service_(schools)%252Fhuman_resources%252Fcareer_and_professional_development%252Fschool_staff_performance_and_development%23h-0" w:history="1">
        <w:r w:rsidRPr="007E4CDA">
          <w:rPr>
            <w:rStyle w:val="Hyperlink"/>
            <w:sz w:val="24"/>
            <w:lang w:eastAsia="en-AU"/>
          </w:rPr>
          <w:t>Performance and Development Plan (PDP)</w:t>
        </w:r>
      </w:hyperlink>
      <w:r w:rsidRPr="007E4CDA">
        <w:rPr>
          <w:sz w:val="24"/>
          <w:lang w:eastAsia="en-AU"/>
        </w:rPr>
        <w:t xml:space="preserve"> </w:t>
      </w:r>
      <w:r w:rsidRPr="007E4CDA">
        <w:rPr>
          <w:sz w:val="24"/>
          <w:lang w:eastAsia="en-AU"/>
        </w:rPr>
        <w:t>documents to understand how they should align with the SSP and AIP</w:t>
      </w:r>
    </w:p>
    <w:p w14:paraId="568B7589" w14:textId="77777777" w:rsidR="004566CD" w:rsidRPr="007E4CDA" w:rsidRDefault="00B64455" w:rsidP="0068683F">
      <w:pPr>
        <w:pStyle w:val="Bullet1"/>
        <w:rPr>
          <w:sz w:val="24"/>
          <w:lang w:eastAsia="en-AU"/>
        </w:rPr>
      </w:pPr>
      <w:r w:rsidRPr="007E4CDA">
        <w:rPr>
          <w:sz w:val="24"/>
          <w:lang w:eastAsia="en-AU"/>
        </w:rPr>
        <w:t>Once a graduate teacher is fully registered with the VI</w:t>
      </w:r>
      <w:r w:rsidRPr="007E4CDA">
        <w:rPr>
          <w:sz w:val="24"/>
          <w:lang w:eastAsia="en-AU"/>
        </w:rPr>
        <w:t>T, having demonstrated they meet the proficient level of the Australian Professional Standards for Teaching, the graduate teacher should establish their PDP. This includes setting goals linked to the SSP and the AIP</w:t>
      </w:r>
    </w:p>
    <w:p w14:paraId="3F28E010" w14:textId="77777777" w:rsidR="004566CD" w:rsidRPr="007E4CDA" w:rsidRDefault="00B64455" w:rsidP="0068683F">
      <w:pPr>
        <w:pStyle w:val="Bullet1"/>
        <w:rPr>
          <w:sz w:val="24"/>
          <w:lang w:eastAsia="en-AU"/>
        </w:rPr>
      </w:pPr>
      <w:r w:rsidRPr="007E4CDA">
        <w:rPr>
          <w:sz w:val="24"/>
          <w:lang w:eastAsia="en-AU"/>
        </w:rPr>
        <w:t>Graduate teacher, their teacher mentor a</w:t>
      </w:r>
      <w:r w:rsidRPr="007E4CDA">
        <w:rPr>
          <w:sz w:val="24"/>
          <w:lang w:eastAsia="en-AU"/>
        </w:rPr>
        <w:t>nd the professional development coordinator collaboratively discuss targeted professional learning options for Year 2 (graduate teacher includes the outcomes of this discussion in their PDP)</w:t>
      </w:r>
    </w:p>
    <w:p w14:paraId="1E2890BE" w14:textId="77777777" w:rsidR="004566CD" w:rsidRPr="007E4CDA" w:rsidRDefault="00B64455" w:rsidP="0068683F">
      <w:pPr>
        <w:pStyle w:val="Bullet1"/>
        <w:rPr>
          <w:sz w:val="24"/>
          <w:lang w:eastAsia="en-AU"/>
        </w:rPr>
      </w:pPr>
      <w:r w:rsidRPr="007E4CDA">
        <w:rPr>
          <w:sz w:val="24"/>
          <w:lang w:eastAsia="en-AU"/>
        </w:rPr>
        <w:t>Gather evidence for progressing to full registration with the VIT</w:t>
      </w:r>
    </w:p>
    <w:p w14:paraId="15459514" w14:textId="77777777" w:rsidR="004566CD" w:rsidRPr="007E4CDA" w:rsidRDefault="00B64455" w:rsidP="0068683F">
      <w:pPr>
        <w:pStyle w:val="Bullet1"/>
        <w:rPr>
          <w:sz w:val="24"/>
          <w:lang w:eastAsia="en-AU"/>
        </w:rPr>
      </w:pPr>
      <w:r w:rsidRPr="007E4CDA">
        <w:rPr>
          <w:sz w:val="24"/>
          <w:lang w:eastAsia="en-AU"/>
        </w:rPr>
        <w:t>Join/create professional networks, such as Communities of Practice (</w:t>
      </w:r>
      <w:proofErr w:type="spellStart"/>
      <w:r w:rsidRPr="007E4CDA">
        <w:rPr>
          <w:sz w:val="24"/>
          <w:lang w:eastAsia="en-AU"/>
        </w:rPr>
        <w:t>CoPs</w:t>
      </w:r>
      <w:proofErr w:type="spellEnd"/>
      <w:r w:rsidRPr="007E4CDA">
        <w:rPr>
          <w:sz w:val="24"/>
          <w:lang w:eastAsia="en-AU"/>
        </w:rPr>
        <w:t>)</w:t>
      </w:r>
    </w:p>
    <w:p w14:paraId="2974E1C1" w14:textId="77777777" w:rsidR="004566CD" w:rsidRPr="007E4CDA" w:rsidRDefault="00B64455" w:rsidP="0068683F">
      <w:pPr>
        <w:pStyle w:val="Bullet1"/>
        <w:rPr>
          <w:sz w:val="24"/>
          <w:lang w:eastAsia="en-AU"/>
        </w:rPr>
      </w:pPr>
      <w:r w:rsidRPr="007E4CDA">
        <w:rPr>
          <w:sz w:val="24"/>
          <w:lang w:eastAsia="en-AU"/>
        </w:rPr>
        <w:t>Graduate teacher reviews and adjusts curriculum based on analysis of multiple sources of evidence and current VCAA guidelines</w:t>
      </w:r>
    </w:p>
    <w:p w14:paraId="04057984" w14:textId="77777777" w:rsidR="0068683F" w:rsidRPr="007E4CDA" w:rsidRDefault="0068683F" w:rsidP="006D40D7">
      <w:pPr>
        <w:pStyle w:val="Heading3"/>
        <w:rPr>
          <w:lang w:val="en-AU" w:eastAsia="en-AU"/>
        </w:rPr>
      </w:pPr>
      <w:bookmarkStart w:id="65" w:name="_Toc2864117"/>
      <w:r w:rsidRPr="007E4CDA">
        <w:rPr>
          <w:lang w:val="en-AU" w:eastAsia="en-AU"/>
        </w:rPr>
        <w:t>Review the year</w:t>
      </w:r>
      <w:bookmarkEnd w:id="65"/>
      <w:r w:rsidRPr="007E4CDA">
        <w:rPr>
          <w:lang w:val="en-AU" w:eastAsia="en-AU"/>
        </w:rPr>
        <w:t xml:space="preserve"> </w:t>
      </w:r>
    </w:p>
    <w:p w14:paraId="61136C9B" w14:textId="77777777" w:rsidR="0068683F" w:rsidRPr="007E4CDA" w:rsidRDefault="0068683F" w:rsidP="0068683F">
      <w:pPr>
        <w:pStyle w:val="Bullet1"/>
        <w:rPr>
          <w:sz w:val="24"/>
          <w:lang w:eastAsia="en-AU"/>
        </w:rPr>
      </w:pPr>
      <w:r w:rsidRPr="007E4CDA">
        <w:rPr>
          <w:sz w:val="24"/>
          <w:lang w:eastAsia="en-AU"/>
        </w:rPr>
        <w:t>Graduate teacher reflects on their achievements and challenges through the year, and shares their reflections with their teacher mentor</w:t>
      </w:r>
    </w:p>
    <w:p w14:paraId="413A643B" w14:textId="77777777" w:rsidR="005D0B2E" w:rsidRPr="0068683F" w:rsidRDefault="00B64455" w:rsidP="006D40D7">
      <w:pPr>
        <w:pStyle w:val="Heading2"/>
        <w:rPr>
          <w:lang w:val="en-AU" w:eastAsia="en-AU"/>
        </w:rPr>
      </w:pPr>
      <w:bookmarkStart w:id="66" w:name="_Toc2864118"/>
      <w:r w:rsidRPr="0068683F">
        <w:rPr>
          <w:lang w:val="en-AU" w:eastAsia="en-AU"/>
        </w:rPr>
        <w:t>Notes to the Checklist</w:t>
      </w:r>
      <w:bookmarkEnd w:id="66"/>
    </w:p>
    <w:p w14:paraId="7823F0D0" w14:textId="77777777" w:rsidR="005D0B2E" w:rsidRPr="007E4CDA" w:rsidRDefault="00B64455" w:rsidP="0068683F">
      <w:pPr>
        <w:pStyle w:val="Numberlist"/>
        <w:numPr>
          <w:ilvl w:val="0"/>
          <w:numId w:val="34"/>
        </w:numPr>
        <w:rPr>
          <w:sz w:val="24"/>
          <w:lang w:eastAsia="en-AU"/>
        </w:rPr>
      </w:pPr>
      <w:r w:rsidRPr="007E4CDA">
        <w:rPr>
          <w:sz w:val="24"/>
          <w:lang w:eastAsia="en-AU"/>
        </w:rPr>
        <w:t>A graduate teacher may elect to participate in induction activities listed in the Pre-commencement Checklist once their employment commences.</w:t>
      </w:r>
      <w:r w:rsidRPr="007E4CDA">
        <w:rPr>
          <w:sz w:val="24"/>
          <w:lang w:eastAsia="en-AU"/>
        </w:rPr>
        <w:t xml:space="preserve"> </w:t>
      </w:r>
      <w:r w:rsidRPr="007E4CDA">
        <w:rPr>
          <w:sz w:val="24"/>
          <w:lang w:eastAsia="en-AU"/>
        </w:rPr>
        <w:t xml:space="preserve">The school may </w:t>
      </w:r>
      <w:r w:rsidRPr="007E4CDA">
        <w:rPr>
          <w:sz w:val="24"/>
          <w:lang w:eastAsia="en-AU"/>
        </w:rPr>
        <w:lastRenderedPageBreak/>
        <w:t>schedule activities listed in the</w:t>
      </w:r>
      <w:r w:rsidRPr="007E4CDA">
        <w:rPr>
          <w:sz w:val="24"/>
          <w:lang w:eastAsia="en-AU"/>
        </w:rPr>
        <w:t xml:space="preserve"> </w:t>
      </w:r>
      <w:r w:rsidRPr="007E4CDA">
        <w:rPr>
          <w:sz w:val="24"/>
          <w:lang w:eastAsia="en-AU"/>
        </w:rPr>
        <w:t>Pre-commencement Checklist for attention early in the first term of the graduate teacher’s employment.</w:t>
      </w:r>
    </w:p>
    <w:p w14:paraId="15DA6369" w14:textId="77777777" w:rsidR="005D0B2E" w:rsidRPr="007E4CDA" w:rsidRDefault="00B64455" w:rsidP="0068683F">
      <w:pPr>
        <w:pStyle w:val="Numberlist"/>
        <w:numPr>
          <w:ilvl w:val="0"/>
          <w:numId w:val="34"/>
        </w:numPr>
        <w:rPr>
          <w:sz w:val="24"/>
          <w:lang w:eastAsia="en-AU"/>
        </w:rPr>
      </w:pPr>
      <w:r w:rsidRPr="007E4CDA">
        <w:rPr>
          <w:sz w:val="24"/>
          <w:lang w:eastAsia="en-AU"/>
        </w:rPr>
        <w:t xml:space="preserve">Occupational Health and Safety (OHS) induction is important and there is specific reference to it in </w:t>
      </w:r>
      <w:r w:rsidRPr="007E4CDA">
        <w:rPr>
          <w:sz w:val="24"/>
          <w:lang w:eastAsia="en-AU"/>
        </w:rPr>
        <w:t xml:space="preserve">the Week 1 and Term 1 checklists. The Term 1 Checklist notes that graduate teachers must complete OHS induction within the first month of their employment. All schools have access to the </w:t>
      </w:r>
      <w:hyperlink r:id="rId111" w:history="1">
        <w:r w:rsidRPr="007E4CDA">
          <w:rPr>
            <w:rStyle w:val="Hyperlink"/>
            <w:sz w:val="24"/>
            <w:lang w:eastAsia="en-AU"/>
          </w:rPr>
          <w:t>OHS Induction Checklist</w:t>
        </w:r>
      </w:hyperlink>
      <w:r w:rsidRPr="007E4CDA">
        <w:rPr>
          <w:sz w:val="24"/>
          <w:lang w:eastAsia="en-AU"/>
        </w:rPr>
        <w:t xml:space="preserve"> which supports them in completing their OHS i</w:t>
      </w:r>
      <w:r w:rsidRPr="007E4CDA">
        <w:rPr>
          <w:sz w:val="24"/>
          <w:lang w:eastAsia="en-AU"/>
        </w:rPr>
        <w:t>nduction obligations.</w:t>
      </w:r>
    </w:p>
    <w:p w14:paraId="762472C1" w14:textId="77777777" w:rsidR="005D0B2E" w:rsidRPr="007E4CDA" w:rsidRDefault="00B64455" w:rsidP="0068683F">
      <w:pPr>
        <w:pStyle w:val="Numberlist"/>
        <w:numPr>
          <w:ilvl w:val="0"/>
          <w:numId w:val="34"/>
        </w:numPr>
        <w:rPr>
          <w:sz w:val="24"/>
          <w:lang w:eastAsia="en-AU"/>
        </w:rPr>
      </w:pPr>
      <w:r w:rsidRPr="007E4CDA">
        <w:rPr>
          <w:sz w:val="24"/>
          <w:lang w:eastAsia="en-AU"/>
        </w:rPr>
        <w:t>Induction arrangements at the school level will ensure union representatives are provided with an opportunity to participate in the induction process by introducing the role of the union to all new teachers, including graduate teac</w:t>
      </w:r>
      <w:r w:rsidRPr="007E4CDA">
        <w:rPr>
          <w:sz w:val="24"/>
          <w:lang w:eastAsia="en-AU"/>
        </w:rPr>
        <w:t>hers and inviting them to join the union if they wish to do so.</w:t>
      </w:r>
    </w:p>
    <w:p w14:paraId="6F535E7B" w14:textId="77777777" w:rsidR="005D0B2E" w:rsidRPr="007E4CDA" w:rsidRDefault="00B64455" w:rsidP="0068683F">
      <w:pPr>
        <w:pStyle w:val="Numberlist"/>
        <w:numPr>
          <w:ilvl w:val="0"/>
          <w:numId w:val="34"/>
        </w:numPr>
        <w:rPr>
          <w:sz w:val="24"/>
          <w:lang w:eastAsia="en-AU"/>
        </w:rPr>
      </w:pPr>
      <w:r w:rsidRPr="007E4CDA">
        <w:rPr>
          <w:sz w:val="24"/>
          <w:lang w:eastAsia="en-AU"/>
        </w:rPr>
        <w:t>It is important that the principal, mentor teacher and graduate teacher discuss the induction timeline and checklists so that there is clarity about the process and intentions.</w:t>
      </w:r>
    </w:p>
    <w:p w14:paraId="6C5C8500" w14:textId="77777777" w:rsidR="005D0B2E" w:rsidRPr="007E4CDA" w:rsidRDefault="00B64455" w:rsidP="0068683F">
      <w:pPr>
        <w:pStyle w:val="Numberlist"/>
        <w:numPr>
          <w:ilvl w:val="0"/>
          <w:numId w:val="34"/>
        </w:numPr>
        <w:rPr>
          <w:sz w:val="24"/>
          <w:lang w:eastAsia="en-AU"/>
        </w:rPr>
      </w:pPr>
      <w:r w:rsidRPr="007E4CDA">
        <w:rPr>
          <w:sz w:val="24"/>
          <w:lang w:eastAsia="en-AU"/>
        </w:rPr>
        <w:t xml:space="preserve">Prior to </w:t>
      </w:r>
      <w:r w:rsidRPr="007E4CDA">
        <w:rPr>
          <w:sz w:val="24"/>
          <w:lang w:eastAsia="en-AU"/>
        </w:rPr>
        <w:t>induction commencing or during the induction process, graduate teachers may wish to negotiate an accelerated induction process and also highlight additional supports they may require.</w:t>
      </w:r>
    </w:p>
    <w:p w14:paraId="00F706E3" w14:textId="6C78EC2C" w:rsidR="003518BD" w:rsidRDefault="003518BD" w:rsidP="003518BD">
      <w:pPr>
        <w:pStyle w:val="Heading1"/>
        <w:rPr>
          <w:lang w:val="en-AU" w:eastAsia="en-AU"/>
        </w:rPr>
      </w:pPr>
      <w:bookmarkStart w:id="67" w:name="_Toc2864119"/>
      <w:r w:rsidRPr="003518BD">
        <w:rPr>
          <w:lang w:val="en-AU" w:eastAsia="en-AU"/>
        </w:rPr>
        <w:t>Appendix 2 – Welcome pack checklist</w:t>
      </w:r>
      <w:bookmarkEnd w:id="67"/>
    </w:p>
    <w:p w14:paraId="4511FC34" w14:textId="77777777" w:rsidR="003518BD" w:rsidRPr="007E4CDA" w:rsidRDefault="003518BD" w:rsidP="009731C9">
      <w:pPr>
        <w:spacing w:after="200"/>
        <w:rPr>
          <w:sz w:val="24"/>
          <w:lang w:val="en-AU" w:eastAsia="en-AU"/>
        </w:rPr>
      </w:pPr>
      <w:r w:rsidRPr="007E4CDA">
        <w:rPr>
          <w:sz w:val="24"/>
          <w:lang w:val="en-AU" w:eastAsia="en-AU"/>
        </w:rPr>
        <w:t>Select the content from the list below which would be most appropriate to the individual and only include what the new staff member needs at that time.</w:t>
      </w:r>
    </w:p>
    <w:p w14:paraId="080E88E7" w14:textId="77777777" w:rsidR="003518BD" w:rsidRPr="007E4CDA" w:rsidRDefault="003518BD" w:rsidP="009731C9">
      <w:pPr>
        <w:pStyle w:val="Bullet1"/>
        <w:spacing w:after="240"/>
        <w:ind w:left="714" w:hanging="357"/>
        <w:rPr>
          <w:rStyle w:val="Strong"/>
          <w:sz w:val="24"/>
        </w:rPr>
      </w:pPr>
      <w:r w:rsidRPr="007E4CDA">
        <w:rPr>
          <w:rStyle w:val="Strong"/>
          <w:sz w:val="24"/>
        </w:rPr>
        <w:t>Welcome letter from the principal</w:t>
      </w:r>
    </w:p>
    <w:p w14:paraId="30A6BBCB" w14:textId="77777777" w:rsidR="003518BD" w:rsidRPr="007E4CDA" w:rsidRDefault="003518BD" w:rsidP="009731C9">
      <w:pPr>
        <w:pStyle w:val="Bullet1"/>
        <w:spacing w:after="240"/>
        <w:ind w:left="714" w:hanging="357"/>
        <w:rPr>
          <w:rStyle w:val="Strong"/>
          <w:sz w:val="24"/>
        </w:rPr>
      </w:pPr>
      <w:r w:rsidRPr="007E4CDA">
        <w:rPr>
          <w:rStyle w:val="Strong"/>
          <w:sz w:val="24"/>
        </w:rPr>
        <w:t>Where to report, and to whom, on the first day</w:t>
      </w:r>
    </w:p>
    <w:p w14:paraId="077F253B" w14:textId="77777777" w:rsidR="003518BD" w:rsidRPr="007E4CDA" w:rsidRDefault="003518BD" w:rsidP="009731C9">
      <w:pPr>
        <w:pStyle w:val="Bullet1"/>
        <w:spacing w:after="240"/>
        <w:ind w:left="714" w:hanging="357"/>
        <w:rPr>
          <w:rStyle w:val="Strong"/>
          <w:sz w:val="24"/>
        </w:rPr>
      </w:pPr>
      <w:r w:rsidRPr="007E4CDA">
        <w:rPr>
          <w:rStyle w:val="Strong"/>
          <w:sz w:val="24"/>
        </w:rPr>
        <w:t>Job description and employment conditions</w:t>
      </w:r>
    </w:p>
    <w:p w14:paraId="33C3EAAD" w14:textId="77777777" w:rsidR="003518BD" w:rsidRPr="007E4CDA" w:rsidRDefault="003518BD" w:rsidP="009731C9">
      <w:pPr>
        <w:pStyle w:val="Bullet1"/>
        <w:spacing w:after="240"/>
        <w:ind w:left="714" w:hanging="357"/>
        <w:rPr>
          <w:rStyle w:val="Strong"/>
          <w:sz w:val="24"/>
        </w:rPr>
      </w:pPr>
      <w:r w:rsidRPr="007E4CDA">
        <w:rPr>
          <w:rStyle w:val="Strong"/>
          <w:sz w:val="24"/>
        </w:rPr>
        <w:t>The Department of Education and Training’s values and Code of Conduct and Victorian Institute of Teaching’s Code of Conduct and Ethics</w:t>
      </w:r>
    </w:p>
    <w:p w14:paraId="7E0EC90F" w14:textId="77777777" w:rsidR="003518BD" w:rsidRPr="007E4CDA" w:rsidRDefault="003518BD" w:rsidP="009731C9">
      <w:pPr>
        <w:pStyle w:val="Bullet1"/>
        <w:spacing w:after="240"/>
        <w:ind w:left="714" w:hanging="357"/>
        <w:rPr>
          <w:rStyle w:val="Strong"/>
          <w:sz w:val="24"/>
        </w:rPr>
      </w:pPr>
      <w:r w:rsidRPr="007E4CDA">
        <w:rPr>
          <w:rStyle w:val="Strong"/>
          <w:sz w:val="24"/>
        </w:rPr>
        <w:t>Graduate Teacher Induction Guide</w:t>
      </w:r>
    </w:p>
    <w:p w14:paraId="184438F7" w14:textId="77777777" w:rsidR="003518BD" w:rsidRPr="007E4CDA" w:rsidRDefault="003518BD" w:rsidP="009731C9">
      <w:pPr>
        <w:pStyle w:val="Bullet1"/>
        <w:spacing w:after="240"/>
        <w:ind w:left="714" w:hanging="357"/>
        <w:rPr>
          <w:rStyle w:val="Strong"/>
          <w:sz w:val="24"/>
        </w:rPr>
      </w:pPr>
      <w:r w:rsidRPr="007E4CDA">
        <w:rPr>
          <w:rStyle w:val="Strong"/>
          <w:sz w:val="24"/>
        </w:rPr>
        <w:t>Information about the school and its community including the School Strategic Plan and Annual Implementation Plan</w:t>
      </w:r>
    </w:p>
    <w:p w14:paraId="0C4A2098" w14:textId="77777777" w:rsidR="003518BD" w:rsidRPr="007E4CDA" w:rsidRDefault="003518BD" w:rsidP="009731C9">
      <w:pPr>
        <w:pStyle w:val="Bullet1"/>
        <w:spacing w:after="240"/>
        <w:ind w:left="714" w:hanging="357"/>
        <w:rPr>
          <w:rStyle w:val="Strong"/>
          <w:sz w:val="24"/>
        </w:rPr>
      </w:pPr>
      <w:r w:rsidRPr="007E4CDA">
        <w:rPr>
          <w:rStyle w:val="Strong"/>
          <w:sz w:val="24"/>
        </w:rPr>
        <w:t>Any available information about class/workload allocation</w:t>
      </w:r>
    </w:p>
    <w:p w14:paraId="12D117ED" w14:textId="77777777" w:rsidR="003518BD" w:rsidRPr="007E4CDA" w:rsidRDefault="003518BD" w:rsidP="009731C9">
      <w:pPr>
        <w:pStyle w:val="Bullet1"/>
        <w:spacing w:after="240"/>
        <w:ind w:left="714" w:hanging="357"/>
        <w:rPr>
          <w:rStyle w:val="Strong"/>
          <w:sz w:val="24"/>
        </w:rPr>
      </w:pPr>
      <w:r w:rsidRPr="007E4CDA">
        <w:rPr>
          <w:rStyle w:val="Strong"/>
          <w:sz w:val="24"/>
        </w:rPr>
        <w:t>School procedures and policies</w:t>
      </w:r>
    </w:p>
    <w:p w14:paraId="7A8F951E" w14:textId="77777777" w:rsidR="003518BD" w:rsidRPr="007E4CDA" w:rsidRDefault="003518BD" w:rsidP="009731C9">
      <w:pPr>
        <w:pStyle w:val="Bullet1"/>
        <w:spacing w:after="240"/>
        <w:ind w:left="714" w:hanging="357"/>
        <w:rPr>
          <w:rStyle w:val="Strong"/>
          <w:sz w:val="24"/>
        </w:rPr>
      </w:pPr>
      <w:r w:rsidRPr="007E4CDA">
        <w:rPr>
          <w:rStyle w:val="Strong"/>
          <w:sz w:val="24"/>
        </w:rPr>
        <w:t>Plan of the school</w:t>
      </w:r>
    </w:p>
    <w:p w14:paraId="71589EAD" w14:textId="77777777" w:rsidR="003518BD" w:rsidRPr="007E4CDA" w:rsidRDefault="003518BD" w:rsidP="009731C9">
      <w:pPr>
        <w:pStyle w:val="Bullet1"/>
        <w:spacing w:after="240"/>
        <w:ind w:left="714" w:hanging="357"/>
        <w:rPr>
          <w:rStyle w:val="Strong"/>
          <w:sz w:val="24"/>
        </w:rPr>
      </w:pPr>
      <w:r w:rsidRPr="007E4CDA">
        <w:rPr>
          <w:rStyle w:val="Strong"/>
          <w:sz w:val="24"/>
        </w:rPr>
        <w:t>Organisational chart – photos of key personnel are helpful</w:t>
      </w:r>
    </w:p>
    <w:p w14:paraId="6FCC3992" w14:textId="77777777" w:rsidR="003518BD" w:rsidRPr="007E4CDA" w:rsidRDefault="003518BD" w:rsidP="009731C9">
      <w:pPr>
        <w:pStyle w:val="Bullet1"/>
        <w:spacing w:after="240"/>
        <w:ind w:left="714" w:hanging="357"/>
        <w:rPr>
          <w:rStyle w:val="Strong"/>
          <w:sz w:val="24"/>
        </w:rPr>
      </w:pPr>
      <w:r w:rsidRPr="007E4CDA">
        <w:rPr>
          <w:rStyle w:val="Strong"/>
          <w:sz w:val="24"/>
        </w:rPr>
        <w:t>School structures – key committees and decision-making</w:t>
      </w:r>
    </w:p>
    <w:p w14:paraId="08C99772" w14:textId="77777777" w:rsidR="003518BD" w:rsidRPr="007E4CDA" w:rsidRDefault="003518BD" w:rsidP="009731C9">
      <w:pPr>
        <w:pStyle w:val="Bullet1"/>
        <w:spacing w:after="240"/>
        <w:ind w:left="714" w:hanging="357"/>
        <w:rPr>
          <w:rStyle w:val="Strong"/>
          <w:sz w:val="24"/>
        </w:rPr>
      </w:pPr>
      <w:r w:rsidRPr="007E4CDA">
        <w:rPr>
          <w:rStyle w:val="Strong"/>
          <w:sz w:val="24"/>
        </w:rPr>
        <w:lastRenderedPageBreak/>
        <w:t>Staff list and roles</w:t>
      </w:r>
    </w:p>
    <w:p w14:paraId="38C39834" w14:textId="77777777" w:rsidR="003518BD" w:rsidRPr="007E4CDA" w:rsidRDefault="003518BD" w:rsidP="009731C9">
      <w:pPr>
        <w:pStyle w:val="Bullet1"/>
        <w:spacing w:after="240"/>
        <w:ind w:left="714" w:hanging="357"/>
        <w:rPr>
          <w:rStyle w:val="Strong"/>
          <w:sz w:val="24"/>
        </w:rPr>
      </w:pPr>
      <w:r w:rsidRPr="007E4CDA">
        <w:rPr>
          <w:rStyle w:val="Strong"/>
          <w:sz w:val="24"/>
        </w:rPr>
        <w:t>Calendar of school events and holiday dates</w:t>
      </w:r>
    </w:p>
    <w:p w14:paraId="157BFE6B" w14:textId="2358523A" w:rsidR="003518BD" w:rsidRPr="007E4CDA" w:rsidRDefault="003518BD" w:rsidP="009731C9">
      <w:pPr>
        <w:pStyle w:val="Bullet1"/>
        <w:spacing w:after="240"/>
        <w:ind w:left="714" w:hanging="357"/>
        <w:rPr>
          <w:rStyle w:val="Strong"/>
          <w:sz w:val="24"/>
        </w:rPr>
      </w:pPr>
      <w:r w:rsidRPr="007E4CDA">
        <w:rPr>
          <w:rStyle w:val="Strong"/>
          <w:sz w:val="24"/>
        </w:rPr>
        <w:t>Daily routines including arrival and departure times, bell times, staff meetings, photocopying, keys/access cards, wet day timetable, yard duty, lunch orders, kitchen duty, absence process</w:t>
      </w:r>
    </w:p>
    <w:p w14:paraId="0E572F73" w14:textId="2A2DA672" w:rsidR="003518BD" w:rsidRDefault="00AE4E80" w:rsidP="00AE4E80">
      <w:pPr>
        <w:pStyle w:val="Heading1"/>
        <w:rPr>
          <w:lang w:val="en-AU"/>
        </w:rPr>
      </w:pPr>
      <w:bookmarkStart w:id="68" w:name="_Toc2864120"/>
      <w:r w:rsidRPr="00AE4E80">
        <w:rPr>
          <w:lang w:val="en-AU"/>
        </w:rPr>
        <w:t>Appendix 3 – Key resources</w:t>
      </w:r>
      <w:bookmarkEnd w:id="68"/>
    </w:p>
    <w:p w14:paraId="4FCE2E75" w14:textId="77777777" w:rsidR="00AE4E80" w:rsidRPr="00AE4E80" w:rsidRDefault="00AE4E80" w:rsidP="00AE4E80">
      <w:pPr>
        <w:pStyle w:val="Heading2"/>
        <w:rPr>
          <w:lang w:val="en-AU"/>
        </w:rPr>
      </w:pPr>
      <w:bookmarkStart w:id="69" w:name="_Toc2864121"/>
      <w:r w:rsidRPr="00AE4E80">
        <w:rPr>
          <w:lang w:val="en-AU"/>
        </w:rPr>
        <w:t>Victorian Curriculum and Assessment Authority</w:t>
      </w:r>
      <w:bookmarkEnd w:id="69"/>
    </w:p>
    <w:p w14:paraId="33D92C5A" w14:textId="77777777" w:rsidR="00AE4E80" w:rsidRPr="00831496" w:rsidRDefault="00AE4E80" w:rsidP="009731C9">
      <w:pPr>
        <w:spacing w:after="200"/>
        <w:rPr>
          <w:sz w:val="24"/>
          <w:lang w:val="en-AU"/>
        </w:rPr>
      </w:pPr>
      <w:r w:rsidRPr="00831496">
        <w:rPr>
          <w:sz w:val="24"/>
          <w:lang w:val="en-AU"/>
        </w:rPr>
        <w:t xml:space="preserve">The Victorian Curriculum and Assessment Authority (VCAA) provides high-quality curriculum, </w:t>
      </w:r>
      <w:r w:rsidRPr="00831496">
        <w:rPr>
          <w:sz w:val="24"/>
          <w:lang w:val="en-AU" w:eastAsia="en-AU"/>
        </w:rPr>
        <w:t>assessment</w:t>
      </w:r>
      <w:r w:rsidRPr="00831496">
        <w:rPr>
          <w:sz w:val="24"/>
          <w:lang w:val="en-AU"/>
        </w:rPr>
        <w:t xml:space="preserve"> and reporting advice for all Victorian students. </w:t>
      </w:r>
    </w:p>
    <w:p w14:paraId="2D87371D" w14:textId="77777777" w:rsidR="00AE4E80" w:rsidRPr="00831496" w:rsidRDefault="00AE4E80" w:rsidP="009731C9">
      <w:pPr>
        <w:spacing w:after="200"/>
        <w:rPr>
          <w:sz w:val="24"/>
          <w:lang w:val="en-AU"/>
        </w:rPr>
      </w:pPr>
      <w:r w:rsidRPr="00831496">
        <w:rPr>
          <w:sz w:val="24"/>
          <w:lang w:val="en-AU"/>
        </w:rPr>
        <w:t xml:space="preserve">Engagement with the </w:t>
      </w:r>
      <w:r w:rsidRPr="00831496">
        <w:rPr>
          <w:sz w:val="24"/>
          <w:lang w:val="en-AU" w:eastAsia="en-AU"/>
        </w:rPr>
        <w:t>resources</w:t>
      </w:r>
      <w:r w:rsidRPr="00831496">
        <w:rPr>
          <w:sz w:val="24"/>
          <w:lang w:val="en-AU"/>
        </w:rPr>
        <w:t xml:space="preserve"> will depend on the learning area and level being taught. </w:t>
      </w:r>
    </w:p>
    <w:p w14:paraId="375A12C7" w14:textId="77777777" w:rsidR="00AE4E80" w:rsidRPr="00831496" w:rsidRDefault="00AE4E80" w:rsidP="009731C9">
      <w:pPr>
        <w:spacing w:after="200"/>
        <w:rPr>
          <w:sz w:val="24"/>
          <w:lang w:val="en-AU"/>
        </w:rPr>
      </w:pPr>
      <w:r w:rsidRPr="00831496">
        <w:rPr>
          <w:sz w:val="24"/>
          <w:lang w:val="en-AU"/>
        </w:rPr>
        <w:t>The following links will provide graduate teachers with further information regarding:</w:t>
      </w:r>
    </w:p>
    <w:p w14:paraId="158F1B76" w14:textId="02994A02" w:rsidR="00AE4E80" w:rsidRDefault="00AE4E80" w:rsidP="00AE4E80">
      <w:pPr>
        <w:pStyle w:val="Bullet1"/>
        <w:rPr>
          <w:sz w:val="24"/>
        </w:rPr>
      </w:pPr>
      <w:r w:rsidRPr="00831496">
        <w:rPr>
          <w:sz w:val="24"/>
        </w:rPr>
        <w:t xml:space="preserve">Victorian Early Years Learning and Development Framework (VEYLDF) - </w:t>
      </w:r>
      <w:hyperlink r:id="rId112" w:history="1">
        <w:r w:rsidR="00D1104C" w:rsidRPr="005C0CA1">
          <w:rPr>
            <w:rStyle w:val="Hyperlink"/>
            <w:sz w:val="24"/>
          </w:rPr>
          <w:t>https://www.vcaa.vic.edu.au/Pages/earlyyears/index.aspx</w:t>
        </w:r>
      </w:hyperlink>
    </w:p>
    <w:p w14:paraId="2E1D3611" w14:textId="34CE63EC" w:rsidR="00AE4E80" w:rsidRDefault="00AE4E80" w:rsidP="00AE4E80">
      <w:pPr>
        <w:pStyle w:val="Bullet1"/>
        <w:rPr>
          <w:sz w:val="24"/>
        </w:rPr>
      </w:pPr>
      <w:r w:rsidRPr="00831496">
        <w:rPr>
          <w:sz w:val="24"/>
        </w:rPr>
        <w:t xml:space="preserve">Victorian Curriculum F-10 - </w:t>
      </w:r>
      <w:hyperlink r:id="rId113" w:history="1">
        <w:r w:rsidR="00D1104C" w:rsidRPr="005C0CA1">
          <w:rPr>
            <w:rStyle w:val="Hyperlink"/>
            <w:sz w:val="24"/>
          </w:rPr>
          <w:t>https://www.vcaa.vic.edu.au/pages/foundation10/f10index.aspx</w:t>
        </w:r>
      </w:hyperlink>
    </w:p>
    <w:p w14:paraId="31AFE67F" w14:textId="4397575C" w:rsidR="00AE4E80" w:rsidRDefault="00AE4E80" w:rsidP="00AE4E80">
      <w:pPr>
        <w:pStyle w:val="Bullet1"/>
        <w:rPr>
          <w:sz w:val="24"/>
        </w:rPr>
      </w:pPr>
      <w:r w:rsidRPr="00831496">
        <w:rPr>
          <w:sz w:val="24"/>
        </w:rPr>
        <w:t xml:space="preserve">National Assessment Program Literacy and Numeracy (NAPLAN) - </w:t>
      </w:r>
      <w:hyperlink r:id="rId114" w:history="1">
        <w:r w:rsidR="00D1104C" w:rsidRPr="005C0CA1">
          <w:rPr>
            <w:rStyle w:val="Hyperlink"/>
            <w:sz w:val="24"/>
          </w:rPr>
          <w:t>https://www.vcaa.vic.edu.au/Pages/prep10/naplan/index.aspx</w:t>
        </w:r>
      </w:hyperlink>
    </w:p>
    <w:p w14:paraId="442A5214" w14:textId="23077816" w:rsidR="00AE4E80" w:rsidRDefault="00AE4E80" w:rsidP="00AE4E80">
      <w:pPr>
        <w:pStyle w:val="Bullet1"/>
        <w:rPr>
          <w:sz w:val="24"/>
        </w:rPr>
      </w:pPr>
      <w:r w:rsidRPr="00831496">
        <w:rPr>
          <w:sz w:val="24"/>
        </w:rPr>
        <w:t xml:space="preserve">Victorian Certificate of Education (VCE) - </w:t>
      </w:r>
      <w:hyperlink r:id="rId115" w:history="1">
        <w:r w:rsidR="00D1104C" w:rsidRPr="005C0CA1">
          <w:rPr>
            <w:rStyle w:val="Hyperlink"/>
            <w:sz w:val="24"/>
          </w:rPr>
          <w:t>https://www.vcaa.vic.edu.au/Pages/vce/index.aspx</w:t>
        </w:r>
      </w:hyperlink>
    </w:p>
    <w:p w14:paraId="269BAF18" w14:textId="1F71BEC0" w:rsidR="00AE4E80" w:rsidRDefault="00AE4E80" w:rsidP="00AE4E80">
      <w:pPr>
        <w:pStyle w:val="Bullet1"/>
        <w:rPr>
          <w:sz w:val="24"/>
        </w:rPr>
      </w:pPr>
      <w:r w:rsidRPr="00831496">
        <w:rPr>
          <w:sz w:val="24"/>
        </w:rPr>
        <w:t xml:space="preserve">Victorian Certificate of Applied Learning (VCAL) - </w:t>
      </w:r>
      <w:hyperlink r:id="rId116" w:history="1">
        <w:r w:rsidR="00D1104C" w:rsidRPr="005C0CA1">
          <w:rPr>
            <w:rStyle w:val="Hyperlink"/>
            <w:sz w:val="24"/>
          </w:rPr>
          <w:t>https://www.vcaa.vic.edu.au/Pages/vcal/index.aspx</w:t>
        </w:r>
      </w:hyperlink>
    </w:p>
    <w:p w14:paraId="25507121" w14:textId="44C76E59" w:rsidR="00AE4E80" w:rsidRPr="00831496" w:rsidRDefault="00AE4E80" w:rsidP="00AE4E80">
      <w:pPr>
        <w:rPr>
          <w:sz w:val="24"/>
          <w:lang w:val="en-AU"/>
        </w:rPr>
      </w:pPr>
      <w:r w:rsidRPr="00831496">
        <w:rPr>
          <w:sz w:val="24"/>
          <w:lang w:val="en-AU"/>
        </w:rPr>
        <w:t xml:space="preserve">The VCAA also implements Vocational Education and Training (VET) opportunities for senior secondary students and celebrate student achievement through excellence and awards programs, such as the </w:t>
      </w:r>
      <w:hyperlink r:id="rId117" w:history="1">
        <w:r w:rsidRPr="00D1104C">
          <w:rPr>
            <w:rStyle w:val="Hyperlink"/>
            <w:sz w:val="24"/>
            <w:lang w:val="en-AU"/>
          </w:rPr>
          <w:t>Season of Excellence</w:t>
        </w:r>
      </w:hyperlink>
      <w:r w:rsidRPr="00D1104C">
        <w:rPr>
          <w:sz w:val="24"/>
          <w:lang w:val="en-AU"/>
        </w:rPr>
        <w:t>.</w:t>
      </w:r>
    </w:p>
    <w:p w14:paraId="0C5395EE" w14:textId="77777777" w:rsidR="00AE4E80" w:rsidRPr="00AE4E80" w:rsidRDefault="00AE4E80" w:rsidP="00AE4E80">
      <w:pPr>
        <w:pStyle w:val="Heading2"/>
        <w:rPr>
          <w:lang w:val="en-AU"/>
        </w:rPr>
      </w:pPr>
      <w:bookmarkStart w:id="70" w:name="_Toc2864122"/>
      <w:r w:rsidRPr="00AE4E80">
        <w:rPr>
          <w:lang w:val="en-AU"/>
        </w:rPr>
        <w:t>Marrung: Aboriginal Action Plan 2016 – 2026</w:t>
      </w:r>
      <w:bookmarkEnd w:id="70"/>
    </w:p>
    <w:p w14:paraId="7DAB853A" w14:textId="57CC378B" w:rsidR="00AE4E80" w:rsidRPr="00831496" w:rsidRDefault="00397B05" w:rsidP="009731C9">
      <w:pPr>
        <w:spacing w:after="200"/>
        <w:rPr>
          <w:sz w:val="24"/>
          <w:lang w:val="en-AU" w:eastAsia="en-AU"/>
        </w:rPr>
      </w:pPr>
      <w:hyperlink r:id="rId118" w:history="1">
        <w:proofErr w:type="spellStart"/>
        <w:r w:rsidR="00AE4E80" w:rsidRPr="00D1104C">
          <w:rPr>
            <w:rStyle w:val="Hyperlink"/>
            <w:sz w:val="24"/>
            <w:lang w:val="en-AU" w:eastAsia="en-AU"/>
          </w:rPr>
          <w:t>Marrung</w:t>
        </w:r>
        <w:proofErr w:type="spellEnd"/>
      </w:hyperlink>
      <w:r w:rsidR="00AE4E80" w:rsidRPr="00831496">
        <w:rPr>
          <w:sz w:val="24"/>
          <w:lang w:val="en-AU" w:eastAsia="en-AU"/>
        </w:rPr>
        <w:t xml:space="preserve"> is Victoria’s 10 year plan to ensure that all </w:t>
      </w:r>
      <w:proofErr w:type="spellStart"/>
      <w:r w:rsidR="00AE4E80" w:rsidRPr="00831496">
        <w:rPr>
          <w:sz w:val="24"/>
          <w:lang w:val="en-AU" w:eastAsia="en-AU"/>
        </w:rPr>
        <w:t>Koorie</w:t>
      </w:r>
      <w:proofErr w:type="spellEnd"/>
      <w:r w:rsidR="00AE4E80" w:rsidRPr="00831496">
        <w:rPr>
          <w:sz w:val="24"/>
          <w:lang w:val="en-AU" w:eastAsia="en-AU"/>
        </w:rPr>
        <w:t xml:space="preserve"> Victorians achieve their learning aspirations. This plan demonstrates the Victorian Government’s strong commitment to improving performance and success of </w:t>
      </w:r>
      <w:proofErr w:type="spellStart"/>
      <w:r w:rsidR="00AE4E80" w:rsidRPr="00831496">
        <w:rPr>
          <w:sz w:val="24"/>
          <w:lang w:val="en-AU" w:eastAsia="en-AU"/>
        </w:rPr>
        <w:t>Koorie</w:t>
      </w:r>
      <w:proofErr w:type="spellEnd"/>
      <w:r w:rsidR="00AE4E80" w:rsidRPr="00831496">
        <w:rPr>
          <w:sz w:val="24"/>
          <w:lang w:val="en-AU" w:eastAsia="en-AU"/>
        </w:rPr>
        <w:t xml:space="preserve"> learners and close the gap in </w:t>
      </w:r>
      <w:proofErr w:type="spellStart"/>
      <w:r w:rsidR="00AE4E80" w:rsidRPr="00831496">
        <w:rPr>
          <w:sz w:val="24"/>
          <w:lang w:val="en-AU" w:eastAsia="en-AU"/>
        </w:rPr>
        <w:t>Koorie</w:t>
      </w:r>
      <w:proofErr w:type="spellEnd"/>
      <w:r w:rsidR="00AE4E80" w:rsidRPr="00831496">
        <w:rPr>
          <w:sz w:val="24"/>
          <w:lang w:val="en-AU" w:eastAsia="en-AU"/>
        </w:rPr>
        <w:t xml:space="preserve"> education outcomes where these exist. </w:t>
      </w:r>
    </w:p>
    <w:p w14:paraId="382303FF" w14:textId="77777777" w:rsidR="00AE4E80" w:rsidRPr="00831496" w:rsidRDefault="00AE4E80" w:rsidP="009731C9">
      <w:pPr>
        <w:spacing w:after="200"/>
        <w:rPr>
          <w:sz w:val="24"/>
          <w:lang w:val="en-AU" w:eastAsia="en-AU"/>
        </w:rPr>
      </w:pPr>
      <w:proofErr w:type="spellStart"/>
      <w:r w:rsidRPr="00831496">
        <w:rPr>
          <w:sz w:val="24"/>
          <w:lang w:val="en-AU" w:eastAsia="en-AU"/>
        </w:rPr>
        <w:t>Marrung</w:t>
      </w:r>
      <w:proofErr w:type="spellEnd"/>
      <w:r w:rsidRPr="00831496">
        <w:rPr>
          <w:sz w:val="24"/>
          <w:lang w:val="en-AU" w:eastAsia="en-AU"/>
        </w:rPr>
        <w:t xml:space="preserve"> acknowledges that learning outcomes for all </w:t>
      </w:r>
      <w:proofErr w:type="spellStart"/>
      <w:r w:rsidRPr="00831496">
        <w:rPr>
          <w:sz w:val="24"/>
          <w:lang w:val="en-AU" w:eastAsia="en-AU"/>
        </w:rPr>
        <w:t>Koorie</w:t>
      </w:r>
      <w:proofErr w:type="spellEnd"/>
      <w:r w:rsidRPr="00831496">
        <w:rPr>
          <w:sz w:val="24"/>
          <w:lang w:val="en-AU" w:eastAsia="en-AU"/>
        </w:rPr>
        <w:t xml:space="preserve"> learners are greatly improved through strong partnerships and connections to and with student families and communities. Success can be linked to culturally supportive and responsive learning environments from early childhood, through to school and higher education and training.</w:t>
      </w:r>
    </w:p>
    <w:p w14:paraId="325D2647" w14:textId="77777777" w:rsidR="00AE4E80" w:rsidRPr="00831496" w:rsidRDefault="00AE4E80" w:rsidP="009731C9">
      <w:pPr>
        <w:spacing w:after="200"/>
        <w:rPr>
          <w:sz w:val="24"/>
          <w:lang w:val="en-AU" w:eastAsia="en-AU"/>
        </w:rPr>
      </w:pPr>
      <w:proofErr w:type="spellStart"/>
      <w:r w:rsidRPr="00831496">
        <w:rPr>
          <w:sz w:val="24"/>
          <w:lang w:val="en-AU" w:eastAsia="en-AU"/>
        </w:rPr>
        <w:t>Marrung</w:t>
      </w:r>
      <w:proofErr w:type="spellEnd"/>
      <w:r w:rsidRPr="00831496">
        <w:rPr>
          <w:sz w:val="24"/>
          <w:lang w:val="en-AU" w:eastAsia="en-AU"/>
        </w:rPr>
        <w:t xml:space="preserve"> highlights specific actions to support the learning and development of </w:t>
      </w:r>
      <w:proofErr w:type="spellStart"/>
      <w:r w:rsidRPr="00831496">
        <w:rPr>
          <w:sz w:val="24"/>
          <w:lang w:val="en-AU" w:eastAsia="en-AU"/>
        </w:rPr>
        <w:t>Koorie</w:t>
      </w:r>
      <w:proofErr w:type="spellEnd"/>
      <w:r w:rsidRPr="00831496">
        <w:rPr>
          <w:sz w:val="24"/>
          <w:lang w:val="en-AU" w:eastAsia="en-AU"/>
        </w:rPr>
        <w:t xml:space="preserve"> students in Victoria that will assist all educators.</w:t>
      </w:r>
    </w:p>
    <w:p w14:paraId="3A924710" w14:textId="77777777" w:rsidR="00AE4E80" w:rsidRPr="00831496" w:rsidRDefault="00AE4E80" w:rsidP="009731C9">
      <w:pPr>
        <w:spacing w:after="200"/>
        <w:rPr>
          <w:sz w:val="24"/>
          <w:lang w:val="en-AU" w:eastAsia="en-AU"/>
        </w:rPr>
      </w:pPr>
      <w:r w:rsidRPr="00831496">
        <w:rPr>
          <w:sz w:val="24"/>
          <w:lang w:val="en-AU" w:eastAsia="en-AU"/>
        </w:rPr>
        <w:lastRenderedPageBreak/>
        <w:t>The Department of Education and Training’s (the Department) Learning Places operating model facilitates stronger, place-based supports. Multidisciplinary teams will facilitate local networks and develop relationships and partnerships to support successful transitions across services, and encourage collective responsibility for all learners in the community.</w:t>
      </w:r>
    </w:p>
    <w:p w14:paraId="71FD06DC" w14:textId="25D0EEB9" w:rsidR="00AE4E80" w:rsidRDefault="00AE4E80" w:rsidP="009731C9">
      <w:pPr>
        <w:spacing w:after="200"/>
        <w:rPr>
          <w:lang w:val="en-AU"/>
        </w:rPr>
      </w:pPr>
      <w:r w:rsidRPr="00831496">
        <w:rPr>
          <w:sz w:val="24"/>
          <w:lang w:val="en-AU"/>
        </w:rPr>
        <w:t xml:space="preserve">For further information see: </w:t>
      </w:r>
      <w:hyperlink r:id="rId119" w:history="1">
        <w:r w:rsidRPr="00831496">
          <w:rPr>
            <w:rStyle w:val="Hyperlink"/>
            <w:sz w:val="24"/>
            <w:lang w:val="en-AU"/>
          </w:rPr>
          <w:t>https://www.education.vic.gov.au/about/programs/Pages/marrung.aspx</w:t>
        </w:r>
      </w:hyperlink>
    </w:p>
    <w:p w14:paraId="6C87E835" w14:textId="77777777" w:rsidR="00AE4E80" w:rsidRPr="00AE4E80" w:rsidRDefault="00AE4E80" w:rsidP="00AE4E80">
      <w:pPr>
        <w:pStyle w:val="Heading2"/>
        <w:rPr>
          <w:lang w:val="en-AU"/>
        </w:rPr>
      </w:pPr>
      <w:bookmarkStart w:id="71" w:name="_Toc2864123"/>
      <w:r w:rsidRPr="00AE4E80">
        <w:rPr>
          <w:lang w:val="en-AU"/>
        </w:rPr>
        <w:t>Framework for Improving Student Outcomes (FISO)</w:t>
      </w:r>
      <w:bookmarkEnd w:id="71"/>
    </w:p>
    <w:p w14:paraId="34E43D21" w14:textId="77777777" w:rsidR="00AE4E80" w:rsidRPr="00831496" w:rsidRDefault="00AE4E80" w:rsidP="009731C9">
      <w:pPr>
        <w:spacing w:after="200"/>
        <w:rPr>
          <w:sz w:val="24"/>
          <w:lang w:val="en-AU"/>
        </w:rPr>
      </w:pPr>
      <w:r w:rsidRPr="00831496">
        <w:rPr>
          <w:sz w:val="24"/>
          <w:lang w:val="en-AU"/>
        </w:rPr>
        <w:t xml:space="preserve">The Framework for Improving Student Outcomes (FISO) has been developed to help us work together to focus efforts on key areas that are known to have the greatest impact on school </w:t>
      </w:r>
      <w:r w:rsidRPr="00831496">
        <w:rPr>
          <w:sz w:val="24"/>
          <w:lang w:val="en-AU" w:eastAsia="en-AU"/>
        </w:rPr>
        <w:t>improvement</w:t>
      </w:r>
      <w:r w:rsidRPr="00831496">
        <w:rPr>
          <w:sz w:val="24"/>
          <w:lang w:val="en-AU"/>
        </w:rPr>
        <w:t xml:space="preserve"> and student learning outcomes. </w:t>
      </w:r>
    </w:p>
    <w:p w14:paraId="3309E8D7" w14:textId="77777777" w:rsidR="00AE4E80" w:rsidRPr="00831496" w:rsidRDefault="00AE4E80" w:rsidP="009731C9">
      <w:pPr>
        <w:spacing w:after="200"/>
        <w:rPr>
          <w:sz w:val="24"/>
          <w:lang w:val="en-AU"/>
        </w:rPr>
      </w:pPr>
      <w:r w:rsidRPr="00831496">
        <w:rPr>
          <w:sz w:val="24"/>
          <w:lang w:val="en-AU"/>
        </w:rPr>
        <w:t xml:space="preserve">The key </w:t>
      </w:r>
      <w:r w:rsidRPr="00831496">
        <w:rPr>
          <w:sz w:val="24"/>
          <w:lang w:val="en-AU" w:eastAsia="en-AU"/>
        </w:rPr>
        <w:t>elements</w:t>
      </w:r>
      <w:r w:rsidRPr="00831496">
        <w:rPr>
          <w:sz w:val="24"/>
          <w:lang w:val="en-AU"/>
        </w:rPr>
        <w:t xml:space="preserve"> of FISO are:</w:t>
      </w:r>
    </w:p>
    <w:p w14:paraId="1E364F62" w14:textId="43C4FFD3" w:rsidR="00AE4E80" w:rsidRPr="00831496" w:rsidRDefault="00AE4E80" w:rsidP="00AE4E80">
      <w:pPr>
        <w:pStyle w:val="Bullet1"/>
        <w:rPr>
          <w:sz w:val="24"/>
        </w:rPr>
      </w:pPr>
      <w:r w:rsidRPr="00831496">
        <w:rPr>
          <w:sz w:val="24"/>
        </w:rPr>
        <w:t xml:space="preserve">an </w:t>
      </w:r>
      <w:hyperlink r:id="rId120" w:history="1">
        <w:r w:rsidRPr="00D1104C">
          <w:rPr>
            <w:rStyle w:val="Hyperlink"/>
            <w:sz w:val="24"/>
          </w:rPr>
          <w:t>Improvement Cycle</w:t>
        </w:r>
      </w:hyperlink>
      <w:r w:rsidRPr="00831496">
        <w:rPr>
          <w:sz w:val="24"/>
        </w:rPr>
        <w:t xml:space="preserve"> for continuous improvement</w:t>
      </w:r>
    </w:p>
    <w:p w14:paraId="24901CD3" w14:textId="66F04E68" w:rsidR="00AE4E80" w:rsidRPr="00831496" w:rsidRDefault="00AE4E80" w:rsidP="00AE4E80">
      <w:pPr>
        <w:pStyle w:val="Bullet1"/>
        <w:rPr>
          <w:sz w:val="24"/>
        </w:rPr>
      </w:pPr>
      <w:r w:rsidRPr="00831496">
        <w:rPr>
          <w:sz w:val="24"/>
        </w:rPr>
        <w:t xml:space="preserve">an </w:t>
      </w:r>
      <w:hyperlink r:id="rId121" w:history="1">
        <w:r w:rsidRPr="00D1104C">
          <w:rPr>
            <w:rStyle w:val="Hyperlink"/>
            <w:sz w:val="24"/>
          </w:rPr>
          <w:t>Improvement Model</w:t>
        </w:r>
      </w:hyperlink>
      <w:r w:rsidRPr="00831496">
        <w:rPr>
          <w:sz w:val="24"/>
        </w:rPr>
        <w:t xml:space="preserve"> with four state-wide priorities, including six high-impact, evidence-based improvement initiatives to focus effort</w:t>
      </w:r>
    </w:p>
    <w:p w14:paraId="47AE834C" w14:textId="57CCAC5F" w:rsidR="00AE4E80" w:rsidRPr="00831496" w:rsidRDefault="00397B05" w:rsidP="00AE4E80">
      <w:pPr>
        <w:pStyle w:val="Bullet1"/>
        <w:rPr>
          <w:sz w:val="24"/>
        </w:rPr>
      </w:pPr>
      <w:hyperlink r:id="rId122" w:history="1">
        <w:r w:rsidR="00AE4E80" w:rsidRPr="00D1104C">
          <w:rPr>
            <w:rStyle w:val="Hyperlink"/>
            <w:sz w:val="24"/>
          </w:rPr>
          <w:t>Improvement Measures</w:t>
        </w:r>
      </w:hyperlink>
      <w:r w:rsidR="00AE4E80" w:rsidRPr="00831496">
        <w:rPr>
          <w:sz w:val="24"/>
        </w:rPr>
        <w:t xml:space="preserve"> to enable us to measure our success.</w:t>
      </w:r>
    </w:p>
    <w:p w14:paraId="698D7C3D" w14:textId="77777777" w:rsidR="00AE4E80" w:rsidRPr="00831496" w:rsidRDefault="00AE4E80" w:rsidP="009731C9">
      <w:pPr>
        <w:spacing w:after="200"/>
        <w:rPr>
          <w:sz w:val="24"/>
          <w:lang w:val="en-AU"/>
        </w:rPr>
      </w:pPr>
      <w:r w:rsidRPr="00831496">
        <w:rPr>
          <w:sz w:val="24"/>
          <w:lang w:val="en-AU"/>
        </w:rPr>
        <w:t xml:space="preserve">As an </w:t>
      </w:r>
      <w:r w:rsidRPr="00831496">
        <w:rPr>
          <w:sz w:val="24"/>
          <w:lang w:val="en-AU" w:eastAsia="en-AU"/>
        </w:rPr>
        <w:t>evidence</w:t>
      </w:r>
      <w:r w:rsidRPr="00831496">
        <w:rPr>
          <w:sz w:val="24"/>
          <w:lang w:val="en-AU"/>
        </w:rPr>
        <w:t>-</w:t>
      </w:r>
      <w:r w:rsidRPr="00831496">
        <w:rPr>
          <w:sz w:val="24"/>
          <w:lang w:val="en-AU" w:eastAsia="en-AU"/>
        </w:rPr>
        <w:t>based</w:t>
      </w:r>
      <w:r w:rsidRPr="00831496">
        <w:rPr>
          <w:sz w:val="24"/>
          <w:lang w:val="en-AU"/>
        </w:rPr>
        <w:t>, practical resource, FISO helps schools to implement four state-wide school improvement priorities:</w:t>
      </w:r>
    </w:p>
    <w:p w14:paraId="73E4183C" w14:textId="14F10544" w:rsidR="00AE4E80" w:rsidRPr="00831496" w:rsidRDefault="00AE4E80" w:rsidP="00AE4E80">
      <w:pPr>
        <w:pStyle w:val="Bullet1"/>
        <w:rPr>
          <w:sz w:val="24"/>
        </w:rPr>
      </w:pPr>
      <w:r w:rsidRPr="00831496">
        <w:rPr>
          <w:sz w:val="24"/>
        </w:rPr>
        <w:t>Excellence in teaching and learning</w:t>
      </w:r>
    </w:p>
    <w:p w14:paraId="10829B1A" w14:textId="70FE7243" w:rsidR="00AE4E80" w:rsidRPr="00831496" w:rsidRDefault="00AE4E80" w:rsidP="00AE4E80">
      <w:pPr>
        <w:pStyle w:val="Bullet1"/>
        <w:rPr>
          <w:sz w:val="24"/>
        </w:rPr>
      </w:pPr>
      <w:r w:rsidRPr="00831496">
        <w:rPr>
          <w:sz w:val="24"/>
        </w:rPr>
        <w:t>Positive climate for learning</w:t>
      </w:r>
    </w:p>
    <w:p w14:paraId="7D84FE19" w14:textId="1A9E5965" w:rsidR="00AE4E80" w:rsidRPr="00831496" w:rsidRDefault="00AE4E80" w:rsidP="00AE4E80">
      <w:pPr>
        <w:pStyle w:val="Bullet1"/>
        <w:rPr>
          <w:sz w:val="24"/>
        </w:rPr>
      </w:pPr>
      <w:r w:rsidRPr="00831496">
        <w:rPr>
          <w:sz w:val="24"/>
        </w:rPr>
        <w:t>Community engagement in learning</w:t>
      </w:r>
    </w:p>
    <w:p w14:paraId="7214F41F" w14:textId="789D3E14" w:rsidR="00AE4E80" w:rsidRPr="00831496" w:rsidRDefault="00AE4E80" w:rsidP="00AE4E80">
      <w:pPr>
        <w:pStyle w:val="Bullet1"/>
        <w:rPr>
          <w:sz w:val="24"/>
        </w:rPr>
      </w:pPr>
      <w:r w:rsidRPr="00831496">
        <w:rPr>
          <w:sz w:val="24"/>
        </w:rPr>
        <w:t>Professional leadership.</w:t>
      </w:r>
    </w:p>
    <w:p w14:paraId="26BC9F0C" w14:textId="77777777" w:rsidR="00AE4E80" w:rsidRPr="00831496" w:rsidRDefault="00AE4E80" w:rsidP="009731C9">
      <w:pPr>
        <w:spacing w:after="200"/>
        <w:rPr>
          <w:sz w:val="24"/>
          <w:lang w:val="en-AU"/>
        </w:rPr>
      </w:pPr>
      <w:r w:rsidRPr="00831496">
        <w:rPr>
          <w:sz w:val="24"/>
          <w:lang w:val="en-AU"/>
        </w:rPr>
        <w:t>Schools select and focus on one or two improvement initiatives, monitor their progress and evaluate the impact on student outcomes. Using FISO, each school develops a four-year School Strategic Plan (SSP), develops an Annual Implementation Plan (AIP) and undertakes an annual review.</w:t>
      </w:r>
    </w:p>
    <w:p w14:paraId="53A1C47A" w14:textId="5E36A3FC" w:rsidR="00AE4E80" w:rsidRPr="00831496" w:rsidRDefault="00AE4E80" w:rsidP="009731C9">
      <w:pPr>
        <w:spacing w:after="200"/>
        <w:rPr>
          <w:sz w:val="24"/>
          <w:lang w:val="en-AU"/>
        </w:rPr>
      </w:pPr>
      <w:r w:rsidRPr="00831496">
        <w:rPr>
          <w:sz w:val="24"/>
          <w:lang w:val="en-AU"/>
        </w:rPr>
        <w:t xml:space="preserve">For </w:t>
      </w:r>
      <w:r w:rsidRPr="00831496">
        <w:rPr>
          <w:sz w:val="24"/>
          <w:lang w:val="en-AU" w:eastAsia="en-AU"/>
        </w:rPr>
        <w:t>further</w:t>
      </w:r>
      <w:r w:rsidRPr="00831496">
        <w:rPr>
          <w:sz w:val="24"/>
          <w:lang w:val="en-AU"/>
        </w:rPr>
        <w:t xml:space="preserve"> information see: </w:t>
      </w:r>
      <w:hyperlink r:id="rId123" w:history="1">
        <w:r w:rsidRPr="00831496">
          <w:rPr>
            <w:rStyle w:val="Hyperlink"/>
            <w:sz w:val="24"/>
            <w:lang w:val="en-AU"/>
          </w:rPr>
          <w:t>https://www.education.vic.gov.au/school/teachers/management/improvement/Pages/FISO.aspx</w:t>
        </w:r>
      </w:hyperlink>
    </w:p>
    <w:p w14:paraId="3CF7DD18" w14:textId="00F0826A" w:rsidR="00AE4E80" w:rsidRPr="00AE4E80" w:rsidRDefault="0098200E" w:rsidP="009D64B6">
      <w:pPr>
        <w:pStyle w:val="Heading2"/>
        <w:rPr>
          <w:lang w:val="en-AU"/>
        </w:rPr>
      </w:pPr>
      <w:bookmarkStart w:id="72" w:name="_Toc2864124"/>
      <w:r>
        <w:rPr>
          <w:noProof/>
          <w:lang w:val="en-AU" w:eastAsia="en-AU"/>
        </w:rPr>
        <w:lastRenderedPageBreak/>
        <w:drawing>
          <wp:anchor distT="0" distB="0" distL="114300" distR="114300" simplePos="0" relativeHeight="251664384" behindDoc="0" locked="0" layoutInCell="1" allowOverlap="1" wp14:anchorId="61DAE3F4" wp14:editId="5CB9F3F2">
            <wp:simplePos x="0" y="0"/>
            <wp:positionH relativeFrom="column">
              <wp:posOffset>3810</wp:posOffset>
            </wp:positionH>
            <wp:positionV relativeFrom="paragraph">
              <wp:posOffset>19050</wp:posOffset>
            </wp:positionV>
            <wp:extent cx="5562600" cy="5562600"/>
            <wp:effectExtent l="0" t="0" r="0" b="0"/>
            <wp:wrapTopAndBottom/>
            <wp:docPr id="2" name="Picture 2" descr="The key elements of the framework are: an Improvement Cycle for continuous improvement; an Improvement Model - with four state-wide priorities, including six high-impact, evidence-based improvement initiatives on which to focus effort; and Improvement Measures​ to enable us to measure ​our success." title="FISO Improvement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62600" cy="556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64B6">
        <w:rPr>
          <w:lang w:val="en-AU"/>
        </w:rPr>
        <w:t>L</w:t>
      </w:r>
      <w:r w:rsidR="00AE4E80" w:rsidRPr="00AE4E80">
        <w:rPr>
          <w:lang w:val="en-AU"/>
        </w:rPr>
        <w:t>iteracy and Numeracy Strategy</w:t>
      </w:r>
      <w:bookmarkEnd w:id="72"/>
    </w:p>
    <w:p w14:paraId="0BE9C66D" w14:textId="77777777" w:rsidR="00AE4E80" w:rsidRPr="00831496" w:rsidRDefault="00AE4E80" w:rsidP="009731C9">
      <w:pPr>
        <w:spacing w:after="200"/>
        <w:rPr>
          <w:sz w:val="24"/>
          <w:lang w:val="en-AU"/>
        </w:rPr>
      </w:pPr>
      <w:r w:rsidRPr="00831496">
        <w:rPr>
          <w:sz w:val="24"/>
          <w:lang w:val="en-AU"/>
        </w:rPr>
        <w:t xml:space="preserve">Literacy and Numeracy are the foundations for successful engagement in learning and lifelong achievement. The Literacy and Numeracy Strategy is Victoria’s plan to improve outcomes in these areas for all students, by prioritising literacy and numeracy across all schools and throughout the Department. </w:t>
      </w:r>
    </w:p>
    <w:p w14:paraId="226DFBDF" w14:textId="77777777" w:rsidR="00AE4E80" w:rsidRPr="00831496" w:rsidRDefault="00AE4E80" w:rsidP="009731C9">
      <w:pPr>
        <w:spacing w:after="200"/>
        <w:rPr>
          <w:sz w:val="24"/>
          <w:lang w:val="en-AU"/>
        </w:rPr>
      </w:pPr>
      <w:r w:rsidRPr="00831496">
        <w:rPr>
          <w:sz w:val="24"/>
          <w:lang w:val="en-AU"/>
        </w:rPr>
        <w:t xml:space="preserve">The Strategy ensures that teachers </w:t>
      </w:r>
      <w:r w:rsidRPr="00831496">
        <w:rPr>
          <w:sz w:val="24"/>
          <w:lang w:val="en-AU" w:eastAsia="en-AU"/>
        </w:rPr>
        <w:t>have</w:t>
      </w:r>
      <w:r w:rsidRPr="00831496">
        <w:rPr>
          <w:sz w:val="24"/>
          <w:lang w:val="en-AU"/>
        </w:rPr>
        <w:t xml:space="preserve"> access to support that will help them meet the learning needs of their students and to continuously improve their professional practice in the classroom. Supports include:</w:t>
      </w:r>
    </w:p>
    <w:p w14:paraId="70645D4B" w14:textId="1607D3C6" w:rsidR="00AE4E80" w:rsidRPr="00831496" w:rsidRDefault="00AE4E80" w:rsidP="00AE4E80">
      <w:pPr>
        <w:pStyle w:val="Bullet1"/>
        <w:rPr>
          <w:sz w:val="24"/>
        </w:rPr>
      </w:pPr>
      <w:r w:rsidRPr="00831496">
        <w:rPr>
          <w:sz w:val="24"/>
        </w:rPr>
        <w:t>access to practical, evidence-</w:t>
      </w:r>
      <w:r w:rsidRPr="00D1104C">
        <w:rPr>
          <w:sz w:val="24"/>
        </w:rPr>
        <w:t xml:space="preserve">based tools and resources encompassing curriculum, pedagogy and assessment, such as the </w:t>
      </w:r>
      <w:hyperlink r:id="rId124" w:history="1">
        <w:r w:rsidRPr="00D1104C">
          <w:rPr>
            <w:rStyle w:val="Hyperlink"/>
            <w:sz w:val="24"/>
          </w:rPr>
          <w:t>Victorian Literacy Portal</w:t>
        </w:r>
      </w:hyperlink>
      <w:r w:rsidRPr="00D1104C">
        <w:rPr>
          <w:sz w:val="24"/>
        </w:rPr>
        <w:t xml:space="preserve"> and the </w:t>
      </w:r>
      <w:hyperlink r:id="rId125" w:history="1">
        <w:r w:rsidRPr="00D1104C">
          <w:rPr>
            <w:rStyle w:val="Hyperlink"/>
            <w:sz w:val="24"/>
          </w:rPr>
          <w:t>Victorian Numeracy Portal</w:t>
        </w:r>
      </w:hyperlink>
      <w:r w:rsidRPr="00831496">
        <w:rPr>
          <w:sz w:val="24"/>
          <w:u w:val="single"/>
        </w:rPr>
        <w:t xml:space="preserve"> </w:t>
      </w:r>
    </w:p>
    <w:p w14:paraId="555C0ACB" w14:textId="7F2155E4" w:rsidR="00AE4E80" w:rsidRPr="00831496" w:rsidRDefault="00AE4E80" w:rsidP="00AE4E80">
      <w:pPr>
        <w:pStyle w:val="Bullet1"/>
        <w:rPr>
          <w:sz w:val="24"/>
        </w:rPr>
      </w:pPr>
      <w:proofErr w:type="gramStart"/>
      <w:r w:rsidRPr="00831496">
        <w:rPr>
          <w:sz w:val="24"/>
        </w:rPr>
        <w:t>access</w:t>
      </w:r>
      <w:proofErr w:type="gramEnd"/>
      <w:r w:rsidRPr="00831496">
        <w:rPr>
          <w:sz w:val="24"/>
        </w:rPr>
        <w:t xml:space="preserve"> to professional learning for teachers, middle leaders, school leaders and regional staff, designed to improve teaching practice in literacy and numeracy.</w:t>
      </w:r>
    </w:p>
    <w:p w14:paraId="569C61B2" w14:textId="77777777" w:rsidR="00AE4E80" w:rsidRPr="00831496" w:rsidRDefault="00AE4E80" w:rsidP="009731C9">
      <w:pPr>
        <w:spacing w:after="200"/>
        <w:rPr>
          <w:sz w:val="24"/>
          <w:lang w:val="en-AU"/>
        </w:rPr>
      </w:pPr>
      <w:r w:rsidRPr="00831496">
        <w:rPr>
          <w:sz w:val="24"/>
          <w:lang w:val="en-AU"/>
        </w:rPr>
        <w:lastRenderedPageBreak/>
        <w:t xml:space="preserve">The Strategy has been designed based on the local and international evidence of what works to lift </w:t>
      </w:r>
      <w:r w:rsidRPr="00831496">
        <w:rPr>
          <w:sz w:val="24"/>
          <w:lang w:val="en-AU" w:eastAsia="en-AU"/>
        </w:rPr>
        <w:t>educational</w:t>
      </w:r>
      <w:r w:rsidRPr="00831496">
        <w:rPr>
          <w:sz w:val="24"/>
          <w:lang w:val="en-AU"/>
        </w:rPr>
        <w:t xml:space="preserve"> outcomes and recognises the critical role that all teachers, school leaders and parents and carers have in improving the literacy and numeracy outcomes for every student.</w:t>
      </w:r>
    </w:p>
    <w:p w14:paraId="1B1293B0" w14:textId="5DA7D278" w:rsidR="00AE4E80" w:rsidRPr="00D1104C" w:rsidRDefault="00AE4E80" w:rsidP="00D1104C">
      <w:pPr>
        <w:pStyle w:val="ListParagraph"/>
        <w:numPr>
          <w:ilvl w:val="0"/>
          <w:numId w:val="25"/>
        </w:numPr>
        <w:spacing w:after="200"/>
        <w:rPr>
          <w:sz w:val="24"/>
          <w:lang w:val="en-AU"/>
        </w:rPr>
      </w:pPr>
      <w:r w:rsidRPr="00D1104C">
        <w:rPr>
          <w:sz w:val="24"/>
          <w:lang w:val="en-AU"/>
        </w:rPr>
        <w:t xml:space="preserve">For further </w:t>
      </w:r>
      <w:r w:rsidRPr="00D1104C">
        <w:rPr>
          <w:sz w:val="24"/>
          <w:lang w:val="en-AU" w:eastAsia="en-AU"/>
        </w:rPr>
        <w:t>information</w:t>
      </w:r>
      <w:r w:rsidRPr="00D1104C">
        <w:rPr>
          <w:sz w:val="24"/>
          <w:lang w:val="en-AU"/>
        </w:rPr>
        <w:t xml:space="preserve"> see: </w:t>
      </w:r>
      <w:hyperlink r:id="rId126" w:history="1">
        <w:r w:rsidRPr="00D1104C">
          <w:rPr>
            <w:rStyle w:val="Hyperlink"/>
            <w:sz w:val="24"/>
            <w:lang w:val="en-AU"/>
          </w:rPr>
          <w:t>https://www.education.vic.gov.au/school/teachers/teachingresources/discipline/english/Pages/litnumstrategy.aspx</w:t>
        </w:r>
      </w:hyperlink>
    </w:p>
    <w:p w14:paraId="66D73770" w14:textId="6F5327AD" w:rsidR="00D1104C" w:rsidRPr="00D1104C" w:rsidRDefault="00D1104C" w:rsidP="00D1104C">
      <w:pPr>
        <w:pStyle w:val="ListParagraph"/>
        <w:numPr>
          <w:ilvl w:val="0"/>
          <w:numId w:val="25"/>
        </w:numPr>
        <w:rPr>
          <w:sz w:val="24"/>
        </w:rPr>
      </w:pPr>
      <w:hyperlink r:id="rId127" w:history="1">
        <w:r w:rsidRPr="00D1104C">
          <w:rPr>
            <w:rStyle w:val="Hyperlink"/>
            <w:sz w:val="24"/>
          </w:rPr>
          <w:t>Text alternative for Literacy and Numeracy teaching resources diagram</w:t>
        </w:r>
      </w:hyperlink>
    </w:p>
    <w:p w14:paraId="05EE7FF7" w14:textId="77777777" w:rsidR="00AE4E80" w:rsidRPr="00AE4E80" w:rsidRDefault="00AE4E80" w:rsidP="00AE4E80">
      <w:pPr>
        <w:pStyle w:val="Heading2"/>
        <w:rPr>
          <w:lang w:val="en-AU"/>
        </w:rPr>
      </w:pPr>
      <w:bookmarkStart w:id="73" w:name="_Toc2864125"/>
      <w:r w:rsidRPr="00AE4E80">
        <w:rPr>
          <w:lang w:val="en-AU"/>
        </w:rPr>
        <w:t>The Victorian Teaching and Learning Model</w:t>
      </w:r>
      <w:bookmarkEnd w:id="73"/>
      <w:r w:rsidRPr="00AE4E80">
        <w:rPr>
          <w:lang w:val="en-AU"/>
        </w:rPr>
        <w:t xml:space="preserve"> </w:t>
      </w:r>
    </w:p>
    <w:p w14:paraId="29AFED8A" w14:textId="08D63FF6" w:rsidR="00AE4E80" w:rsidRPr="00831496" w:rsidRDefault="00AE4E80" w:rsidP="009731C9">
      <w:pPr>
        <w:spacing w:after="200"/>
        <w:rPr>
          <w:sz w:val="24"/>
          <w:lang w:val="en-AU"/>
        </w:rPr>
      </w:pPr>
      <w:r w:rsidRPr="00831496">
        <w:rPr>
          <w:sz w:val="24"/>
          <w:lang w:val="en-AU"/>
        </w:rPr>
        <w:t xml:space="preserve">The </w:t>
      </w:r>
      <w:hyperlink r:id="rId128" w:history="1">
        <w:r w:rsidRPr="00D1104C">
          <w:rPr>
            <w:rStyle w:val="Hyperlink"/>
            <w:sz w:val="24"/>
            <w:lang w:val="en-AU"/>
          </w:rPr>
          <w:t>Victorian Teaching and Learning Model</w:t>
        </w:r>
      </w:hyperlink>
      <w:r w:rsidRPr="00831496">
        <w:rPr>
          <w:sz w:val="24"/>
          <w:lang w:val="en-AU"/>
        </w:rPr>
        <w:t xml:space="preserve"> (VTLM) brings FISO into the classroom, creating a line of sight between the whole-school improvement approach and classroom practice. It consists of four components: the Vision for Learning, Practice Principles, Pedagogical Model, </w:t>
      </w:r>
      <w:r w:rsidRPr="00831496">
        <w:rPr>
          <w:sz w:val="24"/>
          <w:lang w:val="en-AU" w:eastAsia="en-AU"/>
        </w:rPr>
        <w:t>and</w:t>
      </w:r>
      <w:r w:rsidRPr="00831496">
        <w:rPr>
          <w:sz w:val="24"/>
          <w:lang w:val="en-AU"/>
        </w:rPr>
        <w:t xml:space="preserve"> High Impact Teaching Strategies. </w:t>
      </w:r>
    </w:p>
    <w:p w14:paraId="5D38938F" w14:textId="77777777" w:rsidR="00AE4E80" w:rsidRPr="00831496" w:rsidRDefault="00AE4E80" w:rsidP="009731C9">
      <w:pPr>
        <w:spacing w:after="200"/>
        <w:rPr>
          <w:sz w:val="24"/>
          <w:lang w:val="en-AU"/>
        </w:rPr>
      </w:pPr>
      <w:r w:rsidRPr="00831496">
        <w:rPr>
          <w:sz w:val="24"/>
          <w:lang w:val="en-AU"/>
        </w:rPr>
        <w:t xml:space="preserve">It assists principals, school leaders, teachers, students and parents/carers to work together in strong, </w:t>
      </w:r>
      <w:r w:rsidRPr="00831496">
        <w:rPr>
          <w:sz w:val="24"/>
          <w:lang w:val="en-AU" w:eastAsia="en-AU"/>
        </w:rPr>
        <w:t>effective</w:t>
      </w:r>
      <w:r w:rsidRPr="00831496">
        <w:rPr>
          <w:sz w:val="24"/>
          <w:lang w:val="en-AU"/>
        </w:rPr>
        <w:t xml:space="preserve"> learning communities that create and sustain better outcomes for students. The Victorian Teaching and Learning Model allows teachers to focus on high-impact improvement initiatives and to drive those initiatives through evidence-based decisions about their teaching and student learning. Teachers can use the: </w:t>
      </w:r>
    </w:p>
    <w:p w14:paraId="5E81B947" w14:textId="54FA4D30" w:rsidR="00AE4E80" w:rsidRPr="00831496" w:rsidRDefault="00397B05" w:rsidP="00AE4E80">
      <w:pPr>
        <w:pStyle w:val="Bullet1"/>
        <w:rPr>
          <w:sz w:val="24"/>
        </w:rPr>
      </w:pPr>
      <w:hyperlink r:id="rId129" w:anchor="link5" w:history="1">
        <w:r w:rsidR="00AE4E80" w:rsidRPr="00D1104C">
          <w:rPr>
            <w:rStyle w:val="Hyperlink"/>
            <w:sz w:val="24"/>
          </w:rPr>
          <w:t>Vision for Learning</w:t>
        </w:r>
      </w:hyperlink>
      <w:r w:rsidR="00AE4E80" w:rsidRPr="00831496">
        <w:rPr>
          <w:sz w:val="24"/>
        </w:rPr>
        <w:t xml:space="preserve"> and </w:t>
      </w:r>
      <w:hyperlink r:id="rId130" w:history="1">
        <w:r w:rsidR="00AE4E80" w:rsidRPr="00D1104C">
          <w:rPr>
            <w:rStyle w:val="Hyperlink"/>
            <w:sz w:val="24"/>
          </w:rPr>
          <w:t>Practice Principles</w:t>
        </w:r>
      </w:hyperlink>
      <w:r w:rsidR="00AE4E80" w:rsidRPr="00831496">
        <w:rPr>
          <w:sz w:val="24"/>
        </w:rPr>
        <w:t xml:space="preserve"> to develop professional practice in collaboration with colleagues </w:t>
      </w:r>
    </w:p>
    <w:p w14:paraId="31ADBAF3" w14:textId="08E69707" w:rsidR="00AE4E80" w:rsidRPr="00831496" w:rsidRDefault="00397B05" w:rsidP="00AE4E80">
      <w:pPr>
        <w:pStyle w:val="Bullet1"/>
        <w:rPr>
          <w:sz w:val="24"/>
        </w:rPr>
      </w:pPr>
      <w:hyperlink r:id="rId131" w:history="1">
        <w:r w:rsidR="00AE4E80" w:rsidRPr="00D1104C">
          <w:rPr>
            <w:rStyle w:val="Hyperlink"/>
            <w:sz w:val="24"/>
          </w:rPr>
          <w:t>Pedagogical Model</w:t>
        </w:r>
      </w:hyperlink>
      <w:r w:rsidR="00AE4E80" w:rsidRPr="00831496">
        <w:rPr>
          <w:sz w:val="24"/>
        </w:rPr>
        <w:t xml:space="preserve"> to bring your knowledge of subject content and pedagogy together in the classroom </w:t>
      </w:r>
    </w:p>
    <w:p w14:paraId="70E9D42A" w14:textId="1EAFE557" w:rsidR="00AE4E80" w:rsidRPr="00831496" w:rsidRDefault="00AE4E80" w:rsidP="00AE4E80">
      <w:pPr>
        <w:pStyle w:val="Bullet1"/>
        <w:rPr>
          <w:sz w:val="24"/>
        </w:rPr>
      </w:pPr>
      <w:r w:rsidRPr="00831496">
        <w:rPr>
          <w:sz w:val="24"/>
        </w:rPr>
        <w:t xml:space="preserve">High Impact Teaching Strategies (HITS) to increase your repertoire of strategies that improve student learning. </w:t>
      </w:r>
    </w:p>
    <w:p w14:paraId="43BD0F45" w14:textId="77777777" w:rsidR="00AE4E80" w:rsidRPr="00831496" w:rsidRDefault="00AE4E80" w:rsidP="009731C9">
      <w:pPr>
        <w:spacing w:after="200"/>
        <w:rPr>
          <w:sz w:val="24"/>
          <w:lang w:val="en-AU"/>
        </w:rPr>
      </w:pPr>
      <w:r w:rsidRPr="00831496">
        <w:rPr>
          <w:sz w:val="24"/>
          <w:lang w:val="en-AU"/>
        </w:rPr>
        <w:t xml:space="preserve">The Victorian </w:t>
      </w:r>
      <w:r w:rsidRPr="00831496">
        <w:rPr>
          <w:sz w:val="24"/>
          <w:lang w:val="en-AU" w:eastAsia="en-AU"/>
        </w:rPr>
        <w:t>Teaching</w:t>
      </w:r>
      <w:r w:rsidRPr="00831496">
        <w:rPr>
          <w:sz w:val="24"/>
          <w:lang w:val="en-AU"/>
        </w:rPr>
        <w:t xml:space="preserve"> and Learning Model operates in parallel with: </w:t>
      </w:r>
    </w:p>
    <w:p w14:paraId="5ACC4F98" w14:textId="30F38D3E" w:rsidR="00AE4E80" w:rsidRPr="00831496" w:rsidRDefault="00AE4E80" w:rsidP="00F84B66">
      <w:pPr>
        <w:pStyle w:val="Bullet1"/>
        <w:rPr>
          <w:sz w:val="24"/>
        </w:rPr>
      </w:pPr>
      <w:r w:rsidRPr="00831496">
        <w:rPr>
          <w:sz w:val="24"/>
        </w:rPr>
        <w:t xml:space="preserve">Victorian Early Years Learning and Development Framework (VEYLDF), which is an essential resource for primary school teachers. For further information see: https://www. education.vic.gov.au/childhood/providers/ </w:t>
      </w:r>
      <w:proofErr w:type="spellStart"/>
      <w:r w:rsidRPr="00831496">
        <w:rPr>
          <w:sz w:val="24"/>
        </w:rPr>
        <w:t>edcare</w:t>
      </w:r>
      <w:proofErr w:type="spellEnd"/>
      <w:r w:rsidRPr="00831496">
        <w:rPr>
          <w:sz w:val="24"/>
        </w:rPr>
        <w:t xml:space="preserve">/Pages/expired/veyladf.aspx </w:t>
      </w:r>
    </w:p>
    <w:p w14:paraId="039A6FF2" w14:textId="77467122" w:rsidR="00AE4E80" w:rsidRPr="00831496" w:rsidRDefault="00AE4E80" w:rsidP="00AE4E80">
      <w:pPr>
        <w:pStyle w:val="Bullet1"/>
        <w:rPr>
          <w:sz w:val="24"/>
        </w:rPr>
      </w:pPr>
      <w:r w:rsidRPr="00831496">
        <w:rPr>
          <w:sz w:val="24"/>
        </w:rPr>
        <w:t xml:space="preserve">Abilities Based Learning and Education Support (ABLES), which is an essential resource for specialist school teachers. For further information see: https://www. education.vic.gov.au/school/teachers/ </w:t>
      </w:r>
      <w:proofErr w:type="spellStart"/>
      <w:r w:rsidRPr="00831496">
        <w:rPr>
          <w:sz w:val="24"/>
        </w:rPr>
        <w:t>learningneeds</w:t>
      </w:r>
      <w:proofErr w:type="spellEnd"/>
      <w:r w:rsidRPr="00831496">
        <w:rPr>
          <w:sz w:val="24"/>
        </w:rPr>
        <w:t xml:space="preserve">/pages/ables.aspx </w:t>
      </w:r>
    </w:p>
    <w:p w14:paraId="09295329" w14:textId="3EF9A61A" w:rsidR="0098200E" w:rsidRDefault="00AE4E80" w:rsidP="009731C9">
      <w:pPr>
        <w:spacing w:after="200"/>
        <w:rPr>
          <w:sz w:val="24"/>
          <w:lang w:val="en-AU"/>
        </w:rPr>
      </w:pPr>
      <w:r w:rsidRPr="00831496">
        <w:rPr>
          <w:sz w:val="24"/>
          <w:lang w:val="en-AU"/>
        </w:rPr>
        <w:t xml:space="preserve">For further </w:t>
      </w:r>
      <w:r w:rsidRPr="00831496">
        <w:rPr>
          <w:sz w:val="24"/>
          <w:lang w:val="en-AU" w:eastAsia="en-AU"/>
        </w:rPr>
        <w:t>information</w:t>
      </w:r>
      <w:r w:rsidRPr="00831496">
        <w:rPr>
          <w:sz w:val="24"/>
          <w:lang w:val="en-AU"/>
        </w:rPr>
        <w:t xml:space="preserve"> about The Victorian Teaching and Learning Model see:  </w:t>
      </w:r>
      <w:hyperlink r:id="rId132" w:history="1">
        <w:r w:rsidR="0098200E" w:rsidRPr="00112A60">
          <w:rPr>
            <w:rStyle w:val="Hyperlink"/>
            <w:sz w:val="24"/>
            <w:lang w:val="en-AU"/>
          </w:rPr>
          <w:t>https://www.education.vic.gov.au/school/teachers/teachingresources/practice/improve/Pages/Victorianteachingandlearningmodel.aspx</w:t>
        </w:r>
      </w:hyperlink>
    </w:p>
    <w:p w14:paraId="5807CB34" w14:textId="77777777" w:rsidR="00AE4E80" w:rsidRPr="00AE4E80" w:rsidRDefault="00AE4E80" w:rsidP="00AE4E80">
      <w:pPr>
        <w:pStyle w:val="Heading2"/>
        <w:rPr>
          <w:lang w:val="en-AU"/>
        </w:rPr>
      </w:pPr>
      <w:bookmarkStart w:id="74" w:name="_Toc2864126"/>
      <w:r w:rsidRPr="00AE4E80">
        <w:rPr>
          <w:lang w:val="en-AU"/>
        </w:rPr>
        <w:t>Peer observation, feedback and reflection</w:t>
      </w:r>
      <w:bookmarkEnd w:id="74"/>
    </w:p>
    <w:p w14:paraId="586AB2AB" w14:textId="3142F576" w:rsidR="00AE4E80" w:rsidRPr="0098200E" w:rsidRDefault="00AE4E80" w:rsidP="009731C9">
      <w:pPr>
        <w:spacing w:after="200"/>
        <w:rPr>
          <w:sz w:val="24"/>
          <w:lang w:val="en-AU"/>
        </w:rPr>
      </w:pPr>
      <w:r w:rsidRPr="0098200E">
        <w:rPr>
          <w:sz w:val="24"/>
          <w:u w:val="single"/>
          <w:lang w:val="en-AU"/>
        </w:rPr>
        <w:t>Peer observation</w:t>
      </w:r>
      <w:r w:rsidRPr="0098200E">
        <w:rPr>
          <w:sz w:val="24"/>
          <w:lang w:val="en-AU"/>
        </w:rPr>
        <w:t xml:space="preserve"> involves teachers observing each other’s practice and learning from one another, focusing on teachers’ individual </w:t>
      </w:r>
      <w:r w:rsidRPr="0098200E">
        <w:rPr>
          <w:sz w:val="24"/>
          <w:lang w:val="en-AU" w:eastAsia="en-AU"/>
        </w:rPr>
        <w:t>needs</w:t>
      </w:r>
      <w:r w:rsidRPr="0098200E">
        <w:rPr>
          <w:sz w:val="24"/>
          <w:lang w:val="en-AU"/>
        </w:rPr>
        <w:t xml:space="preserve"> and the opportunity to both learn from others’ practices and to offer constructive feedback to peers. </w:t>
      </w:r>
    </w:p>
    <w:p w14:paraId="10554216" w14:textId="77777777" w:rsidR="00AE4E80" w:rsidRPr="0098200E" w:rsidRDefault="00AE4E80" w:rsidP="009731C9">
      <w:pPr>
        <w:spacing w:after="200"/>
        <w:rPr>
          <w:sz w:val="24"/>
          <w:lang w:val="en-AU"/>
        </w:rPr>
      </w:pPr>
      <w:r w:rsidRPr="0098200E">
        <w:rPr>
          <w:sz w:val="24"/>
          <w:lang w:val="en-AU"/>
        </w:rPr>
        <w:lastRenderedPageBreak/>
        <w:t xml:space="preserve">Peer observation aims to support the sharing of practice and builds self-awareness about the impact of one’s teaching practice in </w:t>
      </w:r>
      <w:r w:rsidRPr="0098200E">
        <w:rPr>
          <w:sz w:val="24"/>
          <w:lang w:val="en-AU" w:eastAsia="en-AU"/>
        </w:rPr>
        <w:t>order</w:t>
      </w:r>
      <w:r w:rsidRPr="0098200E">
        <w:rPr>
          <w:sz w:val="24"/>
          <w:lang w:val="en-AU"/>
        </w:rPr>
        <w:t xml:space="preserve"> to affect change.</w:t>
      </w:r>
    </w:p>
    <w:p w14:paraId="31D4F20D" w14:textId="77777777" w:rsidR="00AE4E80" w:rsidRPr="0098200E" w:rsidRDefault="00AE4E80" w:rsidP="009731C9">
      <w:pPr>
        <w:spacing w:after="200"/>
        <w:rPr>
          <w:sz w:val="24"/>
          <w:lang w:val="en-AU"/>
        </w:rPr>
      </w:pPr>
      <w:r w:rsidRPr="0098200E">
        <w:rPr>
          <w:sz w:val="24"/>
          <w:lang w:val="en-AU"/>
        </w:rPr>
        <w:t xml:space="preserve">Peer observation can benefit both the teacher </w:t>
      </w:r>
      <w:r w:rsidRPr="0098200E">
        <w:rPr>
          <w:sz w:val="24"/>
          <w:lang w:val="en-AU" w:eastAsia="en-AU"/>
        </w:rPr>
        <w:t>being</w:t>
      </w:r>
      <w:r w:rsidRPr="0098200E">
        <w:rPr>
          <w:sz w:val="24"/>
          <w:lang w:val="en-AU"/>
        </w:rPr>
        <w:t xml:space="preserve"> observed and the observer. It can:</w:t>
      </w:r>
    </w:p>
    <w:p w14:paraId="5156AF11" w14:textId="12F06D66" w:rsidR="00AE4E80" w:rsidRPr="0098200E" w:rsidRDefault="00AE4E80" w:rsidP="00AE4E80">
      <w:pPr>
        <w:pStyle w:val="Bullet1"/>
        <w:rPr>
          <w:sz w:val="24"/>
        </w:rPr>
      </w:pPr>
      <w:r w:rsidRPr="0098200E">
        <w:rPr>
          <w:sz w:val="24"/>
        </w:rPr>
        <w:t xml:space="preserve">provide opportunities to discuss challenges and successes with trusted colleagues </w:t>
      </w:r>
    </w:p>
    <w:p w14:paraId="058710EC" w14:textId="3C8C28E4" w:rsidR="00AE4E80" w:rsidRPr="0098200E" w:rsidRDefault="00AE4E80" w:rsidP="00AE4E80">
      <w:pPr>
        <w:pStyle w:val="Bullet1"/>
        <w:rPr>
          <w:sz w:val="24"/>
        </w:rPr>
      </w:pPr>
      <w:r w:rsidRPr="0098200E">
        <w:rPr>
          <w:sz w:val="24"/>
        </w:rPr>
        <w:t xml:space="preserve">support the sharing of ideas and expertise among teachers </w:t>
      </w:r>
    </w:p>
    <w:p w14:paraId="29A0D6DF" w14:textId="7234FC35" w:rsidR="00AE4E80" w:rsidRPr="0098200E" w:rsidRDefault="00AE4E80" w:rsidP="00AE4E80">
      <w:pPr>
        <w:pStyle w:val="Bullet1"/>
        <w:rPr>
          <w:sz w:val="24"/>
        </w:rPr>
      </w:pPr>
      <w:r w:rsidRPr="0098200E">
        <w:rPr>
          <w:sz w:val="24"/>
        </w:rPr>
        <w:t xml:space="preserve">build a community of trust through opening classroom practice to a wider audience </w:t>
      </w:r>
    </w:p>
    <w:p w14:paraId="1A5FF823" w14:textId="57E870F3" w:rsidR="00AE4E80" w:rsidRPr="0098200E" w:rsidRDefault="00AE4E80" w:rsidP="00AE4E80">
      <w:pPr>
        <w:pStyle w:val="Bullet1"/>
        <w:rPr>
          <w:sz w:val="24"/>
        </w:rPr>
      </w:pPr>
      <w:r w:rsidRPr="0098200E">
        <w:rPr>
          <w:sz w:val="24"/>
        </w:rPr>
        <w:t>support a focus on improving the impact of learning</w:t>
      </w:r>
    </w:p>
    <w:p w14:paraId="6EBF295C" w14:textId="7B5D8019" w:rsidR="00AE4E80" w:rsidRPr="0098200E" w:rsidRDefault="00AE4E80" w:rsidP="00AE4E80">
      <w:pPr>
        <w:pStyle w:val="Bullet1"/>
        <w:rPr>
          <w:sz w:val="24"/>
        </w:rPr>
      </w:pPr>
      <w:proofErr w:type="gramStart"/>
      <w:r w:rsidRPr="0098200E">
        <w:rPr>
          <w:sz w:val="24"/>
        </w:rPr>
        <w:t>contribute</w:t>
      </w:r>
      <w:proofErr w:type="gramEnd"/>
      <w:r w:rsidRPr="0098200E">
        <w:rPr>
          <w:sz w:val="24"/>
        </w:rPr>
        <w:t xml:space="preserve"> to the collective efficacy of the whole school. </w:t>
      </w:r>
    </w:p>
    <w:p w14:paraId="1654CD04" w14:textId="77777777" w:rsidR="00AE4E80" w:rsidRPr="0098200E" w:rsidRDefault="00AE4E80" w:rsidP="009731C9">
      <w:pPr>
        <w:spacing w:after="200"/>
        <w:rPr>
          <w:sz w:val="24"/>
          <w:lang w:val="en-AU"/>
        </w:rPr>
      </w:pPr>
      <w:r w:rsidRPr="0098200E">
        <w:rPr>
          <w:sz w:val="24"/>
          <w:lang w:val="en-AU"/>
        </w:rPr>
        <w:t xml:space="preserve">Peer observation is a requirement for full registration with the Victorian Institute of Teaching. Observation helps to unpack and address areas of teaching practice identified as priorities for professional development. It involves both observing experienced teachers, and the graduate’s teacher mentor and other colleagues observing classroom practice and providing feedback. </w:t>
      </w:r>
    </w:p>
    <w:p w14:paraId="4E49CAA6" w14:textId="77777777" w:rsidR="00AE4E80" w:rsidRPr="0098200E" w:rsidRDefault="00AE4E80" w:rsidP="009731C9">
      <w:pPr>
        <w:spacing w:after="200"/>
        <w:rPr>
          <w:sz w:val="24"/>
          <w:lang w:val="en-AU"/>
        </w:rPr>
      </w:pPr>
      <w:r w:rsidRPr="0098200E">
        <w:rPr>
          <w:sz w:val="24"/>
          <w:lang w:val="en-AU"/>
        </w:rPr>
        <w:t xml:space="preserve">Every teacher benefits from regular, timely, high-quality, constructive feedback. Observation of classroom methods provides evidence-based feedback that improves practice. The Department has a number of resources to support </w:t>
      </w:r>
      <w:r w:rsidRPr="00123242">
        <w:rPr>
          <w:sz w:val="24"/>
          <w:lang w:val="en-AU"/>
        </w:rPr>
        <w:t>Peer Observation</w:t>
      </w:r>
      <w:r w:rsidRPr="0098200E">
        <w:rPr>
          <w:sz w:val="24"/>
          <w:lang w:val="en-AU"/>
        </w:rPr>
        <w:t>, including Feedback Guidelines and four annotated templates. The cycle of peer observation provides a basis for the implementation of peer observation, reflection and feedback. The graduate teacher also becomes more aware of the professional standards they are demonstrating.</w:t>
      </w:r>
    </w:p>
    <w:p w14:paraId="7FF024FB" w14:textId="77777777" w:rsidR="00AE4E80" w:rsidRPr="0098200E" w:rsidRDefault="00AE4E80" w:rsidP="009731C9">
      <w:pPr>
        <w:spacing w:after="200"/>
        <w:rPr>
          <w:sz w:val="24"/>
          <w:lang w:val="en-AU"/>
        </w:rPr>
      </w:pPr>
      <w:r w:rsidRPr="0098200E">
        <w:rPr>
          <w:sz w:val="24"/>
          <w:lang w:val="en-AU"/>
        </w:rPr>
        <w:t xml:space="preserve">Whether it is classroom management, differentiated teaching or assessment, graduate teachers can plan observation of teachers who are expert in areas they want to know more about. The more specific the focus, the greater the opportunity to examine their challenge and learn from their colleagues. </w:t>
      </w:r>
    </w:p>
    <w:p w14:paraId="369EE7F2" w14:textId="7FCD415C" w:rsidR="00AE4E80" w:rsidRPr="0098200E" w:rsidRDefault="00AE4E80" w:rsidP="009731C9">
      <w:pPr>
        <w:spacing w:after="200"/>
        <w:rPr>
          <w:sz w:val="24"/>
          <w:lang w:val="en-AU"/>
        </w:rPr>
      </w:pPr>
      <w:r w:rsidRPr="0098200E">
        <w:rPr>
          <w:sz w:val="24"/>
          <w:lang w:val="en-AU"/>
        </w:rPr>
        <w:t xml:space="preserve">For further information see: </w:t>
      </w:r>
      <w:hyperlink r:id="rId133" w:history="1">
        <w:r w:rsidRPr="0098200E">
          <w:rPr>
            <w:rStyle w:val="Hyperlink"/>
            <w:sz w:val="24"/>
            <w:lang w:val="en-AU"/>
          </w:rPr>
          <w:t>https://www.education.vic.gov.au/school/teachers/teachingresources/practice/improve/Pages/peerobservation.aspx?&amp;Redirect=1</w:t>
        </w:r>
      </w:hyperlink>
    </w:p>
    <w:p w14:paraId="5AA460B1" w14:textId="77777777" w:rsidR="00AE4E80" w:rsidRPr="00AE4E80" w:rsidRDefault="00AE4E80" w:rsidP="00AE4E80">
      <w:pPr>
        <w:pStyle w:val="Heading2"/>
        <w:rPr>
          <w:lang w:val="en-AU"/>
        </w:rPr>
      </w:pPr>
      <w:bookmarkStart w:id="75" w:name="_Toc2864127"/>
      <w:r w:rsidRPr="00AE4E80">
        <w:rPr>
          <w:lang w:val="en-AU"/>
        </w:rPr>
        <w:t>Amplify: Empowering students through voice, agency and leadership</w:t>
      </w:r>
      <w:bookmarkEnd w:id="75"/>
    </w:p>
    <w:p w14:paraId="76DA3362" w14:textId="1996CF81" w:rsidR="00AE4E80" w:rsidRPr="0098200E" w:rsidRDefault="00AE4E80" w:rsidP="00123242">
      <w:pPr>
        <w:spacing w:after="200"/>
        <w:rPr>
          <w:sz w:val="24"/>
          <w:lang w:val="en-AU"/>
        </w:rPr>
      </w:pPr>
      <w:r w:rsidRPr="0098200E">
        <w:rPr>
          <w:i/>
          <w:sz w:val="24"/>
          <w:u w:val="single"/>
          <w:lang w:val="en-AU"/>
        </w:rPr>
        <w:t>Amplify: Empowering students through voice, agency and leadership</w:t>
      </w:r>
      <w:r w:rsidRPr="0098200E">
        <w:rPr>
          <w:sz w:val="24"/>
          <w:lang w:val="en-AU"/>
        </w:rPr>
        <w:t xml:space="preserve"> is a practice guide for school leaders and teachers. It explains how to create conditions, employ practices and develop behaviours, attitudes and learning environments that are conducive to student voice, agency and leadership. Whatever their current starting points, school leaders and teachers can draw on this resource to facilitate rich conversations, collaborate and take actions to empower students.</w:t>
      </w:r>
    </w:p>
    <w:p w14:paraId="2BF23E4C" w14:textId="77777777" w:rsidR="00AE4E80" w:rsidRPr="0098200E" w:rsidRDefault="00AE4E80" w:rsidP="00123242">
      <w:pPr>
        <w:spacing w:after="200"/>
        <w:rPr>
          <w:sz w:val="24"/>
          <w:lang w:val="en-AU"/>
        </w:rPr>
      </w:pPr>
      <w:r w:rsidRPr="0098200E">
        <w:rPr>
          <w:sz w:val="24"/>
          <w:lang w:val="en-AU"/>
        </w:rPr>
        <w:t>Amplify presents an evidence base and practical school-based examples to help school communities explore and enhance their understanding of student voice, agency and leadership as the key elements which empower students.</w:t>
      </w:r>
    </w:p>
    <w:p w14:paraId="074CC1A7" w14:textId="77777777" w:rsidR="00AE4E80" w:rsidRPr="0098200E" w:rsidRDefault="00AE4E80" w:rsidP="00123242">
      <w:pPr>
        <w:spacing w:after="200"/>
        <w:rPr>
          <w:sz w:val="24"/>
          <w:lang w:val="en-AU"/>
        </w:rPr>
      </w:pPr>
      <w:r w:rsidRPr="0098200E">
        <w:rPr>
          <w:sz w:val="24"/>
          <w:lang w:val="en-AU"/>
        </w:rPr>
        <w:lastRenderedPageBreak/>
        <w:t>Young people who find their own voice in supportive school environments are more likely to develop a confident voice, a capacity to act in the world, and a willingness to lead others. Amplifying student voice, student agency and student leadership contributes to improved student health, wellbeing and learning outcomes.</w:t>
      </w:r>
    </w:p>
    <w:p w14:paraId="26ADE78E" w14:textId="42F6CC0E" w:rsidR="00AE4E80" w:rsidRPr="0098200E" w:rsidRDefault="00AE4E80" w:rsidP="009731C9">
      <w:pPr>
        <w:spacing w:after="200"/>
        <w:rPr>
          <w:sz w:val="24"/>
          <w:lang w:val="en-AU"/>
        </w:rPr>
      </w:pPr>
      <w:r w:rsidRPr="0098200E">
        <w:rPr>
          <w:sz w:val="24"/>
          <w:lang w:val="en-AU"/>
        </w:rPr>
        <w:t xml:space="preserve">For further information see: </w:t>
      </w:r>
      <w:hyperlink r:id="rId134" w:history="1">
        <w:r w:rsidRPr="0098200E">
          <w:rPr>
            <w:rStyle w:val="Hyperlink"/>
            <w:sz w:val="24"/>
            <w:lang w:val="en-AU"/>
          </w:rPr>
          <w:t>https://www.education.vic.gov.au/school/teachers/teachingresources/practice/improve/Pages/amplify.aspx</w:t>
        </w:r>
      </w:hyperlink>
    </w:p>
    <w:p w14:paraId="7898FBCA" w14:textId="77777777" w:rsidR="00AE4E80" w:rsidRPr="00AE4E80" w:rsidRDefault="00AE4E80" w:rsidP="00AE4E80">
      <w:pPr>
        <w:pStyle w:val="Heading2"/>
        <w:rPr>
          <w:lang w:val="en-AU"/>
        </w:rPr>
      </w:pPr>
      <w:bookmarkStart w:id="76" w:name="_Toc2864128"/>
      <w:r w:rsidRPr="00AE4E80">
        <w:rPr>
          <w:lang w:val="en-AU"/>
        </w:rPr>
        <w:t>Other key resources to improve your teaching</w:t>
      </w:r>
      <w:bookmarkEnd w:id="76"/>
    </w:p>
    <w:p w14:paraId="20005FFB" w14:textId="77777777" w:rsidR="00AE4E80" w:rsidRPr="0098200E" w:rsidRDefault="00AE4E80" w:rsidP="00123242">
      <w:pPr>
        <w:spacing w:after="200"/>
        <w:rPr>
          <w:sz w:val="24"/>
          <w:lang w:val="en-AU"/>
        </w:rPr>
      </w:pPr>
      <w:r w:rsidRPr="0098200E">
        <w:rPr>
          <w:sz w:val="24"/>
          <w:lang w:val="en-AU"/>
        </w:rPr>
        <w:t>On the Improve your teaching page of the Department website, you will find a number of teaching resources specifically designed to help graduate teachers develop and maintain high-quality teaching practice, including:</w:t>
      </w:r>
    </w:p>
    <w:p w14:paraId="496EF3BA" w14:textId="7811A8E9" w:rsidR="00AE4E80" w:rsidRPr="0098200E" w:rsidRDefault="00AE4E80" w:rsidP="00AE4E80">
      <w:pPr>
        <w:pStyle w:val="Bullet1"/>
        <w:rPr>
          <w:sz w:val="24"/>
        </w:rPr>
      </w:pPr>
      <w:r w:rsidRPr="0098200E">
        <w:rPr>
          <w:sz w:val="24"/>
        </w:rPr>
        <w:t>Professional practice elements resources to explain how the professional practice elements of the Victorian Government School Agreement 2017 are implemented and what benefits they bring to teachers</w:t>
      </w:r>
    </w:p>
    <w:p w14:paraId="408914B7" w14:textId="4D72BB25" w:rsidR="00AE4E80" w:rsidRPr="0098200E" w:rsidRDefault="00AE4E80" w:rsidP="00AE4E80">
      <w:pPr>
        <w:pStyle w:val="Bullet1"/>
        <w:rPr>
          <w:sz w:val="24"/>
        </w:rPr>
      </w:pPr>
      <w:r w:rsidRPr="0098200E">
        <w:rPr>
          <w:sz w:val="24"/>
        </w:rPr>
        <w:t>Professional Practice Days resources provide practical advice on using Professional Practice Days.</w:t>
      </w:r>
    </w:p>
    <w:p w14:paraId="6F9F0B8B" w14:textId="34AD1534" w:rsidR="00AE4E80" w:rsidRPr="0098200E" w:rsidRDefault="00AE4E80" w:rsidP="009731C9">
      <w:pPr>
        <w:spacing w:after="200"/>
        <w:rPr>
          <w:sz w:val="24"/>
          <w:lang w:val="en-AU"/>
        </w:rPr>
      </w:pPr>
      <w:r w:rsidRPr="0098200E">
        <w:rPr>
          <w:sz w:val="24"/>
          <w:lang w:val="en-AU"/>
        </w:rPr>
        <w:t xml:space="preserve">For further information see: </w:t>
      </w:r>
      <w:hyperlink r:id="rId135" w:history="1">
        <w:r w:rsidRPr="0098200E">
          <w:rPr>
            <w:rStyle w:val="Hyperlink"/>
            <w:sz w:val="24"/>
            <w:lang w:val="en-AU"/>
          </w:rPr>
          <w:t>https://www.education.vic.gov.au/school/teachers/teachingresources/practice/improve/Pages/default.aspx</w:t>
        </w:r>
      </w:hyperlink>
    </w:p>
    <w:p w14:paraId="5974E8F8" w14:textId="77777777" w:rsidR="00AE4E80" w:rsidRPr="00AE4E80" w:rsidRDefault="00AE4E80" w:rsidP="00AE4E80">
      <w:pPr>
        <w:rPr>
          <w:lang w:val="en-AU"/>
        </w:rPr>
      </w:pPr>
    </w:p>
    <w:sectPr w:rsidR="00AE4E80" w:rsidRPr="00AE4E80" w:rsidSect="00DA3218">
      <w:headerReference w:type="default" r:id="rId136"/>
      <w:footerReference w:type="default" r:id="rId137"/>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13D64" w14:textId="77777777" w:rsidR="00B64455" w:rsidRDefault="00B64455" w:rsidP="003967DD">
      <w:pPr>
        <w:spacing w:after="0"/>
      </w:pPr>
      <w:r>
        <w:separator/>
      </w:r>
    </w:p>
  </w:endnote>
  <w:endnote w:type="continuationSeparator" w:id="0">
    <w:p w14:paraId="4B591D2F" w14:textId="77777777" w:rsidR="00B64455" w:rsidRDefault="00B64455"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397B05" w:rsidRDefault="00397B05" w:rsidP="00F84B6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397B05" w:rsidRDefault="00397B05"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3DEB7" w14:textId="77777777" w:rsidR="00397B05" w:rsidRDefault="00397B05"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61F8F" w14:textId="77777777" w:rsidR="0037327B" w:rsidRDefault="003732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8FA0B" w14:textId="69A41813" w:rsidR="00397B05" w:rsidRPr="001105FA" w:rsidRDefault="00397B05" w:rsidP="007F2207">
    <w:pPr>
      <w:pStyle w:val="FootnoteText"/>
      <w:ind w:right="3395"/>
      <w:rPr>
        <w:sz w:val="12"/>
        <w:szCs w:val="12"/>
      </w:rPr>
    </w:pPr>
    <w:r w:rsidRPr="001105FA">
      <w:rPr>
        <w:sz w:val="12"/>
        <w:szCs w:val="12"/>
      </w:rPr>
      <w:t>Melbourne</w:t>
    </w:r>
    <w:r>
      <w:rPr>
        <w:sz w:val="12"/>
        <w:szCs w:val="12"/>
      </w:rPr>
      <w:t xml:space="preserve"> January 2019</w:t>
    </w:r>
  </w:p>
  <w:p w14:paraId="064D7D99" w14:textId="77777777" w:rsidR="00397B05" w:rsidRPr="001105FA" w:rsidRDefault="00397B05" w:rsidP="007F2207">
    <w:pPr>
      <w:pStyle w:val="FootnoteText"/>
      <w:ind w:right="3395"/>
      <w:rPr>
        <w:sz w:val="12"/>
        <w:szCs w:val="12"/>
      </w:rPr>
    </w:pPr>
    <w:r w:rsidRPr="001105FA">
      <w:rPr>
        <w:sz w:val="12"/>
        <w:szCs w:val="12"/>
      </w:rPr>
      <w:t>© State of Victoria (Department of Education and Training) 201</w:t>
    </w:r>
    <w:r>
      <w:rPr>
        <w:sz w:val="12"/>
        <w:szCs w:val="12"/>
      </w:rPr>
      <w:t>9</w:t>
    </w:r>
  </w:p>
  <w:p w14:paraId="65D804F6" w14:textId="42F5729C" w:rsidR="00397B05" w:rsidRPr="001105FA" w:rsidRDefault="00397B05" w:rsidP="007F2207">
    <w:pPr>
      <w:pStyle w:val="FootnoteText"/>
      <w:ind w:right="3395"/>
      <w:rPr>
        <w:sz w:val="12"/>
        <w:szCs w:val="12"/>
      </w:rPr>
    </w:pPr>
    <w:r>
      <w:rPr>
        <w:sz w:val="12"/>
        <w:szCs w:val="12"/>
      </w:rPr>
      <w:t xml:space="preserve">Mentoring Capability Framework </w:t>
    </w:r>
    <w:r w:rsidRPr="001105FA">
      <w:rPr>
        <w:sz w:val="12"/>
        <w:szCs w:val="12"/>
      </w:rPr>
      <w:t xml:space="preserve">is provided under a Creative Commons Attribution 4.0 International </w:t>
    </w:r>
    <w:proofErr w:type="spellStart"/>
    <w:r w:rsidRPr="001105FA">
      <w:rPr>
        <w:sz w:val="12"/>
        <w:szCs w:val="12"/>
      </w:rPr>
      <w:t>licence</w:t>
    </w:r>
    <w:proofErr w:type="spellEnd"/>
    <w:r w:rsidRPr="001105FA">
      <w:rPr>
        <w:sz w:val="12"/>
        <w:szCs w:val="12"/>
      </w:rPr>
      <w:t xml:space="preserve">. You are free to re-use the work under that </w:t>
    </w:r>
    <w:proofErr w:type="spellStart"/>
    <w:r w:rsidRPr="001105FA">
      <w:rPr>
        <w:sz w:val="12"/>
        <w:szCs w:val="12"/>
      </w:rPr>
      <w:t>licence</w:t>
    </w:r>
    <w:proofErr w:type="spellEnd"/>
    <w:r w:rsidRPr="001105FA">
      <w:rPr>
        <w:sz w:val="12"/>
        <w:szCs w:val="12"/>
      </w:rPr>
      <w:t xml:space="preserve">, on the condition that you credit the State of Victoria (Department of Education and Training), indicate if changes were made and comply with the other </w:t>
    </w:r>
    <w:proofErr w:type="spellStart"/>
    <w:r w:rsidRPr="001105FA">
      <w:rPr>
        <w:sz w:val="12"/>
        <w:szCs w:val="12"/>
      </w:rPr>
      <w:t>licence</w:t>
    </w:r>
    <w:proofErr w:type="spellEnd"/>
    <w:r w:rsidRPr="001105FA">
      <w:rPr>
        <w:sz w:val="12"/>
        <w:szCs w:val="12"/>
      </w:rPr>
      <w:t xml:space="preserve"> terms, </w:t>
    </w:r>
    <w:r w:rsidRPr="001105FA">
      <w:rPr>
        <w:sz w:val="12"/>
        <w:szCs w:val="12"/>
      </w:rPr>
      <w:br/>
      <w:t xml:space="preserve">see: </w:t>
    </w:r>
    <w:hyperlink r:id="rId1" w:history="1">
      <w:r w:rsidRPr="001105FA">
        <w:rPr>
          <w:rStyle w:val="Hyperlink"/>
          <w:sz w:val="12"/>
          <w:szCs w:val="12"/>
        </w:rPr>
        <w:t>Creative Commons Attribution 4.0 International</w:t>
      </w:r>
    </w:hyperlink>
    <w:r w:rsidRPr="001105FA">
      <w:rPr>
        <w:sz w:val="12"/>
        <w:szCs w:val="12"/>
      </w:rPr>
      <w:t xml:space="preserve"> </w:t>
    </w:r>
  </w:p>
  <w:p w14:paraId="2B433BEB" w14:textId="77777777" w:rsidR="00397B05" w:rsidRPr="001105FA" w:rsidRDefault="00397B05" w:rsidP="007F2207">
    <w:pPr>
      <w:pStyle w:val="FootnoteText"/>
      <w:ind w:right="3395"/>
      <w:rPr>
        <w:sz w:val="12"/>
        <w:szCs w:val="12"/>
      </w:rPr>
    </w:pPr>
    <w:r w:rsidRPr="001105FA">
      <w:rPr>
        <w:sz w:val="12"/>
        <w:szCs w:val="12"/>
      </w:rPr>
      <w:t xml:space="preserve">The </w:t>
    </w:r>
    <w:proofErr w:type="spellStart"/>
    <w:r w:rsidRPr="001105FA">
      <w:rPr>
        <w:sz w:val="12"/>
        <w:szCs w:val="12"/>
      </w:rPr>
      <w:t>licence</w:t>
    </w:r>
    <w:proofErr w:type="spellEnd"/>
    <w:r w:rsidRPr="001105FA">
      <w:rPr>
        <w:sz w:val="12"/>
        <w:szCs w:val="12"/>
      </w:rPr>
      <w:t xml:space="preserve"> does not apply to:</w:t>
    </w:r>
  </w:p>
  <w:p w14:paraId="4D5E6516" w14:textId="77777777" w:rsidR="00397B05" w:rsidRPr="001105FA" w:rsidRDefault="00397B05" w:rsidP="007F2207">
    <w:pPr>
      <w:pStyle w:val="FootnoteText"/>
      <w:tabs>
        <w:tab w:val="left" w:pos="142"/>
        <w:tab w:val="left" w:pos="1276"/>
      </w:tabs>
      <w:ind w:right="3395"/>
      <w:rPr>
        <w:sz w:val="12"/>
        <w:szCs w:val="12"/>
      </w:rPr>
    </w:pPr>
    <w:r w:rsidRPr="001105FA">
      <w:rPr>
        <w:sz w:val="12"/>
        <w:szCs w:val="12"/>
      </w:rPr>
      <w:t>•</w:t>
    </w:r>
    <w:r w:rsidRPr="001105FA">
      <w:rPr>
        <w:sz w:val="12"/>
        <w:szCs w:val="12"/>
      </w:rPr>
      <w:tab/>
    </w:r>
    <w:proofErr w:type="gramStart"/>
    <w:r w:rsidRPr="001105FA">
      <w:rPr>
        <w:sz w:val="12"/>
        <w:szCs w:val="12"/>
      </w:rPr>
      <w:t>any</w:t>
    </w:r>
    <w:proofErr w:type="gramEnd"/>
    <w:r w:rsidRPr="001105FA">
      <w:rPr>
        <w:sz w:val="12"/>
        <w:szCs w:val="12"/>
      </w:rPr>
      <w:t xml:space="preserve"> images, photographs, trademarks or branding, including the Victorian Government logo and the DET logo; and</w:t>
    </w:r>
  </w:p>
  <w:p w14:paraId="3958D81B" w14:textId="77777777" w:rsidR="00397B05" w:rsidRPr="001105FA" w:rsidRDefault="00397B05" w:rsidP="007F2207">
    <w:pPr>
      <w:pStyle w:val="FootnoteText"/>
      <w:tabs>
        <w:tab w:val="left" w:pos="142"/>
      </w:tabs>
      <w:ind w:right="3395"/>
      <w:rPr>
        <w:sz w:val="12"/>
        <w:szCs w:val="12"/>
      </w:rPr>
    </w:pPr>
    <w:r w:rsidRPr="001105FA">
      <w:rPr>
        <w:sz w:val="12"/>
        <w:szCs w:val="12"/>
      </w:rPr>
      <w:t>•</w:t>
    </w:r>
    <w:r w:rsidRPr="001105FA">
      <w:rPr>
        <w:sz w:val="12"/>
        <w:szCs w:val="12"/>
      </w:rPr>
      <w:tab/>
    </w:r>
    <w:proofErr w:type="gramStart"/>
    <w:r w:rsidRPr="001105FA">
      <w:rPr>
        <w:sz w:val="12"/>
        <w:szCs w:val="12"/>
      </w:rPr>
      <w:t>content</w:t>
    </w:r>
    <w:proofErr w:type="gramEnd"/>
    <w:r w:rsidRPr="001105FA">
      <w:rPr>
        <w:sz w:val="12"/>
        <w:szCs w:val="12"/>
      </w:rPr>
      <w:t xml:space="preserve"> supplied by third parties.</w:t>
    </w:r>
  </w:p>
  <w:p w14:paraId="206758DB" w14:textId="6DC73682" w:rsidR="00397B05" w:rsidRPr="001105FA" w:rsidRDefault="00397B05" w:rsidP="00610D61">
    <w:pPr>
      <w:pStyle w:val="FootnoteText"/>
      <w:tabs>
        <w:tab w:val="left" w:pos="3450"/>
      </w:tabs>
      <w:ind w:right="3395"/>
      <w:rPr>
        <w:sz w:val="12"/>
        <w:szCs w:val="12"/>
      </w:rPr>
    </w:pPr>
    <w:proofErr w:type="spellStart"/>
    <w:r w:rsidRPr="001105FA">
      <w:rPr>
        <w:sz w:val="12"/>
        <w:szCs w:val="12"/>
      </w:rPr>
      <w:t>Authorised</w:t>
    </w:r>
    <w:proofErr w:type="spellEnd"/>
    <w:r w:rsidRPr="001105FA">
      <w:rPr>
        <w:sz w:val="12"/>
        <w:szCs w:val="12"/>
      </w:rPr>
      <w:t xml:space="preserve"> by the Department of Education and Training</w:t>
    </w:r>
    <w:r>
      <w:rPr>
        <w:sz w:val="12"/>
        <w:szCs w:val="12"/>
      </w:rPr>
      <w:tab/>
    </w:r>
  </w:p>
  <w:p w14:paraId="37C88341" w14:textId="77777777" w:rsidR="00397B05" w:rsidRPr="001105FA" w:rsidRDefault="00397B05" w:rsidP="007F2207">
    <w:pPr>
      <w:pStyle w:val="FootnoteText"/>
      <w:ind w:right="3395"/>
      <w:rPr>
        <w:sz w:val="12"/>
        <w:szCs w:val="12"/>
      </w:rPr>
    </w:pPr>
    <w:r w:rsidRPr="001105FA">
      <w:rPr>
        <w:sz w:val="12"/>
        <w:szCs w:val="12"/>
      </w:rPr>
      <w:t>2 Treasury Place, East Melbourne, Victoria, 3002</w:t>
    </w:r>
  </w:p>
  <w:p w14:paraId="1ED30E75" w14:textId="5E19B2DD" w:rsidR="00397B05" w:rsidRPr="007F2207" w:rsidRDefault="00397B05" w:rsidP="007F2207">
    <w:pPr>
      <w:pStyle w:val="FootnoteText"/>
      <w:ind w:right="3395"/>
      <w:rPr>
        <w:color w:val="004EA8" w:themeColor="hyperlink"/>
        <w:sz w:val="12"/>
        <w:szCs w:val="12"/>
        <w:u w:val="single"/>
      </w:rPr>
    </w:pPr>
    <w:r w:rsidRPr="001105FA">
      <w:rPr>
        <w:sz w:val="12"/>
        <w:szCs w:val="12"/>
      </w:rPr>
      <w:t xml:space="preserve">Copyright queries may be directed to </w:t>
    </w:r>
    <w:hyperlink r:id="rId2" w:history="1">
      <w:r w:rsidRPr="001105FA">
        <w:rPr>
          <w:rStyle w:val="Hyperlink"/>
          <w:color w:val="004EA8" w:themeColor="accent5"/>
          <w:sz w:val="12"/>
          <w:szCs w:val="12"/>
        </w:rPr>
        <w:t>copyright@edumail.vic.gov.au</w:t>
      </w:r>
    </w:hyperlink>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C5A6E" w14:textId="038200CB" w:rsidR="00397B05" w:rsidRDefault="00397B05" w:rsidP="00F84B6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7327B">
      <w:rPr>
        <w:rStyle w:val="PageNumber"/>
        <w:noProof/>
      </w:rPr>
      <w:t>24</w:t>
    </w:r>
    <w:r>
      <w:rPr>
        <w:rStyle w:val="PageNumber"/>
      </w:rPr>
      <w:fldChar w:fldCharType="end"/>
    </w:r>
  </w:p>
  <w:p w14:paraId="16D61271" w14:textId="77777777" w:rsidR="00397B05" w:rsidRDefault="00397B05"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6BE26" w14:textId="77777777" w:rsidR="00B64455" w:rsidRDefault="00B64455" w:rsidP="003967DD">
      <w:pPr>
        <w:spacing w:after="0"/>
      </w:pPr>
      <w:r>
        <w:separator/>
      </w:r>
    </w:p>
  </w:footnote>
  <w:footnote w:type="continuationSeparator" w:id="0">
    <w:p w14:paraId="7E12F63A" w14:textId="77777777" w:rsidR="00B64455" w:rsidRDefault="00B64455" w:rsidP="003967DD">
      <w:pPr>
        <w:spacing w:after="0"/>
      </w:pPr>
      <w:r>
        <w:continuationSeparator/>
      </w:r>
    </w:p>
  </w:footnote>
  <w:footnote w:id="1">
    <w:p w14:paraId="15FCB19A" w14:textId="104BCB80" w:rsidR="00397B05" w:rsidRPr="00831496" w:rsidRDefault="00397B05">
      <w:pPr>
        <w:pStyle w:val="FootnoteText"/>
        <w:rPr>
          <w:lang w:val="en-AU"/>
        </w:rPr>
      </w:pPr>
      <w:r>
        <w:rPr>
          <w:rStyle w:val="FootnoteReference"/>
        </w:rPr>
        <w:footnoteRef/>
      </w:r>
      <w:r>
        <w:t xml:space="preserve"> </w:t>
      </w:r>
      <w:r w:rsidRPr="00831496">
        <w:t>Fletcher, S. &amp; Strong, M. (2009). Full-release and site based mentoring of elementary grade new teachers: An analysis of changes in student achievement. New Educator, 5, 329-341.</w:t>
      </w:r>
    </w:p>
  </w:footnote>
  <w:footnote w:id="2">
    <w:p w14:paraId="3D5C3DF3" w14:textId="515EB883" w:rsidR="00397B05" w:rsidRPr="00831496" w:rsidRDefault="00397B05">
      <w:pPr>
        <w:pStyle w:val="FootnoteText"/>
        <w:rPr>
          <w:lang w:val="en-AU"/>
        </w:rPr>
      </w:pPr>
      <w:r>
        <w:rPr>
          <w:rStyle w:val="FootnoteReference"/>
        </w:rPr>
        <w:footnoteRef/>
      </w:r>
      <w:r>
        <w:t xml:space="preserve"> </w:t>
      </w:r>
      <w:r w:rsidRPr="00831496">
        <w:t>ibid.</w:t>
      </w:r>
    </w:p>
  </w:footnote>
  <w:footnote w:id="3">
    <w:p w14:paraId="39BB521A" w14:textId="43AF8560" w:rsidR="00397B05" w:rsidRPr="00331C73" w:rsidRDefault="00397B05">
      <w:pPr>
        <w:pStyle w:val="FootnoteText"/>
        <w:rPr>
          <w:lang w:val="en-AU"/>
        </w:rPr>
      </w:pPr>
      <w:r>
        <w:rPr>
          <w:rStyle w:val="FootnoteReference"/>
        </w:rPr>
        <w:footnoteRef/>
      </w:r>
      <w:r>
        <w:t xml:space="preserve"> </w:t>
      </w:r>
      <w:r w:rsidRPr="00831496">
        <w:t>Everton, C. &amp; Smithey, M. (2000). Mentoring effects on protégés classroom practice: An experimental field study. Journal of Educational Research, 93(5), 294-304.</w:t>
      </w:r>
    </w:p>
  </w:footnote>
  <w:footnote w:id="4">
    <w:p w14:paraId="66FB1462" w14:textId="05EDAB88" w:rsidR="00397B05" w:rsidRPr="00276D83" w:rsidRDefault="00397B05">
      <w:pPr>
        <w:pStyle w:val="FootnoteText"/>
        <w:rPr>
          <w:lang w:val="en-AU"/>
        </w:rPr>
      </w:pPr>
      <w:r>
        <w:rPr>
          <w:rStyle w:val="FootnoteReference"/>
        </w:rPr>
        <w:footnoteRef/>
      </w:r>
      <w:r>
        <w:t xml:space="preserve"> </w:t>
      </w:r>
      <w:r w:rsidRPr="00276D83">
        <w:t>Victorian Institute of Teaching (VIT). Moving to full registration. https://www.vit.vic.edu.au/registered-teacher/moving-to-full-registration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C0CA9" w14:textId="77777777" w:rsidR="0037327B" w:rsidRDefault="003732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25D12" w14:textId="1F5C21D0" w:rsidR="00397B05" w:rsidRDefault="00397B05" w:rsidP="00A63D55">
    <w:pPr>
      <w:pStyle w:val="Header"/>
      <w:tabs>
        <w:tab w:val="clear" w:pos="4513"/>
        <w:tab w:val="clear" w:pos="9026"/>
        <w:tab w:val="left" w:pos="1425"/>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783CE" w14:textId="77777777" w:rsidR="0037327B" w:rsidRDefault="003732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D1EB6" w14:textId="0E831469" w:rsidR="00397B05" w:rsidRDefault="00397B05" w:rsidP="00A63D55">
    <w:pPr>
      <w:pStyle w:val="Header"/>
      <w:tabs>
        <w:tab w:val="clear" w:pos="4513"/>
        <w:tab w:val="clear" w:pos="9026"/>
        <w:tab w:val="left" w:pos="1425"/>
      </w:tabs>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AD681" w14:textId="01EB98AA" w:rsidR="00397B05" w:rsidRDefault="00397B05" w:rsidP="00A63D55">
    <w:pPr>
      <w:pStyle w:val="Header"/>
      <w:tabs>
        <w:tab w:val="clear" w:pos="4513"/>
        <w:tab w:val="clear" w:pos="9026"/>
        <w:tab w:val="left" w:pos="14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256EC8"/>
    <w:multiLevelType w:val="hybridMultilevel"/>
    <w:tmpl w:val="948666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1503B5"/>
    <w:multiLevelType w:val="hybridMultilevel"/>
    <w:tmpl w:val="AA7E4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C73D6E"/>
    <w:multiLevelType w:val="hybridMultilevel"/>
    <w:tmpl w:val="CFC08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B064B1"/>
    <w:multiLevelType w:val="hybridMultilevel"/>
    <w:tmpl w:val="490CAD0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F31E4E"/>
    <w:multiLevelType w:val="hybridMultilevel"/>
    <w:tmpl w:val="B6C41FE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361FF2"/>
    <w:multiLevelType w:val="hybridMultilevel"/>
    <w:tmpl w:val="6B6689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DB2B97"/>
    <w:multiLevelType w:val="hybridMultilevel"/>
    <w:tmpl w:val="1796254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036C48"/>
    <w:multiLevelType w:val="hybridMultilevel"/>
    <w:tmpl w:val="8A52CD5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4E060BFE"/>
    <w:multiLevelType w:val="hybridMultilevel"/>
    <w:tmpl w:val="780C07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2D078B"/>
    <w:multiLevelType w:val="hybridMultilevel"/>
    <w:tmpl w:val="1B3891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8"/>
  </w:num>
  <w:num w:numId="13">
    <w:abstractNumId w:val="23"/>
  </w:num>
  <w:num w:numId="14">
    <w:abstractNumId w:val="24"/>
  </w:num>
  <w:num w:numId="15">
    <w:abstractNumId w:val="15"/>
  </w:num>
  <w:num w:numId="16">
    <w:abstractNumId w:val="15"/>
    <w:lvlOverride w:ilvl="0">
      <w:startOverride w:val="1"/>
    </w:lvlOverride>
  </w:num>
  <w:num w:numId="17">
    <w:abstractNumId w:val="21"/>
  </w:num>
  <w:num w:numId="18">
    <w:abstractNumId w:val="24"/>
  </w:num>
  <w:num w:numId="19">
    <w:abstractNumId w:val="24"/>
  </w:num>
  <w:num w:numId="20">
    <w:abstractNumId w:val="12"/>
  </w:num>
  <w:num w:numId="21">
    <w:abstractNumId w:val="24"/>
  </w:num>
  <w:num w:numId="22">
    <w:abstractNumId w:val="24"/>
  </w:num>
  <w:num w:numId="23">
    <w:abstractNumId w:val="24"/>
  </w:num>
  <w:num w:numId="24">
    <w:abstractNumId w:val="24"/>
  </w:num>
  <w:num w:numId="25">
    <w:abstractNumId w:val="13"/>
  </w:num>
  <w:num w:numId="26">
    <w:abstractNumId w:val="14"/>
  </w:num>
  <w:num w:numId="27">
    <w:abstractNumId w:val="19"/>
  </w:num>
  <w:num w:numId="28">
    <w:abstractNumId w:val="20"/>
  </w:num>
  <w:num w:numId="29">
    <w:abstractNumId w:val="16"/>
  </w:num>
  <w:num w:numId="30">
    <w:abstractNumId w:val="11"/>
  </w:num>
  <w:num w:numId="31">
    <w:abstractNumId w:val="22"/>
  </w:num>
  <w:num w:numId="32">
    <w:abstractNumId w:val="17"/>
  </w:num>
  <w:num w:numId="33">
    <w:abstractNumId w:val="25"/>
  </w:num>
  <w:num w:numId="34">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136A4"/>
    <w:rsid w:val="0001640E"/>
    <w:rsid w:val="0003465A"/>
    <w:rsid w:val="000465FC"/>
    <w:rsid w:val="00065195"/>
    <w:rsid w:val="0006773D"/>
    <w:rsid w:val="00083C9C"/>
    <w:rsid w:val="000A47D4"/>
    <w:rsid w:val="000A49EF"/>
    <w:rsid w:val="000B27D2"/>
    <w:rsid w:val="000B7A2B"/>
    <w:rsid w:val="000D0D92"/>
    <w:rsid w:val="000D62A6"/>
    <w:rsid w:val="00122369"/>
    <w:rsid w:val="00123242"/>
    <w:rsid w:val="00124D09"/>
    <w:rsid w:val="00141F23"/>
    <w:rsid w:val="0020266A"/>
    <w:rsid w:val="00207499"/>
    <w:rsid w:val="002136D9"/>
    <w:rsid w:val="00213ABD"/>
    <w:rsid w:val="00251351"/>
    <w:rsid w:val="00276D83"/>
    <w:rsid w:val="00286516"/>
    <w:rsid w:val="002970D9"/>
    <w:rsid w:val="002A4A96"/>
    <w:rsid w:val="002A7A8F"/>
    <w:rsid w:val="002B008D"/>
    <w:rsid w:val="002C2D34"/>
    <w:rsid w:val="002E3BED"/>
    <w:rsid w:val="0030257A"/>
    <w:rsid w:val="00312720"/>
    <w:rsid w:val="00323DD1"/>
    <w:rsid w:val="00330A66"/>
    <w:rsid w:val="00331C73"/>
    <w:rsid w:val="003376F3"/>
    <w:rsid w:val="00343D7F"/>
    <w:rsid w:val="003518BD"/>
    <w:rsid w:val="0037327B"/>
    <w:rsid w:val="003967DD"/>
    <w:rsid w:val="00396AF9"/>
    <w:rsid w:val="00397B05"/>
    <w:rsid w:val="003B1ACA"/>
    <w:rsid w:val="00420768"/>
    <w:rsid w:val="00427971"/>
    <w:rsid w:val="0045446B"/>
    <w:rsid w:val="004A7954"/>
    <w:rsid w:val="004F3B5C"/>
    <w:rsid w:val="004F5C2A"/>
    <w:rsid w:val="00507148"/>
    <w:rsid w:val="00507B15"/>
    <w:rsid w:val="00584366"/>
    <w:rsid w:val="0059677F"/>
    <w:rsid w:val="005C57E7"/>
    <w:rsid w:val="005C62E8"/>
    <w:rsid w:val="005D2696"/>
    <w:rsid w:val="00603882"/>
    <w:rsid w:val="00610D61"/>
    <w:rsid w:val="00624A55"/>
    <w:rsid w:val="00635C65"/>
    <w:rsid w:val="006621B2"/>
    <w:rsid w:val="00674A9A"/>
    <w:rsid w:val="00685432"/>
    <w:rsid w:val="0068683F"/>
    <w:rsid w:val="006A25AC"/>
    <w:rsid w:val="006C0F56"/>
    <w:rsid w:val="006D40D7"/>
    <w:rsid w:val="00736FB0"/>
    <w:rsid w:val="00744E46"/>
    <w:rsid w:val="007549D4"/>
    <w:rsid w:val="007600F6"/>
    <w:rsid w:val="007A07F2"/>
    <w:rsid w:val="007B556E"/>
    <w:rsid w:val="007B5834"/>
    <w:rsid w:val="007D0752"/>
    <w:rsid w:val="007D1FB1"/>
    <w:rsid w:val="007D3E38"/>
    <w:rsid w:val="007D77BD"/>
    <w:rsid w:val="007E4CDA"/>
    <w:rsid w:val="007F2207"/>
    <w:rsid w:val="00831496"/>
    <w:rsid w:val="00890166"/>
    <w:rsid w:val="0089606B"/>
    <w:rsid w:val="008A1856"/>
    <w:rsid w:val="008C6C2E"/>
    <w:rsid w:val="008C78AF"/>
    <w:rsid w:val="008F494F"/>
    <w:rsid w:val="0090063D"/>
    <w:rsid w:val="009101FB"/>
    <w:rsid w:val="009731C9"/>
    <w:rsid w:val="0098200E"/>
    <w:rsid w:val="009A0367"/>
    <w:rsid w:val="009D64B6"/>
    <w:rsid w:val="009E2CFE"/>
    <w:rsid w:val="009F3460"/>
    <w:rsid w:val="009F7F6C"/>
    <w:rsid w:val="00A03350"/>
    <w:rsid w:val="00A30702"/>
    <w:rsid w:val="00A31926"/>
    <w:rsid w:val="00A63D55"/>
    <w:rsid w:val="00A724F4"/>
    <w:rsid w:val="00A75890"/>
    <w:rsid w:val="00AE324B"/>
    <w:rsid w:val="00AE4E80"/>
    <w:rsid w:val="00AF668E"/>
    <w:rsid w:val="00B04CD2"/>
    <w:rsid w:val="00B211E6"/>
    <w:rsid w:val="00B22A57"/>
    <w:rsid w:val="00B5671B"/>
    <w:rsid w:val="00B64455"/>
    <w:rsid w:val="00B76BB1"/>
    <w:rsid w:val="00BE63CA"/>
    <w:rsid w:val="00C07463"/>
    <w:rsid w:val="00C87EAE"/>
    <w:rsid w:val="00CC23CE"/>
    <w:rsid w:val="00CD5409"/>
    <w:rsid w:val="00D013E1"/>
    <w:rsid w:val="00D1104C"/>
    <w:rsid w:val="00D252AE"/>
    <w:rsid w:val="00D65FD9"/>
    <w:rsid w:val="00D67290"/>
    <w:rsid w:val="00D92FB1"/>
    <w:rsid w:val="00DA3218"/>
    <w:rsid w:val="00DA57D1"/>
    <w:rsid w:val="00DA5F30"/>
    <w:rsid w:val="00DC17C3"/>
    <w:rsid w:val="00DD3F70"/>
    <w:rsid w:val="00DE1FF3"/>
    <w:rsid w:val="00DF3442"/>
    <w:rsid w:val="00E03CE0"/>
    <w:rsid w:val="00E50519"/>
    <w:rsid w:val="00EB027C"/>
    <w:rsid w:val="00EB4033"/>
    <w:rsid w:val="00F35C82"/>
    <w:rsid w:val="00F84B66"/>
    <w:rsid w:val="00FD3E08"/>
    <w:rsid w:val="00FD3F70"/>
    <w:rsid w:val="00FE3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DA5F30"/>
    <w:pPr>
      <w:tabs>
        <w:tab w:val="right" w:leader="dot" w:pos="9639"/>
      </w:tabs>
      <w:spacing w:after="100" w:line="240" w:lineRule="atLeast"/>
    </w:pPr>
    <w:rPr>
      <w:rFonts w:ascii="Arial" w:eastAsiaTheme="minorEastAsia" w:hAnsi="Arial" w:cs="Arial"/>
      <w:b/>
      <w:color w:val="AF272F"/>
      <w:szCs w:val="18"/>
      <w:lang w:val="en-US"/>
    </w:rPr>
  </w:style>
  <w:style w:type="paragraph" w:styleId="TOC2">
    <w:name w:val="toc 2"/>
    <w:basedOn w:val="Normal"/>
    <w:next w:val="Normal"/>
    <w:autoRedefine/>
    <w:uiPriority w:val="39"/>
    <w:unhideWhenUsed/>
    <w:rsid w:val="00DA5F30"/>
    <w:pPr>
      <w:spacing w:after="100" w:line="240" w:lineRule="atLeast"/>
      <w:ind w:left="180"/>
    </w:pPr>
    <w:rPr>
      <w:rFonts w:ascii="Arial" w:eastAsiaTheme="minorEastAsia" w:hAnsi="Arial" w:cs="Arial"/>
      <w:color w:val="AF272F"/>
      <w:szCs w:val="18"/>
      <w:lang w:val="en-US"/>
    </w:rPr>
  </w:style>
  <w:style w:type="paragraph" w:customStyle="1" w:styleId="Figuretitle">
    <w:name w:val="Figure title"/>
    <w:basedOn w:val="Normal"/>
    <w:qFormat/>
    <w:rsid w:val="00141F23"/>
    <w:rPr>
      <w:b/>
      <w:color w:val="AF272F"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AF272F"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B76BB1"/>
    <w:rPr>
      <w:color w:val="004EA8" w:themeColor="hyperlink"/>
      <w:u w:val="single"/>
    </w:rPr>
  </w:style>
  <w:style w:type="character" w:customStyle="1" w:styleId="apple-converted-space">
    <w:name w:val="apple-converted-space"/>
    <w:basedOn w:val="DefaultParagraphFont"/>
    <w:rsid w:val="007F2207"/>
  </w:style>
  <w:style w:type="character" w:styleId="Strong">
    <w:name w:val="Strong"/>
    <w:basedOn w:val="DefaultParagraphFont"/>
    <w:uiPriority w:val="22"/>
    <w:qFormat/>
    <w:rsid w:val="0089606B"/>
    <w:rPr>
      <w:b/>
      <w:bCs/>
    </w:rPr>
  </w:style>
  <w:style w:type="paragraph" w:styleId="IntenseQuote">
    <w:name w:val="Intense Quote"/>
    <w:basedOn w:val="Normal"/>
    <w:next w:val="Normal"/>
    <w:link w:val="IntenseQuoteChar"/>
    <w:uiPriority w:val="30"/>
    <w:qFormat/>
    <w:rsid w:val="00C87EAE"/>
    <w:pPr>
      <w:pBdr>
        <w:top w:val="single" w:sz="4" w:space="10" w:color="AF272F" w:themeColor="accent1"/>
        <w:bottom w:val="single" w:sz="4" w:space="10" w:color="AF272F" w:themeColor="accent1"/>
      </w:pBdr>
      <w:spacing w:before="360" w:after="360"/>
      <w:ind w:left="864" w:right="864"/>
      <w:jc w:val="center"/>
    </w:pPr>
    <w:rPr>
      <w:i/>
      <w:iCs/>
      <w:color w:val="AF272F" w:themeColor="accent1"/>
    </w:rPr>
  </w:style>
  <w:style w:type="character" w:customStyle="1" w:styleId="IntenseQuoteChar">
    <w:name w:val="Intense Quote Char"/>
    <w:basedOn w:val="DefaultParagraphFont"/>
    <w:link w:val="IntenseQuote"/>
    <w:uiPriority w:val="30"/>
    <w:rsid w:val="00C87EAE"/>
    <w:rPr>
      <w:i/>
      <w:iCs/>
      <w:color w:val="AF272F" w:themeColor="accent1"/>
      <w:sz w:val="22"/>
    </w:rPr>
  </w:style>
  <w:style w:type="paragraph" w:styleId="BalloonText">
    <w:name w:val="Balloon Text"/>
    <w:basedOn w:val="Normal"/>
    <w:link w:val="BalloonTextChar"/>
    <w:uiPriority w:val="99"/>
    <w:semiHidden/>
    <w:unhideWhenUsed/>
    <w:rsid w:val="00D6729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290"/>
    <w:rPr>
      <w:rFonts w:ascii="Segoe UI" w:hAnsi="Segoe UI" w:cs="Segoe UI"/>
      <w:sz w:val="18"/>
      <w:szCs w:val="18"/>
    </w:rPr>
  </w:style>
  <w:style w:type="paragraph" w:styleId="ListParagraph">
    <w:name w:val="List Paragraph"/>
    <w:basedOn w:val="Normal"/>
    <w:uiPriority w:val="34"/>
    <w:qFormat/>
    <w:rsid w:val="00D67290"/>
    <w:pPr>
      <w:ind w:left="720"/>
      <w:contextualSpacing/>
    </w:pPr>
  </w:style>
  <w:style w:type="character" w:styleId="SubtleEmphasis">
    <w:name w:val="Subtle Emphasis"/>
    <w:basedOn w:val="DefaultParagraphFont"/>
    <w:uiPriority w:val="19"/>
    <w:qFormat/>
    <w:rsid w:val="00A30702"/>
    <w:rPr>
      <w:i/>
      <w:iCs/>
      <w:color w:val="404040" w:themeColor="text1" w:themeTint="BF"/>
    </w:rPr>
  </w:style>
  <w:style w:type="character" w:styleId="FollowedHyperlink">
    <w:name w:val="FollowedHyperlink"/>
    <w:basedOn w:val="DefaultParagraphFont"/>
    <w:uiPriority w:val="99"/>
    <w:semiHidden/>
    <w:unhideWhenUsed/>
    <w:rsid w:val="002A7A8F"/>
    <w:rPr>
      <w:color w:val="87189D" w:themeColor="followedHyperlink"/>
      <w:u w:val="single"/>
    </w:rPr>
  </w:style>
  <w:style w:type="character" w:styleId="IntenseEmphasis">
    <w:name w:val="Intense Emphasis"/>
    <w:basedOn w:val="DefaultParagraphFont"/>
    <w:uiPriority w:val="21"/>
    <w:qFormat/>
    <w:rsid w:val="00DA57D1"/>
    <w:rPr>
      <w:i/>
      <w:iCs/>
      <w:color w:val="AF272F" w:themeColor="accent1"/>
    </w:rPr>
  </w:style>
  <w:style w:type="character" w:styleId="CommentReference">
    <w:name w:val="annotation reference"/>
    <w:basedOn w:val="DefaultParagraphFont"/>
    <w:uiPriority w:val="99"/>
    <w:semiHidden/>
    <w:unhideWhenUsed/>
    <w:rsid w:val="00331C73"/>
    <w:rPr>
      <w:sz w:val="16"/>
      <w:szCs w:val="16"/>
    </w:rPr>
  </w:style>
  <w:style w:type="paragraph" w:styleId="CommentText">
    <w:name w:val="annotation text"/>
    <w:basedOn w:val="Normal"/>
    <w:link w:val="CommentTextChar"/>
    <w:uiPriority w:val="99"/>
    <w:semiHidden/>
    <w:unhideWhenUsed/>
    <w:rsid w:val="00331C73"/>
    <w:rPr>
      <w:sz w:val="20"/>
      <w:szCs w:val="20"/>
    </w:rPr>
  </w:style>
  <w:style w:type="character" w:customStyle="1" w:styleId="CommentTextChar">
    <w:name w:val="Comment Text Char"/>
    <w:basedOn w:val="DefaultParagraphFont"/>
    <w:link w:val="CommentText"/>
    <w:uiPriority w:val="99"/>
    <w:semiHidden/>
    <w:rsid w:val="00331C73"/>
    <w:rPr>
      <w:sz w:val="20"/>
      <w:szCs w:val="20"/>
    </w:rPr>
  </w:style>
  <w:style w:type="paragraph" w:styleId="CommentSubject">
    <w:name w:val="annotation subject"/>
    <w:basedOn w:val="CommentText"/>
    <w:next w:val="CommentText"/>
    <w:link w:val="CommentSubjectChar"/>
    <w:uiPriority w:val="99"/>
    <w:semiHidden/>
    <w:unhideWhenUsed/>
    <w:rsid w:val="00331C73"/>
    <w:rPr>
      <w:b/>
      <w:bCs/>
    </w:rPr>
  </w:style>
  <w:style w:type="character" w:customStyle="1" w:styleId="CommentSubjectChar">
    <w:name w:val="Comment Subject Char"/>
    <w:basedOn w:val="CommentTextChar"/>
    <w:link w:val="CommentSubject"/>
    <w:uiPriority w:val="99"/>
    <w:semiHidden/>
    <w:rsid w:val="00331C73"/>
    <w:rPr>
      <w:b/>
      <w:bCs/>
      <w:sz w:val="20"/>
      <w:szCs w:val="20"/>
    </w:rPr>
  </w:style>
  <w:style w:type="character" w:styleId="Emphasis">
    <w:name w:val="Emphasis"/>
    <w:basedOn w:val="DefaultParagraphFont"/>
    <w:uiPriority w:val="20"/>
    <w:qFormat/>
    <w:rsid w:val="006868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vcaa.vic.edu.au/Pages/excellenceawards/seasonofexcellence/index.aspx" TargetMode="External"/><Relationship Id="rId21" Type="http://schemas.openxmlformats.org/officeDocument/2006/relationships/image" Target="media/image2.png"/><Relationship Id="rId42" Type="http://schemas.openxmlformats.org/officeDocument/2006/relationships/hyperlink" Target="https://www.aitsl.edu.au/teach/start-your-career/my-induction-app" TargetMode="External"/><Relationship Id="rId63" Type="http://schemas.openxmlformats.org/officeDocument/2006/relationships/hyperlink" Target="https://www.education.vic.gov.au/school/principals/spag/pages/spag.aspx" TargetMode="External"/><Relationship Id="rId84" Type="http://schemas.openxmlformats.org/officeDocument/2006/relationships/hyperlink" Target="https://www.education.vic.gov.au/hrweb/divequity/Pages/default_eeo.aspx" TargetMode="External"/><Relationship Id="rId138" Type="http://schemas.openxmlformats.org/officeDocument/2006/relationships/fontTable" Target="fontTable.xml"/><Relationship Id="rId107" Type="http://schemas.openxmlformats.org/officeDocument/2006/relationships/hyperlink" Target="https://www.deafeducation.vic.edu.au/Pages/home.aspx" TargetMode="External"/><Relationship Id="rId11" Type="http://schemas.openxmlformats.org/officeDocument/2006/relationships/footer" Target="footer2.xml"/><Relationship Id="rId32" Type="http://schemas.openxmlformats.org/officeDocument/2006/relationships/hyperlink" Target="https://www.education.vic.gov.au/school/teachers/profdev/Pages/induction.aspx" TargetMode="External"/><Relationship Id="rId37" Type="http://schemas.openxmlformats.org/officeDocument/2006/relationships/hyperlink" Target="https://www.education.vic.gov.au/school/teachers/classrooms/Pages/effecmentor.aspx" TargetMode="External"/><Relationship Id="rId53" Type="http://schemas.openxmlformats.org/officeDocument/2006/relationships/hyperlink" Target="https://www.education.vic.gov.au/school/teachers/management/improvement/Pages/improvement-model.aspx" TargetMode="External"/><Relationship Id="rId58" Type="http://schemas.openxmlformats.org/officeDocument/2006/relationships/hyperlink" Target="https://edugate.eduweb.vic.gov.au/sites/i/Pages/production.aspx" TargetMode="External"/><Relationship Id="rId74" Type="http://schemas.openxmlformats.org/officeDocument/2006/relationships/hyperlink" Target="https://www.education.vic.gov.au/school/teachers/teachingresources/practice/improve/Pages/principlesexcellence.aspx" TargetMode="External"/><Relationship Id="rId79" Type="http://schemas.openxmlformats.org/officeDocument/2006/relationships/hyperlink" Target="https://www.education.vic.gov.au/school/teachers/teachingresources/discipline/maths/Pages/numeracyportal.aspx" TargetMode="External"/><Relationship Id="rId102" Type="http://schemas.openxmlformats.org/officeDocument/2006/relationships/hyperlink" Target="https://www.education.vic.gov.au/school/teachers/behaviour/Pages/default.aspx" TargetMode="External"/><Relationship Id="rId123" Type="http://schemas.openxmlformats.org/officeDocument/2006/relationships/hyperlink" Target="https://www.education.vic.gov.au/school/teachers/management/improvement/Pages/FISO.aspx" TargetMode="External"/><Relationship Id="rId128" Type="http://schemas.openxmlformats.org/officeDocument/2006/relationships/hyperlink" Target="https://www.education.vic.gov.au/school/teachers/teachingresources/practice/improve/Pages/Victorianteachingandlearningmodel.aspx" TargetMode="External"/><Relationship Id="rId5" Type="http://schemas.openxmlformats.org/officeDocument/2006/relationships/webSettings" Target="webSettings.xml"/><Relationship Id="rId90" Type="http://schemas.openxmlformats.org/officeDocument/2006/relationships/hyperlink" Target="https://www.education.vic.gov.au/about/programs/bullystoppers/Pages/socialmedia.aspx" TargetMode="External"/><Relationship Id="rId95" Type="http://schemas.openxmlformats.org/officeDocument/2006/relationships/hyperlink" Target="https://www.education.vic.gov.au/hrweb/safetyhw/Pages/workplacebullying.aspx" TargetMode="External"/><Relationship Id="rId22" Type="http://schemas.openxmlformats.org/officeDocument/2006/relationships/hyperlink" Target="https://www.aitsl.edu.au/tools-resources/resource/graduate-to-proficient-australian-guidelines-for-teacher-induction-into-the-profession" TargetMode="External"/><Relationship Id="rId27" Type="http://schemas.openxmlformats.org/officeDocument/2006/relationships/hyperlink" Target="%20https:/edugate.eduweb.vic.gov.au/edrms/keyprocess/%20teachers-induction/Pages/Home.aspx" TargetMode="External"/><Relationship Id="rId43" Type="http://schemas.openxmlformats.org/officeDocument/2006/relationships/hyperlink" Target="https://www.aitsl.edu.au/teach/start-your-career/my-induction-app" TargetMode="External"/><Relationship Id="rId48" Type="http://schemas.openxmlformats.org/officeDocument/2006/relationships/hyperlink" Target="https://www.education.vic.gov.au/school/teachers/teachingresources/practice/improve/Pages/Victorianteachingandlearningmodel.aspx" TargetMode="External"/><Relationship Id="rId64" Type="http://schemas.openxmlformats.org/officeDocument/2006/relationships/hyperlink" Target="https://www.aitsl.edu.au/tools-resources/resource/my-induction-app" TargetMode="External"/><Relationship Id="rId69" Type="http://schemas.openxmlformats.org/officeDocument/2006/relationships/hyperlink" Target="https://www.education.vic.gov.au/hrweb/safetyhw/Pages/employeeservices.aspx" TargetMode="External"/><Relationship Id="rId113" Type="http://schemas.openxmlformats.org/officeDocument/2006/relationships/hyperlink" Target="https://www.vcaa.vic.edu.au/pages/foundation10/f10index.aspx" TargetMode="External"/><Relationship Id="rId118" Type="http://schemas.openxmlformats.org/officeDocument/2006/relationships/hyperlink" Target="https://www.education.vic.gov.au/about/programs/Pages/marrung.aspx" TargetMode="External"/><Relationship Id="rId134" Type="http://schemas.openxmlformats.org/officeDocument/2006/relationships/hyperlink" Target="https://www.education.vic.gov.au/school/teachers/teachingresources/practice/improve/Pages/amplify.aspx" TargetMode="External"/><Relationship Id="rId139" Type="http://schemas.openxmlformats.org/officeDocument/2006/relationships/theme" Target="theme/theme1.xml"/><Relationship Id="rId80" Type="http://schemas.openxmlformats.org/officeDocument/2006/relationships/hyperlink" Target="https://www.education.vic.gov.au/school/teachers/teachingresources/practice/improve/Pages/peerobservation.aspx" TargetMode="External"/><Relationship Id="rId85" Type="http://schemas.openxmlformats.org/officeDocument/2006/relationships/hyperlink" Target="https://www.education.vic.gov.au/school/principals/spag/governance/pages/gifts.aspx" TargetMode="External"/><Relationship Id="rId12" Type="http://schemas.openxmlformats.org/officeDocument/2006/relationships/header" Target="header3.xml"/><Relationship Id="rId17" Type="http://schemas.openxmlformats.org/officeDocument/2006/relationships/header" Target="header4.xml"/><Relationship Id="rId33" Type="http://schemas.openxmlformats.org/officeDocument/2006/relationships/hyperlink" Target="https://www.education.vic.gov.au/school/teachers/profdev/Pages/induction.aspx" TargetMode="External"/><Relationship Id="rId38" Type="http://schemas.openxmlformats.org/officeDocument/2006/relationships/hyperlink" Target="https://www.education.vic.gov.au/school/teachers/profdev/Pages/mentor.aspx" TargetMode="External"/><Relationship Id="rId59" Type="http://schemas.openxmlformats.org/officeDocument/2006/relationships/hyperlink" Target="https://www.education.vic.gov.au/hrweb/Documents/PublicSectorValues-SchoolGuide.pdf" TargetMode="External"/><Relationship Id="rId103" Type="http://schemas.openxmlformats.org/officeDocument/2006/relationships/hyperlink" Target="https://www.education.vic.gov.au/school/teachers/health/Pages/default.aspx" TargetMode="External"/><Relationship Id="rId108" Type="http://schemas.openxmlformats.org/officeDocument/2006/relationships/hyperlink" Target="https://www.education.vic.gov.au/school/teachers/classrooms/Pages/resourcesinclusion.aspx" TargetMode="External"/><Relationship Id="rId124" Type="http://schemas.openxmlformats.org/officeDocument/2006/relationships/hyperlink" Target="https://www.education.vic.gov.au/school/teachers/teachingresources/discipline/english/Pages/literacyportal.aspx" TargetMode="External"/><Relationship Id="rId129" Type="http://schemas.openxmlformats.org/officeDocument/2006/relationships/hyperlink" Target="https://www.education.vic.gov.au/school/teachers/teachingresources/practice/improve/Pages/principlesexcellence.aspx" TargetMode="External"/><Relationship Id="rId54" Type="http://schemas.openxmlformats.org/officeDocument/2006/relationships/hyperlink" Target="https://www.education.vic.gov.au/school/teachers/teachingresources/practice/improve/Pages/Victorianteachingandlearningmodel.aspx" TargetMode="External"/><Relationship Id="rId70" Type="http://schemas.openxmlformats.org/officeDocument/2006/relationships/hyperlink" Target="https://www.education.vic.gov.au/Documents/school/principals/management/firstaidinfectctrl.docx" TargetMode="External"/><Relationship Id="rId75" Type="http://schemas.openxmlformats.org/officeDocument/2006/relationships/hyperlink" Target="https://www.education.vic.gov.au/school/teachers/teachingresources/practice/improve/Pages/hits.aspx" TargetMode="External"/><Relationship Id="rId91" Type="http://schemas.openxmlformats.org/officeDocument/2006/relationships/hyperlink" Target="https://www.education.vic.gov.au/about/educationstate/Pages/default.aspx" TargetMode="External"/><Relationship Id="rId96" Type="http://schemas.openxmlformats.org/officeDocument/2006/relationships/hyperlink" Target="https://www.education.vic.gov.au/hrweb/workm/Pages/Human_Rights.aspx" TargetMode="External"/><Relationship Id="rId14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3.png"/><Relationship Id="rId28" Type="http://schemas.openxmlformats.org/officeDocument/2006/relationships/hyperlink" Target="https://www.education.vic.gov.au/hrweb/workm/Pages/probTS.aspx" TargetMode="External"/><Relationship Id="rId49" Type="http://schemas.openxmlformats.org/officeDocument/2006/relationships/hyperlink" Target="http://victoriancurriculum.vcaa.vic.edu.au/" TargetMode="External"/><Relationship Id="rId114" Type="http://schemas.openxmlformats.org/officeDocument/2006/relationships/hyperlink" Target="https://www.vcaa.vic.edu.au/Pages/prep10/naplan/index.aspx" TargetMode="External"/><Relationship Id="rId119" Type="http://schemas.openxmlformats.org/officeDocument/2006/relationships/hyperlink" Target="https://www.education.vic.gov.au/about/programs/Pages/marrung.aspx" TargetMode="External"/><Relationship Id="rId44" Type="http://schemas.openxmlformats.org/officeDocument/2006/relationships/hyperlink" Target="https://www.aitsl.edu.au/" TargetMode="External"/><Relationship Id="rId60" Type="http://schemas.openxmlformats.org/officeDocument/2006/relationships/hyperlink" Target="https://www.education.vic.gov.au/about/programs/health/protect/Pages/default.aspx" TargetMode="External"/><Relationship Id="rId65" Type="http://schemas.openxmlformats.org/officeDocument/2006/relationships/hyperlink" Target="https://www.vcaa.vic.edu.au/" TargetMode="External"/><Relationship Id="rId81" Type="http://schemas.openxmlformats.org/officeDocument/2006/relationships/hyperlink" Target="https://www.education.vic.gov.au/hrweb/workm/Pages/Conflict-of-Interest.aspx" TargetMode="External"/><Relationship Id="rId86" Type="http://schemas.openxmlformats.org/officeDocument/2006/relationships/hyperlink" Target="https://www.education.vic.gov.au/hrweb/Documents/Sexual_Harassment_Policy.pdf" TargetMode="External"/><Relationship Id="rId130" Type="http://schemas.openxmlformats.org/officeDocument/2006/relationships/hyperlink" Target="https://www.education.vic.gov.au/school/teachers/teachingresources/practice/improve/Pages/principlesexcellence.aspx" TargetMode="External"/><Relationship Id="rId135" Type="http://schemas.openxmlformats.org/officeDocument/2006/relationships/hyperlink" Target="https://www.education.vic.gov.au/school/teachers/teachingresources/practice/improve/Pages/default.aspx" TargetMode="External"/><Relationship Id="rId13" Type="http://schemas.openxmlformats.org/officeDocument/2006/relationships/footer" Target="footer3.xml"/><Relationship Id="rId18" Type="http://schemas.openxmlformats.org/officeDocument/2006/relationships/footer" Target="footer4.xml"/><Relationship Id="rId39" Type="http://schemas.openxmlformats.org/officeDocument/2006/relationships/hyperlink" Target="https://www.education.vic.gov.au/school/teachers/management/improvement/plc/Pages/default.aspx" TargetMode="External"/><Relationship Id="rId109" Type="http://schemas.openxmlformats.org/officeDocument/2006/relationships/hyperlink" Target="https://www.education.vic.gov.au/school/teachers/support/diversity/eal/continuum/Pages/teachstrat.aspxv" TargetMode="External"/><Relationship Id="rId34" Type="http://schemas.openxmlformats.org/officeDocument/2006/relationships/hyperlink" Target="https://www.education.vic.gov.au/school/teachers/teachingresources/practice/improve/Pages/peerobservation.aspx" TargetMode="External"/><Relationship Id="rId50" Type="http://schemas.openxmlformats.org/officeDocument/2006/relationships/hyperlink" Target="https://www.education.vic.gov.au/school/teachers/teachingresources/practice/improve/Pages/default.aspx?Redirect=1" TargetMode="External"/><Relationship Id="rId55" Type="http://schemas.openxmlformats.org/officeDocument/2006/relationships/hyperlink" Target="https://www.education.vic.gov.au/about/department/Pages/default.aspx" TargetMode="External"/><Relationship Id="rId76" Type="http://schemas.openxmlformats.org/officeDocument/2006/relationships/hyperlink" Target="https://www.education.vic.gov.au/school/teachers/teachingresources/practice/improve/Pages/amplify.aspx" TargetMode="External"/><Relationship Id="rId97" Type="http://schemas.openxmlformats.org/officeDocument/2006/relationships/hyperlink" Target="https://www.vit.vic.edu.au/registering-as-a-teacher" TargetMode="External"/><Relationship Id="rId104" Type="http://schemas.openxmlformats.org/officeDocument/2006/relationships/hyperlink" Target="https://www.education.vic.gov.au/school/principals/spag/participation/Pages/studentswithdisability.aspx" TargetMode="External"/><Relationship Id="rId120" Type="http://schemas.openxmlformats.org/officeDocument/2006/relationships/hyperlink" Target="https://www.education.vic.gov.au/school/teachers/management/improvement/Pages/improvement-cycle.aspx" TargetMode="External"/><Relationship Id="rId125" Type="http://schemas.openxmlformats.org/officeDocument/2006/relationships/hyperlink" Target="https://www.education.vic.gov.au/school/teachers/teachingresources/discipline/maths/Pages/numeracyportal.aspx" TargetMode="External"/><Relationship Id="rId141" Type="http://schemas.openxmlformats.org/officeDocument/2006/relationships/customXml" Target="../customXml/item3.xml"/><Relationship Id="rId7" Type="http://schemas.openxmlformats.org/officeDocument/2006/relationships/endnotes" Target="endnotes.xml"/><Relationship Id="rId71" Type="http://schemas.openxmlformats.org/officeDocument/2006/relationships/hyperlink" Target="http://www.elearn.com.au/det/protectingchildren/schools/" TargetMode="External"/><Relationship Id="rId92" Type="http://schemas.openxmlformats.org/officeDocument/2006/relationships/hyperlink" Target="https://edugate.eduweb.vic.gov.au/edrms/project/fiso/SitePages/Home.aspx" TargetMode="External"/><Relationship Id="rId2" Type="http://schemas.openxmlformats.org/officeDocument/2006/relationships/numbering" Target="numbering.xml"/><Relationship Id="rId29" Type="http://schemas.openxmlformats.org/officeDocument/2006/relationships/hyperlink" Target="https://www.aitsl.edu.au/teach/standards" TargetMode="External"/><Relationship Id="rId24" Type="http://schemas.openxmlformats.org/officeDocument/2006/relationships/hyperlink" Target="https://edugate.eduweb.vic.gov.au/sites/i/Pages/production.aspx" TargetMode="External"/><Relationship Id="rId40" Type="http://schemas.openxmlformats.org/officeDocument/2006/relationships/image" Target="media/image5.png"/><Relationship Id="rId45" Type="http://schemas.openxmlformats.org/officeDocument/2006/relationships/hyperlink" Target="https://www.education.vic.gov.au/hrweb/divequity/Pages/WCONet.aspx" TargetMode="External"/><Relationship Id="rId66" Type="http://schemas.openxmlformats.org/officeDocument/2006/relationships/hyperlink" Target="https://www.education.vic.gov.au/Documents/school/principals/management/ohspolicy.docx" TargetMode="External"/><Relationship Id="rId87" Type="http://schemas.openxmlformats.org/officeDocument/2006/relationships/hyperlink" Target="https://edugate.eduweb.vic.gov.au/edrms/collaboration/PD/GPS/_layouts/15/WopiFrame2.aspx?sourcedoc=/edrms/collaboration/PD/GPS/Policy%20Library/DET%20Travel%20Policy.docx&amp;action=default" TargetMode="External"/><Relationship Id="rId110" Type="http://schemas.openxmlformats.org/officeDocument/2006/relationships/hyperlink" Target="https://edugate.eduweb.vic.gov.au/sites/i/pages/production.aspx" TargetMode="External"/><Relationship Id="rId115" Type="http://schemas.openxmlformats.org/officeDocument/2006/relationships/hyperlink" Target="https://www.vcaa.vic.edu.au/Pages/vce/index.aspx" TargetMode="External"/><Relationship Id="rId131" Type="http://schemas.openxmlformats.org/officeDocument/2006/relationships/hyperlink" Target="https://www.education.vic.gov.au/school/teachers/teachingresources/practice/improve/Pages/pedagogical-model.aspx" TargetMode="External"/><Relationship Id="rId136" Type="http://schemas.openxmlformats.org/officeDocument/2006/relationships/header" Target="header5.xml"/><Relationship Id="rId61" Type="http://schemas.openxmlformats.org/officeDocument/2006/relationships/hyperlink" Target="https://www.education.vic.gov.au/hrweb/employcond/Pages/extemp.aspx" TargetMode="External"/><Relationship Id="rId82" Type="http://schemas.openxmlformats.org/officeDocument/2006/relationships/hyperlink" Target="https://www.education.vic.gov.au/school/teachers/management/infrastructure/pages/acceptableuse.aspx" TargetMode="External"/><Relationship Id="rId19" Type="http://schemas.openxmlformats.org/officeDocument/2006/relationships/image" Target="media/image1.png"/><Relationship Id="rId14" Type="http://schemas.openxmlformats.org/officeDocument/2006/relationships/hyperlink" Target="https://www.education.vic.gov.au/school/teachers/profdev/Pages/induction.aspx" TargetMode="External"/><Relationship Id="rId30" Type="http://schemas.openxmlformats.org/officeDocument/2006/relationships/hyperlink" Target="http://www.vit.vic.edu.au/registered-teacher/moving-to-full-registration" TargetMode="External"/><Relationship Id="rId35" Type="http://schemas.openxmlformats.org/officeDocument/2006/relationships/hyperlink" Target="https://www.education.vic.gov.au/school/teachers/teachingresources/practice/improve/Pages/peerobservation.aspx?&amp;Redirect=1" TargetMode="External"/><Relationship Id="rId56" Type="http://schemas.openxmlformats.org/officeDocument/2006/relationships/hyperlink" Target="https://www.education.vic.gov.au/hrweb/employcond/Pages/certagree.aspx" TargetMode="External"/><Relationship Id="rId77" Type="http://schemas.openxmlformats.org/officeDocument/2006/relationships/hyperlink" Target="https://www.education.vic.gov.au/school/teachers/teachingresources/practice/improve/Pages/amplify.aspx" TargetMode="External"/><Relationship Id="rId100" Type="http://schemas.openxmlformats.org/officeDocument/2006/relationships/hyperlink" Target="https://www.education.vic.gov.au/school/teachers/health/Pages/oohcedplans.aspx" TargetMode="External"/><Relationship Id="rId105" Type="http://schemas.openxmlformats.org/officeDocument/2006/relationships/hyperlink" Target="https://www.aitsl.edu.au/" TargetMode="External"/><Relationship Id="rId126" Type="http://schemas.openxmlformats.org/officeDocument/2006/relationships/hyperlink" Target="https://www.education.vic.gov.au/school/teachers/teachingresources/discipline/english/Pages/litnumstrategy.aspx" TargetMode="External"/><Relationship Id="rId8" Type="http://schemas.openxmlformats.org/officeDocument/2006/relationships/header" Target="header1.xml"/><Relationship Id="rId51" Type="http://schemas.openxmlformats.org/officeDocument/2006/relationships/hyperlink" Target="https://www.vit.vic.edu.au/__data/assets/pdf_file/0020/15419/PRT-guide-to-full-registration-2018.pdf" TargetMode="External"/><Relationship Id="rId72" Type="http://schemas.openxmlformats.org/officeDocument/2006/relationships/hyperlink" Target="https://www.education.vic.gov.au/hrweb/safetyhw/Pages/ohsinduction.aspx" TargetMode="External"/><Relationship Id="rId93" Type="http://schemas.openxmlformats.org/officeDocument/2006/relationships/hyperlink" Target="https://www.vcaa.vic.edu.au/Pages/insightplatform/index.aspx" TargetMode="External"/><Relationship Id="rId98" Type="http://schemas.openxmlformats.org/officeDocument/2006/relationships/hyperlink" Target="https://www.aitsl.edu.au/teach/standards" TargetMode="External"/><Relationship Id="rId121" Type="http://schemas.openxmlformats.org/officeDocument/2006/relationships/hyperlink" Target="https://www.education.vic.gov.au/school/teachers/management/improvement/Pages/improvement-model.aspx" TargetMode="External"/><Relationship Id="rId142" Type="http://schemas.openxmlformats.org/officeDocument/2006/relationships/customXml" Target="../customXml/item4.xml"/><Relationship Id="rId3" Type="http://schemas.openxmlformats.org/officeDocument/2006/relationships/styles" Target="styles.xml"/><Relationship Id="rId25" Type="http://schemas.openxmlformats.org/officeDocument/2006/relationships/hyperlink" Target="https://www.education.vic.gov.au/hrweb/Documents/PublicSectorValues-SchoolGuide.pdf" TargetMode="External"/><Relationship Id="rId46" Type="http://schemas.openxmlformats.org/officeDocument/2006/relationships/hyperlink" Target="https://www.education.vic.gov.au/hrweb/safetyhw/Pages/employeeservices.aspx" TargetMode="External"/><Relationship Id="rId67" Type="http://schemas.openxmlformats.org/officeDocument/2006/relationships/hyperlink" Target="https://www.education.vic.gov.au/Documents/school/principals/management/ohsconsultcommspolicy.docx" TargetMode="External"/><Relationship Id="rId116" Type="http://schemas.openxmlformats.org/officeDocument/2006/relationships/hyperlink" Target="https://www.vcaa.vic.edu.au/Pages/vcal/index.aspx" TargetMode="External"/><Relationship Id="rId137" Type="http://schemas.openxmlformats.org/officeDocument/2006/relationships/footer" Target="footer5.xml"/><Relationship Id="rId20" Type="http://schemas.openxmlformats.org/officeDocument/2006/relationships/hyperlink" Target="https://www.aitsl.edu.au/tools-resources/resource/graduate-to-proficient-australian-guidelines-for-teacher-induction-into-the-profession" TargetMode="External"/><Relationship Id="rId41" Type="http://schemas.openxmlformats.org/officeDocument/2006/relationships/hyperlink" Target="https://www.aitsl.edu.au/teach/start-your-career/my-induction-app" TargetMode="External"/><Relationship Id="rId62" Type="http://schemas.openxmlformats.org/officeDocument/2006/relationships/hyperlink" Target="https://www.education.vic.gov.au/hrweb/workm/Pages/complaints.aspx" TargetMode="External"/><Relationship Id="rId83" Type="http://schemas.openxmlformats.org/officeDocument/2006/relationships/hyperlink" Target="https://www.education.vic.gov.au/school/teachers/management/infrastructure/pages/acceptableuse.aspx" TargetMode="External"/><Relationship Id="rId88" Type="http://schemas.openxmlformats.org/officeDocument/2006/relationships/hyperlink" Target="https://www.education.vic.gov.au/school/principals/spag/governance/pages/gifts.aspx" TargetMode="External"/><Relationship Id="rId111" Type="http://schemas.openxmlformats.org/officeDocument/2006/relationships/hyperlink" Target="https://www.education.vic.gov.au/Documents/school/principals/management/ohsinductionchecklist.docx" TargetMode="External"/><Relationship Id="rId132" Type="http://schemas.openxmlformats.org/officeDocument/2006/relationships/hyperlink" Target="https://www.education.vic.gov.au/school/teachers/teachingresources/practice/improve/Pages/Victorianteachingandlearningmodel.aspx" TargetMode="External"/><Relationship Id="rId15" Type="http://schemas.openxmlformats.org/officeDocument/2006/relationships/hyperlink" Target="https://edugate.eduweb.vic.gov.au/edrms/keyprocess/teachers-induction/Pages/Home.aspx" TargetMode="External"/><Relationship Id="rId36" Type="http://schemas.openxmlformats.org/officeDocument/2006/relationships/image" Target="media/image4.png"/><Relationship Id="rId57" Type="http://schemas.openxmlformats.org/officeDocument/2006/relationships/hyperlink" Target="https://www.education.vic.gov.au/about/department/Pages/default.aspx" TargetMode="External"/><Relationship Id="rId106" Type="http://schemas.openxmlformats.org/officeDocument/2006/relationships/hyperlink" Target="https://www.bastow.vic.edu.au/" TargetMode="External"/><Relationship Id="rId127" Type="http://schemas.openxmlformats.org/officeDocument/2006/relationships/hyperlink" Target="https://www.education.vic.gov.au/Documents/school/teachers/teachingresources/literacynumeracy/LiteracyandNumeracyTeachingresourcesDiagram.DOCX" TargetMode="External"/><Relationship Id="rId10" Type="http://schemas.openxmlformats.org/officeDocument/2006/relationships/footer" Target="footer1.xml"/><Relationship Id="rId31" Type="http://schemas.openxmlformats.org/officeDocument/2006/relationships/hyperlink" Target="https://www.education.vic.gov.au/school/teachers/profdev/Pages/induction.aspx" TargetMode="External"/><Relationship Id="rId52" Type="http://schemas.openxmlformats.org/officeDocument/2006/relationships/hyperlink" Target="https://www.education.vic.gov.au/about/educationstate/Pages/targets.aspx" TargetMode="External"/><Relationship Id="rId73" Type="http://schemas.openxmlformats.org/officeDocument/2006/relationships/hyperlink" Target="https://www.education.vic.gov.au/school/teachers/teachingresources/practice/improve/Pages/Victorianteachingandlearningmodel.aspx" TargetMode="External"/><Relationship Id="rId78" Type="http://schemas.openxmlformats.org/officeDocument/2006/relationships/hyperlink" Target="https://www.education.vic.gov.au/school/teachers/teachingresources/discipline/english/Pages/literacyportal.aspx" TargetMode="External"/><Relationship Id="rId94" Type="http://schemas.openxmlformats.org/officeDocument/2006/relationships/hyperlink" Target="https://www.education.vic.gov.au/hrweb/workm/Pages/PublicSV-Schools.aspx" TargetMode="External"/><Relationship Id="rId99" Type="http://schemas.openxmlformats.org/officeDocument/2006/relationships/hyperlink" Target="https://www.education.vic.gov.au/school/teachers/teachingresources/discipline/english/Pages/litnumstrategy.aspx" TargetMode="External"/><Relationship Id="rId101" Type="http://schemas.openxmlformats.org/officeDocument/2006/relationships/hyperlink" Target="https://www.education.vic.gov.au/Documents/about/programs/aboriginal/Marrung_Aboriginal_Education_Plan_2016-2026.pdf" TargetMode="External"/><Relationship Id="rId122" Type="http://schemas.openxmlformats.org/officeDocument/2006/relationships/hyperlink" Target="https://www.education.vic.gov.au/school/teachers/management/improvement/Pages/improvement-measures.aspx" TargetMode="External"/><Relationship Id="rId4" Type="http://schemas.openxmlformats.org/officeDocument/2006/relationships/settings" Target="settings.xml"/><Relationship Id="rId9" Type="http://schemas.openxmlformats.org/officeDocument/2006/relationships/header" Target="header2.xml"/><Relationship Id="rId26" Type="http://schemas.openxmlformats.org/officeDocument/2006/relationships/hyperlink" Target="https://www.education.vic.gov.au/about/programs/health/protect/Pages/default.aspx" TargetMode="External"/><Relationship Id="rId47" Type="http://schemas.openxmlformats.org/officeDocument/2006/relationships/hyperlink" Target="https://www.education.vic.gov.au/school/teachers/management/improvement/Pages/FISO.aspx" TargetMode="External"/><Relationship Id="rId68" Type="http://schemas.openxmlformats.org/officeDocument/2006/relationships/hyperlink" Target="https://www.education.vic.gov.au/hrweb/safetyhw/Pages/reportinjuryhazard.aspx" TargetMode="External"/><Relationship Id="rId89" Type="http://schemas.openxmlformats.org/officeDocument/2006/relationships/hyperlink" Target="https://edugate.eduweb.vic.gov.au/sites/i/Pages/production.aspx" TargetMode="External"/><Relationship Id="rId112" Type="http://schemas.openxmlformats.org/officeDocument/2006/relationships/hyperlink" Target="https://www.vcaa.vic.edu.au/Pages/earlyyears/index.aspx" TargetMode="External"/><Relationship Id="rId133" Type="http://schemas.openxmlformats.org/officeDocument/2006/relationships/hyperlink" Target="https://www.education.vic.gov.au/school/teachers/teachingresources/practice/improve/Pages/peerobservation.aspx?&amp;Redirect=1" TargetMode="External"/><Relationship Id="rId16" Type="http://schemas.openxmlformats.org/officeDocument/2006/relationships/hyperlink" Target="mailto:professional.practice@edumail.vic.gov.au"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copyright@edumail.vic.gov.au" TargetMode="External"/><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PRINCIPAL AND SCHOOL LEADER GUIDE TO INDUCTION OF GRADUATE TEACHERS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IconOverlay xmlns="http://schemas.microsoft.com/sharepoint/v4" xsi:nil="true"/>
    <Document_x0020_function xmlns="69c6d17e-4966-4cea-b47f-eb6dea2170e9" xsi:nil="true"/>
    <PublishingContactName xmlns="http://schemas.microsoft.com/sharepoint/v3" xsi:nil="true"/>
    <DET_EDRMS_BusUnitTaxHTField0 xmlns="http://schemas.microsoft.com/Sharepoint/v3">
      <Terms xmlns="http://schemas.microsoft.com/office/infopath/2007/PartnerControls"/>
    </DET_EDRMS_BusUnitTaxHTField0>
    <TaxCatchAll xmlns="1966e606-8b69-4075-9ef8-a409e80aaa70">
      <Value>20</Value>
    </TaxCatchAll>
    <DET_EDRMS_SecClassTaxHTField0 xmlns="http://schemas.microsoft.com/Sharepoint/v3">
      <Terms xmlns="http://schemas.microsoft.com/office/infopath/2007/PartnerControls"/>
    </DET_EDRMS_SecClassTaxHTField0>
  </documentManagement>
</p:properties>
</file>

<file path=customXml/itemProps1.xml><?xml version="1.0" encoding="utf-8"?>
<ds:datastoreItem xmlns:ds="http://schemas.openxmlformats.org/officeDocument/2006/customXml" ds:itemID="{73D2E2CE-2793-4C06-9F05-314A4C2AB738}"/>
</file>

<file path=customXml/itemProps2.xml><?xml version="1.0" encoding="utf-8"?>
<ds:datastoreItem xmlns:ds="http://schemas.openxmlformats.org/officeDocument/2006/customXml" ds:itemID="{E5F82CC2-83BC-430E-A0D2-2544EB2146E8}"/>
</file>

<file path=customXml/itemProps3.xml><?xml version="1.0" encoding="utf-8"?>
<ds:datastoreItem xmlns:ds="http://schemas.openxmlformats.org/officeDocument/2006/customXml" ds:itemID="{D7791298-0C1E-4406-9CD2-1122B3674D04}"/>
</file>

<file path=customXml/itemProps4.xml><?xml version="1.0" encoding="utf-8"?>
<ds:datastoreItem xmlns:ds="http://schemas.openxmlformats.org/officeDocument/2006/customXml" ds:itemID="{E8F3D5D7-803C-473D-ACDC-65E384DF2F22}"/>
</file>

<file path=customXml/itemProps5.xml><?xml version="1.0" encoding="utf-8"?>
<ds:datastoreItem xmlns:ds="http://schemas.openxmlformats.org/officeDocument/2006/customXml" ds:itemID="{D7791298-0C1E-4406-9CD2-1122B3674D04}"/>
</file>

<file path=docProps/app.xml><?xml version="1.0" encoding="utf-8"?>
<Properties xmlns="http://schemas.openxmlformats.org/officeDocument/2006/extended-properties" xmlns:vt="http://schemas.openxmlformats.org/officeDocument/2006/docPropsVTypes">
  <Template>Normal</Template>
  <TotalTime>0</TotalTime>
  <Pages>34</Pages>
  <Words>10843</Words>
  <Characters>61810</Characters>
  <Application>Microsoft Office Word</Application>
  <DocSecurity>0</DocSecurity>
  <Lines>515</Lines>
  <Paragraphs>145</Paragraphs>
  <ScaleCrop>false</ScaleCrop>
  <Manager/>
  <Company/>
  <LinksUpToDate>false</LinksUpToDate>
  <CharactersWithSpaces>72508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2019-03-07T04:13:00Z</dcterms:created>
  <dcterms:modified xsi:type="dcterms:W3CDTF">2019-03-07T04:13:00Z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20;#1.2.2 Project Documentation|a3ce4c3c-7960-4756-834e-8cbbf9028802</vt:lpwstr>
  </property>
  <property fmtid="{D5CDD505-2E9C-101B-9397-08002B2CF9AE}" pid="3" name="RecordPoint_RecordNumberSubmitted">
    <vt:lpwstr>R20190097178</vt:lpwstr>
  </property>
  <property fmtid="{D5CDD505-2E9C-101B-9397-08002B2CF9AE}" pid="4" name="RecordPoint_ActiveItemSiteId">
    <vt:lpwstr>{03dc8113-b288-4f44-a289-6e7ea0196235}</vt:lpwstr>
  </property>
  <property fmtid="{D5CDD505-2E9C-101B-9397-08002B2CF9AE}" pid="5" name="RecordPoint_ActiveItemListId">
    <vt:lpwstr>{e08fe3bf-1d79-4163-9b04-9a44141322dc}</vt:lpwstr>
  </property>
  <property fmtid="{D5CDD505-2E9C-101B-9397-08002B2CF9AE}" pid="6" name="ContentTypeId">
    <vt:lpwstr>0x0101008840106FE30D4F50BC61A726A7CA6E3800A01D47DD30CBB54F95863B7DC80A2CEC</vt:lpwstr>
  </property>
  <property fmtid="{D5CDD505-2E9C-101B-9397-08002B2CF9AE}" pid="7" name="RecordPoint_ActiveItemUniqueId">
    <vt:lpwstr>{4bcf822d-aa9e-4479-82a5-16336b522170}</vt:lpwstr>
  </property>
  <property fmtid="{D5CDD505-2E9C-101B-9397-08002B2CF9AE}" pid="8" name="RecordPoint_SubmissionCompleted">
    <vt:lpwstr>2019-03-07T15:42:14.6128311+11:00</vt:lpwstr>
  </property>
  <property fmtid="{D5CDD505-2E9C-101B-9397-08002B2CF9AE}" pid="9" name="RecordPoint_ActiveItemWebId">
    <vt:lpwstr>{69c6d17e-4966-4cea-b47f-eb6dea2170e9}</vt:lpwstr>
  </property>
  <property fmtid="{D5CDD505-2E9C-101B-9397-08002B2CF9AE}" pid="10" name="RecordPoint_WorkflowType">
    <vt:lpwstr>ActiveSubmitStub</vt:lpwstr>
  </property>
  <property fmtid="{D5CDD505-2E9C-101B-9397-08002B2CF9AE}" pid="11" name="DEECD_Author">
    <vt:lpwstr>94;#Education|5232e41c-5101-41fe-b638-7d41d1371531</vt:lpwstr>
  </property>
  <property fmtid="{D5CDD505-2E9C-101B-9397-08002B2CF9AE}" pid="12" name="DEECD_ItemType">
    <vt:lpwstr>101;#Page|eb523acf-a821-456c-a76b-7607578309d7</vt:lpwstr>
  </property>
  <property fmtid="{D5CDD505-2E9C-101B-9397-08002B2CF9AE}" pid="13" name="DEECD_SubjectCategory">
    <vt:lpwstr/>
  </property>
  <property fmtid="{D5CDD505-2E9C-101B-9397-08002B2CF9AE}" pid="14" name="DEECD_Audience">
    <vt:lpwstr/>
  </property>
</Properties>
</file>