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5177B74F" w:rsidR="00624A55" w:rsidRPr="00624A55" w:rsidRDefault="00610411" w:rsidP="00624A55">
      <w:pPr>
        <w:pStyle w:val="Heading1"/>
        <w:rPr>
          <w:lang w:val="en-AU"/>
        </w:rPr>
      </w:pPr>
      <w:r>
        <w:rPr>
          <w:lang w:val="en-AU"/>
        </w:rPr>
        <w:t>using spot in a small, rural school</w:t>
      </w:r>
    </w:p>
    <w:p w14:paraId="7D101E54" w14:textId="60018DCE" w:rsidR="00624A55" w:rsidRPr="00624A55" w:rsidRDefault="00624A55" w:rsidP="00624A55">
      <w:pPr>
        <w:pStyle w:val="Intro"/>
      </w:pPr>
    </w:p>
    <w:p w14:paraId="6E6868DC" w14:textId="339D229C" w:rsidR="00624A55" w:rsidRPr="00624A55" w:rsidRDefault="00EF08BA" w:rsidP="00624A55">
      <w:pPr>
        <w:pStyle w:val="Heading2"/>
        <w:rPr>
          <w:lang w:val="en-AU"/>
        </w:rPr>
      </w:pPr>
      <w:r>
        <w:rPr>
          <w:lang w:val="en-AU"/>
        </w:rPr>
        <w:t>EILDON PRIMARY SCHOOL</w:t>
      </w:r>
    </w:p>
    <w:p w14:paraId="1865AB33" w14:textId="7FD640AB" w:rsidR="00EF08BA" w:rsidRDefault="00EF08BA" w:rsidP="00EF08BA">
      <w:r w:rsidRPr="008A16BB">
        <w:rPr>
          <w:b/>
        </w:rPr>
        <w:t>Area</w:t>
      </w:r>
      <w:r>
        <w:t>: Go</w:t>
      </w:r>
      <w:r w:rsidR="000A182D">
        <w:t>u</w:t>
      </w:r>
      <w:r>
        <w:t>lburn</w:t>
      </w:r>
      <w:r w:rsidR="000A182D">
        <w:t>, North-Eastern Victoria</w:t>
      </w:r>
    </w:p>
    <w:p w14:paraId="0F65707D" w14:textId="2E457977" w:rsidR="00EF08BA" w:rsidRDefault="00836E79" w:rsidP="00EF08BA"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38750949" wp14:editId="000D1636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3017002" cy="1744717"/>
            <wp:effectExtent l="0" t="0" r="0" b="8255"/>
            <wp:wrapThrough wrapText="bothSides">
              <wp:wrapPolygon edited="0">
                <wp:start x="0" y="0"/>
                <wp:lineTo x="0" y="21466"/>
                <wp:lineTo x="21414" y="21466"/>
                <wp:lineTo x="21414" y="0"/>
                <wp:lineTo x="0" y="0"/>
              </wp:wrapPolygon>
            </wp:wrapThrough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LD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002" cy="1744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BA" w:rsidRPr="008A16BB">
        <w:rPr>
          <w:b/>
        </w:rPr>
        <w:t>Population</w:t>
      </w:r>
      <w:r w:rsidR="00EF08BA">
        <w:t xml:space="preserve">: approximately 50 students </w:t>
      </w:r>
    </w:p>
    <w:p w14:paraId="41991E49" w14:textId="253258A2" w:rsidR="00EF08BA" w:rsidRDefault="00EF08BA" w:rsidP="00EF08BA"/>
    <w:p w14:paraId="04E07215" w14:textId="77777777" w:rsidR="00C24449" w:rsidRDefault="00C24449" w:rsidP="00C24449">
      <w:pPr>
        <w:pStyle w:val="Heading2"/>
      </w:pPr>
      <w:r>
        <w:lastRenderedPageBreak/>
        <w:t>video SNAPSHOT</w:t>
      </w:r>
    </w:p>
    <w:p w14:paraId="5979AB76" w14:textId="3D069D3C" w:rsidR="00826425" w:rsidRDefault="00836E79" w:rsidP="00EF08BA">
      <w:r>
        <w:t xml:space="preserve">This video features Eildon Primary School, </w:t>
      </w:r>
      <w:r w:rsidR="00894268">
        <w:t xml:space="preserve">a small, rural school located in North-Eastern Victoria. </w:t>
      </w:r>
      <w:r>
        <w:t xml:space="preserve">It discusses the </w:t>
      </w:r>
      <w:bookmarkStart w:id="0" w:name="_GoBack"/>
      <w:bookmarkEnd w:id="0"/>
      <w:r>
        <w:t>benefits of using SPOT to provide</w:t>
      </w:r>
      <w:r w:rsidR="00894268">
        <w:t xml:space="preserve"> a collective </w:t>
      </w:r>
      <w:r w:rsidR="00766628">
        <w:t>understanding about the schools</w:t>
      </w:r>
      <w:r w:rsidR="00894268">
        <w:t xml:space="preserve"> improvement efforts. </w:t>
      </w:r>
      <w:r>
        <w:t xml:space="preserve">It also looks at using SPOT to </w:t>
      </w:r>
      <w:r w:rsidR="00826425">
        <w:t xml:space="preserve">monitor progress and ensure </w:t>
      </w:r>
      <w:r w:rsidR="00766628">
        <w:t>focused effort on achieving goals and targets.</w:t>
      </w:r>
      <w:r w:rsidR="00826425">
        <w:t xml:space="preserve"> </w:t>
      </w:r>
    </w:p>
    <w:p w14:paraId="46D8AED1" w14:textId="77777777" w:rsidR="00EF08BA" w:rsidRDefault="00EF08BA" w:rsidP="00EF08BA"/>
    <w:p w14:paraId="2A2BBD2C" w14:textId="191A9028" w:rsidR="00EF08BA" w:rsidRPr="00DD75DE" w:rsidRDefault="00EF08BA" w:rsidP="00EF08BA">
      <w:pPr>
        <w:pStyle w:val="Heading2"/>
      </w:pPr>
      <w:r w:rsidRPr="00DD75DE">
        <w:t>Key Themes</w:t>
      </w:r>
    </w:p>
    <w:p w14:paraId="6B0514FA" w14:textId="77777777" w:rsidR="00EF08BA" w:rsidRDefault="00EF08BA" w:rsidP="00EF08BA">
      <w:pPr>
        <w:pStyle w:val="ListParagraph"/>
        <w:numPr>
          <w:ilvl w:val="0"/>
          <w:numId w:val="18"/>
        </w:numPr>
      </w:pPr>
      <w:r>
        <w:t>Supporting the school review process</w:t>
      </w:r>
    </w:p>
    <w:p w14:paraId="3D02AC69" w14:textId="5C598B78" w:rsidR="00EF08BA" w:rsidRDefault="00EF08BA" w:rsidP="00EF08BA">
      <w:pPr>
        <w:pStyle w:val="ListParagraph"/>
        <w:numPr>
          <w:ilvl w:val="0"/>
          <w:numId w:val="18"/>
        </w:numPr>
      </w:pPr>
      <w:r>
        <w:t>Providing transparency to teachers</w:t>
      </w:r>
    </w:p>
    <w:p w14:paraId="2A9D2012" w14:textId="77777777" w:rsidR="00EF08BA" w:rsidRDefault="00EF08BA" w:rsidP="00EF08BA">
      <w:pPr>
        <w:pStyle w:val="ListParagraph"/>
        <w:numPr>
          <w:ilvl w:val="0"/>
          <w:numId w:val="18"/>
        </w:numPr>
      </w:pPr>
      <w:r>
        <w:t>Reducing administrative burden</w:t>
      </w:r>
    </w:p>
    <w:p w14:paraId="68E429E7" w14:textId="782FF90F" w:rsidR="00EF08BA" w:rsidRDefault="00EF08BA" w:rsidP="00EF08BA">
      <w:pPr>
        <w:pStyle w:val="ListParagraph"/>
        <w:numPr>
          <w:ilvl w:val="0"/>
          <w:numId w:val="18"/>
        </w:numPr>
      </w:pPr>
      <w:r>
        <w:lastRenderedPageBreak/>
        <w:t>Focus on implementation</w:t>
      </w:r>
    </w:p>
    <w:p w14:paraId="700A5BA4" w14:textId="7EB72B10" w:rsidR="00EF08BA" w:rsidRDefault="00EF08BA" w:rsidP="00EF08BA">
      <w:pPr>
        <w:pStyle w:val="ListParagraph"/>
        <w:numPr>
          <w:ilvl w:val="0"/>
          <w:numId w:val="18"/>
        </w:numPr>
      </w:pPr>
      <w:r>
        <w:t>Driving effort in the right direction</w:t>
      </w:r>
    </w:p>
    <w:p w14:paraId="4F37FB5D" w14:textId="77777777" w:rsidR="00610411" w:rsidRDefault="00610411" w:rsidP="00610411">
      <w:pPr>
        <w:pStyle w:val="Heading2"/>
      </w:pPr>
      <w:r>
        <w:t>Discussion Prompts and reflective activity</w:t>
      </w:r>
    </w:p>
    <w:p w14:paraId="7FABDB5B" w14:textId="14DA5E11" w:rsidR="00836E79" w:rsidRDefault="00836E79" w:rsidP="00C24449">
      <w:pPr>
        <w:pStyle w:val="ListParagraph"/>
        <w:numPr>
          <w:ilvl w:val="0"/>
          <w:numId w:val="20"/>
        </w:numPr>
      </w:pPr>
      <w:r>
        <w:t xml:space="preserve">To what extent </w:t>
      </w:r>
      <w:r w:rsidR="000A182D">
        <w:t>do we collaborate with the broader school community in our annual planning?</w:t>
      </w:r>
    </w:p>
    <w:p w14:paraId="11623A9C" w14:textId="55EA0F77" w:rsidR="00C24449" w:rsidRDefault="00C24449" w:rsidP="00C24449">
      <w:pPr>
        <w:pStyle w:val="ListParagraph"/>
        <w:numPr>
          <w:ilvl w:val="0"/>
          <w:numId w:val="20"/>
        </w:numPr>
      </w:pPr>
      <w:r>
        <w:t xml:space="preserve">What </w:t>
      </w:r>
      <w:r w:rsidR="00FB562B">
        <w:t xml:space="preserve">systems, structures and </w:t>
      </w:r>
      <w:r>
        <w:t xml:space="preserve">processes do we have in place for </w:t>
      </w:r>
      <w:r w:rsidR="00EA096A">
        <w:t>using SPOT to monitor</w:t>
      </w:r>
      <w:r w:rsidR="000A182D">
        <w:t xml:space="preserve"> our AIP?</w:t>
      </w:r>
    </w:p>
    <w:p w14:paraId="4587AA0B" w14:textId="6BE52916" w:rsidR="00610411" w:rsidRDefault="00610411" w:rsidP="00C24449">
      <w:pPr>
        <w:pStyle w:val="ListParagraph"/>
        <w:numPr>
          <w:ilvl w:val="0"/>
          <w:numId w:val="20"/>
        </w:numPr>
      </w:pPr>
      <w:r>
        <w:t>Complete a SOAR analysis of how you use SPOT in your school</w:t>
      </w:r>
      <w:r w:rsidR="00E03D17">
        <w:t xml:space="preserve"> (see next page for </w:t>
      </w:r>
      <w:r w:rsidR="000A182D">
        <w:t>a template).</w:t>
      </w:r>
    </w:p>
    <w:p w14:paraId="1ED4B034" w14:textId="30D8B9CD" w:rsidR="00836E79" w:rsidRDefault="00836E79" w:rsidP="00836E79">
      <w:pPr>
        <w:pStyle w:val="Heading2"/>
        <w:rPr>
          <w:lang w:val="en-AU"/>
        </w:rPr>
      </w:pPr>
    </w:p>
    <w:p w14:paraId="16FA74D2" w14:textId="4D4B8F10" w:rsidR="00836E79" w:rsidRDefault="000A182D" w:rsidP="00836E79">
      <w:pPr>
        <w:pStyle w:val="Heading2"/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A52BB" wp14:editId="11004254">
                <wp:simplePos x="0" y="0"/>
                <wp:positionH relativeFrom="margin">
                  <wp:posOffset>4166235</wp:posOffset>
                </wp:positionH>
                <wp:positionV relativeFrom="paragraph">
                  <wp:posOffset>-311785</wp:posOffset>
                </wp:positionV>
                <wp:extent cx="2124075" cy="2066925"/>
                <wp:effectExtent l="0" t="0" r="28575" b="28575"/>
                <wp:wrapSquare wrapText="bothSides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066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E30F7" w14:textId="2DBEA924" w:rsidR="00836E79" w:rsidRPr="00F4449F" w:rsidRDefault="00610411" w:rsidP="00836E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SOAR ANALYSIS</w:t>
                            </w:r>
                          </w:p>
                          <w:p w14:paraId="58695A9B" w14:textId="1E4A4821" w:rsidR="00836E79" w:rsidRPr="00F4449F" w:rsidRDefault="00836E79" w:rsidP="00836E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449F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SOAR</w:t>
                            </w:r>
                            <w:r w:rsidRPr="00F4449F">
                              <w:rPr>
                                <w:sz w:val="20"/>
                                <w:szCs w:val="20"/>
                              </w:rPr>
                              <w:t xml:space="preserve"> analysis is a technique used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reflect on strengths and opportunities and hig</w:t>
                            </w:r>
                            <w:r w:rsidR="00610411">
                              <w:rPr>
                                <w:sz w:val="20"/>
                                <w:szCs w:val="20"/>
                              </w:rPr>
                              <w:t>hlight future aspirations.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A52BB" id="Oval 4" o:spid="_x0000_s1026" style="position:absolute;margin-left:328.05pt;margin-top:-24.55pt;width:167.2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tzdgIAADcFAAAOAAAAZHJzL2Uyb0RvYy54bWysVE1v2zAMvQ/YfxB0X/yBpF2DOkWQosOA&#10;oi3aDj0rslQbk0RNUmJnv36U7Ljd2l2G5aBQ4uMTST/q/KLXiuyF8y2YihaznBJhONStea7ot8er&#10;T58p8YGZmikwoqIH4enF6uOH884uRQkNqFo4giTGLztb0SYEu8wyzxuhmZ+BFQadEpxmAbfuOasd&#10;65Bdq6zM85OsA1dbB1x4j6eXg5OuEr+UgodbKb0IRFUUcwtpdWndxjVbnbPls2O2afmYBvuHLDRr&#10;DV46UV2ywMjOtW+odMsdeJBhxkFnIGXLRaoBqynyP6p5aJgVqRZsjrdTm/z/o+U3+ztH2rqic0oM&#10;0/iJbvdMkXnsTGf9EgEP9s6NO49mLLOXTsd/LID0qZuHqZuiD4TjYVmU8/x0QQlHX5mfnJyVi8ia&#10;vYRb58MXAZpEo6JCqdb6WDFbsv21DwP6iMLQmNGQQ7LCQYkIVuZeSKwi3pqik37ERjmCxVS0/l4M&#10;xw2rxXC0yPE3pjOhU3KJLLLKVqmJdySIuvydd8hxxMYwkWQ3BeZ/S2gInNDpRjBhCtStAfdesArF&#10;mLgc8MfGDO2InQn9tkf+aG6hPuAndjBo31t+1WK3r5kPd8yh2HEscIDDLS5SQVdRGC1KGnA/3zuP&#10;eNQgeinpcHgq6n/smBOUqK8G1XlWzOdx2tJmvjgtceNee7avPWanN4BfqcCnwvJkRnxQR1M60E84&#10;5+t4K7qY4Xh3RXlwx80mDEONLwUX63WC4YRZFq7Ng+WRPDY4Sumxf2LOjpILqNYbOA7aG9kN2Bhp&#10;YL0LINukyZe+jq3H6UzaGV+SOP6v9wn18t6tfgEAAP//AwBQSwMEFAAGAAgAAAAhAH5eKgniAAAA&#10;CwEAAA8AAABkcnMvZG93bnJldi54bWxMj7FOwzAQhnck3sE6JLbWbpS6TYhToUodkFhaGGBz42sS&#10;iO0odprA03NMsN3pPv33/cVuth274hBa7xSslgIYusqb1tUKXl8Oiy2wELUzuvMOFXxhgF15e1Po&#10;3PjJHfF6ijWjEBdyraCJsc85D1WDVoel79HR7eIHqyOtQ83NoCcKtx1PhJDc6tbRh0b3uG+w+jyN&#10;VsG3TZ+PT0GKw8f727qdNmOT7Eel7u/mxwdgEef4B8OvPqlDSU5nPzoTWKdAruWKUAWLNKOBiCwT&#10;EthZQbKRKfCy4P87lD8AAAD//wMAUEsBAi0AFAAGAAgAAAAhALaDOJL+AAAA4QEAABMAAAAAAAAA&#10;AAAAAAAAAAAAAFtDb250ZW50X1R5cGVzXS54bWxQSwECLQAUAAYACAAAACEAOP0h/9YAAACUAQAA&#10;CwAAAAAAAAAAAAAAAAAvAQAAX3JlbHMvLnJlbHNQSwECLQAUAAYACAAAACEA19Arc3YCAAA3BQAA&#10;DgAAAAAAAAAAAAAAAAAuAgAAZHJzL2Uyb0RvYy54bWxQSwECLQAUAAYACAAAACEAfl4qCeIAAAAL&#10;AQAADwAAAAAAAAAAAAAAAADQBAAAZHJzL2Rvd25yZXYueG1sUEsFBgAAAAAEAAQA8wAAAN8FAAAA&#10;AA==&#10;" fillcolor="#af272f [3200]" strokecolor="#561317 [1600]" strokeweight="1pt">
                <v:stroke joinstyle="miter"/>
                <v:textbox>
                  <w:txbxContent>
                    <w:p w14:paraId="61BE30F7" w14:textId="2DBEA924" w:rsidR="00836E79" w:rsidRPr="00F4449F" w:rsidRDefault="00610411" w:rsidP="00836E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SOAR ANALYSIS</w:t>
                      </w:r>
                    </w:p>
                    <w:p w14:paraId="58695A9B" w14:textId="1E4A4821" w:rsidR="00836E79" w:rsidRPr="00F4449F" w:rsidRDefault="00836E79" w:rsidP="00836E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449F">
                        <w:rPr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sz w:val="20"/>
                          <w:szCs w:val="20"/>
                        </w:rPr>
                        <w:t>SOAR</w:t>
                      </w:r>
                      <w:r w:rsidRPr="00F4449F">
                        <w:rPr>
                          <w:sz w:val="20"/>
                          <w:szCs w:val="20"/>
                        </w:rPr>
                        <w:t xml:space="preserve"> analysis is a technique used to</w:t>
                      </w:r>
                      <w:r>
                        <w:rPr>
                          <w:sz w:val="20"/>
                          <w:szCs w:val="20"/>
                        </w:rPr>
                        <w:t xml:space="preserve"> reflect on strengths and opportunities and hig</w:t>
                      </w:r>
                      <w:r w:rsidR="00610411">
                        <w:rPr>
                          <w:sz w:val="20"/>
                          <w:szCs w:val="20"/>
                        </w:rPr>
                        <w:t>hlight future aspirations.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836E79">
        <w:rPr>
          <w:lang w:val="en-AU"/>
        </w:rPr>
        <w:t>SUPPORTING DOCUMENTATION</w:t>
      </w:r>
    </w:p>
    <w:p w14:paraId="3686E708" w14:textId="77777777" w:rsidR="008A6B28" w:rsidRDefault="00766628" w:rsidP="008A6B28">
      <w:pPr>
        <w:pStyle w:val="ListParagraph"/>
        <w:numPr>
          <w:ilvl w:val="0"/>
          <w:numId w:val="21"/>
        </w:numPr>
        <w:spacing w:after="40" w:line="256" w:lineRule="auto"/>
        <w:rPr>
          <w:rStyle w:val="Hyperlink"/>
        </w:rPr>
      </w:pPr>
      <w:hyperlink r:id="rId13" w:history="1">
        <w:r w:rsidR="008A6B28">
          <w:rPr>
            <w:rStyle w:val="Hyperlink"/>
          </w:rPr>
          <w:t xml:space="preserve">Framework for Improving Student Outcomes </w:t>
        </w:r>
      </w:hyperlink>
    </w:p>
    <w:p w14:paraId="7059E370" w14:textId="77777777" w:rsidR="008A6B28" w:rsidRDefault="00766628" w:rsidP="008A6B28">
      <w:pPr>
        <w:pStyle w:val="ListParagraph"/>
        <w:numPr>
          <w:ilvl w:val="0"/>
          <w:numId w:val="21"/>
        </w:numPr>
        <w:spacing w:after="40" w:line="256" w:lineRule="auto"/>
      </w:pPr>
      <w:hyperlink r:id="rId14" w:anchor="/app/content/2925/support_and_service_(schools)%252Fschool_performance_and_evaluation%252Fplanning_and_reporting%252Fannual_implementation_planning" w:history="1">
        <w:r w:rsidR="008A6B28">
          <w:rPr>
            <w:rStyle w:val="Hyperlink"/>
          </w:rPr>
          <w:t>Annual Implementation Planning</w:t>
        </w:r>
      </w:hyperlink>
    </w:p>
    <w:p w14:paraId="43772F1B" w14:textId="77777777" w:rsidR="008A6B28" w:rsidRDefault="00766628" w:rsidP="008A6B28">
      <w:pPr>
        <w:pStyle w:val="ListParagraph"/>
        <w:numPr>
          <w:ilvl w:val="0"/>
          <w:numId w:val="21"/>
        </w:numPr>
        <w:spacing w:after="40" w:line="256" w:lineRule="auto"/>
      </w:pPr>
      <w:hyperlink r:id="rId15" w:anchor="/app/content/2927/support_and_service_(schools)%252Fschool_performance_and_evaluation%252Fplanning_and_reporting%252Fschool_strategic_plan" w:history="1">
        <w:r w:rsidR="008A6B28">
          <w:rPr>
            <w:rStyle w:val="Hyperlink"/>
          </w:rPr>
          <w:t>School Strategic Plan</w:t>
        </w:r>
      </w:hyperlink>
    </w:p>
    <w:p w14:paraId="4E56FC8B" w14:textId="77777777" w:rsidR="008A6B28" w:rsidRDefault="00766628" w:rsidP="008A6B28">
      <w:pPr>
        <w:pStyle w:val="ListParagraph"/>
        <w:numPr>
          <w:ilvl w:val="0"/>
          <w:numId w:val="21"/>
        </w:numPr>
        <w:spacing w:after="40" w:line="256" w:lineRule="auto"/>
        <w:rPr>
          <w:rStyle w:val="Hyperlink"/>
        </w:rPr>
      </w:pPr>
      <w:hyperlink r:id="rId16" w:anchor="/app/content/2997/support_and_service_(schools)%252Fschool_performance_and_evaluation%252Fschool_reviews%252Fkey_information_and_dates_for_the_new_school_review_process" w:history="1">
        <w:r w:rsidR="008A6B28">
          <w:rPr>
            <w:rStyle w:val="Hyperlink"/>
          </w:rPr>
          <w:t xml:space="preserve">School Review Process </w:t>
        </w:r>
      </w:hyperlink>
    </w:p>
    <w:p w14:paraId="7A234340" w14:textId="77777777" w:rsidR="008A6B28" w:rsidRDefault="00766628" w:rsidP="008A6B28">
      <w:pPr>
        <w:pStyle w:val="ListParagraph"/>
        <w:numPr>
          <w:ilvl w:val="0"/>
          <w:numId w:val="21"/>
        </w:numPr>
        <w:spacing w:line="256" w:lineRule="auto"/>
      </w:pPr>
      <w:hyperlink r:id="rId17" w:anchor="/app/content/2938/support_and_service_(schools)%252Fschool_performance_and_evaluation%252Fplanning_and_reporting%252Fstrategic_planning_online_tool_(spot)" w:history="1">
        <w:r w:rsidR="008A6B28">
          <w:rPr>
            <w:rStyle w:val="Hyperlink"/>
          </w:rPr>
          <w:t>Strategic Planning Online Tool</w:t>
        </w:r>
      </w:hyperlink>
      <w:r w:rsidR="008A6B28">
        <w:t xml:space="preserve"> </w:t>
      </w:r>
    </w:p>
    <w:p w14:paraId="3C56C629" w14:textId="4DC0BE4E" w:rsidR="00EF08BA" w:rsidRDefault="00EF08BA" w:rsidP="00E64758">
      <w:pPr>
        <w:spacing w:after="40"/>
        <w:rPr>
          <w:b/>
          <w:color w:val="FF0000"/>
          <w:sz w:val="24"/>
          <w:lang w:val="en-AU"/>
        </w:rPr>
      </w:pPr>
    </w:p>
    <w:tbl>
      <w:tblPr>
        <w:tblStyle w:val="TableGrid"/>
        <w:tblpPr w:leftFromText="180" w:rightFromText="180" w:vertAnchor="page" w:horzAnchor="margin" w:tblpY="3076"/>
        <w:tblW w:w="9507" w:type="dxa"/>
        <w:tblLook w:val="04A0" w:firstRow="1" w:lastRow="0" w:firstColumn="1" w:lastColumn="0" w:noHBand="0" w:noVBand="1"/>
      </w:tblPr>
      <w:tblGrid>
        <w:gridCol w:w="4735"/>
        <w:gridCol w:w="4772"/>
      </w:tblGrid>
      <w:tr w:rsidR="00C24449" w14:paraId="3BD1129A" w14:textId="77777777" w:rsidTr="00226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shd w:val="clear" w:color="auto" w:fill="E7E6E6" w:themeFill="background2"/>
          </w:tcPr>
          <w:p w14:paraId="72160092" w14:textId="685F68B0" w:rsidR="00C24449" w:rsidRDefault="00C24449" w:rsidP="00226F24">
            <w:pPr>
              <w:spacing w:after="40"/>
              <w:rPr>
                <w:color w:val="AF272F" w:themeColor="text1"/>
              </w:rPr>
            </w:pPr>
            <w:r w:rsidRPr="00F4449F">
              <w:rPr>
                <w:color w:val="AF272F" w:themeColor="text1"/>
              </w:rPr>
              <w:lastRenderedPageBreak/>
              <w:t>Strengths</w:t>
            </w:r>
            <w:r>
              <w:rPr>
                <w:color w:val="AF272F" w:themeColor="text1"/>
              </w:rPr>
              <w:t xml:space="preserve">: </w:t>
            </w:r>
            <w:r w:rsidRPr="00836E79">
              <w:rPr>
                <w:i/>
                <w:color w:val="AF272F" w:themeColor="text1"/>
              </w:rPr>
              <w:t>What can we build on?</w:t>
            </w:r>
            <w:r>
              <w:rPr>
                <w:color w:val="AF272F" w:themeColor="text1"/>
              </w:rPr>
              <w:t xml:space="preserve"> </w:t>
            </w:r>
          </w:p>
          <w:p w14:paraId="5120DC72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74B5E18B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009A936D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45166EE0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08A85CA6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3DF70001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47C80CF1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60A54693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3F916B1D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48C71F16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1A0069E2" w14:textId="77777777" w:rsidR="00C24449" w:rsidRDefault="00C24449" w:rsidP="00226F24">
            <w:pPr>
              <w:spacing w:after="40"/>
              <w:rPr>
                <w:color w:val="AF272F" w:themeColor="text1"/>
              </w:rPr>
            </w:pPr>
          </w:p>
          <w:p w14:paraId="1CEAC33E" w14:textId="77777777" w:rsidR="00C24449" w:rsidRPr="00F4449F" w:rsidRDefault="00C24449" w:rsidP="00226F24">
            <w:pPr>
              <w:spacing w:after="40"/>
              <w:rPr>
                <w:color w:val="AF272F" w:themeColor="text1"/>
              </w:rPr>
            </w:pPr>
          </w:p>
        </w:tc>
        <w:tc>
          <w:tcPr>
            <w:tcW w:w="4772" w:type="dxa"/>
            <w:shd w:val="clear" w:color="auto" w:fill="E7E6E6" w:themeFill="background2"/>
          </w:tcPr>
          <w:p w14:paraId="7550E794" w14:textId="3E6DB0D1" w:rsidR="00C24449" w:rsidRPr="00F4449F" w:rsidRDefault="00836E79" w:rsidP="00836E79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F272F" w:themeColor="text1"/>
              </w:rPr>
            </w:pPr>
            <w:r>
              <w:rPr>
                <w:color w:val="AF272F" w:themeColor="text1"/>
              </w:rPr>
              <w:t>Aspirations</w:t>
            </w:r>
            <w:r w:rsidR="00C24449">
              <w:rPr>
                <w:color w:val="AF272F" w:themeColor="text1"/>
              </w:rPr>
              <w:t>:</w:t>
            </w:r>
            <w:r>
              <w:rPr>
                <w:color w:val="AF272F" w:themeColor="text1"/>
              </w:rPr>
              <w:t xml:space="preserve"> </w:t>
            </w:r>
            <w:r w:rsidRPr="00836E79">
              <w:rPr>
                <w:i/>
                <w:color w:val="AF272F" w:themeColor="text1"/>
              </w:rPr>
              <w:t>What do we want to achieve</w:t>
            </w:r>
            <w:r w:rsidR="00C24449" w:rsidRPr="00836E79">
              <w:rPr>
                <w:i/>
                <w:color w:val="AF272F" w:themeColor="text1"/>
              </w:rPr>
              <w:t>?</w:t>
            </w:r>
            <w:r w:rsidR="00C24449">
              <w:rPr>
                <w:color w:val="AF272F" w:themeColor="text1"/>
              </w:rPr>
              <w:t xml:space="preserve"> </w:t>
            </w:r>
          </w:p>
        </w:tc>
      </w:tr>
      <w:tr w:rsidR="00C24449" w14:paraId="7B025079" w14:textId="77777777" w:rsidTr="00226F24">
        <w:trPr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5" w:type="dxa"/>
            <w:shd w:val="clear" w:color="auto" w:fill="E7E6E6" w:themeFill="background2"/>
          </w:tcPr>
          <w:p w14:paraId="5EC35EE8" w14:textId="24B3258E" w:rsidR="00C24449" w:rsidRDefault="00836E79" w:rsidP="00226F24">
            <w:pPr>
              <w:spacing w:after="40"/>
              <w:rPr>
                <w:b/>
              </w:rPr>
            </w:pPr>
            <w:r>
              <w:rPr>
                <w:b/>
              </w:rPr>
              <w:t>Opportunities</w:t>
            </w:r>
            <w:r w:rsidR="00C24449">
              <w:rPr>
                <w:b/>
              </w:rPr>
              <w:t xml:space="preserve">: </w:t>
            </w:r>
            <w:r w:rsidR="00C24449" w:rsidRPr="00836E79">
              <w:rPr>
                <w:b/>
                <w:i/>
              </w:rPr>
              <w:t xml:space="preserve">What </w:t>
            </w:r>
            <w:r w:rsidRPr="00836E79">
              <w:rPr>
                <w:b/>
                <w:i/>
              </w:rPr>
              <w:t>is our school community asking for?</w:t>
            </w:r>
            <w:r>
              <w:rPr>
                <w:b/>
              </w:rPr>
              <w:t xml:space="preserve"> </w:t>
            </w:r>
          </w:p>
          <w:p w14:paraId="081CD6A2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5562AAFD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45469735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4023AA4A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3348B126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06C0D799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2F1BC56D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5771ACF4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3F04FBFC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3D43C93D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6C8C0911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5344BE32" w14:textId="77777777" w:rsidR="00C24449" w:rsidRDefault="00C24449" w:rsidP="00226F24">
            <w:pPr>
              <w:spacing w:after="40"/>
              <w:rPr>
                <w:b/>
              </w:rPr>
            </w:pPr>
          </w:p>
          <w:p w14:paraId="0F416919" w14:textId="77777777" w:rsidR="00C24449" w:rsidRPr="00F4449F" w:rsidRDefault="00C24449" w:rsidP="00226F24">
            <w:pPr>
              <w:spacing w:after="40"/>
              <w:rPr>
                <w:b/>
              </w:rPr>
            </w:pPr>
          </w:p>
        </w:tc>
        <w:tc>
          <w:tcPr>
            <w:tcW w:w="4772" w:type="dxa"/>
            <w:shd w:val="clear" w:color="auto" w:fill="E7E6E6" w:themeFill="background2"/>
          </w:tcPr>
          <w:p w14:paraId="5B698AE5" w14:textId="546C2CBD" w:rsidR="00C24449" w:rsidRPr="00F4449F" w:rsidRDefault="00C24449" w:rsidP="00C2444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F272F" w:themeColor="text1"/>
              </w:rPr>
            </w:pPr>
            <w:r>
              <w:rPr>
                <w:b/>
                <w:color w:val="AF272F" w:themeColor="text1"/>
              </w:rPr>
              <w:lastRenderedPageBreak/>
              <w:t xml:space="preserve">Results: </w:t>
            </w:r>
            <w:r w:rsidRPr="00836E79">
              <w:rPr>
                <w:b/>
                <w:i/>
                <w:color w:val="AF272F" w:themeColor="text1"/>
              </w:rPr>
              <w:t>How do we know we are succeeding?</w:t>
            </w:r>
            <w:r>
              <w:rPr>
                <w:b/>
                <w:color w:val="AF272F" w:themeColor="text1"/>
              </w:rPr>
              <w:t xml:space="preserve"> </w:t>
            </w:r>
          </w:p>
        </w:tc>
      </w:tr>
    </w:tbl>
    <w:p w14:paraId="40BC664C" w14:textId="2A73BA00" w:rsidR="00EF0A44" w:rsidRDefault="00EF0A44" w:rsidP="00EF0A44">
      <w:pPr>
        <w:pStyle w:val="Heading2"/>
        <w:rPr>
          <w:lang w:val="en-AU"/>
        </w:rPr>
      </w:pPr>
      <w:r>
        <w:rPr>
          <w:lang w:val="en-AU"/>
        </w:rPr>
        <w:t xml:space="preserve">SOAR analysis of SPOT </w:t>
      </w:r>
    </w:p>
    <w:p w14:paraId="76519D36" w14:textId="6078CD6D" w:rsidR="00C24449" w:rsidRDefault="00C24449" w:rsidP="00E64758">
      <w:pPr>
        <w:spacing w:after="40"/>
        <w:rPr>
          <w:b/>
          <w:color w:val="FF0000"/>
          <w:sz w:val="24"/>
          <w:lang w:val="en-AU"/>
        </w:rPr>
      </w:pPr>
    </w:p>
    <w:p w14:paraId="06B79A61" w14:textId="1D24FAEC" w:rsidR="00EF08BA" w:rsidRDefault="00EF08BA" w:rsidP="00E64758">
      <w:pPr>
        <w:spacing w:after="40"/>
        <w:rPr>
          <w:b/>
          <w:color w:val="FF0000"/>
          <w:sz w:val="24"/>
          <w:lang w:val="en-AU"/>
        </w:rPr>
      </w:pPr>
    </w:p>
    <w:p w14:paraId="2EBAF857" w14:textId="77777777" w:rsidR="00C24449" w:rsidRDefault="00C24449" w:rsidP="00E64758">
      <w:pPr>
        <w:spacing w:after="40"/>
        <w:rPr>
          <w:b/>
          <w:color w:val="FF0000"/>
          <w:sz w:val="24"/>
          <w:lang w:val="en-AU"/>
        </w:rPr>
      </w:pPr>
    </w:p>
    <w:p w14:paraId="25F00A8F" w14:textId="77777777" w:rsidR="00EF08BA" w:rsidRDefault="00EF08BA" w:rsidP="00E64758">
      <w:pPr>
        <w:spacing w:after="40"/>
        <w:rPr>
          <w:b/>
          <w:color w:val="FF0000"/>
          <w:sz w:val="24"/>
          <w:lang w:val="en-AU"/>
        </w:rPr>
      </w:pPr>
    </w:p>
    <w:p w14:paraId="6581B85E" w14:textId="407CCBBC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3950F060" w14:textId="73AA6786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 xml:space="preserve">© State of Victoria (Department of Education and </w:t>
      </w:r>
      <w:r w:rsidRPr="00EF08BA">
        <w:rPr>
          <w:sz w:val="12"/>
          <w:szCs w:val="12"/>
        </w:rPr>
        <w:t>Training)</w:t>
      </w:r>
      <w:r w:rsidR="00E77EB9" w:rsidRPr="00EF08BA">
        <w:rPr>
          <w:sz w:val="12"/>
          <w:szCs w:val="12"/>
        </w:rPr>
        <w:t xml:space="preserve"> 2019.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8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9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20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 </w:t>
        </w:r>
      </w:hyperlink>
    </w:p>
    <w:sectPr w:rsidR="00122369" w:rsidRPr="00E34721" w:rsidSect="006E2B9A">
      <w:headerReference w:type="default" r:id="rId21"/>
      <w:footerReference w:type="even" r:id="rId22"/>
      <w:footerReference w:type="default" r:id="rId2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C3E9D" w14:textId="77777777" w:rsidR="00080019" w:rsidRDefault="00080019" w:rsidP="003967DD">
      <w:pPr>
        <w:spacing w:after="0"/>
      </w:pPr>
      <w:r>
        <w:separator/>
      </w:r>
    </w:p>
  </w:endnote>
  <w:endnote w:type="continuationSeparator" w:id="0">
    <w:p w14:paraId="46A7389B" w14:textId="77777777" w:rsidR="00080019" w:rsidRDefault="0008001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1DAAFCFA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6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2743" w14:textId="77777777" w:rsidR="00080019" w:rsidRDefault="00080019" w:rsidP="003967DD">
      <w:pPr>
        <w:spacing w:after="0"/>
      </w:pPr>
      <w:r>
        <w:separator/>
      </w:r>
    </w:p>
  </w:footnote>
  <w:footnote w:type="continuationSeparator" w:id="0">
    <w:p w14:paraId="63A55536" w14:textId="77777777" w:rsidR="00080019" w:rsidRDefault="0008001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79949C6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541145A" wp14:editId="71C14D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2C32A9"/>
    <w:multiLevelType w:val="hybridMultilevel"/>
    <w:tmpl w:val="B4F0D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0BD7"/>
    <w:multiLevelType w:val="hybridMultilevel"/>
    <w:tmpl w:val="8966B2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107"/>
    <w:multiLevelType w:val="hybridMultilevel"/>
    <w:tmpl w:val="668A2290"/>
    <w:lvl w:ilvl="0" w:tplc="B9CA2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12"/>
  </w:num>
  <w:num w:numId="16">
    <w:abstractNumId w:val="16"/>
  </w:num>
  <w:num w:numId="17">
    <w:abstractNumId w:val="14"/>
  </w:num>
  <w:num w:numId="18">
    <w:abstractNumId w:val="11"/>
  </w:num>
  <w:num w:numId="19">
    <w:abstractNumId w:val="17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C6C"/>
    <w:rsid w:val="00011F31"/>
    <w:rsid w:val="00013339"/>
    <w:rsid w:val="000256E2"/>
    <w:rsid w:val="00080019"/>
    <w:rsid w:val="00080DA9"/>
    <w:rsid w:val="000A182D"/>
    <w:rsid w:val="000A47D4"/>
    <w:rsid w:val="00122369"/>
    <w:rsid w:val="00150E0F"/>
    <w:rsid w:val="00157212"/>
    <w:rsid w:val="0016287D"/>
    <w:rsid w:val="001D0D94"/>
    <w:rsid w:val="001D13F9"/>
    <w:rsid w:val="001F39DD"/>
    <w:rsid w:val="002512BE"/>
    <w:rsid w:val="00275FB8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B2ED6"/>
    <w:rsid w:val="00555277"/>
    <w:rsid w:val="00567CF0"/>
    <w:rsid w:val="00584366"/>
    <w:rsid w:val="005A4F12"/>
    <w:rsid w:val="00610411"/>
    <w:rsid w:val="00624A55"/>
    <w:rsid w:val="006671CE"/>
    <w:rsid w:val="006A25AC"/>
    <w:rsid w:val="006E2B9A"/>
    <w:rsid w:val="00710CED"/>
    <w:rsid w:val="00756C01"/>
    <w:rsid w:val="00766628"/>
    <w:rsid w:val="007B556E"/>
    <w:rsid w:val="007C6019"/>
    <w:rsid w:val="007D3E38"/>
    <w:rsid w:val="008065DA"/>
    <w:rsid w:val="00826425"/>
    <w:rsid w:val="00836E79"/>
    <w:rsid w:val="00894268"/>
    <w:rsid w:val="008A6B28"/>
    <w:rsid w:val="008B1737"/>
    <w:rsid w:val="00952690"/>
    <w:rsid w:val="00A31926"/>
    <w:rsid w:val="00A710DF"/>
    <w:rsid w:val="00B21562"/>
    <w:rsid w:val="00B86D41"/>
    <w:rsid w:val="00C24449"/>
    <w:rsid w:val="00C539BB"/>
    <w:rsid w:val="00CC5AA8"/>
    <w:rsid w:val="00CD5993"/>
    <w:rsid w:val="00DC4D0D"/>
    <w:rsid w:val="00E03D17"/>
    <w:rsid w:val="00E34263"/>
    <w:rsid w:val="00E34721"/>
    <w:rsid w:val="00E4317E"/>
    <w:rsid w:val="00E5030B"/>
    <w:rsid w:val="00E64758"/>
    <w:rsid w:val="00E77EB9"/>
    <w:rsid w:val="00EA096A"/>
    <w:rsid w:val="00EE55FB"/>
    <w:rsid w:val="00EF08BA"/>
    <w:rsid w:val="00EF0A44"/>
    <w:rsid w:val="00F5271F"/>
    <w:rsid w:val="00F94715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EF08BA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sizetag">
    <w:name w:val="sizetag"/>
    <w:basedOn w:val="DefaultParagraphFont"/>
    <w:rsid w:val="00894268"/>
  </w:style>
  <w:style w:type="paragraph" w:styleId="BalloonText">
    <w:name w:val="Balloon Text"/>
    <w:basedOn w:val="Normal"/>
    <w:link w:val="BalloonTextChar"/>
    <w:uiPriority w:val="99"/>
    <w:semiHidden/>
    <w:unhideWhenUsed/>
    <w:rsid w:val="00EE55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teachers/management/improvement/Pages/FISO.aspx" TargetMode="External"/><Relationship Id="rId18" Type="http://schemas.openxmlformats.org/officeDocument/2006/relationships/hyperlink" Target="https://www.education.vic.gov.au/Pages/copyright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edugate.eduweb.vic.gov.au/sites/i/Pages/production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gate.eduweb.vic.gov.au/sites/i/Pages/production.aspx" TargetMode="External"/><Relationship Id="rId20" Type="http://schemas.openxmlformats.org/officeDocument/2006/relationships/hyperlink" Target="https://www.education.vic.gov.au/Pages/copyrigh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363699896/bd97756eb8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gate.eduweb.vic.gov.au/sites/i/Pages/production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gate.eduweb.vic.gov.au/sites/i/Pages/production.asp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This video features Eildon Primary School, a small, rural school located in North-Eastern Victoria. It discusses the benefits of using SPOT to provide a collective understanding about the schools improvement efforts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E3A12-FFD8-4853-B67B-39F8F9A86E5C}">
  <ds:schemaRefs>
    <ds:schemaRef ds:uri="http://purl.org/dc/elements/1.1/"/>
    <ds:schemaRef ds:uri="http://schemas.microsoft.com/office/2006/metadata/properties"/>
    <ds:schemaRef ds:uri="http://purl.org/dc/terms/"/>
    <ds:schemaRef ds:uri="c14339c4-11ad-4c41-b438-e7b0a9cf9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6611D-1343-42EC-B639-F15A626E64B9}"/>
</file>

<file path=customXml/itemProps4.xml><?xml version="1.0" encoding="utf-8"?>
<ds:datastoreItem xmlns:ds="http://schemas.openxmlformats.org/officeDocument/2006/customXml" ds:itemID="{8B9AEDCD-6A2A-4D01-BC29-458DDCBB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spot in a small, rural school</dc:title>
  <dc:subject/>
  <dc:creator>Isabel Lim</dc:creator>
  <cp:keywords/>
  <dc:description/>
  <cp:lastModifiedBy>Sanchez, Laura L2</cp:lastModifiedBy>
  <cp:revision>2</cp:revision>
  <cp:lastPrinted>2019-09-16T03:46:00Z</cp:lastPrinted>
  <dcterms:created xsi:type="dcterms:W3CDTF">2019-10-02T02:27:00Z</dcterms:created>
  <dcterms:modified xsi:type="dcterms:W3CDTF">2019-10-02T02:27:00Z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{8aa65c7a-b67b-4069-87f2-23e5f130964a}</vt:lpwstr>
  </property>
  <property fmtid="{D5CDD505-2E9C-101B-9397-08002B2CF9AE}" pid="8" name="RecordPoint_ActiveItemUniqueId">
    <vt:lpwstr>{4876bd29-7c10-4856-a110-3445b211becc}</vt:lpwstr>
  </property>
  <property fmtid="{D5CDD505-2E9C-101B-9397-08002B2CF9AE}" pid="9" name="RecordPoint_ActiveItemWebId">
    <vt:lpwstr>{97534444-34b6-410f-a47b-ec7e341c97b9}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R20190529804</vt:lpwstr>
  </property>
  <property fmtid="{D5CDD505-2E9C-101B-9397-08002B2CF9AE}" pid="12" name="RecordPoint_SubmissionCompleted">
    <vt:lpwstr>2019-09-23T17:56:37.5099723+10:00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