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532C" w14:textId="7088E4D8" w:rsidR="00927DEE" w:rsidRPr="00B33F07" w:rsidRDefault="00DD7D45" w:rsidP="00660E9E">
      <w:pPr>
        <w:pStyle w:val="Heading1"/>
      </w:pPr>
      <w:bookmarkStart w:id="0" w:name="_Toc455499267"/>
      <w:bookmarkStart w:id="1" w:name="_Toc455499461"/>
      <w:bookmarkStart w:id="2" w:name="_Toc455501167"/>
      <w:r w:rsidRPr="00B33F07">
        <w:t xml:space="preserve">Section </w:t>
      </w:r>
      <w:r w:rsidR="00E42727" w:rsidRPr="00B33F07">
        <w:t>8</w:t>
      </w:r>
      <w:r w:rsidR="00927DEE" w:rsidRPr="00B33F07">
        <w:t xml:space="preserve">: </w:t>
      </w:r>
      <w:r w:rsidR="00E42727" w:rsidRPr="00B33F07">
        <w:t xml:space="preserve">Bank accounts </w:t>
      </w:r>
    </w:p>
    <w:p w14:paraId="2045863E" w14:textId="77777777" w:rsidR="00927DEE" w:rsidRPr="00245EA3" w:rsidRDefault="00E42727" w:rsidP="00245EA3">
      <w:pPr>
        <w:pStyle w:val="Heading2"/>
      </w:pPr>
      <w:r>
        <w:t>8</w:t>
      </w:r>
      <w:r w:rsidR="0038557A" w:rsidRPr="00245EA3">
        <w:t>.1</w:t>
      </w:r>
      <w:r w:rsidR="0038557A" w:rsidRPr="00245EA3">
        <w:tab/>
      </w:r>
      <w:r w:rsidR="00927DEE" w:rsidRPr="00245EA3">
        <w:t>Overview</w:t>
      </w:r>
    </w:p>
    <w:p w14:paraId="3C99DE17" w14:textId="77777777" w:rsidR="004249C6" w:rsidRDefault="004249C6" w:rsidP="004249C6">
      <w:r>
        <w:t>Schools can hold their cash in:</w:t>
      </w:r>
    </w:p>
    <w:p w14:paraId="75E9E215" w14:textId="77777777" w:rsidR="004249C6" w:rsidRDefault="004249C6" w:rsidP="004249C6">
      <w:r>
        <w:t>•</w:t>
      </w:r>
      <w:r>
        <w:tab/>
        <w:t>Official bank account</w:t>
      </w:r>
    </w:p>
    <w:p w14:paraId="289335A5" w14:textId="77777777" w:rsidR="004249C6" w:rsidRDefault="004249C6" w:rsidP="004249C6">
      <w:r>
        <w:t>•</w:t>
      </w:r>
      <w:r>
        <w:tab/>
        <w:t>CBS Linked High Yield Investment account (HYIA)</w:t>
      </w:r>
    </w:p>
    <w:p w14:paraId="338D1549" w14:textId="31B243A6" w:rsidR="004249C6" w:rsidRDefault="004249C6" w:rsidP="00B33F07">
      <w:r>
        <w:t>•</w:t>
      </w:r>
      <w:r>
        <w:tab/>
        <w:t>Building and Library Accounts.</w:t>
      </w:r>
    </w:p>
    <w:p w14:paraId="7EE95D6F" w14:textId="77777777" w:rsidR="00927DEE" w:rsidRPr="00245EA3" w:rsidRDefault="00B76970" w:rsidP="00245EA3">
      <w:pPr>
        <w:pStyle w:val="Heading2"/>
      </w:pPr>
      <w:r>
        <w:t>8</w:t>
      </w:r>
      <w:r w:rsidR="0038557A" w:rsidRPr="00245EA3">
        <w:t>.2</w:t>
      </w:r>
      <w:r w:rsidR="0038557A" w:rsidRPr="00245EA3">
        <w:tab/>
      </w:r>
      <w:r>
        <w:t>S</w:t>
      </w:r>
      <w:r w:rsidR="005A3E35" w:rsidRPr="00245EA3">
        <w:t xml:space="preserve">chool </w:t>
      </w:r>
      <w:r w:rsidR="00D54B22">
        <w:t>c</w:t>
      </w:r>
      <w:r w:rsidR="00F728F2">
        <w:t xml:space="preserve">ouncil </w:t>
      </w:r>
      <w:r>
        <w:t>responsibilities</w:t>
      </w:r>
    </w:p>
    <w:p w14:paraId="59B25473" w14:textId="77777777" w:rsidR="00927DEE" w:rsidRPr="00245EA3" w:rsidRDefault="00B76970" w:rsidP="00245EA3">
      <w:pPr>
        <w:pStyle w:val="Heading3"/>
      </w:pPr>
      <w:r>
        <w:t>8</w:t>
      </w:r>
      <w:r w:rsidR="00927DEE" w:rsidRPr="00245EA3">
        <w:t xml:space="preserve">.2.1 </w:t>
      </w:r>
      <w:r w:rsidR="0038557A" w:rsidRPr="00245EA3">
        <w:tab/>
      </w:r>
      <w:r w:rsidR="00927DEE" w:rsidRPr="00245EA3">
        <w:t>Mandatory policy (</w:t>
      </w:r>
      <w:r w:rsidR="00BE09A3">
        <w:t>Must do</w:t>
      </w:r>
      <w:r w:rsidR="00927DEE" w:rsidRPr="00245EA3">
        <w:t>)</w:t>
      </w:r>
      <w:r w:rsidR="00F70F42" w:rsidRPr="00245EA3">
        <w:t>:</w:t>
      </w:r>
    </w:p>
    <w:tbl>
      <w:tblPr>
        <w:tblStyle w:val="LightList-Accent3"/>
        <w:tblW w:w="0" w:type="auto"/>
        <w:tblInd w:w="47" w:type="dxa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12"/>
        <w:gridCol w:w="7058"/>
        <w:gridCol w:w="837"/>
      </w:tblGrid>
      <w:tr w:rsidR="00582512" w:rsidRPr="00803374" w14:paraId="3A6B81D2" w14:textId="012DC6E4" w:rsidTr="0058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0F2F" w14:textId="77777777" w:rsidR="00582512" w:rsidRPr="00535226" w:rsidRDefault="00582512" w:rsidP="00456820">
            <w:pPr>
              <w:rPr>
                <w:color w:val="auto"/>
                <w:sz w:val="18"/>
              </w:rPr>
            </w:pPr>
            <w:r w:rsidRPr="00535226">
              <w:rPr>
                <w:color w:val="auto"/>
                <w:sz w:val="18"/>
              </w:rPr>
              <w:t>Sequence Number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57C4" w14:textId="77777777" w:rsidR="00582512" w:rsidRPr="00535226" w:rsidRDefault="00582512" w:rsidP="00456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535226">
              <w:rPr>
                <w:color w:val="auto"/>
              </w:rPr>
              <w:t>Information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33C64F" w14:textId="77777777" w:rsidR="00582512" w:rsidRPr="00535226" w:rsidRDefault="00582512" w:rsidP="00456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2512" w:rsidRPr="00190DEA" w14:paraId="08057627" w14:textId="78F5E51D" w:rsidTr="004B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rPr>
          <w:trHeight w:val="748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347F85" w14:textId="3EEB9608" w:rsidR="00582512" w:rsidRPr="00190DEA" w:rsidRDefault="00582512" w:rsidP="00190DEA">
            <w:r w:rsidRPr="00190DEA">
              <w:t>8.2.1.</w:t>
            </w:r>
            <w:r w:rsidR="00674DF8">
              <w:t>1</w:t>
            </w: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E0F7" w14:textId="226C6793" w:rsidR="00582512" w:rsidRPr="00190DEA" w:rsidRDefault="00582512" w:rsidP="00F431E3">
            <w:pPr>
              <w:spacing w:after="120"/>
              <w:jc w:val="both"/>
            </w:pPr>
            <w:r w:rsidRPr="00190DEA">
              <w:t>A</w:t>
            </w:r>
            <w:r w:rsidR="00A503CD">
              <w:t>ll school bank accounts</w:t>
            </w:r>
            <w:r w:rsidRPr="00190DEA">
              <w:t xml:space="preserve"> </w:t>
            </w:r>
            <w:r w:rsidR="001A1A21">
              <w:t>m</w:t>
            </w:r>
            <w:r w:rsidRPr="00190DEA">
              <w:t>ust be in</w:t>
            </w:r>
            <w:r w:rsidR="00F431E3">
              <w:t xml:space="preserve"> the name of the school council except the HYIA which is held in the name of the school.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0C637822" w14:textId="77777777" w:rsidR="00582512" w:rsidRPr="00190DEA" w:rsidRDefault="00582512" w:rsidP="00190DEA"/>
        </w:tc>
      </w:tr>
      <w:tr w:rsidR="00582512" w:rsidRPr="00190DEA" w14:paraId="42AF9E21" w14:textId="51B826FC" w:rsidTr="005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37E18B" w14:textId="37D8F4FC" w:rsidR="00582512" w:rsidRPr="00190DEA" w:rsidRDefault="00582512" w:rsidP="004B3714">
            <w:pPr>
              <w:spacing w:after="120"/>
            </w:pPr>
            <w:r w:rsidRPr="00190DEA">
              <w:t>8.2.1.</w:t>
            </w:r>
            <w:r w:rsidR="004C5F12">
              <w:t>2</w:t>
            </w: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D480C4" w14:textId="50259098" w:rsidR="00582512" w:rsidRPr="00190DEA" w:rsidRDefault="00582512" w:rsidP="004B3714">
            <w:pPr>
              <w:spacing w:after="120"/>
              <w:jc w:val="both"/>
            </w:pPr>
            <w:r w:rsidRPr="00190DEA">
              <w:t xml:space="preserve">To </w:t>
            </w:r>
            <w:r w:rsidR="00777719">
              <w:t xml:space="preserve">ensure schools are able to plan effectively </w:t>
            </w:r>
            <w:r w:rsidRPr="00190DEA">
              <w:t>it is essential to prepare a cash flow budget to determine cash requirements in any given period, whilst maintaining the schools’ cash reserve benchmark.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20BC6219" w14:textId="77777777" w:rsidR="00582512" w:rsidRPr="00190DEA" w:rsidRDefault="00582512" w:rsidP="0048458D"/>
        </w:tc>
      </w:tr>
      <w:tr w:rsidR="004C5F12" w:rsidRPr="00190DEA" w14:paraId="1EA88EBB" w14:textId="77777777" w:rsidTr="00582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600" w:firstRow="0" w:lastRow="0" w:firstColumn="0" w:lastColumn="0" w:noHBand="1" w:noVBand="1"/>
        </w:tblPrEx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6636E4" w14:textId="013D67BD" w:rsidR="004C5F12" w:rsidRPr="00190DEA" w:rsidRDefault="004C5F12" w:rsidP="004B3714">
            <w:pPr>
              <w:spacing w:after="120"/>
            </w:pPr>
            <w:r>
              <w:t>8.2.1.3</w:t>
            </w:r>
          </w:p>
        </w:tc>
        <w:tc>
          <w:tcPr>
            <w:tcW w:w="70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547EA0" w14:textId="45DCAB4F" w:rsidR="004C5F12" w:rsidRPr="00190DEA" w:rsidRDefault="004C5F12" w:rsidP="004B3714">
            <w:pPr>
              <w:spacing w:after="120"/>
              <w:jc w:val="both"/>
            </w:pPr>
            <w:r>
              <w:t xml:space="preserve">Schools must seek approval form the Department by emailing </w:t>
            </w:r>
            <w:hyperlink r:id="rId12" w:history="1">
              <w:r w:rsidRPr="009A33FE">
                <w:rPr>
                  <w:rStyle w:val="Hyperlink"/>
                </w:rPr>
                <w:t>schools.finance.support@edumail.vic.gov.au</w:t>
              </w:r>
            </w:hyperlink>
            <w:r>
              <w:t xml:space="preserve"> to maintain Beneficiary/Memorial funds in a separate account.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</w:tcPr>
          <w:p w14:paraId="6C8AA9FF" w14:textId="77777777" w:rsidR="004C5F12" w:rsidRPr="00190DEA" w:rsidRDefault="004C5F12" w:rsidP="0048458D"/>
        </w:tc>
      </w:tr>
    </w:tbl>
    <w:bookmarkEnd w:id="0"/>
    <w:bookmarkEnd w:id="1"/>
    <w:bookmarkEnd w:id="2"/>
    <w:p w14:paraId="111816A4" w14:textId="3219A5AD" w:rsidR="00164232" w:rsidRPr="00245EA3" w:rsidRDefault="003B67FF" w:rsidP="00164232">
      <w:pPr>
        <w:pStyle w:val="Heading3"/>
      </w:pPr>
      <w:r>
        <w:t>8.2</w:t>
      </w:r>
      <w:r w:rsidR="00164232" w:rsidRPr="00245EA3">
        <w:t>.</w:t>
      </w:r>
      <w:r>
        <w:t>2</w:t>
      </w:r>
      <w:r w:rsidR="001057FC">
        <w:tab/>
      </w:r>
      <w:r w:rsidR="00164232" w:rsidRPr="00245EA3">
        <w:tab/>
      </w:r>
      <w:r w:rsidR="00164232">
        <w:t xml:space="preserve">Prohibited </w:t>
      </w:r>
      <w:r w:rsidR="00164232" w:rsidRPr="00245EA3">
        <w:t>policy (</w:t>
      </w:r>
      <w:r w:rsidR="00164232">
        <w:t>Must not</w:t>
      </w:r>
      <w:r w:rsidR="0048458D">
        <w:t xml:space="preserve"> do</w:t>
      </w:r>
      <w:r w:rsidR="00164232" w:rsidRPr="00245EA3">
        <w:t>)</w:t>
      </w:r>
      <w:r w:rsidR="00164232">
        <w:t>: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00"/>
        <w:gridCol w:w="7060"/>
        <w:gridCol w:w="837"/>
      </w:tblGrid>
      <w:tr w:rsidR="00582512" w:rsidRPr="00803374" w14:paraId="3124E48C" w14:textId="0BDD4C8A" w:rsidTr="004B3714">
        <w:trPr>
          <w:trHeight w:hRule="exact" w:val="681"/>
          <w:tblHeader/>
        </w:trPr>
        <w:tc>
          <w:tcPr>
            <w:tcW w:w="1100" w:type="dxa"/>
          </w:tcPr>
          <w:p w14:paraId="60F29942" w14:textId="77777777" w:rsidR="00582512" w:rsidRPr="00B717E0" w:rsidRDefault="00582512" w:rsidP="00456820">
            <w:pPr>
              <w:rPr>
                <w:b/>
                <w:sz w:val="18"/>
              </w:rPr>
            </w:pPr>
            <w:r w:rsidRPr="00B717E0">
              <w:rPr>
                <w:b/>
                <w:sz w:val="18"/>
              </w:rPr>
              <w:t>Sequence</w:t>
            </w:r>
            <w:r>
              <w:rPr>
                <w:b/>
                <w:sz w:val="18"/>
              </w:rPr>
              <w:t xml:space="preserve"> Number</w:t>
            </w:r>
          </w:p>
        </w:tc>
        <w:tc>
          <w:tcPr>
            <w:tcW w:w="7060" w:type="dxa"/>
          </w:tcPr>
          <w:p w14:paraId="55EE6B17" w14:textId="77777777" w:rsidR="00582512" w:rsidRPr="00BF2182" w:rsidRDefault="00582512" w:rsidP="00456820">
            <w:pPr>
              <w:rPr>
                <w:b/>
              </w:rPr>
            </w:pPr>
            <w:r w:rsidRPr="00BF2182">
              <w:rPr>
                <w:b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43CE040D" w14:textId="77777777" w:rsidR="00582512" w:rsidRPr="00BF2182" w:rsidRDefault="00582512" w:rsidP="00456820">
            <w:pPr>
              <w:rPr>
                <w:b/>
              </w:rPr>
            </w:pPr>
          </w:p>
        </w:tc>
      </w:tr>
      <w:tr w:rsidR="00582512" w:rsidRPr="0008210B" w14:paraId="37BBAE38" w14:textId="517E5039" w:rsidTr="004B3714">
        <w:trPr>
          <w:trHeight w:hRule="exact" w:val="1080"/>
        </w:trPr>
        <w:tc>
          <w:tcPr>
            <w:tcW w:w="1100" w:type="dxa"/>
          </w:tcPr>
          <w:p w14:paraId="64294E6B" w14:textId="77777777" w:rsidR="00582512" w:rsidRPr="0008210B" w:rsidRDefault="00582512" w:rsidP="003B67FF">
            <w:r>
              <w:t>8.2.2.</w:t>
            </w:r>
            <w:r w:rsidRPr="0008210B">
              <w:t>1</w:t>
            </w:r>
          </w:p>
        </w:tc>
        <w:tc>
          <w:tcPr>
            <w:tcW w:w="7060" w:type="dxa"/>
          </w:tcPr>
          <w:p w14:paraId="1FB24B98" w14:textId="77777777" w:rsidR="00582512" w:rsidRPr="0008210B" w:rsidRDefault="00582512" w:rsidP="007443DD">
            <w:r w:rsidRPr="007443DD">
              <w:t xml:space="preserve">School councils must not form or become a member of a corporation. Doing so will contravene the requirements of Section 2.3.6 of the </w:t>
            </w:r>
            <w:r w:rsidRPr="007443DD">
              <w:rPr>
                <w:i/>
              </w:rPr>
              <w:t>Education and Training Reform Act 2006</w:t>
            </w:r>
            <w:r>
              <w:t>.</w:t>
            </w:r>
          </w:p>
        </w:tc>
        <w:tc>
          <w:tcPr>
            <w:tcW w:w="837" w:type="dxa"/>
          </w:tcPr>
          <w:p w14:paraId="75D86AF4" w14:textId="77777777" w:rsidR="00582512" w:rsidRPr="007443DD" w:rsidRDefault="00582512" w:rsidP="007443DD"/>
        </w:tc>
      </w:tr>
      <w:tr w:rsidR="00582512" w:rsidRPr="0008210B" w14:paraId="394998F1" w14:textId="0A8C0117" w:rsidTr="004C5F12">
        <w:trPr>
          <w:trHeight w:hRule="exact" w:val="1109"/>
        </w:trPr>
        <w:tc>
          <w:tcPr>
            <w:tcW w:w="1100" w:type="dxa"/>
          </w:tcPr>
          <w:p w14:paraId="36177A41" w14:textId="77777777" w:rsidR="00582512" w:rsidRPr="0008210B" w:rsidRDefault="00582512" w:rsidP="003B67FF">
            <w:r>
              <w:t>8.2.2.2</w:t>
            </w:r>
          </w:p>
        </w:tc>
        <w:tc>
          <w:tcPr>
            <w:tcW w:w="7060" w:type="dxa"/>
          </w:tcPr>
          <w:p w14:paraId="3DB9D645" w14:textId="12BA0DC7" w:rsidR="00582512" w:rsidRDefault="00582512">
            <w:r w:rsidRPr="003B67FF">
              <w:t xml:space="preserve">Schools must </w:t>
            </w:r>
            <w:r w:rsidR="00674DF8">
              <w:t xml:space="preserve">not </w:t>
            </w:r>
            <w:r w:rsidR="00B43BCA">
              <w:t>establish any new investments</w:t>
            </w:r>
            <w:r w:rsidR="005032E6">
              <w:t xml:space="preserve"> </w:t>
            </w:r>
            <w:r w:rsidR="004C5F12">
              <w:t xml:space="preserve">including, term deposits and at call investment accounts </w:t>
            </w:r>
            <w:r w:rsidR="005032E6">
              <w:t xml:space="preserve">outside of </w:t>
            </w:r>
            <w:r w:rsidR="00F431E3">
              <w:t xml:space="preserve">the </w:t>
            </w:r>
            <w:r w:rsidR="0013357D">
              <w:t>CBS linked High Yield Investment Account</w:t>
            </w:r>
            <w:r w:rsidR="00B43BCA">
              <w:t>.</w:t>
            </w:r>
            <w:r w:rsidR="0013357D">
              <w:t xml:space="preserve"> </w:t>
            </w:r>
          </w:p>
        </w:tc>
        <w:tc>
          <w:tcPr>
            <w:tcW w:w="837" w:type="dxa"/>
          </w:tcPr>
          <w:p w14:paraId="381278F1" w14:textId="77777777" w:rsidR="00582512" w:rsidRPr="003B67FF" w:rsidRDefault="00582512" w:rsidP="003B67FF"/>
        </w:tc>
      </w:tr>
    </w:tbl>
    <w:p w14:paraId="577D36F5" w14:textId="5E467E39" w:rsidR="00164232" w:rsidRDefault="00164232" w:rsidP="00D049D0"/>
    <w:p w14:paraId="79B233EF" w14:textId="77777777" w:rsidR="0051778F" w:rsidRPr="00245EA3" w:rsidRDefault="003B67FF" w:rsidP="00245EA3">
      <w:pPr>
        <w:pStyle w:val="Heading2"/>
      </w:pPr>
      <w:r>
        <w:t>8</w:t>
      </w:r>
      <w:r w:rsidR="0038557A" w:rsidRPr="00245EA3">
        <w:t>.3</w:t>
      </w:r>
      <w:r w:rsidR="0038557A" w:rsidRPr="00245EA3">
        <w:tab/>
      </w:r>
      <w:r w:rsidR="00FA3C96">
        <w:t>Opening and closing bank accounts</w:t>
      </w:r>
    </w:p>
    <w:p w14:paraId="447F5D59" w14:textId="77777777" w:rsidR="0051778F" w:rsidRPr="00245EA3" w:rsidRDefault="00861AAB" w:rsidP="00245EA3">
      <w:pPr>
        <w:pStyle w:val="Heading3"/>
      </w:pPr>
      <w:r>
        <w:t>8</w:t>
      </w:r>
      <w:r w:rsidR="0038557A" w:rsidRPr="00245EA3">
        <w:t>.3.1</w:t>
      </w:r>
      <w:r w:rsidR="0038557A" w:rsidRPr="00245EA3">
        <w:tab/>
      </w:r>
      <w:r w:rsidR="0051778F" w:rsidRPr="00245EA3">
        <w:t>Mandatory policy (</w:t>
      </w:r>
      <w:r w:rsidR="00021CD6">
        <w:t>Must do</w:t>
      </w:r>
      <w:r w:rsidR="0051778F" w:rsidRPr="00245EA3">
        <w:t>)</w:t>
      </w:r>
      <w:r w:rsidR="001C6C76">
        <w:t>:</w:t>
      </w:r>
    </w:p>
    <w:tbl>
      <w:tblPr>
        <w:tblStyle w:val="LightList-Accent3"/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  <w:tblDescription w:val="table containing sequence numbers and policy information"/>
      </w:tblPr>
      <w:tblGrid>
        <w:gridCol w:w="1099"/>
        <w:gridCol w:w="7071"/>
        <w:gridCol w:w="837"/>
      </w:tblGrid>
      <w:tr w:rsidR="00582512" w:rsidRPr="00C61E2F" w14:paraId="12C95007" w14:textId="07A4D742" w:rsidTr="00582512">
        <w:trPr>
          <w:trHeight w:val="567"/>
          <w:tblHeader/>
        </w:trPr>
        <w:tc>
          <w:tcPr>
            <w:tcW w:w="1099" w:type="dxa"/>
            <w:shd w:val="clear" w:color="auto" w:fill="FFFFFF" w:themeFill="background1"/>
          </w:tcPr>
          <w:p w14:paraId="69D612CF" w14:textId="56B0F630" w:rsidR="00582512" w:rsidRPr="00535226" w:rsidRDefault="00582512" w:rsidP="00861A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Sequence </w:t>
            </w:r>
            <w:r w:rsidRPr="00535226">
              <w:rPr>
                <w:b/>
                <w:sz w:val="18"/>
              </w:rPr>
              <w:t>Number</w:t>
            </w:r>
          </w:p>
        </w:tc>
        <w:tc>
          <w:tcPr>
            <w:tcW w:w="7071" w:type="dxa"/>
            <w:shd w:val="clear" w:color="auto" w:fill="auto"/>
          </w:tcPr>
          <w:p w14:paraId="549C7F37" w14:textId="51A952E3" w:rsidR="00582512" w:rsidRPr="00535226" w:rsidRDefault="00582512" w:rsidP="003D6226">
            <w:pPr>
              <w:rPr>
                <w:b/>
                <w:sz w:val="20"/>
                <w:szCs w:val="20"/>
              </w:rPr>
            </w:pPr>
            <w:r w:rsidRPr="00535226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59E2AF3B" w14:textId="77777777" w:rsidR="00582512" w:rsidRPr="00535226" w:rsidRDefault="00582512" w:rsidP="003D6226">
            <w:pPr>
              <w:rPr>
                <w:b/>
                <w:sz w:val="20"/>
                <w:szCs w:val="20"/>
              </w:rPr>
            </w:pPr>
          </w:p>
        </w:tc>
      </w:tr>
      <w:tr w:rsidR="00582512" w:rsidRPr="00C61E2F" w14:paraId="418A5318" w14:textId="6869435F" w:rsidTr="00582512">
        <w:trPr>
          <w:trHeight w:val="567"/>
        </w:trPr>
        <w:tc>
          <w:tcPr>
            <w:tcW w:w="1099" w:type="dxa"/>
            <w:shd w:val="clear" w:color="auto" w:fill="FFFFFF" w:themeFill="background1"/>
          </w:tcPr>
          <w:p w14:paraId="652CED2E" w14:textId="77777777" w:rsidR="00582512" w:rsidRPr="00C61E2F" w:rsidRDefault="00582512" w:rsidP="00861AAB">
            <w:pPr>
              <w:rPr>
                <w:b/>
              </w:rPr>
            </w:pPr>
            <w:r>
              <w:t>8</w:t>
            </w:r>
            <w:r w:rsidRPr="00C61E2F">
              <w:t>.3.1.1</w:t>
            </w:r>
          </w:p>
        </w:tc>
        <w:tc>
          <w:tcPr>
            <w:tcW w:w="7071" w:type="dxa"/>
            <w:shd w:val="clear" w:color="auto" w:fill="auto"/>
          </w:tcPr>
          <w:p w14:paraId="0793F35A" w14:textId="77777777" w:rsidR="00582512" w:rsidRPr="00223DAA" w:rsidRDefault="00582512" w:rsidP="003D6226">
            <w:pPr>
              <w:rPr>
                <w:b/>
              </w:rPr>
            </w:pPr>
            <w:r w:rsidRPr="00223DAA">
              <w:t>The principal and school council must ensure that all school bank accounts will:</w:t>
            </w:r>
          </w:p>
          <w:p w14:paraId="51EB7DEA" w14:textId="77777777" w:rsidR="00582512" w:rsidRPr="00223DAA" w:rsidRDefault="00582512" w:rsidP="003D6226">
            <w:pPr>
              <w:pStyle w:val="ListBullet"/>
              <w:rPr>
                <w:b/>
              </w:rPr>
            </w:pPr>
            <w:r w:rsidRPr="00223DAA">
              <w:t>only be opened or closed with the written authority of the school council</w:t>
            </w:r>
            <w:r>
              <w:t>;</w:t>
            </w:r>
          </w:p>
          <w:p w14:paraId="524A5904" w14:textId="77777777" w:rsidR="00582512" w:rsidRPr="00223DAA" w:rsidRDefault="00582512" w:rsidP="003D6226">
            <w:pPr>
              <w:pStyle w:val="ListBullet"/>
              <w:rPr>
                <w:b/>
              </w:rPr>
            </w:pPr>
            <w:r w:rsidRPr="00223DAA">
              <w:t>be with an Authorised Deposit-Taking Institution(s)</w:t>
            </w:r>
            <w:r>
              <w:t xml:space="preserve"> (ADI);</w:t>
            </w:r>
          </w:p>
          <w:p w14:paraId="0945D496" w14:textId="5F35AB97" w:rsidR="00582512" w:rsidRPr="00223DAA" w:rsidRDefault="00582512" w:rsidP="003D6226">
            <w:pPr>
              <w:pStyle w:val="ListBullet"/>
              <w:rPr>
                <w:b/>
              </w:rPr>
            </w:pPr>
            <w:r w:rsidRPr="00223DAA">
              <w:t>be in the name of the school council, apart from the</w:t>
            </w:r>
            <w:r w:rsidR="001A54A2">
              <w:t xml:space="preserve"> CBS </w:t>
            </w:r>
            <w:r w:rsidR="004C5F12">
              <w:t xml:space="preserve">linked </w:t>
            </w:r>
            <w:r w:rsidR="004C5F12" w:rsidRPr="00223DAA">
              <w:t>High</w:t>
            </w:r>
            <w:r w:rsidRPr="00223DAA">
              <w:t xml:space="preserve"> Yield </w:t>
            </w:r>
            <w:r w:rsidR="001A54A2">
              <w:t>Investment</w:t>
            </w:r>
            <w:r w:rsidRPr="00223DAA">
              <w:t xml:space="preserve"> Account</w:t>
            </w:r>
            <w:r>
              <w:t xml:space="preserve"> (HY</w:t>
            </w:r>
            <w:r w:rsidR="001A54A2">
              <w:t>I</w:t>
            </w:r>
            <w:r>
              <w:t>A);</w:t>
            </w:r>
          </w:p>
          <w:p w14:paraId="56F921B5" w14:textId="77777777" w:rsidR="00582512" w:rsidRPr="00D01050" w:rsidRDefault="00582512" w:rsidP="002C1602">
            <w:pPr>
              <w:pStyle w:val="ListBullet"/>
            </w:pPr>
            <w:r w:rsidRPr="002C1602">
              <w:t>have the principal (mandatory) and a school council member nominated for this purpose registered as co-signatories</w:t>
            </w:r>
            <w:r w:rsidRPr="00D01050">
              <w:t>;</w:t>
            </w:r>
          </w:p>
          <w:p w14:paraId="2E8F04D5" w14:textId="77777777" w:rsidR="00582512" w:rsidRPr="00631C4E" w:rsidRDefault="00582512" w:rsidP="002C1602">
            <w:pPr>
              <w:pStyle w:val="ListBullet"/>
            </w:pPr>
            <w:r w:rsidRPr="002C1602">
              <w:t>be maintained regularly and accurately in CASES21;</w:t>
            </w:r>
          </w:p>
          <w:p w14:paraId="3FB91E52" w14:textId="77777777" w:rsidR="00582512" w:rsidRPr="00C61E2F" w:rsidRDefault="00582512" w:rsidP="00461C4B">
            <w:pPr>
              <w:pStyle w:val="ListBullet"/>
              <w:spacing w:after="120"/>
              <w:rPr>
                <w:b/>
              </w:rPr>
            </w:pPr>
            <w:r w:rsidRPr="00223DAA">
              <w:t>be managed in accordance to requirements detailed in the Finance Manual for Victorian Government Schools</w:t>
            </w:r>
            <w:r>
              <w:t xml:space="preserve"> </w:t>
            </w:r>
            <w:r w:rsidRPr="00223DAA">
              <w:t>in accordan</w:t>
            </w:r>
            <w:r w:rsidRPr="00B33F07">
              <w:rPr>
                <w:b/>
              </w:rPr>
              <w:t>c</w:t>
            </w:r>
            <w:r w:rsidRPr="00223DAA">
              <w:t xml:space="preserve">e </w:t>
            </w:r>
            <w:r w:rsidRPr="00803F0F">
              <w:rPr>
                <w:i/>
              </w:rPr>
              <w:t>Financial Management Act</w:t>
            </w:r>
            <w:r w:rsidRPr="00223DAA">
              <w:t xml:space="preserve"> 1994</w:t>
            </w:r>
            <w:r>
              <w:t>.</w:t>
            </w:r>
          </w:p>
        </w:tc>
        <w:tc>
          <w:tcPr>
            <w:tcW w:w="837" w:type="dxa"/>
          </w:tcPr>
          <w:p w14:paraId="294A84A8" w14:textId="77777777" w:rsidR="00582512" w:rsidRPr="00223DAA" w:rsidRDefault="00582512" w:rsidP="003D6226"/>
        </w:tc>
      </w:tr>
    </w:tbl>
    <w:p w14:paraId="35575BFC" w14:textId="77777777" w:rsidR="004C5F12" w:rsidRDefault="004C5F12" w:rsidP="00CE5698">
      <w:pPr>
        <w:pStyle w:val="Heading3"/>
      </w:pPr>
    </w:p>
    <w:p w14:paraId="72A2A0E6" w14:textId="6251ECBC" w:rsidR="00CE5698" w:rsidRPr="00245EA3" w:rsidRDefault="00CE5698" w:rsidP="00CE5698">
      <w:pPr>
        <w:pStyle w:val="Heading3"/>
      </w:pPr>
      <w:r>
        <w:t>8.3</w:t>
      </w:r>
      <w:r w:rsidRPr="00245EA3">
        <w:t>.</w:t>
      </w:r>
      <w:r>
        <w:t>2</w:t>
      </w:r>
      <w:r w:rsidRPr="00245EA3">
        <w:tab/>
      </w:r>
      <w:r>
        <w:t xml:space="preserve">Prohibited </w:t>
      </w:r>
      <w:r w:rsidRPr="00245EA3">
        <w:t>policy (</w:t>
      </w:r>
      <w:r>
        <w:t>Must not</w:t>
      </w:r>
      <w:r w:rsidR="0048458D">
        <w:t xml:space="preserve"> do</w:t>
      </w:r>
      <w:r w:rsidRPr="00245EA3">
        <w:t>)</w:t>
      </w:r>
      <w:r>
        <w:t>: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01"/>
        <w:gridCol w:w="7059"/>
        <w:gridCol w:w="837"/>
      </w:tblGrid>
      <w:tr w:rsidR="00582512" w:rsidRPr="0008210B" w14:paraId="5C41585F" w14:textId="467A6096" w:rsidTr="00582512">
        <w:trPr>
          <w:trHeight w:hRule="exact" w:val="709"/>
          <w:tblHeader/>
        </w:trPr>
        <w:tc>
          <w:tcPr>
            <w:tcW w:w="1101" w:type="dxa"/>
          </w:tcPr>
          <w:p w14:paraId="7BA33E1D" w14:textId="11B0695F" w:rsidR="00582512" w:rsidRPr="00535226" w:rsidRDefault="00582512" w:rsidP="003D622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535226">
              <w:rPr>
                <w:b/>
                <w:sz w:val="18"/>
              </w:rPr>
              <w:t>Number</w:t>
            </w:r>
          </w:p>
        </w:tc>
        <w:tc>
          <w:tcPr>
            <w:tcW w:w="7059" w:type="dxa"/>
          </w:tcPr>
          <w:p w14:paraId="4092D6A5" w14:textId="391D2B0D" w:rsidR="00582512" w:rsidRPr="00535226" w:rsidRDefault="00582512" w:rsidP="003D6226">
            <w:pPr>
              <w:rPr>
                <w:b/>
                <w:sz w:val="20"/>
                <w:szCs w:val="20"/>
              </w:rPr>
            </w:pPr>
            <w:r w:rsidRPr="00535226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5FD84257" w14:textId="77777777" w:rsidR="00582512" w:rsidRPr="00535226" w:rsidRDefault="00582512" w:rsidP="003D6226">
            <w:pPr>
              <w:rPr>
                <w:b/>
                <w:sz w:val="20"/>
                <w:szCs w:val="20"/>
              </w:rPr>
            </w:pPr>
          </w:p>
        </w:tc>
      </w:tr>
      <w:tr w:rsidR="00582512" w:rsidRPr="0008210B" w14:paraId="0DCEA7C2" w14:textId="0675FA5F" w:rsidTr="002B1992">
        <w:trPr>
          <w:trHeight w:hRule="exact" w:val="1154"/>
        </w:trPr>
        <w:tc>
          <w:tcPr>
            <w:tcW w:w="1101" w:type="dxa"/>
          </w:tcPr>
          <w:p w14:paraId="640387F2" w14:textId="77777777" w:rsidR="00582512" w:rsidRPr="0008210B" w:rsidRDefault="00582512" w:rsidP="003D6226">
            <w:r>
              <w:t>8.3.2.</w:t>
            </w:r>
            <w:r w:rsidRPr="0008210B">
              <w:t>1</w:t>
            </w:r>
          </w:p>
        </w:tc>
        <w:tc>
          <w:tcPr>
            <w:tcW w:w="7059" w:type="dxa"/>
          </w:tcPr>
          <w:p w14:paraId="67C3C641" w14:textId="77777777" w:rsidR="00582512" w:rsidRDefault="00582512" w:rsidP="003D6226">
            <w:r>
              <w:t>The business manager</w:t>
            </w:r>
            <w:r w:rsidR="002B1992">
              <w:t>, registrar or bursar</w:t>
            </w:r>
            <w:r>
              <w:t xml:space="preserve"> cannot be a signatory or authoriser to any bank account, even if they are a member of school council.</w:t>
            </w:r>
          </w:p>
          <w:p w14:paraId="76833A6F" w14:textId="5F4150C0" w:rsidR="002B1992" w:rsidRPr="0008210B" w:rsidRDefault="002B1992" w:rsidP="003D6226"/>
        </w:tc>
        <w:tc>
          <w:tcPr>
            <w:tcW w:w="837" w:type="dxa"/>
          </w:tcPr>
          <w:p w14:paraId="7712BE2A" w14:textId="77777777" w:rsidR="00582512" w:rsidRDefault="00582512" w:rsidP="003D6226"/>
        </w:tc>
      </w:tr>
    </w:tbl>
    <w:p w14:paraId="30419A21" w14:textId="77777777" w:rsidR="00B03C4A" w:rsidRPr="00245EA3" w:rsidRDefault="00B03C4A" w:rsidP="00B03C4A">
      <w:pPr>
        <w:pStyle w:val="Heading2"/>
      </w:pPr>
      <w:r>
        <w:t>8</w:t>
      </w:r>
      <w:r w:rsidRPr="00245EA3">
        <w:t>.</w:t>
      </w:r>
      <w:r>
        <w:t>4</w:t>
      </w:r>
      <w:r w:rsidRPr="00245EA3">
        <w:tab/>
      </w:r>
      <w:r>
        <w:t xml:space="preserve">Bank </w:t>
      </w:r>
      <w:r w:rsidR="00D54B22">
        <w:t>a</w:t>
      </w:r>
      <w:r>
        <w:t>ccounts</w:t>
      </w:r>
    </w:p>
    <w:p w14:paraId="76F147E1" w14:textId="77777777" w:rsidR="00FA3C96" w:rsidRPr="00245EA3" w:rsidRDefault="00861AAB" w:rsidP="00FA3C96">
      <w:pPr>
        <w:pStyle w:val="Heading3"/>
      </w:pPr>
      <w:r>
        <w:t>8</w:t>
      </w:r>
      <w:r w:rsidR="00FA3C96" w:rsidRPr="00245EA3">
        <w:t>.4.1</w:t>
      </w:r>
      <w:r w:rsidR="00FA3C96" w:rsidRPr="00245EA3">
        <w:tab/>
        <w:t>Mandatory policy (</w:t>
      </w:r>
      <w:r w:rsidR="00FA3C96">
        <w:t>Must do</w:t>
      </w:r>
      <w:r w:rsidR="00FA3C96" w:rsidRPr="00245EA3">
        <w:t>)</w:t>
      </w:r>
      <w:r w:rsidR="00FA3C96">
        <w:t>: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00"/>
        <w:gridCol w:w="7060"/>
        <w:gridCol w:w="837"/>
      </w:tblGrid>
      <w:tr w:rsidR="00582512" w:rsidRPr="0008210B" w14:paraId="3136D025" w14:textId="430E1EE4" w:rsidTr="00582512">
        <w:trPr>
          <w:trHeight w:hRule="exact" w:val="705"/>
          <w:tblHeader/>
        </w:trPr>
        <w:tc>
          <w:tcPr>
            <w:tcW w:w="1100" w:type="dxa"/>
          </w:tcPr>
          <w:p w14:paraId="21DAA2F5" w14:textId="69D119E3" w:rsidR="00582512" w:rsidRPr="00535226" w:rsidRDefault="00582512" w:rsidP="00861AA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535226">
              <w:rPr>
                <w:b/>
                <w:sz w:val="18"/>
              </w:rPr>
              <w:t>Number</w:t>
            </w:r>
          </w:p>
        </w:tc>
        <w:tc>
          <w:tcPr>
            <w:tcW w:w="7060" w:type="dxa"/>
          </w:tcPr>
          <w:p w14:paraId="5BAA5975" w14:textId="47BF345F" w:rsidR="00582512" w:rsidRPr="002552A6" w:rsidRDefault="00582512" w:rsidP="00566D78">
            <w:pPr>
              <w:rPr>
                <w:b/>
              </w:rPr>
            </w:pPr>
            <w:r w:rsidRPr="002552A6">
              <w:rPr>
                <w:b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0FC3E99F" w14:textId="77777777" w:rsidR="00582512" w:rsidRPr="002552A6" w:rsidRDefault="00582512" w:rsidP="00566D78">
            <w:pPr>
              <w:rPr>
                <w:b/>
              </w:rPr>
            </w:pPr>
          </w:p>
        </w:tc>
      </w:tr>
      <w:tr w:rsidR="00582512" w:rsidRPr="0008210B" w14:paraId="50DD657D" w14:textId="69E6359A" w:rsidTr="00582512">
        <w:trPr>
          <w:trHeight w:hRule="exact" w:val="763"/>
        </w:trPr>
        <w:tc>
          <w:tcPr>
            <w:tcW w:w="1100" w:type="dxa"/>
          </w:tcPr>
          <w:p w14:paraId="215F7A8D" w14:textId="77777777" w:rsidR="00582512" w:rsidRPr="0008210B" w:rsidRDefault="00582512" w:rsidP="00861AAB">
            <w:r>
              <w:t>8</w:t>
            </w:r>
            <w:r w:rsidRPr="0008210B">
              <w:t>.4.1.1</w:t>
            </w:r>
          </w:p>
        </w:tc>
        <w:tc>
          <w:tcPr>
            <w:tcW w:w="7060" w:type="dxa"/>
          </w:tcPr>
          <w:p w14:paraId="66ED37C8" w14:textId="6CCD8C44" w:rsidR="00582512" w:rsidRPr="0008210B" w:rsidRDefault="00F431E3" w:rsidP="004B3714">
            <w:pPr>
              <w:spacing w:after="120"/>
            </w:pPr>
            <w:r w:rsidRPr="00F431E3">
              <w:t>All school bank accounts must be in the name of the school council except the HYIA which is held in the name of the school.</w:t>
            </w:r>
          </w:p>
        </w:tc>
        <w:tc>
          <w:tcPr>
            <w:tcW w:w="837" w:type="dxa"/>
          </w:tcPr>
          <w:p w14:paraId="3FA341AB" w14:textId="77777777" w:rsidR="00582512" w:rsidRPr="0065186D" w:rsidRDefault="00582512" w:rsidP="00566D78"/>
        </w:tc>
      </w:tr>
      <w:tr w:rsidR="00582512" w:rsidRPr="0008210B" w14:paraId="45E76318" w14:textId="751B0619" w:rsidTr="00582512">
        <w:trPr>
          <w:trHeight w:hRule="exact" w:val="1270"/>
        </w:trPr>
        <w:tc>
          <w:tcPr>
            <w:tcW w:w="1100" w:type="dxa"/>
          </w:tcPr>
          <w:p w14:paraId="588B4353" w14:textId="77777777" w:rsidR="00582512" w:rsidRPr="0008210B" w:rsidRDefault="00582512" w:rsidP="00861AAB">
            <w:r>
              <w:t>8</w:t>
            </w:r>
            <w:r w:rsidRPr="0008210B">
              <w:t>.4.1.2</w:t>
            </w:r>
          </w:p>
        </w:tc>
        <w:tc>
          <w:tcPr>
            <w:tcW w:w="7060" w:type="dxa"/>
          </w:tcPr>
          <w:p w14:paraId="71A2BBF6" w14:textId="77777777" w:rsidR="00582512" w:rsidRPr="0008210B" w:rsidRDefault="00582512" w:rsidP="004B3714">
            <w:pPr>
              <w:spacing w:after="120"/>
            </w:pPr>
            <w:r w:rsidRPr="0065186D">
              <w:t xml:space="preserve">All cheques drawn on any account kept under the control of the school council must be signed by the principal as a mandatory signature, and a </w:t>
            </w:r>
            <w:r>
              <w:t>person</w:t>
            </w:r>
            <w:r w:rsidRPr="0065186D">
              <w:t xml:space="preserve"> nominated by the school council for that purpose. </w:t>
            </w:r>
            <w:r>
              <w:t>This person must be a member of the school council.</w:t>
            </w:r>
          </w:p>
        </w:tc>
        <w:tc>
          <w:tcPr>
            <w:tcW w:w="837" w:type="dxa"/>
          </w:tcPr>
          <w:p w14:paraId="28C5EA24" w14:textId="77777777" w:rsidR="00582512" w:rsidRPr="0065186D" w:rsidRDefault="00582512" w:rsidP="00861AAB"/>
        </w:tc>
      </w:tr>
      <w:tr w:rsidR="00582512" w:rsidRPr="0008210B" w14:paraId="15E90765" w14:textId="4BB420B3" w:rsidTr="00582512">
        <w:trPr>
          <w:trHeight w:hRule="exact" w:val="707"/>
        </w:trPr>
        <w:tc>
          <w:tcPr>
            <w:tcW w:w="1100" w:type="dxa"/>
          </w:tcPr>
          <w:p w14:paraId="58D1594C" w14:textId="77777777" w:rsidR="00582512" w:rsidRPr="0008210B" w:rsidRDefault="00582512" w:rsidP="004875DE">
            <w:r>
              <w:t>8.4.1.3</w:t>
            </w:r>
          </w:p>
        </w:tc>
        <w:tc>
          <w:tcPr>
            <w:tcW w:w="7060" w:type="dxa"/>
          </w:tcPr>
          <w:p w14:paraId="725BA0AF" w14:textId="77777777" w:rsidR="00582512" w:rsidRPr="0065186D" w:rsidRDefault="00582512" w:rsidP="004B3714">
            <w:pPr>
              <w:spacing w:after="120"/>
            </w:pPr>
            <w:r w:rsidRPr="00861AAB">
              <w:t>All internet payments must also be authorised by the account signatories</w:t>
            </w:r>
            <w:r>
              <w:t xml:space="preserve"> (principal and nominated member of the school council)</w:t>
            </w:r>
            <w:r w:rsidRPr="00861AAB">
              <w:t>.</w:t>
            </w:r>
          </w:p>
        </w:tc>
        <w:tc>
          <w:tcPr>
            <w:tcW w:w="837" w:type="dxa"/>
          </w:tcPr>
          <w:p w14:paraId="585740A7" w14:textId="77777777" w:rsidR="00582512" w:rsidRPr="00861AAB" w:rsidRDefault="00582512" w:rsidP="004875DE"/>
        </w:tc>
      </w:tr>
      <w:tr w:rsidR="00582512" w:rsidRPr="0008210B" w14:paraId="50E762D2" w14:textId="26582767" w:rsidTr="00582512">
        <w:trPr>
          <w:trHeight w:hRule="exact" w:val="1128"/>
        </w:trPr>
        <w:tc>
          <w:tcPr>
            <w:tcW w:w="1100" w:type="dxa"/>
          </w:tcPr>
          <w:p w14:paraId="27CD7660" w14:textId="77777777" w:rsidR="00582512" w:rsidRPr="0008210B" w:rsidRDefault="00582512" w:rsidP="00861AAB">
            <w:r>
              <w:lastRenderedPageBreak/>
              <w:t>8</w:t>
            </w:r>
            <w:r w:rsidRPr="0008210B">
              <w:t>.4.1.</w:t>
            </w:r>
            <w:r>
              <w:t>4</w:t>
            </w:r>
          </w:p>
        </w:tc>
        <w:tc>
          <w:tcPr>
            <w:tcW w:w="7060" w:type="dxa"/>
          </w:tcPr>
          <w:p w14:paraId="1042FBB2" w14:textId="77777777" w:rsidR="00582512" w:rsidRPr="0008210B" w:rsidRDefault="00582512" w:rsidP="004B3714">
            <w:pPr>
              <w:spacing w:after="120"/>
            </w:pPr>
            <w:r w:rsidRPr="0065186D">
              <w:t xml:space="preserve">Bank accounts are to be maintained on CASES21 and regular (monthly) financial reports provided to </w:t>
            </w:r>
            <w:r>
              <w:t xml:space="preserve">the </w:t>
            </w:r>
            <w:r w:rsidRPr="0065186D">
              <w:t>school council</w:t>
            </w:r>
            <w:r>
              <w:t xml:space="preserve"> or the finance committee</w:t>
            </w:r>
            <w:r w:rsidRPr="0065186D">
              <w:t xml:space="preserve">. </w:t>
            </w:r>
          </w:p>
        </w:tc>
        <w:tc>
          <w:tcPr>
            <w:tcW w:w="837" w:type="dxa"/>
          </w:tcPr>
          <w:p w14:paraId="1EEC6101" w14:textId="77777777" w:rsidR="00582512" w:rsidRPr="0065186D" w:rsidRDefault="00582512" w:rsidP="0065186D"/>
        </w:tc>
      </w:tr>
      <w:tr w:rsidR="00582512" w:rsidRPr="0008210B" w14:paraId="74E5E45F" w14:textId="6D521AE2" w:rsidTr="00582512">
        <w:trPr>
          <w:trHeight w:hRule="exact" w:val="699"/>
        </w:trPr>
        <w:tc>
          <w:tcPr>
            <w:tcW w:w="1100" w:type="dxa"/>
          </w:tcPr>
          <w:p w14:paraId="57C7054E" w14:textId="77777777" w:rsidR="00582512" w:rsidRPr="0008210B" w:rsidRDefault="00582512" w:rsidP="004875DE">
            <w:r>
              <w:t>8.4.1.5</w:t>
            </w:r>
          </w:p>
        </w:tc>
        <w:tc>
          <w:tcPr>
            <w:tcW w:w="7060" w:type="dxa"/>
          </w:tcPr>
          <w:p w14:paraId="09235436" w14:textId="77777777" w:rsidR="00582512" w:rsidRPr="0065186D" w:rsidRDefault="00582512" w:rsidP="004B3714">
            <w:pPr>
              <w:spacing w:after="120"/>
            </w:pPr>
            <w:r>
              <w:t xml:space="preserve">All </w:t>
            </w:r>
            <w:r w:rsidRPr="0065186D">
              <w:t>bank accou</w:t>
            </w:r>
            <w:r>
              <w:t>nts must be reconciled monthly through the bank reconciliation process.</w:t>
            </w:r>
          </w:p>
        </w:tc>
        <w:tc>
          <w:tcPr>
            <w:tcW w:w="837" w:type="dxa"/>
          </w:tcPr>
          <w:p w14:paraId="01DE40CC" w14:textId="77777777" w:rsidR="00582512" w:rsidRDefault="00582512" w:rsidP="005B316E"/>
        </w:tc>
      </w:tr>
      <w:tr w:rsidR="00582512" w:rsidRPr="0008210B" w14:paraId="3C791B2B" w14:textId="46688CC7" w:rsidTr="00582512">
        <w:trPr>
          <w:trHeight w:hRule="exact" w:val="1007"/>
        </w:trPr>
        <w:tc>
          <w:tcPr>
            <w:tcW w:w="1100" w:type="dxa"/>
          </w:tcPr>
          <w:p w14:paraId="3277089F" w14:textId="77777777" w:rsidR="00582512" w:rsidRPr="0008210B" w:rsidRDefault="00582512" w:rsidP="004875DE">
            <w:r>
              <w:t>8.4.1.6</w:t>
            </w:r>
          </w:p>
        </w:tc>
        <w:tc>
          <w:tcPr>
            <w:tcW w:w="7060" w:type="dxa"/>
          </w:tcPr>
          <w:p w14:paraId="1B929C32" w14:textId="77777777" w:rsidR="00582512" w:rsidRPr="0065186D" w:rsidRDefault="00582512" w:rsidP="004B3714">
            <w:pPr>
              <w:spacing w:after="120"/>
            </w:pPr>
            <w:r>
              <w:t xml:space="preserve">All un-reconciled items identified during the completion of the monthly bank reconciliation process must be investigated and corrective action taken. </w:t>
            </w:r>
          </w:p>
        </w:tc>
        <w:tc>
          <w:tcPr>
            <w:tcW w:w="837" w:type="dxa"/>
          </w:tcPr>
          <w:p w14:paraId="33ED90C1" w14:textId="77777777" w:rsidR="00582512" w:rsidRDefault="00582512" w:rsidP="00C30E20"/>
        </w:tc>
      </w:tr>
      <w:tr w:rsidR="00582512" w:rsidRPr="0008210B" w14:paraId="36D4D1E1" w14:textId="3BD6FA28" w:rsidTr="00582512">
        <w:trPr>
          <w:trHeight w:hRule="exact" w:val="993"/>
        </w:trPr>
        <w:tc>
          <w:tcPr>
            <w:tcW w:w="1100" w:type="dxa"/>
          </w:tcPr>
          <w:p w14:paraId="0D140974" w14:textId="77777777" w:rsidR="00582512" w:rsidRPr="0008210B" w:rsidRDefault="00582512" w:rsidP="004875DE">
            <w:r>
              <w:t>8.4.1.7</w:t>
            </w:r>
          </w:p>
        </w:tc>
        <w:tc>
          <w:tcPr>
            <w:tcW w:w="7060" w:type="dxa"/>
          </w:tcPr>
          <w:p w14:paraId="54BB6FE5" w14:textId="77777777" w:rsidR="00582512" w:rsidRDefault="00582512" w:rsidP="004B3714">
            <w:pPr>
              <w:spacing w:after="120"/>
            </w:pPr>
            <w:r w:rsidRPr="00C30E20">
              <w:t xml:space="preserve">All </w:t>
            </w:r>
            <w:r>
              <w:t xml:space="preserve">stale cheques </w:t>
            </w:r>
            <w:r w:rsidRPr="00C30E20">
              <w:t>identified during the completion of the monthly bank reconciliation process must be investigated and corrective action taken.</w:t>
            </w:r>
          </w:p>
        </w:tc>
        <w:tc>
          <w:tcPr>
            <w:tcW w:w="837" w:type="dxa"/>
          </w:tcPr>
          <w:p w14:paraId="4147934B" w14:textId="77777777" w:rsidR="00582512" w:rsidRPr="00C30E20" w:rsidRDefault="00582512" w:rsidP="00C30E20"/>
        </w:tc>
      </w:tr>
      <w:tr w:rsidR="00582512" w:rsidRPr="0008210B" w14:paraId="11674524" w14:textId="71EA7803" w:rsidTr="00582512">
        <w:trPr>
          <w:trHeight w:hRule="exact" w:val="2845"/>
        </w:trPr>
        <w:tc>
          <w:tcPr>
            <w:tcW w:w="1100" w:type="dxa"/>
          </w:tcPr>
          <w:p w14:paraId="1D846A46" w14:textId="77777777" w:rsidR="00582512" w:rsidRPr="0008210B" w:rsidRDefault="00582512" w:rsidP="004875DE">
            <w:r>
              <w:t>8.4.1.8</w:t>
            </w:r>
          </w:p>
        </w:tc>
        <w:tc>
          <w:tcPr>
            <w:tcW w:w="7060" w:type="dxa"/>
          </w:tcPr>
          <w:p w14:paraId="7BEDC87B" w14:textId="77777777" w:rsidR="00582512" w:rsidRDefault="00582512" w:rsidP="004B3714">
            <w:pPr>
              <w:spacing w:after="120"/>
            </w:pPr>
            <w:r>
              <w:t>When the Department requests during the financial year-end (30 June) audit, the following information must be made available:</w:t>
            </w:r>
          </w:p>
          <w:p w14:paraId="6C311AB4" w14:textId="77777777" w:rsidR="00582512" w:rsidRDefault="00582512" w:rsidP="004B3714">
            <w:pPr>
              <w:pStyle w:val="ListBullet"/>
              <w:spacing w:after="120"/>
            </w:pPr>
            <w:r>
              <w:t>A copy of the CASES21 bank reconciliation for all bank accounts (approved by the principal);</w:t>
            </w:r>
          </w:p>
          <w:p w14:paraId="32DA6DB1" w14:textId="77777777" w:rsidR="00582512" w:rsidRDefault="00582512" w:rsidP="004B3714">
            <w:pPr>
              <w:pStyle w:val="ListBullet"/>
              <w:spacing w:after="120"/>
            </w:pPr>
            <w:r>
              <w:t>Copies of the bank statements, certificates etc. that verifies the balance recorded on the bank reconciliation and in CASES21.</w:t>
            </w:r>
          </w:p>
          <w:p w14:paraId="00AEF459" w14:textId="77777777" w:rsidR="00582512" w:rsidRPr="0065186D" w:rsidRDefault="00582512" w:rsidP="004B3714">
            <w:pPr>
              <w:spacing w:after="120"/>
            </w:pPr>
            <w:r>
              <w:t>The above information may also be requested by the Victorian Auditor-General’s Office or as part the school audit program.</w:t>
            </w:r>
          </w:p>
        </w:tc>
        <w:tc>
          <w:tcPr>
            <w:tcW w:w="837" w:type="dxa"/>
          </w:tcPr>
          <w:p w14:paraId="4B0B0E24" w14:textId="77777777" w:rsidR="00582512" w:rsidRDefault="00582512" w:rsidP="00520DBB"/>
        </w:tc>
      </w:tr>
    </w:tbl>
    <w:p w14:paraId="056D25B1" w14:textId="294FD57C" w:rsidR="0051778F" w:rsidRPr="00245EA3" w:rsidRDefault="00223DAA" w:rsidP="00FA3C96">
      <w:pPr>
        <w:pStyle w:val="Heading2"/>
        <w:pBdr>
          <w:top w:val="single" w:sz="8" w:space="1" w:color="AF272F"/>
        </w:pBdr>
      </w:pPr>
      <w:r>
        <w:t>8</w:t>
      </w:r>
      <w:r w:rsidR="00C04480">
        <w:t>.5</w:t>
      </w:r>
      <w:r w:rsidR="0038557A" w:rsidRPr="00245EA3">
        <w:tab/>
      </w:r>
      <w:r w:rsidR="00FA3C96">
        <w:t>Official account</w:t>
      </w:r>
    </w:p>
    <w:p w14:paraId="474B9A98" w14:textId="77777777" w:rsidR="00223DAA" w:rsidRDefault="00223DAA" w:rsidP="00223DAA">
      <w:r w:rsidRPr="00223DAA">
        <w:t>The school</w:t>
      </w:r>
      <w:r w:rsidR="00FB6202">
        <w:t>’</w:t>
      </w:r>
      <w:r w:rsidRPr="00223DAA">
        <w:t xml:space="preserve">s operating account is the </w:t>
      </w:r>
      <w:r w:rsidR="00C04480">
        <w:t>S</w:t>
      </w:r>
      <w:r w:rsidRPr="00223DAA">
        <w:t xml:space="preserve">chool </w:t>
      </w:r>
      <w:r w:rsidR="00C04480">
        <w:t>C</w:t>
      </w:r>
      <w:r w:rsidRPr="00223DAA">
        <w:t xml:space="preserve">ouncil </w:t>
      </w:r>
      <w:r w:rsidR="0063178F">
        <w:t>o</w:t>
      </w:r>
      <w:r w:rsidRPr="00223DAA">
        <w:t xml:space="preserve">fficial account. </w:t>
      </w:r>
    </w:p>
    <w:p w14:paraId="3A7681E6" w14:textId="557EF895" w:rsidR="0051778F" w:rsidRDefault="00C04480" w:rsidP="00245EA3">
      <w:pPr>
        <w:pStyle w:val="Heading3"/>
      </w:pPr>
      <w:r>
        <w:t>8.5.1</w:t>
      </w:r>
      <w:r w:rsidR="0038557A" w:rsidRPr="00245EA3">
        <w:tab/>
      </w:r>
      <w:r w:rsidR="0051778F" w:rsidRPr="00245EA3">
        <w:t>Mandatory policy (</w:t>
      </w:r>
      <w:r w:rsidR="00842DF4">
        <w:t>Must do</w:t>
      </w:r>
      <w:r w:rsidR="0051778F" w:rsidRPr="00245EA3">
        <w:t>)</w:t>
      </w:r>
      <w:r w:rsidR="001C6C76">
        <w:t>: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091"/>
        <w:gridCol w:w="7069"/>
        <w:gridCol w:w="837"/>
      </w:tblGrid>
      <w:tr w:rsidR="00582512" w:rsidRPr="0008210B" w14:paraId="067E7D1E" w14:textId="3443BB25" w:rsidTr="00582512">
        <w:trPr>
          <w:trHeight w:hRule="exact" w:val="788"/>
          <w:tblHeader/>
        </w:trPr>
        <w:tc>
          <w:tcPr>
            <w:tcW w:w="1091" w:type="dxa"/>
          </w:tcPr>
          <w:p w14:paraId="327C8B3E" w14:textId="6D6897D7" w:rsidR="00582512" w:rsidRPr="00AD1747" w:rsidRDefault="00582512" w:rsidP="00C0448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AD1747">
              <w:rPr>
                <w:b/>
                <w:sz w:val="18"/>
              </w:rPr>
              <w:t>Number</w:t>
            </w:r>
          </w:p>
        </w:tc>
        <w:tc>
          <w:tcPr>
            <w:tcW w:w="7069" w:type="dxa"/>
          </w:tcPr>
          <w:p w14:paraId="6EF6A0AA" w14:textId="55A3D10C" w:rsidR="00582512" w:rsidRPr="002552A6" w:rsidRDefault="00582512" w:rsidP="0008210B">
            <w:pPr>
              <w:rPr>
                <w:b/>
              </w:rPr>
            </w:pPr>
            <w:r w:rsidRPr="002552A6">
              <w:rPr>
                <w:b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256F4DB0" w14:textId="77777777" w:rsidR="00582512" w:rsidRPr="002552A6" w:rsidRDefault="00582512" w:rsidP="0008210B">
            <w:pPr>
              <w:rPr>
                <w:b/>
              </w:rPr>
            </w:pPr>
          </w:p>
        </w:tc>
      </w:tr>
      <w:tr w:rsidR="00582512" w:rsidRPr="0008210B" w14:paraId="73CCBF71" w14:textId="3A042B36" w:rsidTr="00582512">
        <w:trPr>
          <w:trHeight w:hRule="exact" w:val="1116"/>
        </w:trPr>
        <w:tc>
          <w:tcPr>
            <w:tcW w:w="1091" w:type="dxa"/>
          </w:tcPr>
          <w:p w14:paraId="6F6235BC" w14:textId="77777777" w:rsidR="00582512" w:rsidRPr="0008210B" w:rsidRDefault="00582512" w:rsidP="00C04480">
            <w:r>
              <w:t>8.5.1</w:t>
            </w:r>
            <w:r w:rsidRPr="0008210B">
              <w:t>.1</w:t>
            </w:r>
          </w:p>
        </w:tc>
        <w:tc>
          <w:tcPr>
            <w:tcW w:w="7069" w:type="dxa"/>
          </w:tcPr>
          <w:p w14:paraId="25B45DB1" w14:textId="77777777" w:rsidR="00582512" w:rsidRPr="0008210B" w:rsidRDefault="00582512" w:rsidP="004B3714">
            <w:pPr>
              <w:spacing w:after="120"/>
            </w:pPr>
            <w:r w:rsidRPr="00223DAA">
              <w:t>Schools may choose the financial institution at which to hold their official account taking into consideration fees and charges and access to a branch for secure depositing of funds.</w:t>
            </w:r>
          </w:p>
        </w:tc>
        <w:tc>
          <w:tcPr>
            <w:tcW w:w="837" w:type="dxa"/>
          </w:tcPr>
          <w:p w14:paraId="4CFA7B07" w14:textId="77777777" w:rsidR="00582512" w:rsidRPr="00223DAA" w:rsidRDefault="00582512" w:rsidP="0008210B"/>
        </w:tc>
      </w:tr>
      <w:tr w:rsidR="00582512" w:rsidRPr="0008210B" w14:paraId="5315C30C" w14:textId="404E8F2A" w:rsidTr="00582512">
        <w:trPr>
          <w:trHeight w:hRule="exact" w:val="992"/>
        </w:trPr>
        <w:tc>
          <w:tcPr>
            <w:tcW w:w="1091" w:type="dxa"/>
          </w:tcPr>
          <w:p w14:paraId="10D94452" w14:textId="77777777" w:rsidR="00582512" w:rsidRPr="0008210B" w:rsidRDefault="00582512" w:rsidP="00C04480">
            <w:r>
              <w:t>8.5.1.2</w:t>
            </w:r>
          </w:p>
        </w:tc>
        <w:tc>
          <w:tcPr>
            <w:tcW w:w="7069" w:type="dxa"/>
          </w:tcPr>
          <w:p w14:paraId="7A1EB169" w14:textId="77777777" w:rsidR="00582512" w:rsidRPr="0008210B" w:rsidRDefault="00582512" w:rsidP="004B3714">
            <w:pPr>
              <w:spacing w:after="120"/>
            </w:pPr>
            <w:r w:rsidRPr="00223DAA">
              <w:t xml:space="preserve">The official account </w:t>
            </w:r>
            <w:r>
              <w:t xml:space="preserve">must </w:t>
            </w:r>
            <w:r w:rsidRPr="00223DAA">
              <w:t xml:space="preserve">be maintained on CASES21 and regular (monthly) financial reports </w:t>
            </w:r>
            <w:r>
              <w:t xml:space="preserve">must be </w:t>
            </w:r>
            <w:r w:rsidRPr="00223DAA">
              <w:t>provided to school council</w:t>
            </w:r>
            <w:r>
              <w:t xml:space="preserve"> or the finance committee.</w:t>
            </w:r>
          </w:p>
        </w:tc>
        <w:tc>
          <w:tcPr>
            <w:tcW w:w="837" w:type="dxa"/>
          </w:tcPr>
          <w:p w14:paraId="20D70D02" w14:textId="77777777" w:rsidR="00582512" w:rsidRPr="00223DAA" w:rsidRDefault="00582512" w:rsidP="000114A4"/>
        </w:tc>
      </w:tr>
      <w:tr w:rsidR="00582512" w:rsidRPr="0008210B" w14:paraId="04FEDBE9" w14:textId="751ADBE4" w:rsidTr="00582512">
        <w:trPr>
          <w:trHeight w:hRule="exact" w:val="1845"/>
        </w:trPr>
        <w:tc>
          <w:tcPr>
            <w:tcW w:w="1091" w:type="dxa"/>
          </w:tcPr>
          <w:p w14:paraId="04E87256" w14:textId="77777777" w:rsidR="00582512" w:rsidRPr="0008210B" w:rsidRDefault="00582512" w:rsidP="00C04480">
            <w:r>
              <w:t>8.5.1.3</w:t>
            </w:r>
          </w:p>
        </w:tc>
        <w:tc>
          <w:tcPr>
            <w:tcW w:w="7069" w:type="dxa"/>
          </w:tcPr>
          <w:p w14:paraId="647711F3" w14:textId="77777777" w:rsidR="00582512" w:rsidRDefault="00582512" w:rsidP="004B3714">
            <w:pPr>
              <w:spacing w:after="120"/>
            </w:pPr>
            <w:r w:rsidRPr="00223DAA">
              <w:t>The official account is used for</w:t>
            </w:r>
            <w:r>
              <w:t>:</w:t>
            </w:r>
          </w:p>
          <w:p w14:paraId="46F886C5" w14:textId="77777777" w:rsidR="00582512" w:rsidRDefault="00582512" w:rsidP="004B3714">
            <w:pPr>
              <w:pStyle w:val="ListBullet"/>
              <w:spacing w:after="120"/>
            </w:pPr>
            <w:r w:rsidRPr="00223DAA">
              <w:t>the receipt of money provided from local and commonwealth government sources</w:t>
            </w:r>
            <w:r>
              <w:t>;</w:t>
            </w:r>
          </w:p>
          <w:p w14:paraId="47571832" w14:textId="00DAE691" w:rsidR="00582512" w:rsidRDefault="00582512" w:rsidP="004B3714">
            <w:pPr>
              <w:pStyle w:val="ListBullet"/>
              <w:spacing w:after="120"/>
            </w:pPr>
            <w:r w:rsidRPr="00223DAA">
              <w:t xml:space="preserve">locally raised funds such as voluntary contributions, donations and </w:t>
            </w:r>
            <w:r w:rsidR="00DE7629" w:rsidRPr="00223DAA">
              <w:t>fund-raising</w:t>
            </w:r>
            <w:r w:rsidRPr="00223DAA">
              <w:t xml:space="preserve"> activities.</w:t>
            </w:r>
          </w:p>
          <w:p w14:paraId="73480DD4" w14:textId="77777777" w:rsidR="00582512" w:rsidRPr="00B04FF0" w:rsidRDefault="00582512" w:rsidP="004B3714">
            <w:pPr>
              <w:tabs>
                <w:tab w:val="left" w:pos="4035"/>
              </w:tabs>
              <w:spacing w:after="120"/>
            </w:pPr>
            <w:r>
              <w:tab/>
            </w:r>
          </w:p>
        </w:tc>
        <w:tc>
          <w:tcPr>
            <w:tcW w:w="837" w:type="dxa"/>
          </w:tcPr>
          <w:p w14:paraId="2272B5B0" w14:textId="77777777" w:rsidR="00582512" w:rsidRPr="00223DAA" w:rsidRDefault="00582512" w:rsidP="0008210B"/>
        </w:tc>
      </w:tr>
      <w:tr w:rsidR="00582512" w:rsidRPr="0008210B" w14:paraId="7CE98FA0" w14:textId="25B0DE28" w:rsidTr="00582512">
        <w:trPr>
          <w:trHeight w:hRule="exact" w:val="705"/>
        </w:trPr>
        <w:tc>
          <w:tcPr>
            <w:tcW w:w="1091" w:type="dxa"/>
          </w:tcPr>
          <w:p w14:paraId="40471D9C" w14:textId="77777777" w:rsidR="00582512" w:rsidRPr="0008210B" w:rsidRDefault="00582512" w:rsidP="0008210B">
            <w:r>
              <w:lastRenderedPageBreak/>
              <w:t>8.5.1.4</w:t>
            </w:r>
          </w:p>
        </w:tc>
        <w:tc>
          <w:tcPr>
            <w:tcW w:w="7069" w:type="dxa"/>
          </w:tcPr>
          <w:p w14:paraId="0347CAB5" w14:textId="77777777" w:rsidR="00582512" w:rsidRPr="00223DAA" w:rsidRDefault="00582512" w:rsidP="004B3714">
            <w:pPr>
              <w:spacing w:after="120"/>
            </w:pPr>
            <w:r w:rsidRPr="00223DAA">
              <w:t>All payments for goods and services must be made from the official account.</w:t>
            </w:r>
          </w:p>
          <w:p w14:paraId="74383DD8" w14:textId="77777777" w:rsidR="00582512" w:rsidRPr="0008210B" w:rsidRDefault="00582512" w:rsidP="004B3714">
            <w:pPr>
              <w:spacing w:after="120"/>
            </w:pPr>
          </w:p>
        </w:tc>
        <w:tc>
          <w:tcPr>
            <w:tcW w:w="837" w:type="dxa"/>
          </w:tcPr>
          <w:p w14:paraId="0D47675F" w14:textId="77777777" w:rsidR="00582512" w:rsidRPr="00223DAA" w:rsidRDefault="00582512" w:rsidP="00223DAA"/>
        </w:tc>
      </w:tr>
      <w:tr w:rsidR="00582512" w:rsidRPr="0008210B" w14:paraId="75F896D4" w14:textId="07555BE4" w:rsidTr="00582512">
        <w:trPr>
          <w:trHeight w:hRule="exact" w:val="723"/>
        </w:trPr>
        <w:tc>
          <w:tcPr>
            <w:tcW w:w="1091" w:type="dxa"/>
          </w:tcPr>
          <w:p w14:paraId="2737DD5F" w14:textId="77777777" w:rsidR="00582512" w:rsidRPr="0008210B" w:rsidRDefault="00582512" w:rsidP="0008210B">
            <w:r>
              <w:t>8.5.1.5</w:t>
            </w:r>
          </w:p>
        </w:tc>
        <w:tc>
          <w:tcPr>
            <w:tcW w:w="7069" w:type="dxa"/>
          </w:tcPr>
          <w:p w14:paraId="25343CE3" w14:textId="77777777" w:rsidR="00582512" w:rsidRPr="00223DAA" w:rsidRDefault="00582512" w:rsidP="004B3714">
            <w:pPr>
              <w:spacing w:after="120"/>
            </w:pPr>
            <w:r w:rsidRPr="00C04480">
              <w:t>The account must be reconciled each month to ensure CASES21 reflects the most accurate financial information.</w:t>
            </w:r>
          </w:p>
        </w:tc>
        <w:tc>
          <w:tcPr>
            <w:tcW w:w="837" w:type="dxa"/>
          </w:tcPr>
          <w:p w14:paraId="70B2EC07" w14:textId="77777777" w:rsidR="00582512" w:rsidRPr="00C04480" w:rsidRDefault="00582512" w:rsidP="000114A4"/>
        </w:tc>
      </w:tr>
      <w:tr w:rsidR="00582512" w:rsidRPr="0008210B" w14:paraId="73E230FB" w14:textId="1B15BD35" w:rsidTr="00582512">
        <w:trPr>
          <w:trHeight w:hRule="exact" w:val="723"/>
        </w:trPr>
        <w:tc>
          <w:tcPr>
            <w:tcW w:w="1091" w:type="dxa"/>
          </w:tcPr>
          <w:p w14:paraId="5CBF4B15" w14:textId="77777777" w:rsidR="00582512" w:rsidRDefault="00582512" w:rsidP="0008210B">
            <w:r>
              <w:t>8.5.1.6</w:t>
            </w:r>
          </w:p>
        </w:tc>
        <w:tc>
          <w:tcPr>
            <w:tcW w:w="7069" w:type="dxa"/>
          </w:tcPr>
          <w:p w14:paraId="31B05F70" w14:textId="77777777" w:rsidR="00582512" w:rsidRPr="00C04480" w:rsidRDefault="00582512" w:rsidP="004B3714">
            <w:pPr>
              <w:spacing w:after="120"/>
            </w:pPr>
            <w:r>
              <w:t>All funds transferred between bank accounts must go through the official account.</w:t>
            </w:r>
          </w:p>
        </w:tc>
        <w:tc>
          <w:tcPr>
            <w:tcW w:w="837" w:type="dxa"/>
          </w:tcPr>
          <w:p w14:paraId="2C086D0D" w14:textId="77777777" w:rsidR="00582512" w:rsidRDefault="00582512" w:rsidP="00621973"/>
        </w:tc>
      </w:tr>
      <w:tr w:rsidR="00582512" w:rsidRPr="0008210B" w14:paraId="58CCE5ED" w14:textId="5A4C5A8C" w:rsidTr="00582512">
        <w:trPr>
          <w:trHeight w:hRule="exact" w:val="2125"/>
        </w:trPr>
        <w:tc>
          <w:tcPr>
            <w:tcW w:w="1091" w:type="dxa"/>
          </w:tcPr>
          <w:p w14:paraId="477E0D29" w14:textId="77777777" w:rsidR="00582512" w:rsidRPr="0008210B" w:rsidRDefault="00582512" w:rsidP="00424FBE">
            <w:r>
              <w:t>8.5.1.7</w:t>
            </w:r>
          </w:p>
        </w:tc>
        <w:tc>
          <w:tcPr>
            <w:tcW w:w="7069" w:type="dxa"/>
          </w:tcPr>
          <w:p w14:paraId="49CBC106" w14:textId="42149A2F" w:rsidR="00582512" w:rsidRPr="00223DAA" w:rsidRDefault="00582512" w:rsidP="004B3714">
            <w:pPr>
              <w:spacing w:after="120"/>
            </w:pPr>
            <w:r w:rsidRPr="00C04480">
              <w:t xml:space="preserve">Schools may transfer surplus funds at any time from the </w:t>
            </w:r>
            <w:r>
              <w:t>o</w:t>
            </w:r>
            <w:r w:rsidRPr="00C04480">
              <w:t>fficial account to the</w:t>
            </w:r>
            <w:r w:rsidR="00E309D5">
              <w:t xml:space="preserve"> </w:t>
            </w:r>
            <w:r w:rsidRPr="00C04480">
              <w:t xml:space="preserve">HYIA to maximise interest income. </w:t>
            </w:r>
            <w:r>
              <w:t>All funds transferred between bank accounts must go through the official account. The t</w:t>
            </w:r>
            <w:r w:rsidRPr="00C04480">
              <w:t xml:space="preserve">ransfer of money from one bank account to another </w:t>
            </w:r>
            <w:r>
              <w:t xml:space="preserve">must </w:t>
            </w:r>
            <w:r w:rsidRPr="00C04480">
              <w:t>be authorised by the principal and a report detailing transfers presented to school council</w:t>
            </w:r>
            <w:r>
              <w:t xml:space="preserve"> or finance committee</w:t>
            </w:r>
            <w:r w:rsidRPr="00C04480">
              <w:t xml:space="preserve"> each month.</w:t>
            </w:r>
          </w:p>
        </w:tc>
        <w:tc>
          <w:tcPr>
            <w:tcW w:w="837" w:type="dxa"/>
          </w:tcPr>
          <w:p w14:paraId="3E3A89FF" w14:textId="77777777" w:rsidR="00582512" w:rsidRPr="00C04480" w:rsidRDefault="00582512" w:rsidP="00B44BC3"/>
        </w:tc>
      </w:tr>
    </w:tbl>
    <w:p w14:paraId="479D8B6A" w14:textId="72260BA0" w:rsidR="00223DAA" w:rsidRPr="00245EA3" w:rsidRDefault="00C04480" w:rsidP="00223DAA">
      <w:pPr>
        <w:pStyle w:val="Heading3"/>
      </w:pPr>
      <w:r>
        <w:t>8.5.</w:t>
      </w:r>
      <w:r w:rsidR="00223DAA" w:rsidRPr="00245EA3">
        <w:t>2</w:t>
      </w:r>
      <w:r w:rsidR="00223DAA" w:rsidRPr="00245EA3">
        <w:tab/>
      </w:r>
      <w:r w:rsidR="00223DAA">
        <w:t xml:space="preserve">Prohibited </w:t>
      </w:r>
      <w:r w:rsidR="00223DAA" w:rsidRPr="00245EA3">
        <w:t>policy (</w:t>
      </w:r>
      <w:r w:rsidR="00223DAA">
        <w:t>Must not</w:t>
      </w:r>
      <w:r w:rsidR="0048458D">
        <w:t xml:space="preserve"> do</w:t>
      </w:r>
      <w:r w:rsidR="00223DAA" w:rsidRPr="00245EA3">
        <w:t>)</w:t>
      </w:r>
      <w:r w:rsidR="00223DAA">
        <w:t>:</w:t>
      </w:r>
    </w:p>
    <w:tbl>
      <w:tblPr>
        <w:tblStyle w:val="TableGrid"/>
        <w:tblW w:w="0" w:type="auto"/>
        <w:tblInd w:w="57" w:type="dxa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100"/>
        <w:gridCol w:w="7060"/>
        <w:gridCol w:w="837"/>
      </w:tblGrid>
      <w:tr w:rsidR="00582512" w:rsidRPr="0008210B" w14:paraId="41C1E559" w14:textId="5DCA13D0" w:rsidTr="00582512">
        <w:trPr>
          <w:trHeight w:hRule="exact" w:val="755"/>
          <w:tblHeader/>
        </w:trPr>
        <w:tc>
          <w:tcPr>
            <w:tcW w:w="1100" w:type="dxa"/>
          </w:tcPr>
          <w:p w14:paraId="55A4EB1A" w14:textId="436B4990" w:rsidR="00582512" w:rsidRPr="00E96986" w:rsidRDefault="00582512" w:rsidP="00514FB7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E96986">
              <w:rPr>
                <w:b/>
                <w:sz w:val="18"/>
              </w:rPr>
              <w:t>Number</w:t>
            </w:r>
          </w:p>
        </w:tc>
        <w:tc>
          <w:tcPr>
            <w:tcW w:w="7060" w:type="dxa"/>
          </w:tcPr>
          <w:p w14:paraId="32DC1FEF" w14:textId="558B3190" w:rsidR="00582512" w:rsidRPr="00EF7AE7" w:rsidRDefault="00582512" w:rsidP="00514FB7">
            <w:pPr>
              <w:rPr>
                <w:sz w:val="20"/>
                <w:szCs w:val="20"/>
              </w:rPr>
            </w:pPr>
            <w:r w:rsidRPr="00EF7AE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2C66F94B" w14:textId="77777777" w:rsidR="00582512" w:rsidRPr="002552A6" w:rsidRDefault="00582512" w:rsidP="00514FB7">
            <w:pPr>
              <w:rPr>
                <w:b/>
              </w:rPr>
            </w:pPr>
          </w:p>
        </w:tc>
      </w:tr>
      <w:tr w:rsidR="00582512" w:rsidRPr="0008210B" w14:paraId="1AF11D4C" w14:textId="05767DDA" w:rsidTr="00582512">
        <w:trPr>
          <w:trHeight w:hRule="exact" w:val="759"/>
        </w:trPr>
        <w:tc>
          <w:tcPr>
            <w:tcW w:w="1100" w:type="dxa"/>
          </w:tcPr>
          <w:p w14:paraId="01FA44F1" w14:textId="77777777" w:rsidR="00582512" w:rsidRPr="0008210B" w:rsidRDefault="00582512" w:rsidP="00514FB7">
            <w:r>
              <w:t>8.5.2.1</w:t>
            </w:r>
          </w:p>
        </w:tc>
        <w:tc>
          <w:tcPr>
            <w:tcW w:w="7060" w:type="dxa"/>
          </w:tcPr>
          <w:p w14:paraId="79338672" w14:textId="77777777" w:rsidR="00582512" w:rsidRPr="0008210B" w:rsidRDefault="00582512" w:rsidP="00514FB7">
            <w:r>
              <w:t>T</w:t>
            </w:r>
            <w:r w:rsidRPr="00223DAA">
              <w:t xml:space="preserve">he CASES21 official account or the physical official bank account </w:t>
            </w:r>
            <w:r>
              <w:t xml:space="preserve">must not </w:t>
            </w:r>
            <w:r w:rsidRPr="00223DAA">
              <w:t>be overdrawn</w:t>
            </w:r>
            <w:r>
              <w:t>.</w:t>
            </w:r>
          </w:p>
        </w:tc>
        <w:tc>
          <w:tcPr>
            <w:tcW w:w="837" w:type="dxa"/>
          </w:tcPr>
          <w:p w14:paraId="2DC6D23D" w14:textId="77777777" w:rsidR="00582512" w:rsidRDefault="00582512" w:rsidP="00514FB7"/>
        </w:tc>
      </w:tr>
      <w:tr w:rsidR="00582512" w:rsidRPr="0008210B" w14:paraId="24003F26" w14:textId="3F7C30EC" w:rsidTr="00582512">
        <w:trPr>
          <w:trHeight w:hRule="exact" w:val="1112"/>
        </w:trPr>
        <w:tc>
          <w:tcPr>
            <w:tcW w:w="1100" w:type="dxa"/>
          </w:tcPr>
          <w:p w14:paraId="2EFDB8E3" w14:textId="77777777" w:rsidR="00582512" w:rsidRPr="0008210B" w:rsidRDefault="00582512" w:rsidP="00514FB7">
            <w:r>
              <w:t>8.5.2.2</w:t>
            </w:r>
          </w:p>
        </w:tc>
        <w:tc>
          <w:tcPr>
            <w:tcW w:w="7060" w:type="dxa"/>
          </w:tcPr>
          <w:p w14:paraId="56AAB2DB" w14:textId="77777777" w:rsidR="00582512" w:rsidRPr="00223DAA" w:rsidRDefault="00582512" w:rsidP="00514FB7">
            <w:r>
              <w:t>All payments (i.e. direct debit, BPAY and c</w:t>
            </w:r>
            <w:r w:rsidRPr="00223DAA">
              <w:t>heques</w:t>
            </w:r>
            <w:r>
              <w:t>)</w:t>
            </w:r>
            <w:r w:rsidRPr="00223DAA">
              <w:t xml:space="preserve"> </w:t>
            </w:r>
            <w:r>
              <w:t xml:space="preserve">must not </w:t>
            </w:r>
            <w:r w:rsidRPr="00223DAA">
              <w:t xml:space="preserve">knowingly </w:t>
            </w:r>
            <w:r>
              <w:t xml:space="preserve">be </w:t>
            </w:r>
            <w:r w:rsidRPr="00223DAA">
              <w:t>drawn on the official account where there are insufficient funds to meet the payment.</w:t>
            </w:r>
          </w:p>
        </w:tc>
        <w:tc>
          <w:tcPr>
            <w:tcW w:w="837" w:type="dxa"/>
          </w:tcPr>
          <w:p w14:paraId="1A6DA182" w14:textId="77777777" w:rsidR="00582512" w:rsidRDefault="00582512" w:rsidP="00514FB7"/>
        </w:tc>
      </w:tr>
      <w:tr w:rsidR="00E00CE6" w:rsidRPr="0008210B" w14:paraId="1DFED47D" w14:textId="77777777" w:rsidTr="00641A89">
        <w:trPr>
          <w:trHeight w:hRule="exact" w:val="957"/>
        </w:trPr>
        <w:tc>
          <w:tcPr>
            <w:tcW w:w="1100" w:type="dxa"/>
          </w:tcPr>
          <w:p w14:paraId="7AB2B854" w14:textId="11667828" w:rsidR="00E00CE6" w:rsidRDefault="00E00CE6" w:rsidP="00514FB7">
            <w:r>
              <w:t>8.5.2.3</w:t>
            </w:r>
          </w:p>
        </w:tc>
        <w:tc>
          <w:tcPr>
            <w:tcW w:w="7060" w:type="dxa"/>
          </w:tcPr>
          <w:p w14:paraId="355674CA" w14:textId="68FBE83A" w:rsidR="00E00CE6" w:rsidRDefault="00E00CE6" w:rsidP="00641A89">
            <w:pPr>
              <w:jc w:val="both"/>
            </w:pPr>
            <w:r>
              <w:t xml:space="preserve">Schools must not </w:t>
            </w:r>
            <w:r w:rsidR="00641A89">
              <w:t>have</w:t>
            </w:r>
            <w:r w:rsidR="002B1992">
              <w:t xml:space="preserve"> </w:t>
            </w:r>
            <w:r>
              <w:t>funds in excess of their operating reserve</w:t>
            </w:r>
            <w:r w:rsidR="00EC1094">
              <w:t xml:space="preserve"> in</w:t>
            </w:r>
            <w:r>
              <w:t xml:space="preserve"> the Official Account</w:t>
            </w:r>
            <w:r w:rsidR="00641A89">
              <w:t xml:space="preserve"> unless required for immediate settlement of accounts.</w:t>
            </w:r>
          </w:p>
        </w:tc>
        <w:tc>
          <w:tcPr>
            <w:tcW w:w="837" w:type="dxa"/>
          </w:tcPr>
          <w:p w14:paraId="50CB300A" w14:textId="77777777" w:rsidR="00E00CE6" w:rsidRDefault="00E00CE6" w:rsidP="00514FB7"/>
        </w:tc>
      </w:tr>
    </w:tbl>
    <w:p w14:paraId="388351DF" w14:textId="4D720930" w:rsidR="00223DAA" w:rsidRDefault="00223DAA" w:rsidP="0051778F">
      <w:pPr>
        <w:rPr>
          <w:w w:val="110"/>
        </w:rPr>
      </w:pPr>
    </w:p>
    <w:p w14:paraId="20E8B347" w14:textId="7F7357E3" w:rsidR="0051778F" w:rsidRPr="00245EA3" w:rsidRDefault="00C04480" w:rsidP="00245EA3">
      <w:pPr>
        <w:pStyle w:val="Heading2"/>
      </w:pPr>
      <w:r>
        <w:t>8</w:t>
      </w:r>
      <w:r w:rsidR="0038557A" w:rsidRPr="00245EA3">
        <w:t>.</w:t>
      </w:r>
      <w:r>
        <w:t>6</w:t>
      </w:r>
      <w:r w:rsidR="0038557A" w:rsidRPr="00245EA3">
        <w:tab/>
      </w:r>
      <w:r w:rsidR="00E309D5">
        <w:t xml:space="preserve">CBS linked </w:t>
      </w:r>
      <w:r w:rsidR="00FA3C96">
        <w:t xml:space="preserve">High Yield Investment Account </w:t>
      </w:r>
      <w:r w:rsidR="002F7740">
        <w:t xml:space="preserve"> </w:t>
      </w:r>
    </w:p>
    <w:p w14:paraId="1A32676A" w14:textId="5DE17F5F" w:rsidR="002412B5" w:rsidRDefault="002412B5" w:rsidP="003D6226">
      <w:pPr>
        <w:pStyle w:val="Heading3"/>
        <w:rPr>
          <w:b w:val="0"/>
          <w:color w:val="auto"/>
          <w:sz w:val="22"/>
        </w:rPr>
      </w:pPr>
      <w:r w:rsidRPr="002412B5">
        <w:rPr>
          <w:b w:val="0"/>
          <w:color w:val="auto"/>
          <w:sz w:val="22"/>
        </w:rPr>
        <w:t xml:space="preserve">The HYIA was established by the Department to assist schools with cash flow planning and, in the event of a surplus being identified, to provide schools with </w:t>
      </w:r>
      <w:r w:rsidR="00F431E3">
        <w:rPr>
          <w:b w:val="0"/>
          <w:color w:val="auto"/>
          <w:sz w:val="22"/>
        </w:rPr>
        <w:t>a</w:t>
      </w:r>
      <w:r w:rsidRPr="002412B5">
        <w:rPr>
          <w:b w:val="0"/>
          <w:color w:val="auto"/>
          <w:sz w:val="22"/>
        </w:rPr>
        <w:t xml:space="preserve"> competitive interest rate on the funds invested, while still retaining an ‘at call’ status</w:t>
      </w:r>
      <w:r w:rsidR="0073408B">
        <w:rPr>
          <w:b w:val="0"/>
          <w:color w:val="auto"/>
          <w:sz w:val="22"/>
        </w:rPr>
        <w:t xml:space="preserve"> for these funds</w:t>
      </w:r>
      <w:r w:rsidRPr="002412B5">
        <w:rPr>
          <w:b w:val="0"/>
          <w:color w:val="auto"/>
          <w:sz w:val="22"/>
        </w:rPr>
        <w:t>.</w:t>
      </w:r>
      <w:r w:rsidR="006A5F77">
        <w:rPr>
          <w:b w:val="0"/>
          <w:color w:val="auto"/>
          <w:sz w:val="22"/>
        </w:rPr>
        <w:t xml:space="preserve"> The HY</w:t>
      </w:r>
      <w:r w:rsidR="00E309D5">
        <w:rPr>
          <w:b w:val="0"/>
          <w:color w:val="auto"/>
          <w:sz w:val="22"/>
        </w:rPr>
        <w:t>I</w:t>
      </w:r>
      <w:r w:rsidR="006A5F77">
        <w:rPr>
          <w:b w:val="0"/>
          <w:color w:val="auto"/>
          <w:sz w:val="22"/>
        </w:rPr>
        <w:t xml:space="preserve">A </w:t>
      </w:r>
      <w:r w:rsidR="000E408F">
        <w:rPr>
          <w:b w:val="0"/>
          <w:color w:val="auto"/>
          <w:sz w:val="22"/>
        </w:rPr>
        <w:t>is linked to the</w:t>
      </w:r>
      <w:r w:rsidR="006A5F77">
        <w:rPr>
          <w:b w:val="0"/>
          <w:color w:val="auto"/>
          <w:sz w:val="22"/>
        </w:rPr>
        <w:t xml:space="preserve"> Central Banking System (CBS).</w:t>
      </w:r>
    </w:p>
    <w:p w14:paraId="1AB5FEF7" w14:textId="77777777" w:rsidR="0043554C" w:rsidRPr="00245EA3" w:rsidRDefault="00C04480" w:rsidP="0043554C">
      <w:pPr>
        <w:pStyle w:val="Heading3"/>
      </w:pPr>
      <w:r>
        <w:t>8</w:t>
      </w:r>
      <w:r w:rsidR="0043554C" w:rsidRPr="00245EA3">
        <w:t>.</w:t>
      </w:r>
      <w:r>
        <w:t>6</w:t>
      </w:r>
      <w:r w:rsidR="0043554C" w:rsidRPr="00245EA3">
        <w:t>.1</w:t>
      </w:r>
      <w:r w:rsidR="0043554C" w:rsidRPr="00245EA3">
        <w:tab/>
        <w:t>Mandatory policy (</w:t>
      </w:r>
      <w:r w:rsidR="0043554C">
        <w:t>Must do</w:t>
      </w:r>
      <w:r w:rsidR="0043554C" w:rsidRPr="00245EA3">
        <w:t>)</w:t>
      </w:r>
      <w:r w:rsidR="0043554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099"/>
        <w:gridCol w:w="7118"/>
        <w:gridCol w:w="837"/>
      </w:tblGrid>
      <w:tr w:rsidR="00582512" w:rsidRPr="0008210B" w14:paraId="6F798B34" w14:textId="6B2C5A86" w:rsidTr="00582512">
        <w:trPr>
          <w:trHeight w:hRule="exact" w:val="755"/>
          <w:tblHeader/>
        </w:trPr>
        <w:tc>
          <w:tcPr>
            <w:tcW w:w="1099" w:type="dxa"/>
          </w:tcPr>
          <w:p w14:paraId="0E6A0C02" w14:textId="77777777" w:rsidR="00582512" w:rsidRPr="00E96986" w:rsidRDefault="00582512" w:rsidP="0045682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E96986">
              <w:rPr>
                <w:b/>
                <w:sz w:val="18"/>
              </w:rPr>
              <w:t>Number</w:t>
            </w:r>
          </w:p>
        </w:tc>
        <w:tc>
          <w:tcPr>
            <w:tcW w:w="7118" w:type="dxa"/>
          </w:tcPr>
          <w:p w14:paraId="155B6D37" w14:textId="77777777" w:rsidR="00582512" w:rsidRPr="00EF7AE7" w:rsidRDefault="00582512" w:rsidP="00456820">
            <w:pPr>
              <w:rPr>
                <w:sz w:val="20"/>
                <w:szCs w:val="20"/>
              </w:rPr>
            </w:pPr>
            <w:r w:rsidRPr="00EF7AE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1F99BB92" w14:textId="77777777" w:rsidR="00582512" w:rsidRPr="002552A6" w:rsidRDefault="00582512" w:rsidP="00456820">
            <w:pPr>
              <w:rPr>
                <w:b/>
              </w:rPr>
            </w:pPr>
          </w:p>
        </w:tc>
      </w:tr>
      <w:tr w:rsidR="00582512" w:rsidRPr="0008210B" w14:paraId="1525C65F" w14:textId="67BD914D" w:rsidTr="00582512">
        <w:trPr>
          <w:trHeight w:val="567"/>
        </w:trPr>
        <w:tc>
          <w:tcPr>
            <w:tcW w:w="1099" w:type="dxa"/>
          </w:tcPr>
          <w:p w14:paraId="4512DFD4" w14:textId="1E5FF757" w:rsidR="00582512" w:rsidRPr="0008210B" w:rsidRDefault="00582512" w:rsidP="00514FB7">
            <w:r>
              <w:t>8.6.1.</w:t>
            </w:r>
            <w:r w:rsidR="00314FF2">
              <w:t>1</w:t>
            </w:r>
          </w:p>
        </w:tc>
        <w:tc>
          <w:tcPr>
            <w:tcW w:w="7118" w:type="dxa"/>
          </w:tcPr>
          <w:p w14:paraId="00219CB0" w14:textId="067C07FF" w:rsidR="00582512" w:rsidRPr="0008210B" w:rsidRDefault="00582512" w:rsidP="004B3714">
            <w:pPr>
              <w:spacing w:after="120"/>
            </w:pPr>
            <w:r w:rsidRPr="002412B5">
              <w:t xml:space="preserve">Schools can transfer funds from the </w:t>
            </w:r>
            <w:r w:rsidR="000E408F">
              <w:t xml:space="preserve">CBS linked </w:t>
            </w:r>
            <w:r w:rsidRPr="002412B5">
              <w:t xml:space="preserve">HYIA into the </w:t>
            </w:r>
            <w:r>
              <w:t>o</w:t>
            </w:r>
            <w:r w:rsidRPr="002412B5">
              <w:t xml:space="preserve">fficial </w:t>
            </w:r>
            <w:r>
              <w:t>a</w:t>
            </w:r>
            <w:r w:rsidRPr="002412B5">
              <w:t>ccount at any time, and vice versa.</w:t>
            </w:r>
          </w:p>
        </w:tc>
        <w:tc>
          <w:tcPr>
            <w:tcW w:w="837" w:type="dxa"/>
          </w:tcPr>
          <w:p w14:paraId="6E7C18D4" w14:textId="77777777" w:rsidR="00582512" w:rsidRPr="002412B5" w:rsidRDefault="00582512" w:rsidP="00514FB7"/>
        </w:tc>
      </w:tr>
      <w:tr w:rsidR="00582512" w:rsidRPr="0008210B" w14:paraId="6A0922E7" w14:textId="29D15F66" w:rsidTr="00582512">
        <w:trPr>
          <w:trHeight w:val="567"/>
        </w:trPr>
        <w:tc>
          <w:tcPr>
            <w:tcW w:w="1099" w:type="dxa"/>
          </w:tcPr>
          <w:p w14:paraId="6537ED45" w14:textId="62A086C4" w:rsidR="00582512" w:rsidRPr="0008210B" w:rsidRDefault="00582512" w:rsidP="00514FB7">
            <w:r>
              <w:lastRenderedPageBreak/>
              <w:t>8.6.1.</w:t>
            </w:r>
            <w:r w:rsidR="00314FF2">
              <w:t>2</w:t>
            </w:r>
          </w:p>
        </w:tc>
        <w:tc>
          <w:tcPr>
            <w:tcW w:w="7118" w:type="dxa"/>
          </w:tcPr>
          <w:p w14:paraId="2D966A33" w14:textId="0735B803" w:rsidR="00582512" w:rsidRPr="0008210B" w:rsidRDefault="00582512" w:rsidP="00F431E3">
            <w:pPr>
              <w:spacing w:after="120"/>
            </w:pPr>
            <w:r w:rsidRPr="002412B5">
              <w:t xml:space="preserve">Surplus funds </w:t>
            </w:r>
            <w:r w:rsidR="0013357D">
              <w:t xml:space="preserve">(above operating reserve) </w:t>
            </w:r>
            <w:r w:rsidR="00E309D5">
              <w:t xml:space="preserve">must be transferred </w:t>
            </w:r>
            <w:r w:rsidRPr="002412B5">
              <w:t xml:space="preserve">from the </w:t>
            </w:r>
            <w:r>
              <w:t>o</w:t>
            </w:r>
            <w:r w:rsidRPr="002412B5">
              <w:t>fficial account into the</w:t>
            </w:r>
            <w:r w:rsidR="00E309D5">
              <w:t xml:space="preserve"> </w:t>
            </w:r>
            <w:r w:rsidRPr="002412B5">
              <w:t>HYIA to maxim</w:t>
            </w:r>
            <w:r w:rsidR="00F431E3">
              <w:t>is</w:t>
            </w:r>
            <w:r w:rsidRPr="002412B5">
              <w:t>e interest revenue</w:t>
            </w:r>
            <w:r w:rsidR="00E309D5">
              <w:t>.</w:t>
            </w:r>
          </w:p>
        </w:tc>
        <w:tc>
          <w:tcPr>
            <w:tcW w:w="837" w:type="dxa"/>
          </w:tcPr>
          <w:p w14:paraId="60459290" w14:textId="77777777" w:rsidR="00582512" w:rsidRPr="002412B5" w:rsidRDefault="00582512" w:rsidP="00514FB7"/>
        </w:tc>
      </w:tr>
      <w:tr w:rsidR="00582512" w:rsidRPr="0008210B" w14:paraId="390A0237" w14:textId="6814753A" w:rsidTr="00582512">
        <w:trPr>
          <w:trHeight w:val="567"/>
        </w:trPr>
        <w:tc>
          <w:tcPr>
            <w:tcW w:w="1099" w:type="dxa"/>
          </w:tcPr>
          <w:p w14:paraId="7B8CF485" w14:textId="1CDC63C1" w:rsidR="00582512" w:rsidRPr="0008210B" w:rsidRDefault="00582512" w:rsidP="00514FB7">
            <w:r>
              <w:t>8.6.1.</w:t>
            </w:r>
            <w:r w:rsidR="00314FF2">
              <w:t>3</w:t>
            </w:r>
          </w:p>
        </w:tc>
        <w:tc>
          <w:tcPr>
            <w:tcW w:w="7118" w:type="dxa"/>
          </w:tcPr>
          <w:p w14:paraId="698D9524" w14:textId="611BA42A" w:rsidR="00582512" w:rsidRPr="0008210B" w:rsidRDefault="00582512" w:rsidP="004B3714">
            <w:pPr>
              <w:spacing w:after="120"/>
            </w:pPr>
            <w:r w:rsidRPr="002412B5">
              <w:t xml:space="preserve">The interest gained from the HYIA </w:t>
            </w:r>
            <w:r>
              <w:t xml:space="preserve">must be </w:t>
            </w:r>
            <w:r w:rsidRPr="002412B5">
              <w:t xml:space="preserve">paid directly into </w:t>
            </w:r>
            <w:r>
              <w:t>the HYIA.</w:t>
            </w:r>
          </w:p>
        </w:tc>
        <w:tc>
          <w:tcPr>
            <w:tcW w:w="837" w:type="dxa"/>
          </w:tcPr>
          <w:p w14:paraId="73E226E1" w14:textId="77777777" w:rsidR="00582512" w:rsidRPr="002412B5" w:rsidRDefault="00582512" w:rsidP="00514FB7"/>
        </w:tc>
      </w:tr>
      <w:tr w:rsidR="00582512" w:rsidRPr="0008210B" w14:paraId="0806D2DD" w14:textId="45FA8CC2" w:rsidTr="00582512">
        <w:trPr>
          <w:trHeight w:val="567"/>
        </w:trPr>
        <w:tc>
          <w:tcPr>
            <w:tcW w:w="1099" w:type="dxa"/>
          </w:tcPr>
          <w:p w14:paraId="5003CB3A" w14:textId="4DEBAF2A" w:rsidR="00582512" w:rsidRDefault="00582512" w:rsidP="00514FB7">
            <w:r>
              <w:t>8.6.1.</w:t>
            </w:r>
            <w:r w:rsidR="00314FF2">
              <w:t>4</w:t>
            </w:r>
          </w:p>
        </w:tc>
        <w:tc>
          <w:tcPr>
            <w:tcW w:w="7118" w:type="dxa"/>
          </w:tcPr>
          <w:p w14:paraId="3C984258" w14:textId="65ABC61B" w:rsidR="00582512" w:rsidRDefault="00582512" w:rsidP="004B3714">
            <w:pPr>
              <w:spacing w:after="120"/>
            </w:pPr>
            <w:r w:rsidRPr="00D104F4">
              <w:t>The</w:t>
            </w:r>
            <w:r w:rsidR="00E309D5">
              <w:t xml:space="preserve"> </w:t>
            </w:r>
            <w:r>
              <w:t>HYIA</w:t>
            </w:r>
            <w:r w:rsidRPr="00D104F4">
              <w:t xml:space="preserve"> must be reconciled each month </w:t>
            </w:r>
            <w:r>
              <w:t xml:space="preserve">to </w:t>
            </w:r>
            <w:r w:rsidRPr="00D104F4">
              <w:t>ensure CASES21 reflects the most accurate financial information.</w:t>
            </w:r>
          </w:p>
        </w:tc>
        <w:tc>
          <w:tcPr>
            <w:tcW w:w="837" w:type="dxa"/>
          </w:tcPr>
          <w:p w14:paraId="37F6D49B" w14:textId="77777777" w:rsidR="00582512" w:rsidRPr="00D104F4" w:rsidRDefault="00582512" w:rsidP="00514FB7"/>
        </w:tc>
      </w:tr>
    </w:tbl>
    <w:p w14:paraId="54882E61" w14:textId="77777777" w:rsidR="00D104F4" w:rsidRPr="00245EA3" w:rsidRDefault="00D104F4" w:rsidP="00D104F4">
      <w:pPr>
        <w:pStyle w:val="Heading3"/>
      </w:pPr>
      <w:r>
        <w:t>8.6.2</w:t>
      </w:r>
      <w:r w:rsidRPr="00245EA3">
        <w:tab/>
      </w:r>
      <w:r>
        <w:t xml:space="preserve">Prohibited </w:t>
      </w:r>
      <w:r w:rsidRPr="00245EA3">
        <w:t>policy (</w:t>
      </w:r>
      <w:r>
        <w:t>Must not</w:t>
      </w:r>
      <w:r w:rsidR="0048458D">
        <w:t xml:space="preserve"> do</w:t>
      </w:r>
      <w:r w:rsidRPr="00245EA3">
        <w:t>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100"/>
        <w:gridCol w:w="7117"/>
        <w:gridCol w:w="837"/>
      </w:tblGrid>
      <w:tr w:rsidR="00582512" w:rsidRPr="0008210B" w14:paraId="0C20E1E5" w14:textId="0BCA5F21" w:rsidTr="00582512">
        <w:trPr>
          <w:trHeight w:hRule="exact" w:val="755"/>
          <w:tblHeader/>
        </w:trPr>
        <w:tc>
          <w:tcPr>
            <w:tcW w:w="1100" w:type="dxa"/>
          </w:tcPr>
          <w:p w14:paraId="1E22410C" w14:textId="77777777" w:rsidR="00582512" w:rsidRPr="00E96986" w:rsidRDefault="00582512" w:rsidP="0045682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E96986">
              <w:rPr>
                <w:b/>
                <w:sz w:val="18"/>
              </w:rPr>
              <w:t>Number</w:t>
            </w:r>
          </w:p>
        </w:tc>
        <w:tc>
          <w:tcPr>
            <w:tcW w:w="7117" w:type="dxa"/>
          </w:tcPr>
          <w:p w14:paraId="23263736" w14:textId="77777777" w:rsidR="00582512" w:rsidRDefault="00582512" w:rsidP="00456820">
            <w:r w:rsidRPr="002552A6">
              <w:rPr>
                <w:b/>
              </w:rPr>
              <w:t>I</w:t>
            </w:r>
            <w:r w:rsidRPr="00EF7AE7">
              <w:rPr>
                <w:b/>
                <w:sz w:val="20"/>
                <w:szCs w:val="20"/>
              </w:rPr>
              <w:t>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6DB03892" w14:textId="77777777" w:rsidR="00582512" w:rsidRPr="002552A6" w:rsidRDefault="00582512" w:rsidP="00456820">
            <w:pPr>
              <w:rPr>
                <w:b/>
              </w:rPr>
            </w:pPr>
          </w:p>
        </w:tc>
      </w:tr>
      <w:tr w:rsidR="00582512" w:rsidRPr="0008210B" w14:paraId="285314F0" w14:textId="1C77331A" w:rsidTr="00582512">
        <w:trPr>
          <w:trHeight w:val="681"/>
        </w:trPr>
        <w:tc>
          <w:tcPr>
            <w:tcW w:w="1100" w:type="dxa"/>
          </w:tcPr>
          <w:p w14:paraId="07681795" w14:textId="77777777" w:rsidR="00582512" w:rsidRPr="0008210B" w:rsidRDefault="00582512" w:rsidP="00514FB7">
            <w:r>
              <w:t>8.6.</w:t>
            </w:r>
            <w:r w:rsidRPr="0008210B">
              <w:t>2.1</w:t>
            </w:r>
          </w:p>
        </w:tc>
        <w:tc>
          <w:tcPr>
            <w:tcW w:w="7117" w:type="dxa"/>
          </w:tcPr>
          <w:p w14:paraId="3F5D6886" w14:textId="7EC39BD6" w:rsidR="00582512" w:rsidRPr="0008210B" w:rsidRDefault="00582512" w:rsidP="004B3714">
            <w:pPr>
              <w:spacing w:after="120"/>
            </w:pPr>
            <w:r w:rsidRPr="0043554C">
              <w:t xml:space="preserve">The CASES21 </w:t>
            </w:r>
            <w:r>
              <w:t xml:space="preserve">HYIA </w:t>
            </w:r>
            <w:r w:rsidRPr="0043554C">
              <w:t xml:space="preserve">or the physical </w:t>
            </w:r>
            <w:r>
              <w:t>HYIA</w:t>
            </w:r>
            <w:r w:rsidRPr="0043554C">
              <w:t xml:space="preserve"> bank account must not become overdrawn</w:t>
            </w:r>
            <w:r>
              <w:t>.</w:t>
            </w:r>
          </w:p>
        </w:tc>
        <w:tc>
          <w:tcPr>
            <w:tcW w:w="837" w:type="dxa"/>
          </w:tcPr>
          <w:p w14:paraId="23F01BE1" w14:textId="77777777" w:rsidR="00582512" w:rsidRPr="0043554C" w:rsidRDefault="00582512" w:rsidP="00514FB7"/>
        </w:tc>
      </w:tr>
    </w:tbl>
    <w:p w14:paraId="5B8C02A7" w14:textId="3A551466" w:rsidR="00C3535F" w:rsidRDefault="00C3535F" w:rsidP="000747DE"/>
    <w:p w14:paraId="6CFC5A9A" w14:textId="52302B3F" w:rsidR="00C3535F" w:rsidRDefault="00C3535F" w:rsidP="000747DE"/>
    <w:p w14:paraId="1CF80261" w14:textId="5CE28053" w:rsidR="00C3535F" w:rsidRDefault="00C3535F" w:rsidP="000747DE"/>
    <w:p w14:paraId="7861D66D" w14:textId="77777777" w:rsidR="00C3535F" w:rsidRDefault="00C3535F" w:rsidP="000747DE"/>
    <w:p w14:paraId="70846E0B" w14:textId="2AB23161" w:rsidR="000747DE" w:rsidRDefault="000747DE" w:rsidP="000747DE"/>
    <w:p w14:paraId="22C0A265" w14:textId="1162CB45" w:rsidR="00FA3C96" w:rsidRDefault="00FA3C96" w:rsidP="00FA3C96">
      <w:pPr>
        <w:pStyle w:val="Heading2"/>
      </w:pPr>
      <w:r>
        <w:t>8</w:t>
      </w:r>
      <w:r w:rsidRPr="00245EA3">
        <w:t>.</w:t>
      </w:r>
      <w:r w:rsidR="006069E1">
        <w:t>7</w:t>
      </w:r>
      <w:r w:rsidRPr="00245EA3">
        <w:tab/>
      </w:r>
      <w:r>
        <w:t xml:space="preserve">Building and Library </w:t>
      </w:r>
      <w:r w:rsidR="000E408F">
        <w:t>accounts</w:t>
      </w:r>
    </w:p>
    <w:p w14:paraId="5322B81C" w14:textId="7208B332" w:rsidR="00FA3C96" w:rsidRDefault="00157A38" w:rsidP="00FA3C96">
      <w:r w:rsidRPr="00157A38">
        <w:t xml:space="preserve">The Building and Library </w:t>
      </w:r>
      <w:r w:rsidR="000E408F">
        <w:t xml:space="preserve">accounts </w:t>
      </w:r>
      <w:r w:rsidRPr="00157A38">
        <w:t xml:space="preserve">have dedicated bank accounts to hold </w:t>
      </w:r>
      <w:r w:rsidR="007F4EB3" w:rsidRPr="00157A38">
        <w:t>tax-deductible</w:t>
      </w:r>
      <w:r w:rsidRPr="00157A38">
        <w:t xml:space="preserve"> donations</w:t>
      </w:r>
      <w:r w:rsidR="00D104F4">
        <w:t xml:space="preserve"> received by the school for specific capital improvements</w:t>
      </w:r>
      <w:r w:rsidRPr="00157A38">
        <w:t>.</w:t>
      </w:r>
      <w:r w:rsidR="00FA3C96" w:rsidRPr="0008210B">
        <w:t xml:space="preserve"> </w:t>
      </w:r>
      <w:r w:rsidR="00456820">
        <w:t xml:space="preserve">Schools may elect to operate a CBS account for this </w:t>
      </w:r>
      <w:r w:rsidR="00DE7629">
        <w:t>purpose;</w:t>
      </w:r>
      <w:r w:rsidR="00456820">
        <w:t xml:space="preserve"> however, this is not mandatory.</w:t>
      </w:r>
    </w:p>
    <w:p w14:paraId="6EF06A54" w14:textId="1EAF36C2" w:rsidR="00C3535F" w:rsidRDefault="00C3535F" w:rsidP="00C3535F"/>
    <w:p w14:paraId="75FDE595" w14:textId="3FADB109" w:rsidR="00FA3C96" w:rsidRDefault="00D104F4" w:rsidP="00FA3C96">
      <w:pPr>
        <w:pStyle w:val="Heading3"/>
      </w:pPr>
      <w:r>
        <w:t>8</w:t>
      </w:r>
      <w:r w:rsidR="00FA3C96" w:rsidRPr="00245EA3">
        <w:t>.</w:t>
      </w:r>
      <w:r>
        <w:t>7</w:t>
      </w:r>
      <w:r w:rsidR="00FA3C96" w:rsidRPr="00245EA3">
        <w:t>.1</w:t>
      </w:r>
      <w:r w:rsidR="00FA3C96" w:rsidRPr="00245EA3">
        <w:tab/>
        <w:t>Mandatory policy (</w:t>
      </w:r>
      <w:r w:rsidR="00FA3C96">
        <w:t>Must do</w:t>
      </w:r>
      <w:r w:rsidR="00FA3C96" w:rsidRPr="00245EA3">
        <w:t>)</w:t>
      </w:r>
      <w:r w:rsidR="00FA3C9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100"/>
        <w:gridCol w:w="7117"/>
        <w:gridCol w:w="837"/>
      </w:tblGrid>
      <w:tr w:rsidR="00582512" w:rsidRPr="0008210B" w14:paraId="10E0871A" w14:textId="7EDFF990" w:rsidTr="00582512">
        <w:trPr>
          <w:trHeight w:hRule="exact" w:val="755"/>
          <w:tblHeader/>
        </w:trPr>
        <w:tc>
          <w:tcPr>
            <w:tcW w:w="1100" w:type="dxa"/>
          </w:tcPr>
          <w:p w14:paraId="74110339" w14:textId="7A9F26E0" w:rsidR="00582512" w:rsidRPr="00E96986" w:rsidRDefault="00582512" w:rsidP="0045682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E96986">
              <w:rPr>
                <w:b/>
                <w:sz w:val="18"/>
              </w:rPr>
              <w:t>Number</w:t>
            </w:r>
          </w:p>
        </w:tc>
        <w:tc>
          <w:tcPr>
            <w:tcW w:w="7117" w:type="dxa"/>
          </w:tcPr>
          <w:p w14:paraId="4BB599F7" w14:textId="77777777" w:rsidR="00582512" w:rsidRPr="00EF7AE7" w:rsidRDefault="00582512" w:rsidP="00456820">
            <w:pPr>
              <w:rPr>
                <w:sz w:val="20"/>
                <w:szCs w:val="20"/>
              </w:rPr>
            </w:pPr>
            <w:r w:rsidRPr="00EF7AE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71760371" w14:textId="77777777" w:rsidR="00582512" w:rsidRPr="002552A6" w:rsidRDefault="00582512" w:rsidP="00456820">
            <w:pPr>
              <w:rPr>
                <w:b/>
              </w:rPr>
            </w:pPr>
          </w:p>
        </w:tc>
      </w:tr>
      <w:tr w:rsidR="00582512" w:rsidRPr="0008210B" w14:paraId="3D940D05" w14:textId="576F0940" w:rsidTr="004B3714">
        <w:trPr>
          <w:trHeight w:val="1691"/>
        </w:trPr>
        <w:tc>
          <w:tcPr>
            <w:tcW w:w="1100" w:type="dxa"/>
          </w:tcPr>
          <w:p w14:paraId="285D760C" w14:textId="77777777" w:rsidR="00582512" w:rsidRPr="0008210B" w:rsidRDefault="00582512" w:rsidP="00D104F4">
            <w:r>
              <w:t>8</w:t>
            </w:r>
            <w:r w:rsidRPr="0008210B">
              <w:t>.</w:t>
            </w:r>
            <w:r>
              <w:t>7</w:t>
            </w:r>
            <w:r w:rsidRPr="0008210B">
              <w:t>.1.1</w:t>
            </w:r>
          </w:p>
        </w:tc>
        <w:tc>
          <w:tcPr>
            <w:tcW w:w="7117" w:type="dxa"/>
          </w:tcPr>
          <w:p w14:paraId="24867A03" w14:textId="6CF7B924" w:rsidR="00582512" w:rsidRDefault="00582512" w:rsidP="00157A38">
            <w:pPr>
              <w:ind w:hanging="2"/>
            </w:pPr>
            <w:r w:rsidRPr="00157A38">
              <w:t>The Australian Taxation Office (ATO) specifies that a separate bank</w:t>
            </w:r>
            <w:r w:rsidR="00E3751F">
              <w:t xml:space="preserve"> account</w:t>
            </w:r>
            <w:r w:rsidRPr="00157A38">
              <w:t xml:space="preserve"> must be established for D</w:t>
            </w:r>
            <w:r>
              <w:t>eductible Gift Recipient (D</w:t>
            </w:r>
            <w:r w:rsidRPr="00157A38">
              <w:t>GR</w:t>
            </w:r>
            <w:r>
              <w:t>)</w:t>
            </w:r>
            <w:r w:rsidRPr="00157A38">
              <w:t xml:space="preserve"> funds operated by </w:t>
            </w:r>
            <w:r>
              <w:t xml:space="preserve">a </w:t>
            </w:r>
            <w:r w:rsidRPr="00157A38">
              <w:t>school.</w:t>
            </w:r>
          </w:p>
          <w:p w14:paraId="76868D2A" w14:textId="70C35680" w:rsidR="004B3714" w:rsidRDefault="004B3714" w:rsidP="00157A38">
            <w:pPr>
              <w:ind w:hanging="2"/>
            </w:pPr>
            <w:r>
              <w:t>Schools are to ensure that all tax deductable receipts received by the school are held in the appropriate D</w:t>
            </w:r>
            <w:r w:rsidR="00881AC9">
              <w:t>GR</w:t>
            </w:r>
            <w:r>
              <w:t xml:space="preserve"> account</w:t>
            </w:r>
            <w:r w:rsidR="00881AC9">
              <w:t xml:space="preserve"> both at the bank and in CASES21</w:t>
            </w:r>
            <w:r>
              <w:t>.</w:t>
            </w:r>
          </w:p>
          <w:p w14:paraId="5F1EE7F1" w14:textId="77777777" w:rsidR="00582512" w:rsidRDefault="00582512" w:rsidP="00BA5A95">
            <w:pPr>
              <w:ind w:hanging="2"/>
              <w:rPr>
                <w:rStyle w:val="Hyperlink"/>
              </w:rPr>
            </w:pPr>
            <w:r w:rsidRPr="00157A38">
              <w:t xml:space="preserve">More detailed information on tax deductible funds </w:t>
            </w:r>
            <w:r>
              <w:t xml:space="preserve">are available on </w:t>
            </w:r>
            <w:r w:rsidRPr="00157A38">
              <w:t xml:space="preserve">the </w:t>
            </w:r>
            <w:hyperlink r:id="rId13" w:history="1">
              <w:r>
                <w:rPr>
                  <w:rStyle w:val="Hyperlink"/>
                </w:rPr>
                <w:t>Tax eduGate site</w:t>
              </w:r>
            </w:hyperlink>
            <w:r w:rsidR="00E3751F">
              <w:rPr>
                <w:rStyle w:val="Hyperlink"/>
              </w:rPr>
              <w:t>.</w:t>
            </w:r>
          </w:p>
          <w:p w14:paraId="56037BC9" w14:textId="7B96B15B" w:rsidR="004B3714" w:rsidRPr="0008210B" w:rsidRDefault="004B3714" w:rsidP="00BA5A95">
            <w:pPr>
              <w:ind w:hanging="2"/>
            </w:pPr>
          </w:p>
        </w:tc>
        <w:tc>
          <w:tcPr>
            <w:tcW w:w="837" w:type="dxa"/>
          </w:tcPr>
          <w:p w14:paraId="59C2B830" w14:textId="77777777" w:rsidR="00582512" w:rsidRPr="00157A38" w:rsidRDefault="00582512" w:rsidP="00157A38">
            <w:pPr>
              <w:ind w:hanging="2"/>
            </w:pPr>
          </w:p>
        </w:tc>
      </w:tr>
    </w:tbl>
    <w:p w14:paraId="31A0838F" w14:textId="595B2731" w:rsidR="00456820" w:rsidRPr="004B3714" w:rsidRDefault="00456820" w:rsidP="004B3714">
      <w:pPr>
        <w:rPr>
          <w:highlight w:val="yellow"/>
        </w:rPr>
      </w:pPr>
    </w:p>
    <w:p w14:paraId="75350B9A" w14:textId="1754CF29" w:rsidR="003B3BB1" w:rsidRPr="003B3BB1" w:rsidRDefault="003B3BB1" w:rsidP="003B3BB1">
      <w:pPr>
        <w:keepNext/>
        <w:keepLines/>
        <w:pBdr>
          <w:top w:val="single" w:sz="8" w:space="3" w:color="AF272F"/>
        </w:pBdr>
        <w:spacing w:before="240" w:after="120"/>
        <w:ind w:left="851" w:hanging="851"/>
        <w:outlineLvl w:val="1"/>
        <w:rPr>
          <w:rFonts w:eastAsiaTheme="majorEastAsia" w:cstheme="majorBidi"/>
          <w:b/>
          <w:color w:val="AF272F"/>
          <w:sz w:val="36"/>
          <w:szCs w:val="20"/>
        </w:rPr>
      </w:pPr>
      <w:r w:rsidRPr="003B3BB1">
        <w:rPr>
          <w:rFonts w:eastAsiaTheme="majorEastAsia" w:cstheme="majorBidi"/>
          <w:b/>
          <w:color w:val="AF272F"/>
          <w:sz w:val="36"/>
          <w:szCs w:val="20"/>
        </w:rPr>
        <w:lastRenderedPageBreak/>
        <w:t>8.</w:t>
      </w:r>
      <w:r w:rsidR="00501492">
        <w:rPr>
          <w:rFonts w:eastAsiaTheme="majorEastAsia" w:cstheme="majorBidi"/>
          <w:b/>
          <w:color w:val="AF272F"/>
          <w:sz w:val="36"/>
          <w:szCs w:val="20"/>
        </w:rPr>
        <w:t>8</w:t>
      </w:r>
      <w:r w:rsidRPr="003B3BB1">
        <w:rPr>
          <w:rFonts w:eastAsiaTheme="majorEastAsia" w:cstheme="majorBidi"/>
          <w:b/>
          <w:color w:val="AF272F"/>
          <w:sz w:val="36"/>
          <w:szCs w:val="20"/>
        </w:rPr>
        <w:tab/>
      </w:r>
      <w:r w:rsidR="00690B37">
        <w:rPr>
          <w:rFonts w:eastAsiaTheme="majorEastAsia" w:cstheme="majorBidi"/>
          <w:b/>
          <w:color w:val="AF272F"/>
          <w:sz w:val="36"/>
          <w:szCs w:val="20"/>
        </w:rPr>
        <w:t>S</w:t>
      </w:r>
      <w:r>
        <w:rPr>
          <w:rFonts w:eastAsiaTheme="majorEastAsia" w:cstheme="majorBidi"/>
          <w:b/>
          <w:color w:val="AF272F"/>
          <w:sz w:val="36"/>
          <w:szCs w:val="20"/>
        </w:rPr>
        <w:t>chool bank accounts</w:t>
      </w:r>
      <w:r w:rsidR="00690B37">
        <w:rPr>
          <w:rFonts w:eastAsiaTheme="majorEastAsia" w:cstheme="majorBidi"/>
          <w:b/>
          <w:color w:val="AF272F"/>
          <w:sz w:val="36"/>
          <w:szCs w:val="20"/>
        </w:rPr>
        <w:t xml:space="preserve"> signatories</w:t>
      </w:r>
      <w:r w:rsidRPr="003B3BB1">
        <w:rPr>
          <w:rFonts w:eastAsiaTheme="majorEastAsia" w:cstheme="majorBidi"/>
          <w:b/>
          <w:color w:val="AF272F"/>
          <w:sz w:val="36"/>
          <w:szCs w:val="20"/>
        </w:rPr>
        <w:t xml:space="preserve"> </w:t>
      </w:r>
    </w:p>
    <w:p w14:paraId="0F0B1746" w14:textId="4805B016" w:rsidR="003B3BB1" w:rsidRPr="003B3BB1" w:rsidRDefault="00801DC1" w:rsidP="003B3BB1">
      <w:pPr>
        <w:tabs>
          <w:tab w:val="left" w:pos="851"/>
        </w:tabs>
        <w:spacing w:before="240" w:after="240"/>
        <w:outlineLvl w:val="2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8.</w:t>
      </w:r>
      <w:r w:rsidR="00501492">
        <w:rPr>
          <w:b/>
          <w:color w:val="000000" w:themeColor="text1"/>
          <w:sz w:val="24"/>
        </w:rPr>
        <w:t>8</w:t>
      </w:r>
      <w:r>
        <w:rPr>
          <w:b/>
          <w:color w:val="000000" w:themeColor="text1"/>
          <w:sz w:val="24"/>
        </w:rPr>
        <w:t>.1</w:t>
      </w:r>
      <w:r w:rsidR="003B3BB1" w:rsidRPr="003B3BB1">
        <w:rPr>
          <w:b/>
          <w:color w:val="000000" w:themeColor="text1"/>
          <w:sz w:val="24"/>
        </w:rPr>
        <w:tab/>
        <w:t>Mandatory policy (Must do):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100"/>
        <w:gridCol w:w="7117"/>
        <w:gridCol w:w="837"/>
      </w:tblGrid>
      <w:tr w:rsidR="00582512" w:rsidRPr="0008210B" w14:paraId="363DB8BD" w14:textId="524DC4B6" w:rsidTr="00582512">
        <w:trPr>
          <w:trHeight w:hRule="exact" w:val="755"/>
          <w:tblHeader/>
        </w:trPr>
        <w:tc>
          <w:tcPr>
            <w:tcW w:w="1100" w:type="dxa"/>
          </w:tcPr>
          <w:p w14:paraId="206D05D2" w14:textId="77777777" w:rsidR="00582512" w:rsidRPr="00E96986" w:rsidRDefault="00582512" w:rsidP="00582512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E96986">
              <w:rPr>
                <w:b/>
                <w:sz w:val="18"/>
              </w:rPr>
              <w:t>Number</w:t>
            </w:r>
          </w:p>
        </w:tc>
        <w:tc>
          <w:tcPr>
            <w:tcW w:w="7117" w:type="dxa"/>
          </w:tcPr>
          <w:p w14:paraId="1184FF2A" w14:textId="77777777" w:rsidR="00582512" w:rsidRPr="00EF7AE7" w:rsidRDefault="00582512" w:rsidP="00456820">
            <w:pPr>
              <w:rPr>
                <w:sz w:val="20"/>
                <w:szCs w:val="20"/>
              </w:rPr>
            </w:pPr>
            <w:r w:rsidRPr="00EF7AE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0C805DC6" w14:textId="77777777" w:rsidR="00582512" w:rsidRPr="002552A6" w:rsidRDefault="00582512" w:rsidP="00456820">
            <w:pPr>
              <w:rPr>
                <w:b/>
              </w:rPr>
            </w:pPr>
          </w:p>
        </w:tc>
      </w:tr>
      <w:tr w:rsidR="00582512" w:rsidRPr="003B3BB1" w14:paraId="57FA206C" w14:textId="339A3EBC" w:rsidTr="00582512">
        <w:trPr>
          <w:trHeight w:val="677"/>
        </w:trPr>
        <w:tc>
          <w:tcPr>
            <w:tcW w:w="1100" w:type="dxa"/>
          </w:tcPr>
          <w:p w14:paraId="37888384" w14:textId="67989F66" w:rsidR="00582512" w:rsidRDefault="00582512">
            <w:r>
              <w:t>8.</w:t>
            </w:r>
            <w:r w:rsidR="00501492">
              <w:t>8</w:t>
            </w:r>
            <w:r>
              <w:t>.1.1</w:t>
            </w:r>
          </w:p>
        </w:tc>
        <w:tc>
          <w:tcPr>
            <w:tcW w:w="7117" w:type="dxa"/>
          </w:tcPr>
          <w:p w14:paraId="0B2A2371" w14:textId="77777777" w:rsidR="00582512" w:rsidRDefault="00582512" w:rsidP="004B3714">
            <w:pPr>
              <w:spacing w:after="120"/>
            </w:pPr>
            <w:r w:rsidRPr="00223DAA">
              <w:t xml:space="preserve">The school council must </w:t>
            </w:r>
            <w:r>
              <w:t xml:space="preserve">approve signatories on all </w:t>
            </w:r>
            <w:r w:rsidRPr="00223DAA">
              <w:t xml:space="preserve">school bank </w:t>
            </w:r>
            <w:r>
              <w:t>a</w:t>
            </w:r>
            <w:r w:rsidRPr="00223DAA">
              <w:t>ccounts</w:t>
            </w:r>
            <w:r>
              <w:t>.</w:t>
            </w:r>
          </w:p>
        </w:tc>
        <w:tc>
          <w:tcPr>
            <w:tcW w:w="837" w:type="dxa"/>
          </w:tcPr>
          <w:p w14:paraId="3F6588EA" w14:textId="77777777" w:rsidR="00582512" w:rsidRPr="00223DAA" w:rsidRDefault="00582512" w:rsidP="00E33272"/>
        </w:tc>
      </w:tr>
      <w:tr w:rsidR="00582512" w:rsidRPr="003B3BB1" w14:paraId="5074980D" w14:textId="354251F3" w:rsidTr="00582512">
        <w:trPr>
          <w:trHeight w:val="417"/>
        </w:trPr>
        <w:tc>
          <w:tcPr>
            <w:tcW w:w="1100" w:type="dxa"/>
          </w:tcPr>
          <w:p w14:paraId="31BAA5C7" w14:textId="49B650D1" w:rsidR="00582512" w:rsidRPr="003B3BB1" w:rsidRDefault="00582512">
            <w:r>
              <w:t>8.</w:t>
            </w:r>
            <w:r w:rsidR="00501492">
              <w:t>8</w:t>
            </w:r>
            <w:r>
              <w:t>.1.2</w:t>
            </w:r>
          </w:p>
        </w:tc>
        <w:tc>
          <w:tcPr>
            <w:tcW w:w="7117" w:type="dxa"/>
          </w:tcPr>
          <w:p w14:paraId="60769543" w14:textId="77777777" w:rsidR="00582512" w:rsidRPr="003B3BB1" w:rsidRDefault="00582512" w:rsidP="004B3714">
            <w:pPr>
              <w:spacing w:after="120"/>
            </w:pPr>
            <w:r>
              <w:t>Retain a register of signatories to all school bank accounts.</w:t>
            </w:r>
          </w:p>
        </w:tc>
        <w:tc>
          <w:tcPr>
            <w:tcW w:w="837" w:type="dxa"/>
          </w:tcPr>
          <w:p w14:paraId="4C4EA20E" w14:textId="77777777" w:rsidR="00582512" w:rsidRDefault="00582512" w:rsidP="003B3BB1"/>
        </w:tc>
      </w:tr>
      <w:tr w:rsidR="00582512" w:rsidRPr="003B3BB1" w14:paraId="363B3059" w14:textId="7FABD790" w:rsidTr="00582512">
        <w:trPr>
          <w:trHeight w:val="417"/>
        </w:trPr>
        <w:tc>
          <w:tcPr>
            <w:tcW w:w="1100" w:type="dxa"/>
          </w:tcPr>
          <w:p w14:paraId="23F9F7FA" w14:textId="31178806" w:rsidR="00582512" w:rsidRPr="003B3BB1" w:rsidRDefault="00582512">
            <w:r>
              <w:t>8.</w:t>
            </w:r>
            <w:r w:rsidR="00501492">
              <w:t>8</w:t>
            </w:r>
            <w:r>
              <w:t>.1.3</w:t>
            </w:r>
          </w:p>
        </w:tc>
        <w:tc>
          <w:tcPr>
            <w:tcW w:w="7117" w:type="dxa"/>
          </w:tcPr>
          <w:p w14:paraId="47AAEFB6" w14:textId="77777777" w:rsidR="00582512" w:rsidRDefault="00582512" w:rsidP="004B3714">
            <w:pPr>
              <w:spacing w:after="120"/>
            </w:pPr>
            <w:r>
              <w:t xml:space="preserve">The registered mandatory signatory to all school bank accounts must include the principal. </w:t>
            </w:r>
          </w:p>
        </w:tc>
        <w:tc>
          <w:tcPr>
            <w:tcW w:w="837" w:type="dxa"/>
          </w:tcPr>
          <w:p w14:paraId="7E799F67" w14:textId="77777777" w:rsidR="00582512" w:rsidRDefault="00582512" w:rsidP="00690B37"/>
        </w:tc>
      </w:tr>
      <w:tr w:rsidR="00582512" w:rsidRPr="003B3BB1" w14:paraId="0A918237" w14:textId="1AE5286F" w:rsidTr="00582512">
        <w:trPr>
          <w:trHeight w:val="417"/>
        </w:trPr>
        <w:tc>
          <w:tcPr>
            <w:tcW w:w="1100" w:type="dxa"/>
          </w:tcPr>
          <w:p w14:paraId="17BAA246" w14:textId="5B09A986" w:rsidR="00582512" w:rsidRPr="003B3BB1" w:rsidRDefault="00582512">
            <w:r>
              <w:t>8.</w:t>
            </w:r>
            <w:r w:rsidR="00501492">
              <w:t>8</w:t>
            </w:r>
            <w:r>
              <w:t>.1.4</w:t>
            </w:r>
          </w:p>
        </w:tc>
        <w:tc>
          <w:tcPr>
            <w:tcW w:w="7117" w:type="dxa"/>
          </w:tcPr>
          <w:p w14:paraId="6DF00608" w14:textId="77777777" w:rsidR="00582512" w:rsidRDefault="00582512" w:rsidP="004B3714">
            <w:pPr>
              <w:spacing w:after="120"/>
            </w:pPr>
            <w:r>
              <w:t xml:space="preserve">The registered co-signatory to all school bank accounts must include an active school council member. </w:t>
            </w:r>
          </w:p>
        </w:tc>
        <w:tc>
          <w:tcPr>
            <w:tcW w:w="837" w:type="dxa"/>
          </w:tcPr>
          <w:p w14:paraId="644CE118" w14:textId="77777777" w:rsidR="00582512" w:rsidRDefault="00582512" w:rsidP="00801DC1"/>
        </w:tc>
      </w:tr>
      <w:tr w:rsidR="00582512" w:rsidRPr="003B3BB1" w14:paraId="4204A63B" w14:textId="74644D74" w:rsidTr="00582512">
        <w:trPr>
          <w:trHeight w:val="417"/>
        </w:trPr>
        <w:tc>
          <w:tcPr>
            <w:tcW w:w="1100" w:type="dxa"/>
          </w:tcPr>
          <w:p w14:paraId="0B3D34D3" w14:textId="0E91D24D" w:rsidR="00582512" w:rsidRPr="003B3BB1" w:rsidRDefault="00582512">
            <w:r>
              <w:t>8.</w:t>
            </w:r>
            <w:r w:rsidR="00501492">
              <w:t>8</w:t>
            </w:r>
            <w:r>
              <w:t>.1.5</w:t>
            </w:r>
          </w:p>
        </w:tc>
        <w:tc>
          <w:tcPr>
            <w:tcW w:w="7117" w:type="dxa"/>
          </w:tcPr>
          <w:p w14:paraId="46204903" w14:textId="7C594E9E" w:rsidR="00582512" w:rsidRDefault="00582512" w:rsidP="004B3714">
            <w:pPr>
              <w:spacing w:after="120"/>
            </w:pPr>
            <w:r>
              <w:t xml:space="preserve">School bank account signatories must be reviewed on an annual basis and kept </w:t>
            </w:r>
            <w:r w:rsidR="00DE7629">
              <w:t>up to date</w:t>
            </w:r>
            <w:r>
              <w:t xml:space="preserve"> with the bank.</w:t>
            </w:r>
          </w:p>
        </w:tc>
        <w:tc>
          <w:tcPr>
            <w:tcW w:w="837" w:type="dxa"/>
          </w:tcPr>
          <w:p w14:paraId="46FC3F05" w14:textId="77777777" w:rsidR="00582512" w:rsidRDefault="00582512" w:rsidP="00690B37"/>
        </w:tc>
      </w:tr>
      <w:tr w:rsidR="00582512" w:rsidRPr="003B3BB1" w14:paraId="44854864" w14:textId="560A819A" w:rsidTr="00582512">
        <w:trPr>
          <w:trHeight w:val="417"/>
        </w:trPr>
        <w:tc>
          <w:tcPr>
            <w:tcW w:w="1100" w:type="dxa"/>
          </w:tcPr>
          <w:p w14:paraId="476A0557" w14:textId="515CE5A4" w:rsidR="00582512" w:rsidRPr="003B3BB1" w:rsidRDefault="00582512">
            <w:r>
              <w:t>8.</w:t>
            </w:r>
            <w:r w:rsidR="00501492">
              <w:t>8</w:t>
            </w:r>
            <w:r>
              <w:t>.1.6</w:t>
            </w:r>
          </w:p>
        </w:tc>
        <w:tc>
          <w:tcPr>
            <w:tcW w:w="7117" w:type="dxa"/>
          </w:tcPr>
          <w:p w14:paraId="495BC7A0" w14:textId="77777777" w:rsidR="00582512" w:rsidRDefault="00582512" w:rsidP="004B3714">
            <w:pPr>
              <w:spacing w:after="120"/>
            </w:pPr>
            <w:r>
              <w:t>Inactive school bank account signatories must be removed from the bank account and register in a timely manner.</w:t>
            </w:r>
          </w:p>
        </w:tc>
        <w:tc>
          <w:tcPr>
            <w:tcW w:w="837" w:type="dxa"/>
          </w:tcPr>
          <w:p w14:paraId="6C1AC22A" w14:textId="77777777" w:rsidR="00582512" w:rsidRDefault="00582512" w:rsidP="00690B37"/>
        </w:tc>
      </w:tr>
    </w:tbl>
    <w:p w14:paraId="5AF1B4A9" w14:textId="127A1F88" w:rsidR="003D6226" w:rsidRDefault="003D6226" w:rsidP="004249C6">
      <w:pPr>
        <w:tabs>
          <w:tab w:val="left" w:pos="851"/>
        </w:tabs>
        <w:spacing w:before="240" w:after="240"/>
        <w:outlineLvl w:val="2"/>
        <w:rPr>
          <w:w w:val="110"/>
        </w:rPr>
      </w:pPr>
    </w:p>
    <w:p w14:paraId="05AC967B" w14:textId="2ABE3304" w:rsidR="003361D4" w:rsidRPr="002D024E" w:rsidRDefault="003361D4" w:rsidP="003361D4">
      <w:pPr>
        <w:pStyle w:val="Heading2"/>
      </w:pPr>
      <w:r w:rsidRPr="002D024E">
        <w:t>8.</w:t>
      </w:r>
      <w:r w:rsidR="00E67789">
        <w:t>9</w:t>
      </w:r>
      <w:r w:rsidRPr="002D024E">
        <w:tab/>
        <w:t xml:space="preserve">Information to be retained by schools </w:t>
      </w:r>
    </w:p>
    <w:p w14:paraId="4915B36A" w14:textId="4A5B62C4" w:rsidR="003361D4" w:rsidRPr="002D024E" w:rsidRDefault="00E67789" w:rsidP="003361D4">
      <w:pPr>
        <w:pStyle w:val="Heading3"/>
      </w:pPr>
      <w:r>
        <w:t>8.9</w:t>
      </w:r>
      <w:r w:rsidR="00801DC1" w:rsidRPr="002D024E">
        <w:t>.1</w:t>
      </w:r>
      <w:r w:rsidR="003361D4" w:rsidRPr="002D024E">
        <w:tab/>
        <w:t>Mandatory policy (Must do):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099"/>
        <w:gridCol w:w="7118"/>
        <w:gridCol w:w="837"/>
      </w:tblGrid>
      <w:tr w:rsidR="00582512" w:rsidRPr="002D024E" w14:paraId="3B105703" w14:textId="04C7BC98" w:rsidTr="00582512">
        <w:trPr>
          <w:trHeight w:hRule="exact" w:val="755"/>
          <w:tblHeader/>
        </w:trPr>
        <w:tc>
          <w:tcPr>
            <w:tcW w:w="1099" w:type="dxa"/>
          </w:tcPr>
          <w:p w14:paraId="29234FCC" w14:textId="77777777" w:rsidR="00582512" w:rsidRPr="002D024E" w:rsidRDefault="00582512" w:rsidP="00456820">
            <w:pPr>
              <w:rPr>
                <w:sz w:val="18"/>
              </w:rPr>
            </w:pPr>
            <w:r w:rsidRPr="002D024E">
              <w:rPr>
                <w:b/>
                <w:sz w:val="18"/>
              </w:rPr>
              <w:t>Sequence Number</w:t>
            </w:r>
          </w:p>
        </w:tc>
        <w:tc>
          <w:tcPr>
            <w:tcW w:w="7118" w:type="dxa"/>
          </w:tcPr>
          <w:p w14:paraId="4AB92013" w14:textId="77777777" w:rsidR="00582512" w:rsidRPr="002D024E" w:rsidRDefault="00582512" w:rsidP="00456820">
            <w:pPr>
              <w:rPr>
                <w:sz w:val="20"/>
                <w:szCs w:val="20"/>
              </w:rPr>
            </w:pPr>
            <w:r w:rsidRPr="002D024E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7D9AC5DE" w14:textId="77777777" w:rsidR="00582512" w:rsidRPr="002D024E" w:rsidRDefault="00582512" w:rsidP="00456820">
            <w:pPr>
              <w:rPr>
                <w:b/>
              </w:rPr>
            </w:pPr>
          </w:p>
        </w:tc>
      </w:tr>
      <w:tr w:rsidR="00582512" w:rsidRPr="0008210B" w14:paraId="55F126E0" w14:textId="35A5CDC2" w:rsidTr="00582512">
        <w:trPr>
          <w:trHeight w:val="2629"/>
        </w:trPr>
        <w:tc>
          <w:tcPr>
            <w:tcW w:w="1099" w:type="dxa"/>
          </w:tcPr>
          <w:p w14:paraId="6090D554" w14:textId="53E7886B" w:rsidR="00582512" w:rsidRPr="002D024E" w:rsidRDefault="00E67789" w:rsidP="00E67789">
            <w:r>
              <w:t>8.9</w:t>
            </w:r>
            <w:r w:rsidR="00582512" w:rsidRPr="002D024E">
              <w:t>.1.1</w:t>
            </w:r>
          </w:p>
        </w:tc>
        <w:tc>
          <w:tcPr>
            <w:tcW w:w="7118" w:type="dxa"/>
          </w:tcPr>
          <w:p w14:paraId="2F54DFF8" w14:textId="77777777" w:rsidR="00582512" w:rsidRPr="002D024E" w:rsidRDefault="00582512" w:rsidP="004B3714">
            <w:pPr>
              <w:spacing w:after="120"/>
            </w:pPr>
            <w:r w:rsidRPr="002D024E">
              <w:t>Schools must retain the following information regarding the investment of all funds:</w:t>
            </w:r>
          </w:p>
          <w:p w14:paraId="6620E883" w14:textId="71080911" w:rsidR="00582512" w:rsidRPr="002D024E" w:rsidRDefault="00582512" w:rsidP="004B3714">
            <w:pPr>
              <w:pStyle w:val="ListBullet"/>
              <w:spacing w:after="120"/>
            </w:pPr>
            <w:r w:rsidRPr="002D024E">
              <w:t>Schools council minutes containing the details of changes to account particulars;</w:t>
            </w:r>
          </w:p>
          <w:p w14:paraId="1784C501" w14:textId="4B310DAE" w:rsidR="00582512" w:rsidRPr="002D024E" w:rsidRDefault="00582512" w:rsidP="004B3714">
            <w:pPr>
              <w:pStyle w:val="ListBullet"/>
              <w:spacing w:after="120"/>
            </w:pPr>
            <w:r w:rsidRPr="002D024E">
              <w:t>Investment register</w:t>
            </w:r>
            <w:r w:rsidR="00501492">
              <w:t xml:space="preserve"> (if required)</w:t>
            </w:r>
            <w:r w:rsidRPr="002D024E">
              <w:t>;</w:t>
            </w:r>
          </w:p>
          <w:p w14:paraId="5B8681EA" w14:textId="77777777" w:rsidR="00582512" w:rsidRPr="002D024E" w:rsidRDefault="00582512" w:rsidP="004B3714">
            <w:pPr>
              <w:pStyle w:val="ListBullet"/>
              <w:spacing w:after="120"/>
            </w:pPr>
            <w:r w:rsidRPr="002D024E">
              <w:t>Bank statements or certificates;</w:t>
            </w:r>
          </w:p>
          <w:p w14:paraId="5232E3F2" w14:textId="5C50CD7B" w:rsidR="00582512" w:rsidRPr="002D024E" w:rsidRDefault="00582512" w:rsidP="004B3714">
            <w:pPr>
              <w:pStyle w:val="ListBullet"/>
              <w:spacing w:after="120"/>
            </w:pPr>
            <w:r w:rsidRPr="002D024E">
              <w:t>Relevant CASES21 reports;</w:t>
            </w:r>
          </w:p>
          <w:p w14:paraId="055F9103" w14:textId="77777777" w:rsidR="00582512" w:rsidRPr="002D024E" w:rsidRDefault="00582512" w:rsidP="004B3714">
            <w:pPr>
              <w:pStyle w:val="ListBullet"/>
              <w:spacing w:after="120"/>
            </w:pPr>
            <w:r w:rsidRPr="002D024E">
              <w:t>Register of signatories to school bank accounts.</w:t>
            </w:r>
          </w:p>
        </w:tc>
        <w:tc>
          <w:tcPr>
            <w:tcW w:w="837" w:type="dxa"/>
          </w:tcPr>
          <w:p w14:paraId="34D36BE9" w14:textId="77777777" w:rsidR="00582512" w:rsidRDefault="00582512" w:rsidP="0065186D"/>
        </w:tc>
      </w:tr>
    </w:tbl>
    <w:p w14:paraId="7B597F6F" w14:textId="77777777" w:rsidR="001E19E1" w:rsidRDefault="001E19E1" w:rsidP="0051778F">
      <w:pPr>
        <w:rPr>
          <w:w w:val="110"/>
        </w:rPr>
      </w:pPr>
    </w:p>
    <w:p w14:paraId="3D6C56D1" w14:textId="104924D6" w:rsidR="00FA3C96" w:rsidRPr="00245EA3" w:rsidRDefault="00FA3C96" w:rsidP="00FA3C96">
      <w:pPr>
        <w:pStyle w:val="Heading2"/>
      </w:pPr>
      <w:r>
        <w:t>8</w:t>
      </w:r>
      <w:r w:rsidRPr="00245EA3">
        <w:t>.</w:t>
      </w:r>
      <w:r w:rsidR="00801DC1">
        <w:t>1</w:t>
      </w:r>
      <w:r w:rsidR="00E67789">
        <w:t>0</w:t>
      </w:r>
      <w:r w:rsidRPr="00245EA3">
        <w:tab/>
      </w:r>
      <w:r>
        <w:t>Unclaimed money</w:t>
      </w:r>
    </w:p>
    <w:p w14:paraId="21C18E46" w14:textId="5C82BC9D" w:rsidR="001E19E1" w:rsidRDefault="00157A38" w:rsidP="00FA3C96">
      <w:r>
        <w:t xml:space="preserve">Schools may be entitled to unclaimed money that is sitting in </w:t>
      </w:r>
      <w:r w:rsidR="007F4EB3">
        <w:t>a</w:t>
      </w:r>
      <w:r>
        <w:t xml:space="preserve"> forgotten bank account.  </w:t>
      </w:r>
    </w:p>
    <w:p w14:paraId="653CD75E" w14:textId="3D5854AB" w:rsidR="00FA3C96" w:rsidRPr="00245EA3" w:rsidRDefault="00FA3C96" w:rsidP="00FA3C96">
      <w:pPr>
        <w:pStyle w:val="Heading3"/>
      </w:pPr>
      <w:r>
        <w:lastRenderedPageBreak/>
        <w:t>8</w:t>
      </w:r>
      <w:r w:rsidRPr="00245EA3">
        <w:t>.</w:t>
      </w:r>
      <w:r w:rsidR="00801DC1">
        <w:t>1</w:t>
      </w:r>
      <w:r w:rsidR="00E67789">
        <w:t>0</w:t>
      </w:r>
      <w:r w:rsidRPr="00245EA3">
        <w:t>.1</w:t>
      </w:r>
      <w:r w:rsidRPr="00245EA3">
        <w:tab/>
        <w:t>Mandatory policy (</w:t>
      </w:r>
      <w:r>
        <w:t>Must do</w:t>
      </w:r>
      <w:r w:rsidRPr="00245EA3">
        <w:t>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sequence number and policy information"/>
      </w:tblPr>
      <w:tblGrid>
        <w:gridCol w:w="1099"/>
        <w:gridCol w:w="7118"/>
        <w:gridCol w:w="837"/>
      </w:tblGrid>
      <w:tr w:rsidR="00582512" w:rsidRPr="0008210B" w14:paraId="4BA55272" w14:textId="3E164912" w:rsidTr="00582512">
        <w:trPr>
          <w:trHeight w:hRule="exact" w:val="755"/>
          <w:tblHeader/>
        </w:trPr>
        <w:tc>
          <w:tcPr>
            <w:tcW w:w="1099" w:type="dxa"/>
          </w:tcPr>
          <w:p w14:paraId="3B5CA17F" w14:textId="77777777" w:rsidR="00582512" w:rsidRPr="00E96986" w:rsidRDefault="00582512" w:rsidP="0045682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Sequence </w:t>
            </w:r>
            <w:r w:rsidRPr="00E96986">
              <w:rPr>
                <w:b/>
                <w:sz w:val="18"/>
              </w:rPr>
              <w:t>Number</w:t>
            </w:r>
          </w:p>
        </w:tc>
        <w:tc>
          <w:tcPr>
            <w:tcW w:w="7118" w:type="dxa"/>
          </w:tcPr>
          <w:p w14:paraId="6BAC4A25" w14:textId="77777777" w:rsidR="00582512" w:rsidRPr="00EF7AE7" w:rsidRDefault="00582512" w:rsidP="00456820">
            <w:pPr>
              <w:rPr>
                <w:sz w:val="20"/>
                <w:szCs w:val="20"/>
              </w:rPr>
            </w:pPr>
            <w:r w:rsidRPr="00EF7AE7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837" w:type="dxa"/>
            <w:tcBorders>
              <w:top w:val="nil"/>
              <w:right w:val="nil"/>
            </w:tcBorders>
          </w:tcPr>
          <w:p w14:paraId="77FE1978" w14:textId="77777777" w:rsidR="00582512" w:rsidRPr="002552A6" w:rsidRDefault="00582512" w:rsidP="00456820">
            <w:pPr>
              <w:rPr>
                <w:b/>
              </w:rPr>
            </w:pPr>
          </w:p>
        </w:tc>
      </w:tr>
      <w:tr w:rsidR="00582512" w:rsidRPr="0008210B" w14:paraId="54D5C2FB" w14:textId="6A23F9F1" w:rsidTr="00582512">
        <w:trPr>
          <w:trHeight w:val="567"/>
        </w:trPr>
        <w:tc>
          <w:tcPr>
            <w:tcW w:w="1099" w:type="dxa"/>
          </w:tcPr>
          <w:p w14:paraId="6A1F2A15" w14:textId="7E963A31" w:rsidR="00582512" w:rsidRPr="0008210B" w:rsidRDefault="00582512" w:rsidP="00E67789">
            <w:r>
              <w:t>8</w:t>
            </w:r>
            <w:r w:rsidRPr="0008210B">
              <w:t>.</w:t>
            </w:r>
            <w:r>
              <w:t>1</w:t>
            </w:r>
            <w:r w:rsidR="00E67789">
              <w:t>0</w:t>
            </w:r>
            <w:r w:rsidRPr="0008210B">
              <w:t>.1.1</w:t>
            </w:r>
          </w:p>
        </w:tc>
        <w:tc>
          <w:tcPr>
            <w:tcW w:w="7118" w:type="dxa"/>
          </w:tcPr>
          <w:p w14:paraId="489E564C" w14:textId="77777777" w:rsidR="00582512" w:rsidRDefault="00582512" w:rsidP="004B3714">
            <w:pPr>
              <w:spacing w:after="120"/>
            </w:pPr>
            <w:r>
              <w:t>Schools must check (preferably annually) if any unclaimed money is in a forgotten bank account belonging to the school or a committee of the school. This can include:</w:t>
            </w:r>
          </w:p>
          <w:p w14:paraId="7D61864F" w14:textId="77777777" w:rsidR="00582512" w:rsidRDefault="00582512" w:rsidP="004B3714">
            <w:pPr>
              <w:pStyle w:val="ListBullet"/>
              <w:spacing w:after="120"/>
            </w:pPr>
            <w:r>
              <w:t>Parent Association;</w:t>
            </w:r>
          </w:p>
          <w:p w14:paraId="216A89B3" w14:textId="77777777" w:rsidR="00582512" w:rsidRDefault="00582512" w:rsidP="004B3714">
            <w:pPr>
              <w:pStyle w:val="ListBullet"/>
              <w:spacing w:after="120"/>
            </w:pPr>
            <w:r>
              <w:t>Reunion Account;</w:t>
            </w:r>
          </w:p>
          <w:p w14:paraId="0F315B64" w14:textId="77777777" w:rsidR="00582512" w:rsidRPr="0008210B" w:rsidRDefault="00582512" w:rsidP="004B3714">
            <w:pPr>
              <w:pStyle w:val="ListBullet"/>
              <w:spacing w:after="120"/>
            </w:pPr>
            <w:r>
              <w:t>Sports Association etc.</w:t>
            </w:r>
          </w:p>
        </w:tc>
        <w:tc>
          <w:tcPr>
            <w:tcW w:w="837" w:type="dxa"/>
          </w:tcPr>
          <w:p w14:paraId="01387B61" w14:textId="77777777" w:rsidR="00582512" w:rsidRDefault="00582512" w:rsidP="004875DE"/>
        </w:tc>
      </w:tr>
      <w:tr w:rsidR="00582512" w:rsidRPr="0008210B" w14:paraId="67EDA899" w14:textId="6EE1F022" w:rsidTr="004B3714">
        <w:trPr>
          <w:trHeight w:val="1846"/>
        </w:trPr>
        <w:tc>
          <w:tcPr>
            <w:tcW w:w="1099" w:type="dxa"/>
          </w:tcPr>
          <w:p w14:paraId="27A5E82F" w14:textId="63B0F518" w:rsidR="00582512" w:rsidRPr="0008210B" w:rsidRDefault="00582512" w:rsidP="00B74511">
            <w:r>
              <w:t>8.1</w:t>
            </w:r>
            <w:r w:rsidR="00E67789">
              <w:t>0</w:t>
            </w:r>
            <w:r>
              <w:t>.1.2</w:t>
            </w:r>
          </w:p>
        </w:tc>
        <w:tc>
          <w:tcPr>
            <w:tcW w:w="7118" w:type="dxa"/>
          </w:tcPr>
          <w:p w14:paraId="22C9141D" w14:textId="77777777" w:rsidR="00582512" w:rsidRDefault="00582512" w:rsidP="004B3714">
            <w:pPr>
              <w:spacing w:after="120"/>
            </w:pPr>
            <w:r>
              <w:t>Schools must do their own online checking by searching two government websites. These are:</w:t>
            </w:r>
          </w:p>
          <w:p w14:paraId="1715697D" w14:textId="25F9D5A7" w:rsidR="00582512" w:rsidRDefault="00582512" w:rsidP="004B3714">
            <w:pPr>
              <w:pStyle w:val="ListBullet"/>
              <w:spacing w:after="120"/>
            </w:pPr>
            <w:r>
              <w:t xml:space="preserve">the </w:t>
            </w:r>
            <w:hyperlink r:id="rId14" w:history="1">
              <w:r w:rsidRPr="00BA5A95">
                <w:rPr>
                  <w:rStyle w:val="Hyperlink"/>
                </w:rPr>
                <w:t>State Revenue Office (SRO)</w:t>
              </w:r>
            </w:hyperlink>
            <w:r>
              <w:t xml:space="preserve"> </w:t>
            </w:r>
          </w:p>
          <w:p w14:paraId="2B7CA8CB" w14:textId="16D941A2" w:rsidR="00582512" w:rsidRPr="006C0E4C" w:rsidRDefault="00582512" w:rsidP="004B3714">
            <w:pPr>
              <w:pStyle w:val="ListBullet"/>
              <w:spacing w:after="120"/>
            </w:pPr>
            <w:r>
              <w:t xml:space="preserve">Money Smart, administered by the </w:t>
            </w:r>
            <w:hyperlink r:id="rId15" w:history="1">
              <w:r w:rsidRPr="00BA5A95">
                <w:rPr>
                  <w:rStyle w:val="Hyperlink"/>
                </w:rPr>
                <w:t>Australian Securities Investments Commission (ASIC)</w:t>
              </w:r>
            </w:hyperlink>
          </w:p>
        </w:tc>
        <w:tc>
          <w:tcPr>
            <w:tcW w:w="837" w:type="dxa"/>
          </w:tcPr>
          <w:p w14:paraId="6CC63585" w14:textId="77777777" w:rsidR="00582512" w:rsidRDefault="00582512" w:rsidP="00157A38"/>
        </w:tc>
      </w:tr>
    </w:tbl>
    <w:p w14:paraId="2369DF9C" w14:textId="77777777" w:rsidR="00FA3C96" w:rsidRDefault="00FA3C96" w:rsidP="0051778F">
      <w:pPr>
        <w:rPr>
          <w:w w:val="110"/>
        </w:rPr>
      </w:pPr>
    </w:p>
    <w:p w14:paraId="2FB417F9" w14:textId="77777777" w:rsidR="0051778F" w:rsidRPr="00245EA3" w:rsidRDefault="0051778F" w:rsidP="00245EA3">
      <w:pPr>
        <w:pStyle w:val="Heading2"/>
      </w:pPr>
      <w:r w:rsidRPr="00245EA3">
        <w:t>Legislative requirements</w:t>
      </w:r>
    </w:p>
    <w:p w14:paraId="2B087D0E" w14:textId="77777777" w:rsidR="0051778F" w:rsidRPr="00245EA3" w:rsidRDefault="0051778F" w:rsidP="00245EA3">
      <w:pPr>
        <w:pStyle w:val="Heading3"/>
      </w:pPr>
      <w:r w:rsidRPr="00245EA3">
        <w:t>Legislation</w:t>
      </w:r>
    </w:p>
    <w:p w14:paraId="7FB25481" w14:textId="77777777" w:rsidR="0051778F" w:rsidRPr="009F57A3" w:rsidRDefault="0051778F" w:rsidP="0051778F">
      <w:r w:rsidRPr="009F57A3">
        <w:t>The advice in this section was based on requirements outlined in the following legislation:</w:t>
      </w:r>
    </w:p>
    <w:p w14:paraId="7760D192" w14:textId="77777777" w:rsidR="00BE3874" w:rsidRDefault="00BE3874" w:rsidP="00BE3874">
      <w:pPr>
        <w:pStyle w:val="ListBullet"/>
      </w:pPr>
      <w:r w:rsidRPr="00A41F9D">
        <w:t>Australian Accounting Standards</w:t>
      </w:r>
      <w:r w:rsidRPr="00940120">
        <w:rPr>
          <w:b/>
        </w:rPr>
        <w:t xml:space="preserve"> </w:t>
      </w:r>
      <w:r>
        <w:rPr>
          <w:b/>
        </w:rPr>
        <w:t xml:space="preserve">- </w:t>
      </w:r>
      <w:r>
        <w:t>ASSB 107 Statement of Cash Flows and AASB 139 Financial Instruments</w:t>
      </w:r>
      <w:r w:rsidRPr="00A41F9D">
        <w:t xml:space="preserve"> and AASB 101 Presentation of Financial Statements</w:t>
      </w:r>
      <w:r>
        <w:t>.</w:t>
      </w:r>
    </w:p>
    <w:p w14:paraId="5854BFDB" w14:textId="77777777" w:rsidR="00BE3874" w:rsidRPr="004A066A" w:rsidRDefault="00BE3874" w:rsidP="00BE3874">
      <w:pPr>
        <w:pStyle w:val="ListBullet"/>
        <w:rPr>
          <w:i/>
        </w:rPr>
      </w:pPr>
      <w:r w:rsidRPr="004A066A">
        <w:rPr>
          <w:i/>
        </w:rPr>
        <w:t>Banking Act 1959</w:t>
      </w:r>
    </w:p>
    <w:p w14:paraId="46510B1A" w14:textId="77777777" w:rsidR="00BE3874" w:rsidRPr="0008210B" w:rsidRDefault="00BE3874" w:rsidP="00BE3874">
      <w:pPr>
        <w:pStyle w:val="ListBullet"/>
      </w:pPr>
      <w:r>
        <w:t>Constituting School Council Orders – 1B.</w:t>
      </w:r>
    </w:p>
    <w:p w14:paraId="2E23B66B" w14:textId="77777777" w:rsidR="0051778F" w:rsidRPr="0008210B" w:rsidRDefault="0051778F" w:rsidP="0008210B">
      <w:pPr>
        <w:pStyle w:val="ListBullet"/>
      </w:pPr>
      <w:r w:rsidRPr="00E33272">
        <w:rPr>
          <w:i/>
        </w:rPr>
        <w:t>Education and Training Reform Act 2006</w:t>
      </w:r>
      <w:r w:rsidRPr="0008210B">
        <w:t xml:space="preserve"> – </w:t>
      </w:r>
      <w:r w:rsidR="00CE1579" w:rsidRPr="0008210B">
        <w:t>Part 2.3 – Government School Councils</w:t>
      </w:r>
      <w:r w:rsidR="00C770BC">
        <w:t>.</w:t>
      </w:r>
    </w:p>
    <w:p w14:paraId="2B19F5C6" w14:textId="77777777" w:rsidR="0051778F" w:rsidRPr="0008210B" w:rsidRDefault="008968F2" w:rsidP="008968F2">
      <w:pPr>
        <w:pStyle w:val="ListBullet"/>
      </w:pPr>
      <w:r w:rsidRPr="00F1501C">
        <w:rPr>
          <w:i/>
        </w:rPr>
        <w:t>Education and Training Regulations 20</w:t>
      </w:r>
      <w:r>
        <w:rPr>
          <w:i/>
        </w:rPr>
        <w:t>1</w:t>
      </w:r>
      <w:r w:rsidRPr="00F1501C">
        <w:rPr>
          <w:i/>
        </w:rPr>
        <w:t>7</w:t>
      </w:r>
      <w:r w:rsidRPr="0008210B">
        <w:t xml:space="preserve"> – Part </w:t>
      </w:r>
      <w:r>
        <w:t>4</w:t>
      </w:r>
      <w:r w:rsidRPr="0008210B">
        <w:t xml:space="preserve"> – Government School Councils</w:t>
      </w:r>
      <w:r>
        <w:t xml:space="preserve"> and Parents Clubs.</w:t>
      </w:r>
    </w:p>
    <w:p w14:paraId="1DF66AAC" w14:textId="77777777" w:rsidR="0051778F" w:rsidRPr="0008210B" w:rsidRDefault="0051778F" w:rsidP="0008210B">
      <w:pPr>
        <w:pStyle w:val="ListBullet"/>
      </w:pPr>
      <w:r w:rsidRPr="00E33272">
        <w:rPr>
          <w:i/>
        </w:rPr>
        <w:t>Financial Management Act 1994</w:t>
      </w:r>
      <w:r w:rsidRPr="0008210B">
        <w:t xml:space="preserve"> – </w:t>
      </w:r>
      <w:r w:rsidR="00801DC1">
        <w:t xml:space="preserve">Part 3 – Public Ledger </w:t>
      </w:r>
      <w:r w:rsidR="00506381">
        <w:t>and Public Account</w:t>
      </w:r>
      <w:r w:rsidR="00C770BC">
        <w:t>.</w:t>
      </w:r>
    </w:p>
    <w:p w14:paraId="116715BD" w14:textId="5406CCDD" w:rsidR="0051778F" w:rsidRPr="00501492" w:rsidRDefault="0051778F" w:rsidP="0008210B">
      <w:pPr>
        <w:pStyle w:val="ListBullet"/>
      </w:pPr>
      <w:r w:rsidRPr="00501492">
        <w:t>Standing Directions of the Minister of Finance 201</w:t>
      </w:r>
      <w:r w:rsidR="00951C8B" w:rsidRPr="004B3714">
        <w:t>8</w:t>
      </w:r>
      <w:r w:rsidRPr="00501492">
        <w:t xml:space="preserve"> </w:t>
      </w:r>
      <w:r w:rsidR="00BE3874" w:rsidRPr="00501492">
        <w:t xml:space="preserve">under the </w:t>
      </w:r>
      <w:r w:rsidR="00BE3874" w:rsidRPr="00501492">
        <w:rPr>
          <w:i/>
        </w:rPr>
        <w:t>Financial Management Act 1994</w:t>
      </w:r>
      <w:r w:rsidR="00BE3874" w:rsidRPr="00501492">
        <w:t xml:space="preserve"> </w:t>
      </w:r>
      <w:r w:rsidR="00096CA9" w:rsidRPr="00501492">
        <w:t>–</w:t>
      </w:r>
      <w:r w:rsidRPr="00501492">
        <w:t xml:space="preserve"> </w:t>
      </w:r>
      <w:r w:rsidR="00096CA9" w:rsidRPr="00501492">
        <w:t xml:space="preserve">Section </w:t>
      </w:r>
      <w:r w:rsidR="00C948E2" w:rsidRPr="00501492">
        <w:t>3.</w:t>
      </w:r>
      <w:r w:rsidR="00B74511" w:rsidRPr="00501492">
        <w:t>3</w:t>
      </w:r>
      <w:r w:rsidR="00C948E2" w:rsidRPr="00501492">
        <w:t xml:space="preserve"> </w:t>
      </w:r>
      <w:r w:rsidR="00B74511" w:rsidRPr="00501492">
        <w:t>–</w:t>
      </w:r>
      <w:r w:rsidR="00C948E2" w:rsidRPr="00501492">
        <w:t xml:space="preserve"> </w:t>
      </w:r>
      <w:r w:rsidR="00B74511" w:rsidRPr="00501492">
        <w:t>Financial Authorisations, 3.4 – Internal Control system and 3.7 Managing Risk</w:t>
      </w:r>
      <w:r w:rsidR="00C770BC" w:rsidRPr="00501492">
        <w:t>.</w:t>
      </w:r>
    </w:p>
    <w:p w14:paraId="00DD496A" w14:textId="77777777" w:rsidR="0051778F" w:rsidRPr="0008210B" w:rsidRDefault="0051778F" w:rsidP="0008210B">
      <w:pPr>
        <w:pStyle w:val="Heading2"/>
      </w:pPr>
      <w:r w:rsidRPr="0008210B">
        <w:t xml:space="preserve">Definitions </w:t>
      </w:r>
    </w:p>
    <w:tbl>
      <w:tblPr>
        <w:tblW w:w="9015" w:type="dxa"/>
        <w:tblInd w:w="57" w:type="dxa"/>
        <w:tblLayout w:type="fixed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973"/>
        <w:gridCol w:w="7042"/>
      </w:tblGrid>
      <w:tr w:rsidR="00113F72" w:rsidRPr="00113F72" w14:paraId="0116EE00" w14:textId="77777777" w:rsidTr="00113F72">
        <w:tc>
          <w:tcPr>
            <w:tcW w:w="1973" w:type="dxa"/>
            <w:tcBorders>
              <w:bottom w:val="single" w:sz="4" w:space="0" w:color="auto"/>
            </w:tcBorders>
          </w:tcPr>
          <w:p w14:paraId="5163A35D" w14:textId="32D061D4" w:rsidR="00113F72" w:rsidRPr="00113F72" w:rsidRDefault="00113F72" w:rsidP="004568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Term</w:t>
            </w:r>
          </w:p>
        </w:tc>
        <w:tc>
          <w:tcPr>
            <w:tcW w:w="7042" w:type="dxa"/>
            <w:tcBorders>
              <w:bottom w:val="single" w:sz="4" w:space="0" w:color="auto"/>
            </w:tcBorders>
          </w:tcPr>
          <w:p w14:paraId="767EFF59" w14:textId="510B4AB9" w:rsidR="00113F72" w:rsidRPr="00113F72" w:rsidRDefault="00113F72" w:rsidP="0045682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Definition</w:t>
            </w:r>
          </w:p>
        </w:tc>
      </w:tr>
      <w:tr w:rsidR="004875DE" w:rsidRPr="00E03406" w14:paraId="2738BB89" w14:textId="77777777" w:rsidTr="00113F72">
        <w:tc>
          <w:tcPr>
            <w:tcW w:w="1973" w:type="dxa"/>
            <w:tcBorders>
              <w:top w:val="single" w:sz="4" w:space="0" w:color="auto"/>
            </w:tcBorders>
          </w:tcPr>
          <w:p w14:paraId="44561D28" w14:textId="77777777" w:rsidR="004875DE" w:rsidRDefault="004875DE" w:rsidP="00E03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Authorised Deposit-Taking Institutions</w:t>
            </w:r>
          </w:p>
        </w:tc>
        <w:tc>
          <w:tcPr>
            <w:tcW w:w="7042" w:type="dxa"/>
            <w:tcBorders>
              <w:top w:val="single" w:sz="4" w:space="0" w:color="auto"/>
            </w:tcBorders>
          </w:tcPr>
          <w:p w14:paraId="36A96378" w14:textId="77777777" w:rsidR="00A41F9D" w:rsidRDefault="004875DE" w:rsidP="00B44BC3">
            <w:pPr>
              <w:rPr>
                <w:lang w:val="en-US"/>
              </w:rPr>
            </w:pPr>
            <w:r w:rsidRPr="004875DE">
              <w:rPr>
                <w:lang w:val="en-US"/>
              </w:rPr>
              <w:t>Authorised Deposit-</w:t>
            </w:r>
            <w:r w:rsidR="00302DB7">
              <w:rPr>
                <w:lang w:val="en-US"/>
              </w:rPr>
              <w:t>T</w:t>
            </w:r>
            <w:r w:rsidRPr="004875DE">
              <w:rPr>
                <w:lang w:val="en-US"/>
              </w:rPr>
              <w:t xml:space="preserve">aking Institutions (ADIs) are corporations which are authorised under the </w:t>
            </w:r>
            <w:r w:rsidRPr="00262D75">
              <w:rPr>
                <w:i/>
                <w:lang w:val="en-US"/>
              </w:rPr>
              <w:t>Banking Act 1959</w:t>
            </w:r>
            <w:r w:rsidR="00A41F9D">
              <w:rPr>
                <w:lang w:val="en-US"/>
              </w:rPr>
              <w:t xml:space="preserve">. </w:t>
            </w:r>
          </w:p>
          <w:p w14:paraId="1B59D307" w14:textId="77777777" w:rsidR="004875DE" w:rsidRPr="004875DE" w:rsidRDefault="004875DE" w:rsidP="00B44BC3">
            <w:pPr>
              <w:rPr>
                <w:lang w:val="en-US"/>
              </w:rPr>
            </w:pPr>
            <w:r w:rsidRPr="004875DE">
              <w:rPr>
                <w:lang w:val="en-US"/>
              </w:rPr>
              <w:t>ADIs include:</w:t>
            </w:r>
          </w:p>
          <w:p w14:paraId="6001849D" w14:textId="77777777" w:rsidR="004875DE" w:rsidRPr="004875DE" w:rsidRDefault="004875DE" w:rsidP="004A066A">
            <w:pPr>
              <w:pStyle w:val="ListBullet"/>
              <w:rPr>
                <w:lang w:val="en-US"/>
              </w:rPr>
            </w:pPr>
            <w:r w:rsidRPr="004875DE">
              <w:rPr>
                <w:lang w:val="en-US"/>
              </w:rPr>
              <w:t>banks;</w:t>
            </w:r>
          </w:p>
          <w:p w14:paraId="35496968" w14:textId="77777777" w:rsidR="004875DE" w:rsidRPr="004875DE" w:rsidRDefault="004875DE">
            <w:pPr>
              <w:pStyle w:val="ListBullet"/>
              <w:rPr>
                <w:lang w:val="en-US"/>
              </w:rPr>
            </w:pPr>
            <w:r w:rsidRPr="004875DE">
              <w:rPr>
                <w:lang w:val="en-US"/>
              </w:rPr>
              <w:lastRenderedPageBreak/>
              <w:t xml:space="preserve">building societies; and </w:t>
            </w:r>
          </w:p>
          <w:p w14:paraId="5C5D839C" w14:textId="77777777" w:rsidR="004875DE" w:rsidRDefault="00BE3874">
            <w:pPr>
              <w:pStyle w:val="ListBullet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7F4EB3" w:rsidRPr="004875DE">
              <w:rPr>
                <w:lang w:val="en-US"/>
              </w:rPr>
              <w:t>redit</w:t>
            </w:r>
            <w:r w:rsidR="004875DE" w:rsidRPr="004875DE">
              <w:rPr>
                <w:lang w:val="en-US"/>
              </w:rPr>
              <w:t xml:space="preserve"> unions.</w:t>
            </w:r>
          </w:p>
          <w:p w14:paraId="0A8EE6CB" w14:textId="0EEDBC65" w:rsidR="004875DE" w:rsidRPr="004875DE" w:rsidRDefault="004B01FF" w:rsidP="00B44BC3">
            <w:pPr>
              <w:rPr>
                <w:lang w:val="en-US"/>
              </w:rPr>
            </w:pPr>
            <w:r w:rsidRPr="004B01FF">
              <w:rPr>
                <w:lang w:val="en-US"/>
              </w:rPr>
              <w:t xml:space="preserve">All ADIs are subject to the same Prudential Standards but the use of the </w:t>
            </w:r>
            <w:r w:rsidR="00DE7629" w:rsidRPr="004B01FF">
              <w:rPr>
                <w:lang w:val="en-US"/>
              </w:rPr>
              <w:t>name’s</w:t>
            </w:r>
            <w:r w:rsidRPr="004B01FF">
              <w:rPr>
                <w:lang w:val="en-US"/>
              </w:rPr>
              <w:t xml:space="preserve"> 'bank', 'building society' and 'credit union' is subject to corporations meeting certain criteria.</w:t>
            </w:r>
          </w:p>
        </w:tc>
      </w:tr>
      <w:tr w:rsidR="00E03406" w:rsidRPr="00E03406" w14:paraId="4987FC71" w14:textId="77777777" w:rsidTr="00FE7655">
        <w:tc>
          <w:tcPr>
            <w:tcW w:w="1973" w:type="dxa"/>
            <w:shd w:val="clear" w:color="auto" w:fill="F2F2F2" w:themeFill="background1" w:themeFillShade="F2"/>
          </w:tcPr>
          <w:p w14:paraId="467F3CAD" w14:textId="77777777" w:rsidR="00E03406" w:rsidRPr="00E03406" w:rsidRDefault="004875DE" w:rsidP="00E0340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Cash and deposits</w:t>
            </w:r>
          </w:p>
        </w:tc>
        <w:tc>
          <w:tcPr>
            <w:tcW w:w="7042" w:type="dxa"/>
            <w:shd w:val="clear" w:color="auto" w:fill="F2F2F2" w:themeFill="background1" w:themeFillShade="F2"/>
          </w:tcPr>
          <w:p w14:paraId="1A47A4BF" w14:textId="19AA37CB" w:rsidR="00E03406" w:rsidRPr="00E03406" w:rsidRDefault="004875DE" w:rsidP="00133691">
            <w:pPr>
              <w:rPr>
                <w:lang w:val="en-US"/>
              </w:rPr>
            </w:pPr>
            <w:r>
              <w:rPr>
                <w:lang w:val="en-US"/>
              </w:rPr>
              <w:t xml:space="preserve">Cash and deposits held by a school can </w:t>
            </w:r>
            <w:r w:rsidR="00AC6356">
              <w:rPr>
                <w:lang w:val="en-US"/>
              </w:rPr>
              <w:t xml:space="preserve">be made up </w:t>
            </w:r>
            <w:r>
              <w:rPr>
                <w:lang w:val="en-US"/>
              </w:rPr>
              <w:t>of cash on hand</w:t>
            </w:r>
            <w:r w:rsidR="00133691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 xml:space="preserve">bank accounts, </w:t>
            </w:r>
            <w:r w:rsidR="00DE7629">
              <w:rPr>
                <w:lang w:val="en-US"/>
              </w:rPr>
              <w:t>these</w:t>
            </w:r>
            <w:r>
              <w:rPr>
                <w:lang w:val="en-US"/>
              </w:rPr>
              <w:t xml:space="preserve"> types of cash and deposits </w:t>
            </w:r>
            <w:r w:rsidR="00133691">
              <w:rPr>
                <w:lang w:val="en-US"/>
              </w:rPr>
              <w:t xml:space="preserve">are </w:t>
            </w:r>
            <w:r>
              <w:rPr>
                <w:lang w:val="en-US"/>
              </w:rPr>
              <w:t xml:space="preserve">held </w:t>
            </w:r>
            <w:r w:rsidR="00AC6356">
              <w:rPr>
                <w:lang w:val="en-US"/>
              </w:rPr>
              <w:t xml:space="preserve">to </w:t>
            </w:r>
            <w:r>
              <w:rPr>
                <w:lang w:val="en-US"/>
              </w:rPr>
              <w:t>meet short term cash commitments</w:t>
            </w:r>
            <w:r w:rsidR="00133691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are readily convertible to cash with an insignificant risk of change in value.</w:t>
            </w:r>
          </w:p>
        </w:tc>
      </w:tr>
      <w:tr w:rsidR="00D54B22" w:rsidRPr="00E03406" w14:paraId="4C32A050" w14:textId="77777777" w:rsidTr="00A41F9D">
        <w:trPr>
          <w:trHeight w:val="609"/>
        </w:trPr>
        <w:tc>
          <w:tcPr>
            <w:tcW w:w="1973" w:type="dxa"/>
            <w:shd w:val="clear" w:color="auto" w:fill="FFFFFF" w:themeFill="background1"/>
          </w:tcPr>
          <w:p w14:paraId="00EC58B7" w14:textId="77777777" w:rsidR="00D54B22" w:rsidRPr="00D54B22" w:rsidRDefault="00D54B22" w:rsidP="00D54B22">
            <w:pPr>
              <w:rPr>
                <w:b/>
              </w:rPr>
            </w:pPr>
            <w:r w:rsidRPr="00D54B22">
              <w:rPr>
                <w:b/>
              </w:rPr>
              <w:t xml:space="preserve">Co-operative bank account </w:t>
            </w:r>
          </w:p>
        </w:tc>
        <w:tc>
          <w:tcPr>
            <w:tcW w:w="7042" w:type="dxa"/>
            <w:shd w:val="clear" w:color="auto" w:fill="FFFFFF" w:themeFill="background1"/>
          </w:tcPr>
          <w:p w14:paraId="061419E9" w14:textId="77777777" w:rsidR="00D54B22" w:rsidRPr="001146FE" w:rsidRDefault="00D54B22" w:rsidP="00D54B22">
            <w:r w:rsidRPr="001146FE">
              <w:t>Account used to administer loans raised through a co-operative society for a school infrastructure project. Not to be used to record loan liability.</w:t>
            </w:r>
          </w:p>
        </w:tc>
      </w:tr>
      <w:tr w:rsidR="00D54B22" w:rsidRPr="00E03406" w14:paraId="622A4DDE" w14:textId="77777777" w:rsidTr="00D54B22">
        <w:trPr>
          <w:trHeight w:val="609"/>
        </w:trPr>
        <w:tc>
          <w:tcPr>
            <w:tcW w:w="1973" w:type="dxa"/>
            <w:shd w:val="clear" w:color="auto" w:fill="F2F2F2" w:themeFill="background1" w:themeFillShade="F2"/>
          </w:tcPr>
          <w:p w14:paraId="4D3D09E4" w14:textId="7D10D69F" w:rsidR="00D54B22" w:rsidRPr="00D54B22" w:rsidRDefault="001A174F" w:rsidP="000B1362">
            <w:pPr>
              <w:rPr>
                <w:b/>
              </w:rPr>
            </w:pPr>
            <w:r>
              <w:rPr>
                <w:b/>
              </w:rPr>
              <w:t xml:space="preserve">CBS linked </w:t>
            </w:r>
            <w:r w:rsidR="00D54B22" w:rsidRPr="00D54B22">
              <w:rPr>
                <w:b/>
              </w:rPr>
              <w:t>High Yield account</w:t>
            </w:r>
          </w:p>
        </w:tc>
        <w:tc>
          <w:tcPr>
            <w:tcW w:w="7042" w:type="dxa"/>
            <w:shd w:val="clear" w:color="auto" w:fill="F2F2F2" w:themeFill="background1" w:themeFillShade="F2"/>
          </w:tcPr>
          <w:p w14:paraId="39B14ED7" w14:textId="0A0684B5" w:rsidR="00D54B22" w:rsidRPr="008D4CD0" w:rsidRDefault="00D54B22" w:rsidP="00D54B22">
            <w:r w:rsidRPr="008D4CD0">
              <w:t>All grants from the Department are deposited directly into the</w:t>
            </w:r>
            <w:r w:rsidR="001A174F">
              <w:t xml:space="preserve"> CBS </w:t>
            </w:r>
            <w:r w:rsidR="009622F1">
              <w:t xml:space="preserve">linked </w:t>
            </w:r>
            <w:r w:rsidR="009622F1" w:rsidRPr="008D4CD0">
              <w:t>HYIA</w:t>
            </w:r>
            <w:r w:rsidRPr="008D4CD0">
              <w:t>.</w:t>
            </w:r>
          </w:p>
        </w:tc>
      </w:tr>
      <w:tr w:rsidR="00E03406" w:rsidRPr="00E03406" w14:paraId="1B9CBF3C" w14:textId="77777777" w:rsidTr="004B3714">
        <w:tc>
          <w:tcPr>
            <w:tcW w:w="1973" w:type="dxa"/>
            <w:shd w:val="clear" w:color="auto" w:fill="auto"/>
          </w:tcPr>
          <w:p w14:paraId="106CF4AE" w14:textId="77777777" w:rsidR="00E03406" w:rsidRPr="00E3751F" w:rsidRDefault="00E03406" w:rsidP="00821F1E">
            <w:pPr>
              <w:rPr>
                <w:b/>
              </w:rPr>
            </w:pPr>
            <w:r w:rsidRPr="00E3751F">
              <w:rPr>
                <w:b/>
              </w:rPr>
              <w:t xml:space="preserve">Official </w:t>
            </w:r>
            <w:r w:rsidR="00821F1E" w:rsidRPr="00E3751F">
              <w:rPr>
                <w:b/>
              </w:rPr>
              <w:t>b</w:t>
            </w:r>
            <w:r w:rsidRPr="00E3751F">
              <w:rPr>
                <w:b/>
              </w:rPr>
              <w:t>ank account</w:t>
            </w:r>
          </w:p>
        </w:tc>
        <w:tc>
          <w:tcPr>
            <w:tcW w:w="7042" w:type="dxa"/>
            <w:shd w:val="clear" w:color="auto" w:fill="auto"/>
          </w:tcPr>
          <w:p w14:paraId="3EF37913" w14:textId="77777777" w:rsidR="00E03406" w:rsidRPr="00E3751F" w:rsidRDefault="00E03406" w:rsidP="00B44BC3">
            <w:pPr>
              <w:rPr>
                <w:color w:val="000000" w:themeColor="text1"/>
              </w:rPr>
            </w:pPr>
            <w:r w:rsidRPr="00E3751F">
              <w:rPr>
                <w:color w:val="000000" w:themeColor="text1"/>
              </w:rPr>
              <w:t>Known as the school</w:t>
            </w:r>
            <w:r w:rsidR="00C770BC" w:rsidRPr="00E3751F">
              <w:rPr>
                <w:color w:val="000000" w:themeColor="text1"/>
              </w:rPr>
              <w:t>’</w:t>
            </w:r>
            <w:r w:rsidRPr="00E3751F">
              <w:rPr>
                <w:color w:val="000000" w:themeColor="text1"/>
              </w:rPr>
              <w:t>s operating account.</w:t>
            </w:r>
          </w:p>
          <w:p w14:paraId="1D789AC8" w14:textId="39A8593E" w:rsidR="00E03406" w:rsidRPr="00E3751F" w:rsidRDefault="00E03406" w:rsidP="00B44BC3">
            <w:pPr>
              <w:rPr>
                <w:color w:val="000000" w:themeColor="text1"/>
              </w:rPr>
            </w:pPr>
            <w:r w:rsidRPr="00E3751F">
              <w:rPr>
                <w:color w:val="000000" w:themeColor="text1"/>
              </w:rPr>
              <w:t xml:space="preserve">The official account is used for the receipt of money provided from local and commonwealth government sources and locally raised funds such as voluntary contributions, donations and </w:t>
            </w:r>
            <w:r w:rsidR="00DE7629" w:rsidRPr="00E3751F">
              <w:rPr>
                <w:color w:val="000000" w:themeColor="text1"/>
              </w:rPr>
              <w:t>fund-raising</w:t>
            </w:r>
            <w:r w:rsidRPr="00E3751F">
              <w:rPr>
                <w:color w:val="000000" w:themeColor="text1"/>
              </w:rPr>
              <w:t xml:space="preserve"> activities.</w:t>
            </w:r>
          </w:p>
          <w:p w14:paraId="36D6AC12" w14:textId="77777777" w:rsidR="00E03406" w:rsidRPr="00E3751F" w:rsidRDefault="00E03406" w:rsidP="00B44BC3">
            <w:pPr>
              <w:rPr>
                <w:color w:val="000000" w:themeColor="text1"/>
              </w:rPr>
            </w:pPr>
            <w:r w:rsidRPr="00E3751F">
              <w:rPr>
                <w:color w:val="000000" w:themeColor="text1"/>
              </w:rPr>
              <w:t>All payments for goods and services must be made from the official account.</w:t>
            </w:r>
          </w:p>
          <w:p w14:paraId="6493F7F8" w14:textId="77777777" w:rsidR="00E03406" w:rsidRPr="00E3751F" w:rsidRDefault="00D54B22" w:rsidP="00D54B22">
            <w:pPr>
              <w:rPr>
                <w:color w:val="000000" w:themeColor="text1"/>
              </w:rPr>
            </w:pPr>
            <w:r w:rsidRPr="00E3751F">
              <w:rPr>
                <w:color w:val="000000" w:themeColor="text1"/>
              </w:rPr>
              <w:t>Chart of A</w:t>
            </w:r>
            <w:r w:rsidR="00E03406" w:rsidRPr="00E3751F">
              <w:rPr>
                <w:color w:val="000000" w:themeColor="text1"/>
              </w:rPr>
              <w:t>ccount</w:t>
            </w:r>
            <w:r w:rsidR="00F835BC" w:rsidRPr="00E3751F">
              <w:rPr>
                <w:color w:val="000000" w:themeColor="text1"/>
              </w:rPr>
              <w:t xml:space="preserve"> code</w:t>
            </w:r>
            <w:r w:rsidR="00E03406" w:rsidRPr="00E3751F">
              <w:rPr>
                <w:color w:val="000000" w:themeColor="text1"/>
              </w:rPr>
              <w:t xml:space="preserve"> (10002)</w:t>
            </w:r>
          </w:p>
        </w:tc>
      </w:tr>
      <w:tr w:rsidR="00F30C9C" w:rsidRPr="00E03406" w14:paraId="1401B64C" w14:textId="77777777" w:rsidTr="004B3714">
        <w:tc>
          <w:tcPr>
            <w:tcW w:w="1973" w:type="dxa"/>
            <w:shd w:val="clear" w:color="auto" w:fill="F2F2F2" w:themeFill="background1" w:themeFillShade="F2"/>
          </w:tcPr>
          <w:p w14:paraId="676127FA" w14:textId="38FB765B" w:rsidR="00F30C9C" w:rsidRPr="00F30C9C" w:rsidRDefault="00F30C9C" w:rsidP="00155ED5">
            <w:pPr>
              <w:rPr>
                <w:b/>
              </w:rPr>
            </w:pPr>
            <w:r w:rsidRPr="00F30C9C">
              <w:rPr>
                <w:b/>
              </w:rPr>
              <w:t xml:space="preserve">Other accounts – Building and Library </w:t>
            </w:r>
          </w:p>
        </w:tc>
        <w:tc>
          <w:tcPr>
            <w:tcW w:w="7042" w:type="dxa"/>
            <w:shd w:val="clear" w:color="auto" w:fill="F2F2F2" w:themeFill="background1" w:themeFillShade="F2"/>
          </w:tcPr>
          <w:p w14:paraId="15479117" w14:textId="5DAE239B" w:rsidR="00F30C9C" w:rsidRDefault="00F30C9C" w:rsidP="00B44BC3">
            <w:r w:rsidRPr="00A151B8">
              <w:t xml:space="preserve">Schools may operate other bank accounts such as Deductible Gift Recipient funds (DGR) approved </w:t>
            </w:r>
            <w:r>
              <w:t xml:space="preserve">by the ATO for holding </w:t>
            </w:r>
            <w:r w:rsidRPr="00A151B8">
              <w:t xml:space="preserve">tax deductible funds e.g. building and library funds. The Building and Library </w:t>
            </w:r>
            <w:r w:rsidR="00155ED5">
              <w:t>accounts</w:t>
            </w:r>
            <w:r w:rsidRPr="00A151B8">
              <w:t xml:space="preserve"> are used to hold </w:t>
            </w:r>
            <w:r w:rsidR="007F4EB3" w:rsidRPr="00A151B8">
              <w:t>tax-deductible</w:t>
            </w:r>
            <w:r w:rsidRPr="00A151B8">
              <w:t xml:space="preserve"> donations received by the school </w:t>
            </w:r>
            <w:r w:rsidR="00AC6356">
              <w:t>to</w:t>
            </w:r>
            <w:r w:rsidR="00AC6356" w:rsidRPr="00A151B8">
              <w:t xml:space="preserve"> </w:t>
            </w:r>
            <w:r w:rsidRPr="00A151B8">
              <w:t>sav</w:t>
            </w:r>
            <w:r w:rsidR="00AC6356">
              <w:t>e</w:t>
            </w:r>
            <w:r w:rsidRPr="00A151B8">
              <w:t xml:space="preserve"> </w:t>
            </w:r>
            <w:r w:rsidR="00AC6356">
              <w:t>towards</w:t>
            </w:r>
            <w:r w:rsidRPr="00A151B8">
              <w:t xml:space="preserve"> specific capital improvements. </w:t>
            </w:r>
          </w:p>
          <w:p w14:paraId="7595EF14" w14:textId="7BEAFB3C" w:rsidR="00F30C9C" w:rsidRDefault="00D54B22" w:rsidP="00D54B22">
            <w:r>
              <w:t>C</w:t>
            </w:r>
            <w:r w:rsidR="00F30C9C" w:rsidRPr="00F30C9C">
              <w:t xml:space="preserve">hart of </w:t>
            </w:r>
            <w:r>
              <w:t>A</w:t>
            </w:r>
            <w:r w:rsidR="00F30C9C" w:rsidRPr="00F30C9C">
              <w:t xml:space="preserve">ccount codes (10003 – Building Fund and 10004 </w:t>
            </w:r>
            <w:r w:rsidR="00DE7629" w:rsidRPr="00F30C9C">
              <w:t xml:space="preserve">- </w:t>
            </w:r>
            <w:r w:rsidR="00DE7629">
              <w:t>Library</w:t>
            </w:r>
            <w:r w:rsidR="00F30C9C" w:rsidRPr="00F30C9C">
              <w:t>)</w:t>
            </w:r>
          </w:p>
        </w:tc>
      </w:tr>
      <w:tr w:rsidR="00F30C9C" w:rsidRPr="00E03406" w14:paraId="55BCB598" w14:textId="77777777" w:rsidTr="004B3714">
        <w:tc>
          <w:tcPr>
            <w:tcW w:w="1973" w:type="dxa"/>
            <w:shd w:val="clear" w:color="auto" w:fill="auto"/>
          </w:tcPr>
          <w:p w14:paraId="20BB47F8" w14:textId="77777777" w:rsidR="00F30C9C" w:rsidRPr="00F30C9C" w:rsidRDefault="00F30C9C" w:rsidP="00F30C9C">
            <w:pPr>
              <w:rPr>
                <w:b/>
              </w:rPr>
            </w:pPr>
            <w:r w:rsidRPr="00F30C9C">
              <w:rPr>
                <w:b/>
              </w:rPr>
              <w:t>Unclaimed money</w:t>
            </w:r>
          </w:p>
        </w:tc>
        <w:tc>
          <w:tcPr>
            <w:tcW w:w="7042" w:type="dxa"/>
            <w:shd w:val="clear" w:color="auto" w:fill="auto"/>
          </w:tcPr>
          <w:p w14:paraId="4BC4BE13" w14:textId="77777777" w:rsidR="00F30C9C" w:rsidRDefault="00F30C9C" w:rsidP="00B44BC3">
            <w:r w:rsidRPr="00CB4103">
              <w:t xml:space="preserve">Money in a forgotten bank account belonging to </w:t>
            </w:r>
            <w:r>
              <w:t xml:space="preserve">a </w:t>
            </w:r>
            <w:r w:rsidRPr="00CB4103">
              <w:t xml:space="preserve">school or committee of </w:t>
            </w:r>
            <w:r>
              <w:t>a</w:t>
            </w:r>
            <w:r w:rsidRPr="00CB4103">
              <w:t xml:space="preserve"> school for example, Parents Association, Reunion Account and Sports Association etc.</w:t>
            </w:r>
          </w:p>
        </w:tc>
      </w:tr>
    </w:tbl>
    <w:p w14:paraId="438F6821" w14:textId="77777777" w:rsidR="00E03406" w:rsidRDefault="00E03406" w:rsidP="00E03406">
      <w:pPr>
        <w:rPr>
          <w:lang w:val="en-US"/>
        </w:rPr>
      </w:pPr>
    </w:p>
    <w:p w14:paraId="6F9A80A5" w14:textId="77777777" w:rsidR="0051778F" w:rsidRPr="00221634" w:rsidRDefault="0051778F" w:rsidP="00221634">
      <w:pPr>
        <w:pStyle w:val="Heading2"/>
      </w:pPr>
      <w:r w:rsidRPr="00221634">
        <w:t xml:space="preserve">Additional </w:t>
      </w:r>
      <w:r w:rsidR="00D54B22">
        <w:t>r</w:t>
      </w:r>
      <w:r w:rsidRPr="00221634">
        <w:t>esources</w:t>
      </w:r>
    </w:p>
    <w:p w14:paraId="3E183E78" w14:textId="753225A0" w:rsidR="00BE3874" w:rsidRPr="00DF40C5" w:rsidRDefault="00756F20" w:rsidP="00DF40C5">
      <w:pPr>
        <w:pStyle w:val="ListBullet"/>
        <w:spacing w:before="0" w:line="240" w:lineRule="auto"/>
        <w:rPr>
          <w:w w:val="110"/>
        </w:rPr>
      </w:pPr>
      <w:hyperlink r:id="rId16" w:history="1">
        <w:r w:rsidR="00BE3874" w:rsidRPr="00BA5A95">
          <w:rPr>
            <w:rStyle w:val="Hyperlink"/>
            <w:w w:val="110"/>
          </w:rPr>
          <w:t>APRA ADI list</w:t>
        </w:r>
      </w:hyperlink>
      <w:r w:rsidR="00BE3874" w:rsidRPr="007F4EB3">
        <w:br/>
      </w:r>
    </w:p>
    <w:p w14:paraId="43214A93" w14:textId="4EBF7836" w:rsidR="00A41F9D" w:rsidRDefault="00A41F9D" w:rsidP="00582512">
      <w:pPr>
        <w:pStyle w:val="ListBullet"/>
        <w:spacing w:before="0" w:line="240" w:lineRule="auto"/>
      </w:pPr>
      <w:r w:rsidRPr="00F84D7C">
        <w:t xml:space="preserve">Chart of Accounts for Victorian Government Schools available on the </w:t>
      </w:r>
      <w:hyperlink r:id="rId17" w:history="1">
        <w:r w:rsidRPr="00BA5A95">
          <w:rPr>
            <w:rStyle w:val="Hyperlink"/>
          </w:rPr>
          <w:t>Finance website</w:t>
        </w:r>
      </w:hyperlink>
      <w:r w:rsidR="00F84D7C">
        <w:br/>
      </w:r>
    </w:p>
    <w:p w14:paraId="227438A1" w14:textId="78528345" w:rsidR="00BE3874" w:rsidRPr="002F2D34" w:rsidRDefault="00756F20" w:rsidP="00A25E63">
      <w:pPr>
        <w:pStyle w:val="ListBullet"/>
        <w:spacing w:before="0" w:line="240" w:lineRule="auto"/>
        <w:rPr>
          <w:rStyle w:val="Hyperlink"/>
          <w:w w:val="110"/>
        </w:rPr>
      </w:pPr>
      <w:hyperlink r:id="rId18" w:history="1">
        <w:r w:rsidR="00BE3874" w:rsidRPr="00A25E63">
          <w:rPr>
            <w:rStyle w:val="Hyperlink"/>
            <w:w w:val="110"/>
          </w:rPr>
          <w:t>School financial guidelines</w:t>
        </w:r>
      </w:hyperlink>
      <w:r w:rsidR="00BE3874" w:rsidRPr="00A25E63">
        <w:rPr>
          <w:w w:val="110"/>
        </w:rPr>
        <w:br/>
      </w:r>
    </w:p>
    <w:p w14:paraId="5FAD3F25" w14:textId="4B7A65C7" w:rsidR="00A41F9D" w:rsidRPr="00F84D7C" w:rsidRDefault="00756F20" w:rsidP="00582512">
      <w:pPr>
        <w:pStyle w:val="ListBullet"/>
        <w:spacing w:before="0" w:line="240" w:lineRule="auto"/>
        <w:rPr>
          <w:w w:val="110"/>
        </w:rPr>
      </w:pPr>
      <w:hyperlink r:id="rId19" w:history="1">
        <w:r w:rsidR="00A41F9D" w:rsidRPr="00BA5A95">
          <w:rPr>
            <w:rStyle w:val="Hyperlink"/>
            <w:w w:val="110"/>
          </w:rPr>
          <w:t>School Policy and Advisory Guide</w:t>
        </w:r>
      </w:hyperlink>
      <w:r w:rsidR="00F84D7C">
        <w:rPr>
          <w:w w:val="110"/>
        </w:rPr>
        <w:br/>
      </w:r>
    </w:p>
    <w:p w14:paraId="34F450D1" w14:textId="52502127" w:rsidR="00E33272" w:rsidRDefault="00BA5A95" w:rsidP="00DF40C5">
      <w:pPr>
        <w:pStyle w:val="ListBullet"/>
        <w:spacing w:after="240" w:line="240" w:lineRule="auto"/>
      </w:pPr>
      <w:r>
        <w:rPr>
          <w:w w:val="110"/>
        </w:rPr>
        <w:lastRenderedPageBreak/>
        <w:t>Unclaimed money –</w:t>
      </w:r>
      <w:r w:rsidR="007F4EB3" w:rsidRPr="007F4EB3">
        <w:t xml:space="preserve"> </w:t>
      </w:r>
      <w:hyperlink r:id="rId20" w:history="1">
        <w:r w:rsidR="007F4EB3" w:rsidRPr="00BA5A95">
          <w:rPr>
            <w:rStyle w:val="Hyperlink"/>
          </w:rPr>
          <w:t>State Revenue Office (SRO)</w:t>
        </w:r>
      </w:hyperlink>
      <w:r w:rsidR="00A25E63">
        <w:rPr>
          <w:rStyle w:val="Hyperlink"/>
        </w:rPr>
        <w:t xml:space="preserve"> - </w:t>
      </w:r>
      <w:r w:rsidR="00A25E63" w:rsidRPr="007F4EB3">
        <w:t xml:space="preserve">Money Smart, administered by the </w:t>
      </w:r>
      <w:hyperlink r:id="rId21" w:anchor="pay" w:history="1">
        <w:r w:rsidR="00A25E63" w:rsidRPr="00BA5A95">
          <w:rPr>
            <w:rStyle w:val="Hyperlink"/>
          </w:rPr>
          <w:t>Australian Securities Investments Commission (ASIC)</w:t>
        </w:r>
      </w:hyperlink>
      <w:r w:rsidR="007F4EB3" w:rsidRPr="007F4EB3">
        <w:br/>
      </w:r>
    </w:p>
    <w:p w14:paraId="79FD4409" w14:textId="2BEA7941" w:rsidR="00A25E63" w:rsidRDefault="00A25E63" w:rsidP="00C770BC"/>
    <w:p w14:paraId="5D3A76DF" w14:textId="6D78B4CE" w:rsidR="00A25E63" w:rsidRDefault="00A25E63" w:rsidP="00C770BC"/>
    <w:p w14:paraId="4ABD4762" w14:textId="7F01E67F" w:rsidR="00A25E63" w:rsidRDefault="00A25E63" w:rsidP="00C770BC"/>
    <w:p w14:paraId="06F49153" w14:textId="690CC86E" w:rsidR="00A25E63" w:rsidRDefault="00A25E63" w:rsidP="00C770BC"/>
    <w:p w14:paraId="2A721A80" w14:textId="671CCB8D" w:rsidR="00A25E63" w:rsidRDefault="00A25E63" w:rsidP="00C770BC"/>
    <w:p w14:paraId="2C9CF2D1" w14:textId="205DFC5F" w:rsidR="00D54B22" w:rsidRDefault="00D54B22" w:rsidP="00C770BC"/>
    <w:p w14:paraId="5DEBF504" w14:textId="45B99A44" w:rsidR="00A25E63" w:rsidRDefault="00A25E63" w:rsidP="00C770BC"/>
    <w:p w14:paraId="7C5FFCD7" w14:textId="0973B1A8" w:rsidR="0066007F" w:rsidRDefault="0066007F" w:rsidP="00C770BC"/>
    <w:p w14:paraId="36731CB9" w14:textId="7921C2DD" w:rsidR="0066007F" w:rsidRDefault="0066007F" w:rsidP="00C770BC"/>
    <w:p w14:paraId="1F3D9A70" w14:textId="195A81CC" w:rsidR="0066007F" w:rsidRDefault="0066007F" w:rsidP="00C770BC"/>
    <w:p w14:paraId="4032310C" w14:textId="60906D34" w:rsidR="0066007F" w:rsidRDefault="0066007F" w:rsidP="00C770BC"/>
    <w:p w14:paraId="1FBA478C" w14:textId="48578FAA" w:rsidR="0066007F" w:rsidRDefault="0066007F" w:rsidP="00C770BC"/>
    <w:p w14:paraId="622F4360" w14:textId="4A3892D1" w:rsidR="0066007F" w:rsidRDefault="0066007F" w:rsidP="00C770BC"/>
    <w:p w14:paraId="776526B3" w14:textId="7E8AABDE" w:rsidR="0066007F" w:rsidRDefault="0066007F" w:rsidP="00C770BC"/>
    <w:p w14:paraId="28F053D1" w14:textId="26CC4F9F" w:rsidR="0066007F" w:rsidRDefault="0066007F" w:rsidP="00C770BC"/>
    <w:p w14:paraId="0717404F" w14:textId="220ADD5C" w:rsidR="0066007F" w:rsidRDefault="0066007F" w:rsidP="00C770BC"/>
    <w:p w14:paraId="15DAD0EA" w14:textId="068D6738" w:rsidR="0066007F" w:rsidRDefault="0066007F" w:rsidP="00C770BC"/>
    <w:p w14:paraId="79BD8A62" w14:textId="7772D6E5" w:rsidR="0066007F" w:rsidRDefault="0066007F" w:rsidP="00C770BC"/>
    <w:p w14:paraId="0BAB14CB" w14:textId="3D495E21" w:rsidR="0066007F" w:rsidRDefault="0066007F" w:rsidP="00C770BC"/>
    <w:p w14:paraId="42ACDC2C" w14:textId="7C87690F" w:rsidR="0066007F" w:rsidRDefault="0066007F" w:rsidP="00C770BC"/>
    <w:p w14:paraId="71D665EC" w14:textId="49110A24" w:rsidR="0066007F" w:rsidRDefault="0066007F" w:rsidP="00C770BC"/>
    <w:p w14:paraId="2DBEE736" w14:textId="0FB8DE2F" w:rsidR="0066007F" w:rsidRDefault="0066007F" w:rsidP="00C770BC"/>
    <w:p w14:paraId="42306334" w14:textId="555A8939" w:rsidR="0066007F" w:rsidRDefault="0066007F" w:rsidP="00C770BC"/>
    <w:p w14:paraId="0D4F268D" w14:textId="3086B6B5" w:rsidR="0066007F" w:rsidRDefault="0066007F" w:rsidP="00C770BC"/>
    <w:p w14:paraId="3B1BFC2B" w14:textId="77777777" w:rsidR="0066007F" w:rsidRDefault="0066007F" w:rsidP="00C770BC"/>
    <w:p w14:paraId="1C4B6BF2" w14:textId="6164D95B" w:rsidR="00E67789" w:rsidRDefault="00E67789" w:rsidP="00C770BC"/>
    <w:p w14:paraId="45D09F02" w14:textId="77777777" w:rsidR="00E33272" w:rsidRPr="00103913" w:rsidRDefault="00BE3874" w:rsidP="00E33272">
      <w:pPr>
        <w:pStyle w:val="Heading2"/>
      </w:pPr>
      <w:r>
        <w:t xml:space="preserve">Version and </w:t>
      </w:r>
      <w:r w:rsidR="00D54B22">
        <w:t>r</w:t>
      </w:r>
      <w:r w:rsidR="00E33272" w:rsidRPr="00103913">
        <w:t xml:space="preserve">evision </w:t>
      </w:r>
      <w:r>
        <w:t xml:space="preserve">control </w:t>
      </w:r>
      <w:r w:rsidR="00E33272" w:rsidRPr="00103913">
        <w:t>record</w:t>
      </w:r>
    </w:p>
    <w:tbl>
      <w:tblPr>
        <w:tblStyle w:val="GridTable6Colorful2"/>
        <w:tblW w:w="0" w:type="auto"/>
        <w:tblLook w:val="04A0" w:firstRow="1" w:lastRow="0" w:firstColumn="1" w:lastColumn="0" w:noHBand="0" w:noVBand="1"/>
        <w:tblDescription w:val="table containing version and revision control records"/>
      </w:tblPr>
      <w:tblGrid>
        <w:gridCol w:w="1318"/>
        <w:gridCol w:w="1133"/>
        <w:gridCol w:w="4914"/>
        <w:gridCol w:w="1689"/>
      </w:tblGrid>
      <w:tr w:rsidR="007A2E4D" w:rsidRPr="00E378B3" w14:paraId="117461BE" w14:textId="77777777" w:rsidTr="00BA5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70EDFC" w14:textId="77777777" w:rsidR="00E33272" w:rsidRPr="00E378B3" w:rsidRDefault="00E33272" w:rsidP="004A066A">
            <w:r w:rsidRPr="00E378B3">
              <w:t>Date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66C9B7" w14:textId="77777777" w:rsidR="00E33272" w:rsidRPr="00E378B3" w:rsidRDefault="00E33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Version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4556459" w14:textId="77777777" w:rsidR="00E33272" w:rsidRPr="00E378B3" w:rsidRDefault="00E33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Approver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76F44" w14:textId="77777777" w:rsidR="00E33272" w:rsidRPr="00E378B3" w:rsidRDefault="00E332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378B3">
              <w:t>Next Review</w:t>
            </w:r>
          </w:p>
        </w:tc>
      </w:tr>
      <w:tr w:rsidR="00E33272" w:rsidRPr="00E378B3" w14:paraId="30A14586" w14:textId="77777777" w:rsidTr="004568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38D667ED" w14:textId="34CDD0BD" w:rsidR="00E33272" w:rsidRPr="00E378B3" w:rsidRDefault="00155ED5" w:rsidP="00155ED5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E24BEC">
              <w:rPr>
                <w:b w:val="0"/>
              </w:rPr>
              <w:t>1</w:t>
            </w:r>
            <w:r w:rsidR="003B55C3">
              <w:rPr>
                <w:b w:val="0"/>
              </w:rPr>
              <w:t>/20</w:t>
            </w:r>
            <w:r w:rsidR="0066007F">
              <w:rPr>
                <w:b w:val="0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45DC7E4" w14:textId="2F0A1D8F" w:rsidR="00E33272" w:rsidRPr="00E378B3" w:rsidRDefault="003B55C3" w:rsidP="0045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66007F">
              <w:t>3</w:t>
            </w:r>
          </w:p>
        </w:tc>
        <w:tc>
          <w:tcPr>
            <w:tcW w:w="4914" w:type="dxa"/>
            <w:tcBorders>
              <w:top w:val="single" w:sz="4" w:space="0" w:color="auto"/>
            </w:tcBorders>
            <w:shd w:val="clear" w:color="auto" w:fill="auto"/>
          </w:tcPr>
          <w:p w14:paraId="6CCA32AB" w14:textId="321CCB05" w:rsidR="00E33272" w:rsidRPr="00E378B3" w:rsidRDefault="00E33272" w:rsidP="00456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378B3">
              <w:t>Chief Finance Officer - Financial Services Division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14:paraId="2406B6D8" w14:textId="0221C3E6" w:rsidR="00E33272" w:rsidRPr="00E378B3" w:rsidRDefault="00155ED5" w:rsidP="00155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  <w:r w:rsidR="00780700">
              <w:t>/</w:t>
            </w:r>
            <w:r>
              <w:t>202</w:t>
            </w:r>
            <w:r w:rsidR="0066007F">
              <w:t>1</w:t>
            </w:r>
            <w:bookmarkStart w:id="3" w:name="_GoBack"/>
            <w:bookmarkEnd w:id="3"/>
          </w:p>
        </w:tc>
      </w:tr>
    </w:tbl>
    <w:p w14:paraId="35F50357" w14:textId="77777777" w:rsidR="0051778F" w:rsidRDefault="0051778F" w:rsidP="00E33272"/>
    <w:sectPr w:rsidR="0051778F" w:rsidSect="004B3714">
      <w:footerReference w:type="default" r:id="rId22"/>
      <w:pgSz w:w="11900" w:h="16840" w:code="9"/>
      <w:pgMar w:top="993" w:right="1418" w:bottom="1701" w:left="1418" w:header="567" w:footer="851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F9C5" w14:textId="77777777" w:rsidR="00756F20" w:rsidRDefault="00756F20" w:rsidP="008766A4">
      <w:r>
        <w:separator/>
      </w:r>
    </w:p>
  </w:endnote>
  <w:endnote w:type="continuationSeparator" w:id="0">
    <w:p w14:paraId="0672C5A3" w14:textId="77777777" w:rsidR="00756F20" w:rsidRDefault="00756F20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C0647" w14:textId="24CC1EB9" w:rsidR="00B43BCA" w:rsidRPr="00997EAC" w:rsidRDefault="00B43BCA" w:rsidP="00B04FF0">
    <w:pPr>
      <w:pStyle w:val="Footer"/>
      <w:tabs>
        <w:tab w:val="left" w:pos="7635"/>
      </w:tabs>
    </w:pPr>
    <w:r w:rsidRPr="00997EAC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42ACFA3" wp14:editId="5968FC91">
          <wp:simplePos x="0" y="0"/>
          <wp:positionH relativeFrom="margin">
            <wp:posOffset>-6350</wp:posOffset>
          </wp:positionH>
          <wp:positionV relativeFrom="bottomMargin">
            <wp:posOffset>88900</wp:posOffset>
          </wp:positionV>
          <wp:extent cx="6184900" cy="721995"/>
          <wp:effectExtent l="0" t="0" r="6350" b="1905"/>
          <wp:wrapNone/>
          <wp:docPr id="6" name="Picture 6" descr="footer containing name of document, page numbers and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0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3874">
      <w:t xml:space="preserve"> </w:t>
    </w:r>
    <w:r w:rsidRPr="008A1405">
      <w:t xml:space="preserve">Section </w:t>
    </w:r>
    <w:r>
      <w:t xml:space="preserve">8: Bank accounts </w:t>
    </w:r>
    <w:r w:rsidRPr="008A1405">
      <w:t xml:space="preserve">| </w:t>
    </w:r>
    <w:r>
      <w:t>January 20</w:t>
    </w:r>
    <w:r w:rsidR="004C5F12">
      <w:t>20</w:t>
    </w:r>
    <w:r w:rsidRPr="008A1405">
      <w:t xml:space="preserve"> </w:t>
    </w:r>
    <w:sdt>
      <w:sdtPr>
        <w:id w:val="1822625101"/>
        <w:docPartObj>
          <w:docPartGallery w:val="Page Numbers (Bottom of Page)"/>
          <w:docPartUnique/>
        </w:docPartObj>
      </w:sdtPr>
      <w:sdtEndPr/>
      <w:sdtContent>
        <w:r w:rsidRPr="008A1405">
          <w:tab/>
        </w:r>
        <w:r>
          <w:t>P</w:t>
        </w:r>
        <w:r w:rsidRPr="008A1405">
          <w:t xml:space="preserve">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63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rFonts w:eastAsia="Arial" w:cs="Times New Roman"/>
        <w:noProof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FCFB" w14:textId="77777777" w:rsidR="00756F20" w:rsidRDefault="00756F20" w:rsidP="008766A4">
      <w:r>
        <w:separator/>
      </w:r>
    </w:p>
  </w:footnote>
  <w:footnote w:type="continuationSeparator" w:id="0">
    <w:p w14:paraId="67C9189C" w14:textId="77777777" w:rsidR="00756F20" w:rsidRDefault="00756F20" w:rsidP="008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3DC"/>
    <w:multiLevelType w:val="hybridMultilevel"/>
    <w:tmpl w:val="8840A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5677"/>
    <w:multiLevelType w:val="hybridMultilevel"/>
    <w:tmpl w:val="D4741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B5815"/>
    <w:multiLevelType w:val="hybridMultilevel"/>
    <w:tmpl w:val="E5B27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16521"/>
    <w:multiLevelType w:val="hybridMultilevel"/>
    <w:tmpl w:val="C212D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3287F"/>
    <w:multiLevelType w:val="hybridMultilevel"/>
    <w:tmpl w:val="9506B6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251D8"/>
    <w:multiLevelType w:val="hybridMultilevel"/>
    <w:tmpl w:val="84ECF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5139"/>
    <w:multiLevelType w:val="hybridMultilevel"/>
    <w:tmpl w:val="3A16A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41F7E">
      <w:numFmt w:val="bullet"/>
      <w:lvlText w:val="-"/>
      <w:lvlJc w:val="left"/>
      <w:pPr>
        <w:ind w:left="1650" w:hanging="57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94F"/>
    <w:multiLevelType w:val="hybridMultilevel"/>
    <w:tmpl w:val="6F326DC8"/>
    <w:lvl w:ilvl="0" w:tplc="BC32837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2402C"/>
    <w:multiLevelType w:val="hybridMultilevel"/>
    <w:tmpl w:val="14E2887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0969FA"/>
    <w:multiLevelType w:val="hybridMultilevel"/>
    <w:tmpl w:val="D0689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46CF"/>
    <w:multiLevelType w:val="hybridMultilevel"/>
    <w:tmpl w:val="6DE67526"/>
    <w:lvl w:ilvl="0" w:tplc="8D9AF0A6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054422C"/>
    <w:multiLevelType w:val="hybridMultilevel"/>
    <w:tmpl w:val="9C5E4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36D5C"/>
    <w:multiLevelType w:val="hybridMultilevel"/>
    <w:tmpl w:val="4F94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E1B9E"/>
    <w:multiLevelType w:val="hybridMultilevel"/>
    <w:tmpl w:val="E9A4B860"/>
    <w:lvl w:ilvl="0" w:tplc="E09C7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3693F"/>
    <w:multiLevelType w:val="hybridMultilevel"/>
    <w:tmpl w:val="CDFCE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587F"/>
    <w:multiLevelType w:val="hybridMultilevel"/>
    <w:tmpl w:val="8B9EAB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1267F"/>
    <w:multiLevelType w:val="hybridMultilevel"/>
    <w:tmpl w:val="5E48895C"/>
    <w:lvl w:ilvl="0" w:tplc="11B6C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206D6"/>
    <w:multiLevelType w:val="hybridMultilevel"/>
    <w:tmpl w:val="F820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7"/>
  </w:num>
  <w:num w:numId="12">
    <w:abstractNumId w:val="0"/>
  </w:num>
  <w:num w:numId="13">
    <w:abstractNumId w:val="13"/>
  </w:num>
  <w:num w:numId="14">
    <w:abstractNumId w:val="12"/>
  </w:num>
  <w:num w:numId="15">
    <w:abstractNumId w:val="7"/>
  </w:num>
  <w:num w:numId="16">
    <w:abstractNumId w:val="7"/>
  </w:num>
  <w:num w:numId="17">
    <w:abstractNumId w:val="7"/>
  </w:num>
  <w:num w:numId="18">
    <w:abstractNumId w:val="10"/>
  </w:num>
  <w:num w:numId="19">
    <w:abstractNumId w:val="8"/>
  </w:num>
  <w:num w:numId="20">
    <w:abstractNumId w:val="7"/>
  </w:num>
  <w:num w:numId="21">
    <w:abstractNumId w:val="15"/>
  </w:num>
  <w:num w:numId="22">
    <w:abstractNumId w:val="7"/>
  </w:num>
  <w:num w:numId="23">
    <w:abstractNumId w:val="7"/>
  </w:num>
  <w:num w:numId="2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48"/>
    <w:rsid w:val="000038D4"/>
    <w:rsid w:val="00003A03"/>
    <w:rsid w:val="000114A4"/>
    <w:rsid w:val="00015ADE"/>
    <w:rsid w:val="00016ECB"/>
    <w:rsid w:val="00021CD6"/>
    <w:rsid w:val="00025E23"/>
    <w:rsid w:val="0003247C"/>
    <w:rsid w:val="00035071"/>
    <w:rsid w:val="00042810"/>
    <w:rsid w:val="000721F8"/>
    <w:rsid w:val="000747DE"/>
    <w:rsid w:val="0008195D"/>
    <w:rsid w:val="0008210B"/>
    <w:rsid w:val="000852D5"/>
    <w:rsid w:val="00086451"/>
    <w:rsid w:val="000951A1"/>
    <w:rsid w:val="00096CA9"/>
    <w:rsid w:val="000A1C9A"/>
    <w:rsid w:val="000B0506"/>
    <w:rsid w:val="000B1362"/>
    <w:rsid w:val="000B6F69"/>
    <w:rsid w:val="000B7463"/>
    <w:rsid w:val="000C01B4"/>
    <w:rsid w:val="000C499D"/>
    <w:rsid w:val="000C5885"/>
    <w:rsid w:val="000E408F"/>
    <w:rsid w:val="000E4ACB"/>
    <w:rsid w:val="000F0644"/>
    <w:rsid w:val="000F155E"/>
    <w:rsid w:val="000F4C22"/>
    <w:rsid w:val="0010213B"/>
    <w:rsid w:val="00104432"/>
    <w:rsid w:val="001057FC"/>
    <w:rsid w:val="00112C8C"/>
    <w:rsid w:val="001135FA"/>
    <w:rsid w:val="00113F72"/>
    <w:rsid w:val="00114F00"/>
    <w:rsid w:val="00124DC1"/>
    <w:rsid w:val="00127682"/>
    <w:rsid w:val="0013357D"/>
    <w:rsid w:val="00133691"/>
    <w:rsid w:val="0013716D"/>
    <w:rsid w:val="0014310A"/>
    <w:rsid w:val="001453C7"/>
    <w:rsid w:val="0014584A"/>
    <w:rsid w:val="001549E2"/>
    <w:rsid w:val="00155ED5"/>
    <w:rsid w:val="001574A3"/>
    <w:rsid w:val="00157A38"/>
    <w:rsid w:val="00164232"/>
    <w:rsid w:val="00167D01"/>
    <w:rsid w:val="00170377"/>
    <w:rsid w:val="001840F2"/>
    <w:rsid w:val="00187894"/>
    <w:rsid w:val="00190DEA"/>
    <w:rsid w:val="00193A4B"/>
    <w:rsid w:val="0019549D"/>
    <w:rsid w:val="001A174F"/>
    <w:rsid w:val="001A1A21"/>
    <w:rsid w:val="001A5057"/>
    <w:rsid w:val="001A54A2"/>
    <w:rsid w:val="001A6947"/>
    <w:rsid w:val="001C2FA7"/>
    <w:rsid w:val="001C4026"/>
    <w:rsid w:val="001C5C38"/>
    <w:rsid w:val="001C6C76"/>
    <w:rsid w:val="001D6A7C"/>
    <w:rsid w:val="001E19E1"/>
    <w:rsid w:val="001E7728"/>
    <w:rsid w:val="001F639F"/>
    <w:rsid w:val="00205D38"/>
    <w:rsid w:val="0020655B"/>
    <w:rsid w:val="002138C3"/>
    <w:rsid w:val="00221634"/>
    <w:rsid w:val="0022212D"/>
    <w:rsid w:val="00223DAA"/>
    <w:rsid w:val="00226B71"/>
    <w:rsid w:val="0022755B"/>
    <w:rsid w:val="00227959"/>
    <w:rsid w:val="00231D0D"/>
    <w:rsid w:val="00232805"/>
    <w:rsid w:val="002335BD"/>
    <w:rsid w:val="002412B5"/>
    <w:rsid w:val="00245EA3"/>
    <w:rsid w:val="00247944"/>
    <w:rsid w:val="002525C5"/>
    <w:rsid w:val="00254109"/>
    <w:rsid w:val="002552A6"/>
    <w:rsid w:val="00255E0C"/>
    <w:rsid w:val="00261D90"/>
    <w:rsid w:val="00262D75"/>
    <w:rsid w:val="00271AB6"/>
    <w:rsid w:val="00271F77"/>
    <w:rsid w:val="00273CAE"/>
    <w:rsid w:val="00285B65"/>
    <w:rsid w:val="00286031"/>
    <w:rsid w:val="00296E6A"/>
    <w:rsid w:val="00297D06"/>
    <w:rsid w:val="002A494D"/>
    <w:rsid w:val="002A4F6B"/>
    <w:rsid w:val="002B1992"/>
    <w:rsid w:val="002B2D6F"/>
    <w:rsid w:val="002B37D8"/>
    <w:rsid w:val="002B6543"/>
    <w:rsid w:val="002C1602"/>
    <w:rsid w:val="002C7B9B"/>
    <w:rsid w:val="002D024E"/>
    <w:rsid w:val="002E5495"/>
    <w:rsid w:val="002F1526"/>
    <w:rsid w:val="002F2D34"/>
    <w:rsid w:val="002F304C"/>
    <w:rsid w:val="002F4E54"/>
    <w:rsid w:val="002F7740"/>
    <w:rsid w:val="00302DB7"/>
    <w:rsid w:val="00313358"/>
    <w:rsid w:val="00314FF2"/>
    <w:rsid w:val="00320E5E"/>
    <w:rsid w:val="00321905"/>
    <w:rsid w:val="00326F48"/>
    <w:rsid w:val="003361D4"/>
    <w:rsid w:val="00337599"/>
    <w:rsid w:val="0033762E"/>
    <w:rsid w:val="0034486F"/>
    <w:rsid w:val="00346B67"/>
    <w:rsid w:val="00347714"/>
    <w:rsid w:val="003514AD"/>
    <w:rsid w:val="00351ABB"/>
    <w:rsid w:val="00366BF2"/>
    <w:rsid w:val="00371913"/>
    <w:rsid w:val="003748CD"/>
    <w:rsid w:val="00381616"/>
    <w:rsid w:val="0038557A"/>
    <w:rsid w:val="003865A5"/>
    <w:rsid w:val="00387144"/>
    <w:rsid w:val="0039696A"/>
    <w:rsid w:val="003A4545"/>
    <w:rsid w:val="003A7381"/>
    <w:rsid w:val="003B01B0"/>
    <w:rsid w:val="003B3BB1"/>
    <w:rsid w:val="003B43EC"/>
    <w:rsid w:val="003B55C3"/>
    <w:rsid w:val="003B67FF"/>
    <w:rsid w:val="003C048F"/>
    <w:rsid w:val="003C2FB5"/>
    <w:rsid w:val="003C31C5"/>
    <w:rsid w:val="003C3DA1"/>
    <w:rsid w:val="003C5681"/>
    <w:rsid w:val="003C785D"/>
    <w:rsid w:val="003D4392"/>
    <w:rsid w:val="003D6226"/>
    <w:rsid w:val="003E14E0"/>
    <w:rsid w:val="003E29B5"/>
    <w:rsid w:val="003E51EB"/>
    <w:rsid w:val="003E7FAC"/>
    <w:rsid w:val="003F0D33"/>
    <w:rsid w:val="003F3C92"/>
    <w:rsid w:val="003F5E75"/>
    <w:rsid w:val="004059B5"/>
    <w:rsid w:val="004151C2"/>
    <w:rsid w:val="004177BE"/>
    <w:rsid w:val="0042385D"/>
    <w:rsid w:val="004249C6"/>
    <w:rsid w:val="00424FBE"/>
    <w:rsid w:val="0043554C"/>
    <w:rsid w:val="004404B2"/>
    <w:rsid w:val="00443FF4"/>
    <w:rsid w:val="004451A8"/>
    <w:rsid w:val="00456820"/>
    <w:rsid w:val="004615C4"/>
    <w:rsid w:val="00461C4B"/>
    <w:rsid w:val="00466CE5"/>
    <w:rsid w:val="00476769"/>
    <w:rsid w:val="00477DC0"/>
    <w:rsid w:val="004801D1"/>
    <w:rsid w:val="0048402B"/>
    <w:rsid w:val="0048458D"/>
    <w:rsid w:val="004875DE"/>
    <w:rsid w:val="00494BC1"/>
    <w:rsid w:val="00494EB8"/>
    <w:rsid w:val="004A066A"/>
    <w:rsid w:val="004A70B0"/>
    <w:rsid w:val="004B01FF"/>
    <w:rsid w:val="004B24FF"/>
    <w:rsid w:val="004B3714"/>
    <w:rsid w:val="004C5F12"/>
    <w:rsid w:val="004D1783"/>
    <w:rsid w:val="004D6461"/>
    <w:rsid w:val="004E148A"/>
    <w:rsid w:val="004E5056"/>
    <w:rsid w:val="004F1A83"/>
    <w:rsid w:val="00501492"/>
    <w:rsid w:val="005032E6"/>
    <w:rsid w:val="00506381"/>
    <w:rsid w:val="00514FB7"/>
    <w:rsid w:val="0051778F"/>
    <w:rsid w:val="00520DBB"/>
    <w:rsid w:val="005234CC"/>
    <w:rsid w:val="005254BF"/>
    <w:rsid w:val="00535226"/>
    <w:rsid w:val="00544B4A"/>
    <w:rsid w:val="00544F79"/>
    <w:rsid w:val="00545330"/>
    <w:rsid w:val="00545A94"/>
    <w:rsid w:val="00555FD3"/>
    <w:rsid w:val="00560B43"/>
    <w:rsid w:val="00566D78"/>
    <w:rsid w:val="005711D2"/>
    <w:rsid w:val="0057654B"/>
    <w:rsid w:val="00576A6E"/>
    <w:rsid w:val="00582512"/>
    <w:rsid w:val="00582F6E"/>
    <w:rsid w:val="005832B7"/>
    <w:rsid w:val="00583633"/>
    <w:rsid w:val="0058443C"/>
    <w:rsid w:val="00591CE5"/>
    <w:rsid w:val="005944C0"/>
    <w:rsid w:val="00596923"/>
    <w:rsid w:val="005A0C09"/>
    <w:rsid w:val="005A1BE0"/>
    <w:rsid w:val="005A23F9"/>
    <w:rsid w:val="005A3E35"/>
    <w:rsid w:val="005B316E"/>
    <w:rsid w:val="005B3B56"/>
    <w:rsid w:val="005D1E06"/>
    <w:rsid w:val="005D24BA"/>
    <w:rsid w:val="005D51D3"/>
    <w:rsid w:val="005E763A"/>
    <w:rsid w:val="00600EB1"/>
    <w:rsid w:val="00602473"/>
    <w:rsid w:val="006069E1"/>
    <w:rsid w:val="006143AF"/>
    <w:rsid w:val="00621973"/>
    <w:rsid w:val="00625FD7"/>
    <w:rsid w:val="0063178F"/>
    <w:rsid w:val="00631C4E"/>
    <w:rsid w:val="00634106"/>
    <w:rsid w:val="00641A89"/>
    <w:rsid w:val="0064749E"/>
    <w:rsid w:val="0065186D"/>
    <w:rsid w:val="00651C93"/>
    <w:rsid w:val="0066007F"/>
    <w:rsid w:val="00660E9E"/>
    <w:rsid w:val="0066505C"/>
    <w:rsid w:val="006724C4"/>
    <w:rsid w:val="00674DF8"/>
    <w:rsid w:val="00675AB7"/>
    <w:rsid w:val="00675B85"/>
    <w:rsid w:val="00687C7F"/>
    <w:rsid w:val="0069084C"/>
    <w:rsid w:val="00690B37"/>
    <w:rsid w:val="006935C9"/>
    <w:rsid w:val="00694524"/>
    <w:rsid w:val="00694796"/>
    <w:rsid w:val="006979C1"/>
    <w:rsid w:val="006A4F51"/>
    <w:rsid w:val="006A5F77"/>
    <w:rsid w:val="006B0676"/>
    <w:rsid w:val="006B7939"/>
    <w:rsid w:val="006C0E4C"/>
    <w:rsid w:val="006C30F2"/>
    <w:rsid w:val="006C43C2"/>
    <w:rsid w:val="006E2451"/>
    <w:rsid w:val="006E4AAB"/>
    <w:rsid w:val="006F30FE"/>
    <w:rsid w:val="006F5FAC"/>
    <w:rsid w:val="00702E08"/>
    <w:rsid w:val="00706393"/>
    <w:rsid w:val="0071225A"/>
    <w:rsid w:val="0071396B"/>
    <w:rsid w:val="007178F0"/>
    <w:rsid w:val="00725687"/>
    <w:rsid w:val="0073072D"/>
    <w:rsid w:val="0073408B"/>
    <w:rsid w:val="00735E82"/>
    <w:rsid w:val="007401C9"/>
    <w:rsid w:val="007401EE"/>
    <w:rsid w:val="007443DD"/>
    <w:rsid w:val="007505CA"/>
    <w:rsid w:val="00751081"/>
    <w:rsid w:val="00756F20"/>
    <w:rsid w:val="007614DC"/>
    <w:rsid w:val="007705E8"/>
    <w:rsid w:val="00777719"/>
    <w:rsid w:val="00777A70"/>
    <w:rsid w:val="00780700"/>
    <w:rsid w:val="007831FD"/>
    <w:rsid w:val="00784798"/>
    <w:rsid w:val="0078496B"/>
    <w:rsid w:val="00785F17"/>
    <w:rsid w:val="00792E60"/>
    <w:rsid w:val="007956ED"/>
    <w:rsid w:val="00797522"/>
    <w:rsid w:val="007A1556"/>
    <w:rsid w:val="007A2E4D"/>
    <w:rsid w:val="007B06CB"/>
    <w:rsid w:val="007B50C2"/>
    <w:rsid w:val="007E2162"/>
    <w:rsid w:val="007F4A35"/>
    <w:rsid w:val="007F4EB3"/>
    <w:rsid w:val="00801DC1"/>
    <w:rsid w:val="00803F0F"/>
    <w:rsid w:val="00804763"/>
    <w:rsid w:val="00816ED5"/>
    <w:rsid w:val="008219D6"/>
    <w:rsid w:val="00821F1E"/>
    <w:rsid w:val="00831BB4"/>
    <w:rsid w:val="00841F2A"/>
    <w:rsid w:val="00842DF4"/>
    <w:rsid w:val="008450C6"/>
    <w:rsid w:val="00850C5F"/>
    <w:rsid w:val="00861AAB"/>
    <w:rsid w:val="00865E34"/>
    <w:rsid w:val="00871EC0"/>
    <w:rsid w:val="008766A4"/>
    <w:rsid w:val="00877262"/>
    <w:rsid w:val="00881AC9"/>
    <w:rsid w:val="00887AD7"/>
    <w:rsid w:val="00887E2D"/>
    <w:rsid w:val="008919D9"/>
    <w:rsid w:val="00895870"/>
    <w:rsid w:val="008968F2"/>
    <w:rsid w:val="00896FF2"/>
    <w:rsid w:val="008A1AF3"/>
    <w:rsid w:val="008A5234"/>
    <w:rsid w:val="008B0439"/>
    <w:rsid w:val="008B6529"/>
    <w:rsid w:val="008B732E"/>
    <w:rsid w:val="008C0B02"/>
    <w:rsid w:val="008C326E"/>
    <w:rsid w:val="008C6FA8"/>
    <w:rsid w:val="008C7DE5"/>
    <w:rsid w:val="008D2D16"/>
    <w:rsid w:val="008D3BDE"/>
    <w:rsid w:val="008E4738"/>
    <w:rsid w:val="008E68E4"/>
    <w:rsid w:val="008E6DCC"/>
    <w:rsid w:val="008E75E5"/>
    <w:rsid w:val="008F185F"/>
    <w:rsid w:val="008F25C1"/>
    <w:rsid w:val="008F3046"/>
    <w:rsid w:val="008F5B74"/>
    <w:rsid w:val="009030AA"/>
    <w:rsid w:val="009106F7"/>
    <w:rsid w:val="00916608"/>
    <w:rsid w:val="00917F2A"/>
    <w:rsid w:val="009269FD"/>
    <w:rsid w:val="00927DEE"/>
    <w:rsid w:val="00933910"/>
    <w:rsid w:val="00934EB9"/>
    <w:rsid w:val="009418A7"/>
    <w:rsid w:val="009478ED"/>
    <w:rsid w:val="00951C8B"/>
    <w:rsid w:val="00953F4E"/>
    <w:rsid w:val="00954ACE"/>
    <w:rsid w:val="009622F1"/>
    <w:rsid w:val="009652F7"/>
    <w:rsid w:val="00967755"/>
    <w:rsid w:val="009731D8"/>
    <w:rsid w:val="0097421F"/>
    <w:rsid w:val="00980015"/>
    <w:rsid w:val="0098737F"/>
    <w:rsid w:val="00997EAC"/>
    <w:rsid w:val="009A25B7"/>
    <w:rsid w:val="009A58A8"/>
    <w:rsid w:val="009D66C9"/>
    <w:rsid w:val="009E4078"/>
    <w:rsid w:val="009F2302"/>
    <w:rsid w:val="00A011DA"/>
    <w:rsid w:val="00A0570E"/>
    <w:rsid w:val="00A140E9"/>
    <w:rsid w:val="00A24325"/>
    <w:rsid w:val="00A25E63"/>
    <w:rsid w:val="00A32152"/>
    <w:rsid w:val="00A33463"/>
    <w:rsid w:val="00A33C93"/>
    <w:rsid w:val="00A41F9D"/>
    <w:rsid w:val="00A45F88"/>
    <w:rsid w:val="00A503CD"/>
    <w:rsid w:val="00A50C65"/>
    <w:rsid w:val="00A62D1A"/>
    <w:rsid w:val="00A74400"/>
    <w:rsid w:val="00A8302C"/>
    <w:rsid w:val="00A94137"/>
    <w:rsid w:val="00AC184B"/>
    <w:rsid w:val="00AC2680"/>
    <w:rsid w:val="00AC57C5"/>
    <w:rsid w:val="00AC6356"/>
    <w:rsid w:val="00AD0FF0"/>
    <w:rsid w:val="00AD1747"/>
    <w:rsid w:val="00AD4561"/>
    <w:rsid w:val="00AE3B78"/>
    <w:rsid w:val="00AE5D49"/>
    <w:rsid w:val="00AF2FE0"/>
    <w:rsid w:val="00B03C4A"/>
    <w:rsid w:val="00B04FF0"/>
    <w:rsid w:val="00B11482"/>
    <w:rsid w:val="00B134F9"/>
    <w:rsid w:val="00B1367D"/>
    <w:rsid w:val="00B17AF7"/>
    <w:rsid w:val="00B230DB"/>
    <w:rsid w:val="00B239F0"/>
    <w:rsid w:val="00B23AE4"/>
    <w:rsid w:val="00B33F07"/>
    <w:rsid w:val="00B37DF1"/>
    <w:rsid w:val="00B40154"/>
    <w:rsid w:val="00B43BCA"/>
    <w:rsid w:val="00B44BC3"/>
    <w:rsid w:val="00B52767"/>
    <w:rsid w:val="00B5537C"/>
    <w:rsid w:val="00B622BC"/>
    <w:rsid w:val="00B74511"/>
    <w:rsid w:val="00B76970"/>
    <w:rsid w:val="00BA21B6"/>
    <w:rsid w:val="00BA2AA0"/>
    <w:rsid w:val="00BA5A95"/>
    <w:rsid w:val="00BB5F6F"/>
    <w:rsid w:val="00BC3DEC"/>
    <w:rsid w:val="00BD7B4B"/>
    <w:rsid w:val="00BE09A3"/>
    <w:rsid w:val="00BE2B7D"/>
    <w:rsid w:val="00BE3874"/>
    <w:rsid w:val="00BF14B4"/>
    <w:rsid w:val="00BF32AF"/>
    <w:rsid w:val="00C04480"/>
    <w:rsid w:val="00C052CB"/>
    <w:rsid w:val="00C11861"/>
    <w:rsid w:val="00C13A29"/>
    <w:rsid w:val="00C146A7"/>
    <w:rsid w:val="00C1688C"/>
    <w:rsid w:val="00C2273B"/>
    <w:rsid w:val="00C274B7"/>
    <w:rsid w:val="00C30E20"/>
    <w:rsid w:val="00C3535F"/>
    <w:rsid w:val="00C412C9"/>
    <w:rsid w:val="00C42825"/>
    <w:rsid w:val="00C50FCC"/>
    <w:rsid w:val="00C53D02"/>
    <w:rsid w:val="00C61E2F"/>
    <w:rsid w:val="00C648BA"/>
    <w:rsid w:val="00C676FB"/>
    <w:rsid w:val="00C75380"/>
    <w:rsid w:val="00C770BC"/>
    <w:rsid w:val="00C91AC2"/>
    <w:rsid w:val="00C948E2"/>
    <w:rsid w:val="00C96775"/>
    <w:rsid w:val="00CA574C"/>
    <w:rsid w:val="00CA6340"/>
    <w:rsid w:val="00CB768A"/>
    <w:rsid w:val="00CC45EC"/>
    <w:rsid w:val="00CC7F0A"/>
    <w:rsid w:val="00CD2D72"/>
    <w:rsid w:val="00CE1579"/>
    <w:rsid w:val="00CE5698"/>
    <w:rsid w:val="00CE6B2B"/>
    <w:rsid w:val="00CF36A8"/>
    <w:rsid w:val="00D01050"/>
    <w:rsid w:val="00D049D0"/>
    <w:rsid w:val="00D104F4"/>
    <w:rsid w:val="00D21B71"/>
    <w:rsid w:val="00D249E0"/>
    <w:rsid w:val="00D31299"/>
    <w:rsid w:val="00D435BF"/>
    <w:rsid w:val="00D43E46"/>
    <w:rsid w:val="00D46B59"/>
    <w:rsid w:val="00D470E9"/>
    <w:rsid w:val="00D54B22"/>
    <w:rsid w:val="00D65E21"/>
    <w:rsid w:val="00D66CE2"/>
    <w:rsid w:val="00D70E79"/>
    <w:rsid w:val="00D808A9"/>
    <w:rsid w:val="00D84C0F"/>
    <w:rsid w:val="00D86CC7"/>
    <w:rsid w:val="00D95AE8"/>
    <w:rsid w:val="00DA020D"/>
    <w:rsid w:val="00DB7AE5"/>
    <w:rsid w:val="00DC426F"/>
    <w:rsid w:val="00DD2762"/>
    <w:rsid w:val="00DD7D45"/>
    <w:rsid w:val="00DE0F00"/>
    <w:rsid w:val="00DE2112"/>
    <w:rsid w:val="00DE643D"/>
    <w:rsid w:val="00DE7629"/>
    <w:rsid w:val="00DF01F5"/>
    <w:rsid w:val="00DF1C42"/>
    <w:rsid w:val="00DF40C5"/>
    <w:rsid w:val="00E00CE6"/>
    <w:rsid w:val="00E03406"/>
    <w:rsid w:val="00E24BEC"/>
    <w:rsid w:val="00E309D5"/>
    <w:rsid w:val="00E33272"/>
    <w:rsid w:val="00E33DF1"/>
    <w:rsid w:val="00E357E1"/>
    <w:rsid w:val="00E3751F"/>
    <w:rsid w:val="00E425EE"/>
    <w:rsid w:val="00E42727"/>
    <w:rsid w:val="00E42DC5"/>
    <w:rsid w:val="00E42E39"/>
    <w:rsid w:val="00E502FC"/>
    <w:rsid w:val="00E638B5"/>
    <w:rsid w:val="00E67789"/>
    <w:rsid w:val="00E90596"/>
    <w:rsid w:val="00E96986"/>
    <w:rsid w:val="00E97212"/>
    <w:rsid w:val="00EA0532"/>
    <w:rsid w:val="00EC1094"/>
    <w:rsid w:val="00EC14B3"/>
    <w:rsid w:val="00EC1D39"/>
    <w:rsid w:val="00EC278A"/>
    <w:rsid w:val="00EC718D"/>
    <w:rsid w:val="00EE242B"/>
    <w:rsid w:val="00EF04D3"/>
    <w:rsid w:val="00EF0F7E"/>
    <w:rsid w:val="00EF1BC2"/>
    <w:rsid w:val="00EF7AE7"/>
    <w:rsid w:val="00F0086A"/>
    <w:rsid w:val="00F020C5"/>
    <w:rsid w:val="00F10668"/>
    <w:rsid w:val="00F16129"/>
    <w:rsid w:val="00F22776"/>
    <w:rsid w:val="00F27799"/>
    <w:rsid w:val="00F30C9C"/>
    <w:rsid w:val="00F36897"/>
    <w:rsid w:val="00F37E0C"/>
    <w:rsid w:val="00F431E3"/>
    <w:rsid w:val="00F47400"/>
    <w:rsid w:val="00F512FA"/>
    <w:rsid w:val="00F534C5"/>
    <w:rsid w:val="00F546B5"/>
    <w:rsid w:val="00F55753"/>
    <w:rsid w:val="00F70CB4"/>
    <w:rsid w:val="00F70F42"/>
    <w:rsid w:val="00F7204D"/>
    <w:rsid w:val="00F728F2"/>
    <w:rsid w:val="00F835BC"/>
    <w:rsid w:val="00F84D08"/>
    <w:rsid w:val="00F84D7C"/>
    <w:rsid w:val="00F85A04"/>
    <w:rsid w:val="00F85A39"/>
    <w:rsid w:val="00F91A79"/>
    <w:rsid w:val="00F97B56"/>
    <w:rsid w:val="00FA3C96"/>
    <w:rsid w:val="00FA6B94"/>
    <w:rsid w:val="00FB1204"/>
    <w:rsid w:val="00FB5C2D"/>
    <w:rsid w:val="00FB6202"/>
    <w:rsid w:val="00FD7308"/>
    <w:rsid w:val="00FE391A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893CA"/>
  <w15:docId w15:val="{F9A2BE26-AC63-4CB4-885D-108A3270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AD0FF0"/>
    <w:pPr>
      <w:spacing w:before="120" w:line="280" w:lineRule="atLeast"/>
    </w:pPr>
    <w:rPr>
      <w:rFonts w:ascii="Arial" w:hAnsi="Arial" w:cs="Arial"/>
      <w:sz w:val="22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8557A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F272F"/>
      <w:sz w:val="44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10213B"/>
    <w:pPr>
      <w:pBdr>
        <w:top w:val="single" w:sz="8" w:space="3" w:color="AF272F"/>
      </w:pBdr>
      <w:ind w:left="851" w:hanging="851"/>
      <w:outlineLvl w:val="1"/>
    </w:pPr>
    <w:rPr>
      <w:bCs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E357E1"/>
    <w:pPr>
      <w:tabs>
        <w:tab w:val="left" w:pos="851"/>
      </w:tabs>
      <w:spacing w:before="240" w:after="120"/>
      <w:outlineLvl w:val="2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locked/>
    <w:rsid w:val="00660E9E"/>
    <w:rPr>
      <w:rFonts w:ascii="Arial" w:hAnsi="Arial" w:cs="Arial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semiHidden/>
    <w:rsid w:val="00C61E2F"/>
    <w:pPr>
      <w:tabs>
        <w:tab w:val="right" w:pos="6804"/>
      </w:tabs>
      <w:spacing w:before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1E2F"/>
    <w:rPr>
      <w:rFonts w:ascii="Arial" w:hAnsi="Arial" w:cs="Arial"/>
      <w:sz w:val="20"/>
      <w:szCs w:val="18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qFormat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8557A"/>
    <w:rPr>
      <w:rFonts w:ascii="Arial" w:eastAsiaTheme="majorEastAsia" w:hAnsi="Arial" w:cstheme="majorBidi"/>
      <w:b/>
      <w:bCs/>
      <w:color w:val="AF272F"/>
      <w:sz w:val="44"/>
      <w:szCs w:val="20"/>
      <w:lang w:val="en-AU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0213B"/>
    <w:rPr>
      <w:rFonts w:ascii="Arial" w:eastAsiaTheme="majorEastAsia" w:hAnsi="Arial" w:cstheme="majorBidi"/>
      <w:b/>
      <w:color w:val="AF272F"/>
      <w:sz w:val="36"/>
      <w:szCs w:val="2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997EAC"/>
    <w:pPr>
      <w:spacing w:before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97EAC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357E1"/>
    <w:rPr>
      <w:rFonts w:ascii="Arial" w:hAnsi="Arial" w:cs="Arial"/>
      <w:b/>
      <w:color w:val="000000" w:themeColor="text1"/>
      <w:szCs w:val="18"/>
      <w:lang w:val="en-AU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after="0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locked/>
    <w:rsid w:val="00660E9E"/>
    <w:rPr>
      <w:rFonts w:ascii="Arial" w:hAnsi="Arial"/>
      <w:color w:val="0000FF"/>
      <w:sz w:val="22"/>
      <w:u w:val="single"/>
    </w:rPr>
  </w:style>
  <w:style w:type="paragraph" w:styleId="ListBullet">
    <w:name w:val="List Bullet"/>
    <w:basedOn w:val="Normal"/>
    <w:uiPriority w:val="99"/>
    <w:locked/>
    <w:rsid w:val="00190DEA"/>
    <w:pPr>
      <w:numPr>
        <w:numId w:val="1"/>
      </w:numPr>
    </w:pPr>
    <w:rPr>
      <w:rFonts w:eastAsiaTheme="minorHAnsi" w:cstheme="minorBidi"/>
      <w:szCs w:val="22"/>
    </w:rPr>
  </w:style>
  <w:style w:type="paragraph" w:styleId="ListBullet2">
    <w:name w:val="List Bullet 2"/>
    <w:basedOn w:val="Normal"/>
    <w:uiPriority w:val="99"/>
    <w:locked/>
    <w:rsid w:val="00190DEA"/>
    <w:pPr>
      <w:numPr>
        <w:numId w:val="18"/>
      </w:numPr>
      <w:ind w:left="568" w:hanging="284"/>
    </w:pPr>
    <w:rPr>
      <w:rFonts w:eastAsiaTheme="minorHAnsi" w:cstheme="minorBidi"/>
      <w:szCs w:val="22"/>
    </w:rPr>
  </w:style>
  <w:style w:type="table" w:styleId="LightList-Accent3">
    <w:name w:val="Light List Accent 3"/>
    <w:basedOn w:val="TableNormal"/>
    <w:uiPriority w:val="61"/>
    <w:locked/>
    <w:rsid w:val="00927DEE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Continue">
    <w:name w:val="List Continue"/>
    <w:basedOn w:val="Normal"/>
    <w:uiPriority w:val="99"/>
    <w:unhideWhenUsed/>
    <w:locked/>
    <w:rsid w:val="0051778F"/>
    <w:pPr>
      <w:ind w:left="284"/>
    </w:pPr>
    <w:rPr>
      <w:rFonts w:ascii="Candara" w:eastAsiaTheme="minorHAnsi" w:hAnsi="Candara" w:cstheme="minorBidi"/>
      <w:szCs w:val="22"/>
    </w:rPr>
  </w:style>
  <w:style w:type="paragraph" w:styleId="BodyText">
    <w:name w:val="Body Text"/>
    <w:basedOn w:val="Normal"/>
    <w:link w:val="BodyTextChar"/>
    <w:uiPriority w:val="99"/>
    <w:unhideWhenUsed/>
    <w:locked/>
    <w:rsid w:val="0008210B"/>
    <w:pPr>
      <w:pBdr>
        <w:top w:val="single" w:sz="2" w:space="1" w:color="C00000" w:shadow="1"/>
        <w:left w:val="single" w:sz="2" w:space="4" w:color="C00000" w:shadow="1"/>
        <w:bottom w:val="single" w:sz="2" w:space="1" w:color="C00000" w:shadow="1"/>
        <w:right w:val="single" w:sz="2" w:space="4" w:color="C00000" w:shadow="1"/>
      </w:pBdr>
      <w:ind w:left="567" w:right="567"/>
    </w:pPr>
    <w:rPr>
      <w:rFonts w:eastAsiaTheme="minorHAnsi" w:cstheme="minorBidi"/>
      <w:b/>
      <w:color w:val="C00000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8210B"/>
    <w:rPr>
      <w:rFonts w:ascii="Arial" w:eastAsiaTheme="minorHAnsi" w:hAnsi="Arial"/>
      <w:b/>
      <w:color w:val="C00000"/>
      <w:sz w:val="22"/>
      <w:szCs w:val="22"/>
      <w:lang w:val="en-AU"/>
    </w:rPr>
  </w:style>
  <w:style w:type="paragraph" w:styleId="BodyText2">
    <w:name w:val="Body Text 2"/>
    <w:basedOn w:val="Normal"/>
    <w:link w:val="BodyText2Char"/>
    <w:uiPriority w:val="99"/>
    <w:unhideWhenUsed/>
    <w:locked/>
    <w:rsid w:val="0008210B"/>
    <w:pPr>
      <w:pBdr>
        <w:top w:val="single" w:sz="2" w:space="1" w:color="C00000" w:shadow="1"/>
        <w:left w:val="single" w:sz="2" w:space="4" w:color="C00000" w:shadow="1"/>
        <w:bottom w:val="single" w:sz="2" w:space="1" w:color="C00000" w:shadow="1"/>
        <w:right w:val="single" w:sz="2" w:space="4" w:color="C00000" w:shadow="1"/>
      </w:pBdr>
      <w:ind w:left="567" w:right="567"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08210B"/>
    <w:rPr>
      <w:rFonts w:ascii="Arial" w:eastAsiaTheme="minorHAnsi" w:hAnsi="Arial"/>
      <w:sz w:val="22"/>
      <w:szCs w:val="22"/>
      <w:lang w:val="en-AU"/>
    </w:rPr>
  </w:style>
  <w:style w:type="table" w:customStyle="1" w:styleId="GridTable6Colorful1">
    <w:name w:val="Grid Table 6 Colorful1"/>
    <w:basedOn w:val="TableNormal"/>
    <w:uiPriority w:val="51"/>
    <w:locked/>
    <w:rsid w:val="0051778F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3FF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paragraph" w:customStyle="1" w:styleId="BodyText1">
    <w:name w:val="Body Text 1"/>
    <w:link w:val="BodyText1Char"/>
    <w:rsid w:val="00DF01F5"/>
    <w:pPr>
      <w:keepLines/>
      <w:spacing w:before="240"/>
      <w:ind w:left="1134"/>
    </w:pPr>
    <w:rPr>
      <w:rFonts w:ascii="Arial" w:eastAsia="Times New Roman" w:hAnsi="Arial" w:cs="Arial"/>
      <w:color w:val="000000"/>
      <w:sz w:val="22"/>
      <w:lang w:val="en-AU" w:eastAsia="en-AU"/>
    </w:rPr>
  </w:style>
  <w:style w:type="paragraph" w:customStyle="1" w:styleId="ListNumber1">
    <w:name w:val="List Number 1"/>
    <w:link w:val="ListNumber1Char"/>
    <w:unhideWhenUsed/>
    <w:rsid w:val="00DF01F5"/>
    <w:pPr>
      <w:keepLines/>
      <w:tabs>
        <w:tab w:val="num" w:pos="1701"/>
      </w:tabs>
      <w:spacing w:before="160"/>
      <w:ind w:left="1701" w:hanging="567"/>
    </w:pPr>
    <w:rPr>
      <w:rFonts w:ascii="Arial" w:eastAsia="Times New Roman" w:hAnsi="Arial" w:cs="Arial"/>
      <w:color w:val="000000"/>
      <w:sz w:val="22"/>
      <w:lang w:val="en-AU" w:eastAsia="en-AU"/>
    </w:rPr>
  </w:style>
  <w:style w:type="character" w:customStyle="1" w:styleId="ListNumber1Char">
    <w:name w:val="List Number 1 Char"/>
    <w:link w:val="ListNumber1"/>
    <w:rsid w:val="0008210B"/>
    <w:rPr>
      <w:rFonts w:ascii="Arial" w:eastAsia="Times New Roman" w:hAnsi="Arial" w:cs="Arial"/>
      <w:color w:val="000000"/>
      <w:sz w:val="22"/>
      <w:lang w:val="en-AU" w:eastAsia="en-AU"/>
    </w:rPr>
  </w:style>
  <w:style w:type="character" w:customStyle="1" w:styleId="BodyText1Char">
    <w:name w:val="Body Text 1 Char"/>
    <w:link w:val="BodyText1"/>
    <w:rsid w:val="00DF01F5"/>
    <w:rPr>
      <w:rFonts w:ascii="Arial" w:eastAsia="Times New Roman" w:hAnsi="Arial" w:cs="Arial"/>
      <w:color w:val="000000"/>
      <w:sz w:val="22"/>
      <w:lang w:val="en-AU" w:eastAsia="en-AU"/>
    </w:rPr>
  </w:style>
  <w:style w:type="character" w:styleId="CommentReference">
    <w:name w:val="annotation reference"/>
    <w:unhideWhenUsed/>
    <w:locked/>
    <w:rsid w:val="00297D0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297D06"/>
    <w:pPr>
      <w:spacing w:after="210" w:line="245" w:lineRule="atLeast"/>
    </w:pPr>
    <w:rPr>
      <w:rFonts w:eastAsia="Times New Roman" w:cs="Times New Roman"/>
      <w:color w:val="74737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97D06"/>
    <w:rPr>
      <w:rFonts w:ascii="Arial" w:eastAsia="Times New Roman" w:hAnsi="Arial" w:cs="Times New Roman"/>
      <w:color w:val="747378"/>
      <w:sz w:val="20"/>
      <w:szCs w:val="20"/>
      <w:lang w:val="en-AU"/>
    </w:rPr>
  </w:style>
  <w:style w:type="paragraph" w:styleId="ListNumber3">
    <w:name w:val="List Number 3"/>
    <w:basedOn w:val="Normal"/>
    <w:unhideWhenUsed/>
    <w:locked/>
    <w:rsid w:val="0066505C"/>
    <w:pPr>
      <w:suppressLineNumbers/>
      <w:tabs>
        <w:tab w:val="num" w:pos="926"/>
      </w:tabs>
      <w:overflowPunct w:val="0"/>
      <w:autoSpaceDE w:val="0"/>
      <w:autoSpaceDN w:val="0"/>
      <w:adjustRightInd w:val="0"/>
      <w:spacing w:line="240" w:lineRule="auto"/>
      <w:ind w:left="926" w:hanging="3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semiHidden/>
    <w:unhideWhenUsed/>
    <w:locked/>
    <w:rsid w:val="00E502FC"/>
    <w:rPr>
      <w:color w:val="800080" w:themeColor="followedHyperlink"/>
      <w:u w:val="single"/>
    </w:rPr>
  </w:style>
  <w:style w:type="paragraph" w:styleId="ListParagraph">
    <w:name w:val="List Paragraph"/>
    <w:aliases w:val="List Paragraph1,List Paragraph11"/>
    <w:basedOn w:val="Normal"/>
    <w:uiPriority w:val="34"/>
    <w:qFormat/>
    <w:locked/>
    <w:rsid w:val="00B76970"/>
    <w:pPr>
      <w:ind w:left="720"/>
      <w:contextualSpacing/>
    </w:pPr>
  </w:style>
  <w:style w:type="table" w:customStyle="1" w:styleId="GridTable6Colorful2">
    <w:name w:val="Grid Table 6 Colorful2"/>
    <w:basedOn w:val="TableNormal"/>
    <w:uiPriority w:val="51"/>
    <w:rsid w:val="00F30C9C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A41F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D24BA"/>
    <w:pPr>
      <w:spacing w:after="0" w:line="240" w:lineRule="auto"/>
    </w:pPr>
    <w:rPr>
      <w:rFonts w:eastAsiaTheme="minorEastAsia" w:cs="Arial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4BA"/>
    <w:rPr>
      <w:rFonts w:ascii="Arial" w:eastAsia="Times New Roman" w:hAnsi="Arial" w:cs="Arial"/>
      <w:b/>
      <w:bCs/>
      <w:color w:val="747378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262D75"/>
    <w:rPr>
      <w:rFonts w:ascii="Arial" w:hAnsi="Arial" w:cs="Arial"/>
      <w:sz w:val="22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C5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56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2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gate.eduweb.vic.gov.au/Services/Finance/Pages/Tax.aspx" TargetMode="External"/><Relationship Id="rId18" Type="http://schemas.openxmlformats.org/officeDocument/2006/relationships/hyperlink" Target="http://www.education.vic.gov.au/school/teachers/management/finance/Pages/guidelines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neysmart.gov.au/tools-and-resources/find-unclaimed-money" TargetMode="External"/><Relationship Id="rId7" Type="http://schemas.openxmlformats.org/officeDocument/2006/relationships/styles" Target="styles.xml"/><Relationship Id="rId12" Type="http://schemas.openxmlformats.org/officeDocument/2006/relationships/hyperlink" Target="mailto:schools.finance.support@edumail.vic.gov.au" TargetMode="External"/><Relationship Id="rId17" Type="http://schemas.openxmlformats.org/officeDocument/2006/relationships/hyperlink" Target="https://www.education.vic.gov.au/school/teachers/management/finance/Pages/cases21.aspx" TargetMode="External"/><Relationship Id="rId20" Type="http://schemas.openxmlformats.org/officeDocument/2006/relationships/hyperlink" Target="https://www.sro.vic.gov.au/unclaimed-money" TargetMode="External"/><Relationship Id="rId16" Type="http://schemas.openxmlformats.org/officeDocument/2006/relationships/hyperlink" Target="https://moneysmart.gov.au/find-unclaimed-mone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moneysmart.gov.au/find-unclaimed-money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education.vic.gov.au/school/principals/spag/pages/spag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ro.vic.gov.au/unclaimed-money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9A5FE64567849B3D74FDCA5171CB6" ma:contentTypeVersion="5" ma:contentTypeDescription="Create a new document." ma:contentTypeScope="" ma:versionID="91e065d7f5b636a171005a9a1f4a2847">
  <xsd:schema xmlns:xsd="http://www.w3.org/2001/XMLSchema" xmlns:xs="http://www.w3.org/2001/XMLSchema" xmlns:p="http://schemas.microsoft.com/office/2006/metadata/properties" xmlns:ns2="500c308d-f2fb-4fe0-9990-16f1afa0b8fb" targetNamespace="http://schemas.microsoft.com/office/2006/metadata/properties" ma:root="true" ma:fieldsID="9624786d58ec92ad544c6ef6fa536cf3" ns2:_="">
    <xsd:import namespace="500c308d-f2fb-4fe0-9990-16f1afa0b8f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Topic" minOccurs="0"/>
                <xsd:element ref="ns2:Sub_x002d_Topic" minOccurs="0"/>
                <xsd:element ref="ns2:Status" minOccurs="0"/>
                <xsd:element ref="ns2:Date_x0020_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308d-f2fb-4fe0-9990-16f1afa0b8fb" elementFormDefault="qualified">
    <xsd:import namespace="http://schemas.microsoft.com/office/2006/documentManagement/types"/>
    <xsd:import namespace="http://schemas.microsoft.com/office/infopath/2007/PartnerControls"/>
    <xsd:element name="Category" ma:index="1" nillable="true" ma:displayName="Category" ma:description="What is this document about?" ma:format="Dropdown" ma:internalName="Category">
      <xsd:simpleType>
        <xsd:union memberTypes="dms:Text">
          <xsd:simpleType>
            <xsd:restriction base="dms:Choice">
              <xsd:enumeration value="2016 CASES21 Documents"/>
              <xsd:enumeration value="2017 CASES21 Documents"/>
              <xsd:enumeration value="2018 CASES21 Documents"/>
              <xsd:enumeration value="2019 CASES21 Documents"/>
              <xsd:enumeration value="Article"/>
              <xsd:enumeration value="Briefing"/>
              <xsd:enumeration value="Forms"/>
              <xsd:enumeration value="Policy and Guidelines"/>
              <xsd:enumeration value="Finance Document Review process"/>
              <xsd:enumeration value="Register"/>
              <xsd:enumeration value="Report"/>
              <xsd:enumeration value="Template"/>
            </xsd:restriction>
          </xsd:simpleType>
        </xsd:union>
      </xsd:simpleType>
    </xsd:element>
    <xsd:element name="Topic" ma:index="2" nillable="true" ma:displayName="Topic" ma:description="Petty Cash changes" ma:format="Dropdown" ma:internalName="Topic">
      <xsd:simpleType>
        <xsd:restriction base="dms:Choice">
          <xsd:enumeration value="Asset Management"/>
          <xsd:enumeration value="Budget Management"/>
          <xsd:enumeration value="Business Continuity"/>
          <xsd:enumeration value="2016 CASES21"/>
          <xsd:enumeration value="2017 CASES21"/>
          <xsd:enumeration value="2018 CASES21"/>
          <xsd:enumeration value="2019 CASES21"/>
          <xsd:enumeration value="CASES21"/>
          <xsd:enumeration value="Document Review"/>
          <xsd:enumeration value="Electronic Funds Management"/>
          <xsd:enumeration value="Finance Manual"/>
          <xsd:enumeration value="Financial Commitment Summary"/>
          <xsd:enumeration value="High Yield Investment Account"/>
          <xsd:enumeration value="Internal Controls"/>
          <xsd:enumeration value="New Business Managers"/>
          <xsd:enumeration value="New Merged Closed Schools"/>
          <xsd:enumeration value="Petty Cash"/>
          <xsd:enumeration value="School Cash Reserve"/>
          <xsd:enumeration value="School Council"/>
          <xsd:enumeration value="School Investment"/>
          <xsd:enumeration value="School Level Payroll"/>
          <xsd:enumeration value="School Trading Operations"/>
          <xsd:enumeration value="Schools Purchasing Card"/>
          <xsd:enumeration value="Unclaimed monies"/>
          <xsd:enumeration value="2020 Pending PPP Changes"/>
          <xsd:enumeration value="2020 CASES21"/>
        </xsd:restriction>
      </xsd:simpleType>
    </xsd:element>
    <xsd:element name="Sub_x002d_Topic" ma:index="3" nillable="true" ma:displayName="Sub-Topic" ma:description="More information about this if required" ma:internalName="Sub_x002d_Topic">
      <xsd:simpleType>
        <xsd:restriction base="dms:Text">
          <xsd:maxLength value="255"/>
        </xsd:restriction>
      </xsd:simpleType>
    </xsd:element>
    <xsd:element name="Status" ma:index="4" nillable="true" ma:displayName="Status" ma:description="What is the status of this document?" ma:format="Dropdown" ma:internalName="Status">
      <xsd:simpleType>
        <xsd:restriction base="dms:Choice">
          <xsd:enumeration value="Archive"/>
          <xsd:enumeration value="Editing"/>
          <xsd:enumeration value="Final review"/>
          <xsd:enumeration value="Published"/>
        </xsd:restriction>
      </xsd:simpleType>
    </xsd:element>
    <xsd:element name="Date_x0020_published" ma:index="5" nillable="true" ma:displayName="Date published" ma:description="When was this document published?" ma:format="DateOnly" ma:internalName="Date_x0020_publish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Finance manual for Victorian Government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B3E11-BA02-4BB4-B2AF-3D9D380F4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308d-f2fb-4fe0-9990-16f1afa0b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E2870-C337-4D4F-A28E-C3DC1192B34C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500c308d-f2fb-4fe0-9990-16f1afa0b8fb"/>
  </ds:schemaRefs>
</ds:datastoreItem>
</file>

<file path=customXml/itemProps5.xml><?xml version="1.0" encoding="utf-8"?>
<ds:datastoreItem xmlns:ds="http://schemas.openxmlformats.org/officeDocument/2006/customXml" ds:itemID="{76720ABD-D27F-468D-887F-A039D10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 Maniatakis</dc:creator>
  <cp:lastModifiedBy>Stacey, Kimberley C</cp:lastModifiedBy>
  <cp:revision>4</cp:revision>
  <cp:lastPrinted>2019-02-01T00:59:00Z</cp:lastPrinted>
  <dcterms:created xsi:type="dcterms:W3CDTF">2019-08-06T00:55:00Z</dcterms:created>
  <dcterms:modified xsi:type="dcterms:W3CDTF">2020-02-14T01:14:00Z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