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D5BC" w14:textId="77777777" w:rsidR="00927DEE" w:rsidRPr="00803374" w:rsidRDefault="00927DEE" w:rsidP="00221808">
      <w:pPr>
        <w:pStyle w:val="Heading1"/>
      </w:pPr>
      <w:bookmarkStart w:id="0" w:name="_Toc455499267"/>
      <w:bookmarkStart w:id="1" w:name="_Toc455499461"/>
      <w:bookmarkStart w:id="2" w:name="_Toc455501167"/>
      <w:bookmarkStart w:id="3" w:name="_GoBack"/>
      <w:bookmarkEnd w:id="3"/>
      <w:r w:rsidRPr="00803374">
        <w:t xml:space="preserve">Section </w:t>
      </w:r>
      <w:r w:rsidR="00B6030C" w:rsidRPr="00803374">
        <w:t>7</w:t>
      </w:r>
      <w:r w:rsidRPr="00803374">
        <w:t xml:space="preserve">: </w:t>
      </w:r>
      <w:r w:rsidR="00A64251">
        <w:t>Chart of A</w:t>
      </w:r>
      <w:r w:rsidR="00B6030C" w:rsidRPr="00803374">
        <w:t>ccounts</w:t>
      </w:r>
    </w:p>
    <w:p w14:paraId="342683E9" w14:textId="77777777" w:rsidR="00927DEE" w:rsidRPr="00A64251" w:rsidRDefault="00B6030C" w:rsidP="00A64251">
      <w:pPr>
        <w:pStyle w:val="Heading2"/>
      </w:pPr>
      <w:r w:rsidRPr="00A64251">
        <w:t>7</w:t>
      </w:r>
      <w:r w:rsidR="00A64251">
        <w:t>.1</w:t>
      </w:r>
      <w:r w:rsidR="00A64251">
        <w:tab/>
      </w:r>
      <w:r w:rsidR="00C34984">
        <w:t>Overview</w:t>
      </w:r>
      <w:r w:rsidRPr="00A64251">
        <w:t xml:space="preserve"> </w:t>
      </w:r>
    </w:p>
    <w:p w14:paraId="449F49BA" w14:textId="77777777" w:rsidR="005F12DB" w:rsidRPr="00803374" w:rsidRDefault="005F12DB" w:rsidP="00BD1BF4">
      <w:r w:rsidRPr="00803374">
        <w:t xml:space="preserve">Schools are required to record </w:t>
      </w:r>
      <w:r w:rsidR="000D1B50" w:rsidRPr="00803374">
        <w:t xml:space="preserve">transactions (e.g. </w:t>
      </w:r>
      <w:r w:rsidRPr="00803374">
        <w:t>revenue and expenditure</w:t>
      </w:r>
      <w:r w:rsidR="000D1B50" w:rsidRPr="00803374">
        <w:t>)</w:t>
      </w:r>
      <w:r w:rsidRPr="00803374">
        <w:t xml:space="preserve"> as per </w:t>
      </w:r>
      <w:r w:rsidR="00415090" w:rsidRPr="00803374">
        <w:t xml:space="preserve">the </w:t>
      </w:r>
      <w:r w:rsidRPr="00803374">
        <w:t xml:space="preserve">designated </w:t>
      </w:r>
      <w:r w:rsidR="00A24F9D" w:rsidRPr="00803374">
        <w:t xml:space="preserve">codes in the </w:t>
      </w:r>
      <w:r w:rsidRPr="00803374">
        <w:t>Chart of Account</w:t>
      </w:r>
      <w:r w:rsidR="00A24F9D" w:rsidRPr="00803374">
        <w:t>s for Victorian Government Schools</w:t>
      </w:r>
      <w:r w:rsidRPr="00803374">
        <w:t>.</w:t>
      </w:r>
    </w:p>
    <w:p w14:paraId="2DDC345F" w14:textId="77777777" w:rsidR="005F12DB" w:rsidRPr="00803374" w:rsidRDefault="005F12DB" w:rsidP="00BD1BF4">
      <w:r w:rsidRPr="00803374">
        <w:t>The import</w:t>
      </w:r>
      <w:r w:rsidR="000D1B50" w:rsidRPr="00803374">
        <w:t xml:space="preserve">ance of correct coding prior to </w:t>
      </w:r>
      <w:r w:rsidRPr="00803374">
        <w:t xml:space="preserve">CASES21 data entry is critical to the credibility, reliance and accuracy of information. The accuracy of reports for both internal and external users can only be relied upon when data has been correctly entered into the </w:t>
      </w:r>
      <w:r w:rsidR="00A24F9D" w:rsidRPr="00803374">
        <w:t xml:space="preserve">CASES21 </w:t>
      </w:r>
      <w:r w:rsidRPr="00803374">
        <w:t xml:space="preserve">system. It has been found that miscoding errors generally relate to a lack of understanding of the Chart of Account </w:t>
      </w:r>
      <w:r w:rsidR="000D1B50" w:rsidRPr="00803374">
        <w:t xml:space="preserve">for Victorian Government Schools </w:t>
      </w:r>
      <w:r w:rsidRPr="00803374">
        <w:t xml:space="preserve">structure and its link to the reporting process. </w:t>
      </w:r>
    </w:p>
    <w:p w14:paraId="73D1E525" w14:textId="77777777" w:rsidR="005F12DB" w:rsidRDefault="005F12DB" w:rsidP="00BD1BF4">
      <w:r w:rsidRPr="00803374">
        <w:t xml:space="preserve">There is provision in the Chart of Accounts </w:t>
      </w:r>
      <w:r w:rsidR="00A24F9D" w:rsidRPr="00803374">
        <w:t xml:space="preserve">for Victorian Government Schools </w:t>
      </w:r>
      <w:r w:rsidRPr="00803374">
        <w:t>to accurately code all funds to ensure effective monitoring and reporting for management</w:t>
      </w:r>
      <w:r w:rsidR="00916CF5">
        <w:t>,</w:t>
      </w:r>
      <w:r w:rsidRPr="00803374">
        <w:t xml:space="preserve"> </w:t>
      </w:r>
      <w:r w:rsidR="00916CF5">
        <w:t xml:space="preserve">the finance committee and </w:t>
      </w:r>
      <w:r w:rsidRPr="00803374">
        <w:t>school council.</w:t>
      </w:r>
    </w:p>
    <w:p w14:paraId="5650A4F7" w14:textId="77777777" w:rsidR="00585C89" w:rsidRPr="00803374" w:rsidRDefault="00585C89" w:rsidP="00BD1BF4"/>
    <w:p w14:paraId="6ED5808D" w14:textId="77777777" w:rsidR="00927DEE" w:rsidRPr="00803374" w:rsidRDefault="00B6030C" w:rsidP="00221808">
      <w:pPr>
        <w:pStyle w:val="Heading2"/>
      </w:pPr>
      <w:r w:rsidRPr="00803374">
        <w:t>7.2</w:t>
      </w:r>
      <w:r w:rsidR="00A64251">
        <w:tab/>
      </w:r>
      <w:r w:rsidRPr="00803374">
        <w:t xml:space="preserve">CASES21 </w:t>
      </w:r>
      <w:r w:rsidR="00EB0C35">
        <w:t>C</w:t>
      </w:r>
      <w:r w:rsidRPr="00803374">
        <w:t xml:space="preserve">hart of </w:t>
      </w:r>
      <w:r w:rsidR="00C10EC7">
        <w:t>A</w:t>
      </w:r>
      <w:r w:rsidRPr="00803374">
        <w:t xml:space="preserve">ccounts </w:t>
      </w:r>
    </w:p>
    <w:p w14:paraId="0FB1A5D9" w14:textId="77777777" w:rsidR="00CB1AF9" w:rsidRPr="00803374" w:rsidRDefault="00B6030C" w:rsidP="00221808">
      <w:pPr>
        <w:pStyle w:val="Heading3"/>
      </w:pPr>
      <w:r w:rsidRPr="00803374">
        <w:t>7</w:t>
      </w:r>
      <w:r w:rsidR="00CB1AF9" w:rsidRPr="00803374">
        <w:t>.2</w:t>
      </w:r>
      <w:r w:rsidR="009F030B" w:rsidRPr="00803374">
        <w:t>.1</w:t>
      </w:r>
      <w:r w:rsidR="00A64251">
        <w:tab/>
      </w:r>
      <w:r w:rsidR="00CB1AF9" w:rsidRPr="00803374">
        <w:t>Overview</w:t>
      </w:r>
    </w:p>
    <w:p w14:paraId="2D343CCA" w14:textId="77777777" w:rsidR="00BC20EE" w:rsidRPr="00803374" w:rsidRDefault="00B6030C" w:rsidP="00BD1BF4">
      <w:r w:rsidRPr="00803374">
        <w:t xml:space="preserve">The CASES21 Chart of Accounts </w:t>
      </w:r>
      <w:r w:rsidR="000D1B50" w:rsidRPr="00803374">
        <w:t xml:space="preserve">for Victorian Government Schools </w:t>
      </w:r>
      <w:r w:rsidRPr="00803374">
        <w:t xml:space="preserve">is structured into two sections for the entry and recording of </w:t>
      </w:r>
      <w:r w:rsidR="00A24F9D" w:rsidRPr="00803374">
        <w:t xml:space="preserve">financial </w:t>
      </w:r>
      <w:r w:rsidRPr="00803374">
        <w:t>transactions.</w:t>
      </w:r>
      <w:r w:rsidR="005F12DB" w:rsidRPr="00803374">
        <w:t xml:space="preserve"> </w:t>
      </w:r>
    </w:p>
    <w:p w14:paraId="480CEBBF" w14:textId="77777777" w:rsidR="00BC20EE" w:rsidRPr="00803374" w:rsidRDefault="00BC20EE" w:rsidP="00BD1BF4">
      <w:r w:rsidRPr="00803374">
        <w:t>The two sections include:</w:t>
      </w:r>
    </w:p>
    <w:p w14:paraId="32BCDA7A" w14:textId="77777777" w:rsidR="00BC20EE" w:rsidRPr="00803374" w:rsidRDefault="00BC20EE" w:rsidP="00221808">
      <w:pPr>
        <w:pStyle w:val="ListBullet"/>
      </w:pPr>
      <w:r w:rsidRPr="00803374">
        <w:t>G</w:t>
      </w:r>
      <w:r w:rsidR="005F12DB" w:rsidRPr="00803374">
        <w:t xml:space="preserve">eneral ledger </w:t>
      </w:r>
      <w:r w:rsidRPr="00803374">
        <w:t>including asse</w:t>
      </w:r>
      <w:r w:rsidR="00415090" w:rsidRPr="00803374">
        <w:t>ts</w:t>
      </w:r>
      <w:r w:rsidRPr="00803374">
        <w:t>, liabilities, equity, revenue and expenditure</w:t>
      </w:r>
      <w:r w:rsidR="00916CF5">
        <w:t>;</w:t>
      </w:r>
      <w:r w:rsidRPr="00803374">
        <w:t xml:space="preserve"> </w:t>
      </w:r>
    </w:p>
    <w:p w14:paraId="121636DE" w14:textId="77777777" w:rsidR="00A24F9D" w:rsidRPr="00803374" w:rsidRDefault="005F12DB" w:rsidP="00221808">
      <w:pPr>
        <w:pStyle w:val="ListBullet"/>
      </w:pPr>
      <w:r w:rsidRPr="00803374">
        <w:t>Programs</w:t>
      </w:r>
      <w:r w:rsidR="00BC20EE" w:rsidRPr="00803374">
        <w:t xml:space="preserve">, </w:t>
      </w:r>
      <w:r w:rsidRPr="00803374">
        <w:t>Sub</w:t>
      </w:r>
      <w:r w:rsidR="00886166" w:rsidRPr="00803374">
        <w:t xml:space="preserve"> </w:t>
      </w:r>
      <w:r w:rsidRPr="00803374">
        <w:t>Programs</w:t>
      </w:r>
      <w:r w:rsidR="00BC20EE" w:rsidRPr="00803374">
        <w:t xml:space="preserve"> and </w:t>
      </w:r>
      <w:r w:rsidR="00415090" w:rsidRPr="00803374">
        <w:t>I</w:t>
      </w:r>
      <w:r w:rsidR="00BC20EE" w:rsidRPr="00803374">
        <w:t>nit</w:t>
      </w:r>
      <w:r w:rsidR="00415090" w:rsidRPr="00803374">
        <w:t xml:space="preserve">iatives </w:t>
      </w:r>
      <w:r w:rsidR="000D1B50" w:rsidRPr="00803374">
        <w:t xml:space="preserve">of the </w:t>
      </w:r>
      <w:r w:rsidR="00A24F9D" w:rsidRPr="00803374">
        <w:t>Department of Education and Training (DET)</w:t>
      </w:r>
      <w:r w:rsidR="00916CF5">
        <w:t>.</w:t>
      </w:r>
      <w:r w:rsidR="00A24F9D" w:rsidRPr="00803374">
        <w:t xml:space="preserve"> </w:t>
      </w:r>
    </w:p>
    <w:p w14:paraId="79438D21" w14:textId="77777777" w:rsidR="009B4EE0" w:rsidRPr="00803374" w:rsidRDefault="005F12DB" w:rsidP="00221808">
      <w:pPr>
        <w:pStyle w:val="Heading3"/>
      </w:pPr>
      <w:r w:rsidRPr="00803374">
        <w:t>7.2.2</w:t>
      </w:r>
      <w:r w:rsidR="00A64251">
        <w:tab/>
      </w:r>
      <w:r w:rsidR="009B4EE0" w:rsidRPr="00803374">
        <w:t>Mandatory policy (</w:t>
      </w:r>
      <w:r w:rsidR="00D23546">
        <w:t>Must do</w:t>
      </w:r>
      <w:r w:rsidR="009B4EE0" w:rsidRPr="00803374">
        <w:t>)</w:t>
      </w:r>
      <w:r w:rsidR="00A64251">
        <w:t>:</w:t>
      </w:r>
    </w:p>
    <w:tbl>
      <w:tblPr>
        <w:tblStyle w:val="TableGrid"/>
        <w:tblW w:w="0" w:type="auto"/>
        <w:tblInd w:w="57" w:type="dxa"/>
        <w:tblLook w:val="04A0" w:firstRow="1" w:lastRow="0" w:firstColumn="1" w:lastColumn="0" w:noHBand="0" w:noVBand="1"/>
        <w:tblDescription w:val="table containing sequence numbers and policy information"/>
      </w:tblPr>
      <w:tblGrid>
        <w:gridCol w:w="1100"/>
        <w:gridCol w:w="7060"/>
        <w:gridCol w:w="837"/>
      </w:tblGrid>
      <w:tr w:rsidR="003D6D7E" w:rsidRPr="00803374" w14:paraId="5BD58D41" w14:textId="3EC46082" w:rsidTr="003D6D7E">
        <w:trPr>
          <w:trHeight w:hRule="exact" w:val="681"/>
          <w:tblHeader/>
        </w:trPr>
        <w:tc>
          <w:tcPr>
            <w:tcW w:w="1100" w:type="dxa"/>
          </w:tcPr>
          <w:p w14:paraId="10056C12" w14:textId="41F0D352" w:rsidR="003D6D7E" w:rsidRPr="00B717E0" w:rsidRDefault="003D6D7E" w:rsidP="00BD1BF4">
            <w:pPr>
              <w:rPr>
                <w:b/>
                <w:sz w:val="18"/>
              </w:rPr>
            </w:pPr>
            <w:r w:rsidRPr="00B717E0">
              <w:rPr>
                <w:b/>
                <w:sz w:val="18"/>
              </w:rPr>
              <w:t>Sequence</w:t>
            </w:r>
            <w:r>
              <w:rPr>
                <w:b/>
                <w:sz w:val="18"/>
              </w:rPr>
              <w:t xml:space="preserve"> Number</w:t>
            </w:r>
          </w:p>
        </w:tc>
        <w:tc>
          <w:tcPr>
            <w:tcW w:w="7060" w:type="dxa"/>
          </w:tcPr>
          <w:p w14:paraId="3B0FAC21" w14:textId="6889C6A7" w:rsidR="003D6D7E" w:rsidRPr="00BF2182" w:rsidRDefault="003D6D7E" w:rsidP="00C10EC7">
            <w:pPr>
              <w:rPr>
                <w:b/>
              </w:rPr>
            </w:pPr>
            <w:r w:rsidRPr="00BF2182">
              <w:rPr>
                <w:b/>
              </w:rPr>
              <w:t>Information</w:t>
            </w:r>
          </w:p>
        </w:tc>
        <w:tc>
          <w:tcPr>
            <w:tcW w:w="837" w:type="dxa"/>
            <w:tcBorders>
              <w:top w:val="nil"/>
              <w:right w:val="nil"/>
            </w:tcBorders>
          </w:tcPr>
          <w:p w14:paraId="0EB72B67" w14:textId="77777777" w:rsidR="003D6D7E" w:rsidRPr="00BF2182" w:rsidRDefault="003D6D7E" w:rsidP="00C10EC7">
            <w:pPr>
              <w:rPr>
                <w:b/>
              </w:rPr>
            </w:pPr>
          </w:p>
        </w:tc>
      </w:tr>
      <w:tr w:rsidR="003D6D7E" w:rsidRPr="00803374" w14:paraId="67109E53" w14:textId="2408CF88" w:rsidTr="003D6D7E">
        <w:trPr>
          <w:trHeight w:hRule="exact" w:val="907"/>
        </w:trPr>
        <w:tc>
          <w:tcPr>
            <w:tcW w:w="1100" w:type="dxa"/>
          </w:tcPr>
          <w:p w14:paraId="2F8A2AD1" w14:textId="77777777" w:rsidR="003D6D7E" w:rsidRPr="00803374" w:rsidRDefault="003D6D7E" w:rsidP="00BD1BF4">
            <w:r>
              <w:t>7.2.2.1</w:t>
            </w:r>
          </w:p>
        </w:tc>
        <w:tc>
          <w:tcPr>
            <w:tcW w:w="7060" w:type="dxa"/>
          </w:tcPr>
          <w:p w14:paraId="62996944" w14:textId="77777777" w:rsidR="003D6D7E" w:rsidRPr="00803374" w:rsidRDefault="003D6D7E" w:rsidP="00C10EC7">
            <w:r w:rsidRPr="00803374">
              <w:t xml:space="preserve">All schools must adopt the relevant standard </w:t>
            </w:r>
            <w:r>
              <w:t>C</w:t>
            </w:r>
            <w:r w:rsidRPr="00803374">
              <w:t xml:space="preserve">hart of </w:t>
            </w:r>
            <w:r>
              <w:t>A</w:t>
            </w:r>
            <w:r w:rsidRPr="00803374">
              <w:t xml:space="preserve">ccounts for Victorian Government </w:t>
            </w:r>
            <w:r>
              <w:t>s</w:t>
            </w:r>
            <w:r w:rsidRPr="00803374">
              <w:t xml:space="preserve">chools as prescribed by the Director, Schools </w:t>
            </w:r>
            <w:r>
              <w:t>Finance and Resources</w:t>
            </w:r>
            <w:r w:rsidRPr="00803374">
              <w:t xml:space="preserve"> Branch.</w:t>
            </w:r>
          </w:p>
        </w:tc>
        <w:tc>
          <w:tcPr>
            <w:tcW w:w="837" w:type="dxa"/>
          </w:tcPr>
          <w:p w14:paraId="010E6855" w14:textId="77777777" w:rsidR="003D6D7E" w:rsidRPr="00803374" w:rsidRDefault="003D6D7E" w:rsidP="00C10EC7"/>
        </w:tc>
      </w:tr>
      <w:tr w:rsidR="003D6D7E" w:rsidRPr="00803374" w14:paraId="53F4F71E" w14:textId="20C522C7" w:rsidTr="003D6D7E">
        <w:trPr>
          <w:trHeight w:hRule="exact" w:val="907"/>
        </w:trPr>
        <w:tc>
          <w:tcPr>
            <w:tcW w:w="1100" w:type="dxa"/>
          </w:tcPr>
          <w:p w14:paraId="0396B444" w14:textId="77777777" w:rsidR="003D6D7E" w:rsidRPr="00803374" w:rsidRDefault="003D6D7E" w:rsidP="00BD1BF4">
            <w:r>
              <w:t>7.2.2.2</w:t>
            </w:r>
          </w:p>
        </w:tc>
        <w:tc>
          <w:tcPr>
            <w:tcW w:w="7060" w:type="dxa"/>
          </w:tcPr>
          <w:p w14:paraId="478E4D93" w14:textId="77777777" w:rsidR="003D6D7E" w:rsidRPr="00803374" w:rsidRDefault="003D6D7E" w:rsidP="00C10EC7">
            <w:r w:rsidRPr="00803374">
              <w:t xml:space="preserve">General Ledger and Program </w:t>
            </w:r>
            <w:r>
              <w:t>C</w:t>
            </w:r>
            <w:r w:rsidRPr="00803374">
              <w:t xml:space="preserve">hart of </w:t>
            </w:r>
            <w:r>
              <w:t>A</w:t>
            </w:r>
            <w:r w:rsidRPr="00803374">
              <w:t>ccount</w:t>
            </w:r>
            <w:r>
              <w:t xml:space="preserve"> codes </w:t>
            </w:r>
            <w:r w:rsidRPr="00803374">
              <w:t xml:space="preserve">for Victorian Government </w:t>
            </w:r>
            <w:r>
              <w:t>s</w:t>
            </w:r>
            <w:r w:rsidRPr="00803374">
              <w:t>chools have been defined by the Department and therefore cannot be deleted or modified.</w:t>
            </w:r>
          </w:p>
        </w:tc>
        <w:tc>
          <w:tcPr>
            <w:tcW w:w="837" w:type="dxa"/>
          </w:tcPr>
          <w:p w14:paraId="45D3F1FA" w14:textId="77777777" w:rsidR="003D6D7E" w:rsidRPr="00803374" w:rsidRDefault="003D6D7E" w:rsidP="00C10EC7"/>
        </w:tc>
      </w:tr>
      <w:tr w:rsidR="003D6D7E" w:rsidRPr="00803374" w14:paraId="091C5FBC" w14:textId="6EF6E650" w:rsidTr="003D6D7E">
        <w:trPr>
          <w:trHeight w:hRule="exact" w:val="907"/>
        </w:trPr>
        <w:tc>
          <w:tcPr>
            <w:tcW w:w="1100" w:type="dxa"/>
          </w:tcPr>
          <w:p w14:paraId="77B92318" w14:textId="77777777" w:rsidR="003D6D7E" w:rsidRPr="00803374" w:rsidRDefault="003D6D7E" w:rsidP="00BD1BF4">
            <w:r>
              <w:t>7.2.2.3</w:t>
            </w:r>
          </w:p>
        </w:tc>
        <w:tc>
          <w:tcPr>
            <w:tcW w:w="7060" w:type="dxa"/>
          </w:tcPr>
          <w:p w14:paraId="148450D3" w14:textId="77777777" w:rsidR="003D6D7E" w:rsidRPr="00803374" w:rsidRDefault="003D6D7E" w:rsidP="00C10EC7">
            <w:r w:rsidRPr="00803374">
              <w:t xml:space="preserve">Sub Program level </w:t>
            </w:r>
            <w:r>
              <w:t>C</w:t>
            </w:r>
            <w:r w:rsidRPr="00803374">
              <w:t xml:space="preserve">hart of </w:t>
            </w:r>
            <w:r>
              <w:t>A</w:t>
            </w:r>
            <w:r w:rsidRPr="00803374">
              <w:t xml:space="preserve">ccount codes </w:t>
            </w:r>
            <w:r>
              <w:t>include</w:t>
            </w:r>
            <w:r w:rsidRPr="00803374">
              <w:t xml:space="preserve"> the provision for schools to add school defined codes if they are required to meet specific reporting requirements. </w:t>
            </w:r>
          </w:p>
        </w:tc>
        <w:tc>
          <w:tcPr>
            <w:tcW w:w="837" w:type="dxa"/>
          </w:tcPr>
          <w:p w14:paraId="10EE6F2B" w14:textId="77777777" w:rsidR="003D6D7E" w:rsidRPr="00803374" w:rsidRDefault="003D6D7E" w:rsidP="00C10EC7"/>
        </w:tc>
      </w:tr>
      <w:tr w:rsidR="003D6D7E" w:rsidRPr="00803374" w14:paraId="50A9DB0E" w14:textId="262B91E0" w:rsidTr="003D6D7E">
        <w:trPr>
          <w:trHeight w:hRule="exact" w:val="907"/>
        </w:trPr>
        <w:tc>
          <w:tcPr>
            <w:tcW w:w="1100" w:type="dxa"/>
          </w:tcPr>
          <w:p w14:paraId="20915789" w14:textId="77777777" w:rsidR="003D6D7E" w:rsidRPr="00803374" w:rsidRDefault="003D6D7E" w:rsidP="00BD1BF4">
            <w:r>
              <w:t>7.2.2.4</w:t>
            </w:r>
          </w:p>
        </w:tc>
        <w:tc>
          <w:tcPr>
            <w:tcW w:w="7060" w:type="dxa"/>
          </w:tcPr>
          <w:p w14:paraId="02D7EB01" w14:textId="77777777" w:rsidR="003D6D7E" w:rsidRPr="00803374" w:rsidRDefault="003D6D7E" w:rsidP="00BD1BF4">
            <w:r w:rsidRPr="00803374">
              <w:t xml:space="preserve">Schools must develop a consistent approach to the use of school defined Sub Programs in line with their specific needs regarding reporting, monitoring and reconciling activities. </w:t>
            </w:r>
          </w:p>
        </w:tc>
        <w:tc>
          <w:tcPr>
            <w:tcW w:w="837" w:type="dxa"/>
          </w:tcPr>
          <w:p w14:paraId="7087FC43" w14:textId="77777777" w:rsidR="003D6D7E" w:rsidRPr="00803374" w:rsidRDefault="003D6D7E" w:rsidP="00BD1BF4"/>
        </w:tc>
      </w:tr>
      <w:tr w:rsidR="003D6D7E" w:rsidRPr="00803374" w14:paraId="75AD3D6E" w14:textId="2BE597E4" w:rsidTr="003D6D7E">
        <w:trPr>
          <w:trHeight w:val="567"/>
        </w:trPr>
        <w:tc>
          <w:tcPr>
            <w:tcW w:w="1100" w:type="dxa"/>
          </w:tcPr>
          <w:p w14:paraId="1F458201" w14:textId="77777777" w:rsidR="003D6D7E" w:rsidRDefault="003D6D7E" w:rsidP="00BD1BF4">
            <w:r>
              <w:lastRenderedPageBreak/>
              <w:t>7.2.2.5</w:t>
            </w:r>
          </w:p>
        </w:tc>
        <w:tc>
          <w:tcPr>
            <w:tcW w:w="7060" w:type="dxa"/>
          </w:tcPr>
          <w:p w14:paraId="489912A4" w14:textId="77777777" w:rsidR="003D6D7E" w:rsidRPr="00803374" w:rsidRDefault="003D6D7E" w:rsidP="00916CF5">
            <w:r w:rsidRPr="00803374">
              <w:t xml:space="preserve">Schools </w:t>
            </w:r>
            <w:r>
              <w:t>must</w:t>
            </w:r>
            <w:r w:rsidRPr="00803374">
              <w:t xml:space="preserve"> ensure that when they are creating a Sub Program it is coded under the correct Program area.</w:t>
            </w:r>
          </w:p>
        </w:tc>
        <w:tc>
          <w:tcPr>
            <w:tcW w:w="837" w:type="dxa"/>
          </w:tcPr>
          <w:p w14:paraId="2200E1EB" w14:textId="77777777" w:rsidR="003D6D7E" w:rsidRPr="00803374" w:rsidRDefault="003D6D7E" w:rsidP="00916CF5"/>
        </w:tc>
      </w:tr>
      <w:tr w:rsidR="003D6D7E" w:rsidRPr="00803374" w14:paraId="144BA5C6" w14:textId="16E7B0EA" w:rsidTr="003D6D7E">
        <w:trPr>
          <w:trHeight w:val="567"/>
        </w:trPr>
        <w:tc>
          <w:tcPr>
            <w:tcW w:w="1100" w:type="dxa"/>
          </w:tcPr>
          <w:p w14:paraId="121A938F" w14:textId="77777777" w:rsidR="003D6D7E" w:rsidRPr="00803374" w:rsidRDefault="003D6D7E" w:rsidP="00BD1BF4">
            <w:r>
              <w:t>7.2.2.6</w:t>
            </w:r>
          </w:p>
        </w:tc>
        <w:tc>
          <w:tcPr>
            <w:tcW w:w="7060" w:type="dxa"/>
          </w:tcPr>
          <w:p w14:paraId="209B8C53" w14:textId="77777777" w:rsidR="003D6D7E" w:rsidRPr="00803374" w:rsidRDefault="003D6D7E" w:rsidP="00BD1BF4">
            <w:r w:rsidRPr="00803374">
              <w:t xml:space="preserve">The use of the Department defined codes must be adopted for the identification and recording of transactions where possible. These codes cover the majority of transactions and are necessary for consistency as well as calculating aggregates for ‘whole of government’ reporting. The school defined codes must be used selectively and only when a Department defined code for the item does not exist. </w:t>
            </w:r>
          </w:p>
        </w:tc>
        <w:tc>
          <w:tcPr>
            <w:tcW w:w="837" w:type="dxa"/>
          </w:tcPr>
          <w:p w14:paraId="517AD1DB" w14:textId="77777777" w:rsidR="003D6D7E" w:rsidRPr="00803374" w:rsidRDefault="003D6D7E" w:rsidP="00BD1BF4"/>
        </w:tc>
      </w:tr>
      <w:tr w:rsidR="003D6D7E" w:rsidRPr="00803374" w14:paraId="76B3F2EB" w14:textId="6FD19805" w:rsidTr="003D6D7E">
        <w:trPr>
          <w:trHeight w:val="567"/>
        </w:trPr>
        <w:tc>
          <w:tcPr>
            <w:tcW w:w="1100" w:type="dxa"/>
          </w:tcPr>
          <w:p w14:paraId="35235846" w14:textId="77777777" w:rsidR="003D6D7E" w:rsidRPr="00803374" w:rsidRDefault="003D6D7E" w:rsidP="00BD1BF4">
            <w:r>
              <w:t>7.2.2.7</w:t>
            </w:r>
          </w:p>
        </w:tc>
        <w:tc>
          <w:tcPr>
            <w:tcW w:w="7060" w:type="dxa"/>
          </w:tcPr>
          <w:p w14:paraId="27FE49E0" w14:textId="77777777" w:rsidR="003D6D7E" w:rsidRPr="00803374" w:rsidRDefault="003D6D7E" w:rsidP="00BD1BF4">
            <w:r w:rsidRPr="00803374">
              <w:t xml:space="preserve">Coding of revenue and expenditure for CASES21 data entry must align with the school’s budget approved by school council. </w:t>
            </w:r>
          </w:p>
        </w:tc>
        <w:tc>
          <w:tcPr>
            <w:tcW w:w="837" w:type="dxa"/>
          </w:tcPr>
          <w:p w14:paraId="56C1F35F" w14:textId="77777777" w:rsidR="003D6D7E" w:rsidRPr="00803374" w:rsidRDefault="003D6D7E" w:rsidP="00BD1BF4"/>
        </w:tc>
      </w:tr>
      <w:tr w:rsidR="003D6D7E" w:rsidRPr="00803374" w14:paraId="4116AABC" w14:textId="69A27194" w:rsidTr="003D6D7E">
        <w:trPr>
          <w:trHeight w:val="567"/>
        </w:trPr>
        <w:tc>
          <w:tcPr>
            <w:tcW w:w="1100" w:type="dxa"/>
          </w:tcPr>
          <w:p w14:paraId="707B2159" w14:textId="77777777" w:rsidR="003D6D7E" w:rsidRPr="00803374" w:rsidRDefault="003D6D7E" w:rsidP="00BD1BF4">
            <w:r>
              <w:t>7.2.2.8</w:t>
            </w:r>
          </w:p>
        </w:tc>
        <w:tc>
          <w:tcPr>
            <w:tcW w:w="7060" w:type="dxa"/>
          </w:tcPr>
          <w:p w14:paraId="3EBB3676" w14:textId="77777777" w:rsidR="003D6D7E" w:rsidRPr="00803374" w:rsidRDefault="003D6D7E" w:rsidP="00BD1BF4">
            <w:r w:rsidRPr="00803374">
              <w:t xml:space="preserve">All Schools must provide meaningful descriptions when entering data into the CASES21 finance system. Do not use the CASES21 account code as a description in the transaction detail field. </w:t>
            </w:r>
          </w:p>
        </w:tc>
        <w:tc>
          <w:tcPr>
            <w:tcW w:w="837" w:type="dxa"/>
          </w:tcPr>
          <w:p w14:paraId="17EC3474" w14:textId="77777777" w:rsidR="003D6D7E" w:rsidRPr="00803374" w:rsidRDefault="003D6D7E" w:rsidP="00BD1BF4"/>
        </w:tc>
      </w:tr>
    </w:tbl>
    <w:bookmarkEnd w:id="0"/>
    <w:bookmarkEnd w:id="1"/>
    <w:bookmarkEnd w:id="2"/>
    <w:p w14:paraId="1DA0C07F" w14:textId="77777777" w:rsidR="00EC7D90" w:rsidRPr="00803374" w:rsidRDefault="004F0AF6" w:rsidP="00221808">
      <w:pPr>
        <w:pStyle w:val="Heading3"/>
      </w:pPr>
      <w:r w:rsidRPr="00803374">
        <w:t>7.2.3</w:t>
      </w:r>
      <w:r w:rsidR="00A64251">
        <w:tab/>
      </w:r>
      <w:r w:rsidR="00EC7D90" w:rsidRPr="00803374">
        <w:t>Prohibited policy (</w:t>
      </w:r>
      <w:r w:rsidR="00D23546">
        <w:t>M</w:t>
      </w:r>
      <w:r w:rsidR="00EC7D90" w:rsidRPr="00803374">
        <w:t>ust not</w:t>
      </w:r>
      <w:r w:rsidR="008077B4">
        <w:t xml:space="preserve"> do</w:t>
      </w:r>
      <w:r w:rsidR="00EC7D90" w:rsidRPr="00803374">
        <w:t>)</w:t>
      </w:r>
      <w:r w:rsidR="00A64251">
        <w:t>:</w:t>
      </w:r>
    </w:p>
    <w:tbl>
      <w:tblPr>
        <w:tblStyle w:val="TableGrid"/>
        <w:tblW w:w="0" w:type="auto"/>
        <w:tblInd w:w="57" w:type="dxa"/>
        <w:tblLook w:val="04A0" w:firstRow="1" w:lastRow="0" w:firstColumn="1" w:lastColumn="0" w:noHBand="0" w:noVBand="1"/>
        <w:tblDescription w:val="table containing sequence numbers and policy information"/>
      </w:tblPr>
      <w:tblGrid>
        <w:gridCol w:w="1100"/>
        <w:gridCol w:w="7060"/>
        <w:gridCol w:w="837"/>
      </w:tblGrid>
      <w:tr w:rsidR="003D6D7E" w:rsidRPr="00803374" w14:paraId="7169F0D0" w14:textId="3AF76419" w:rsidTr="003D6D7E">
        <w:trPr>
          <w:trHeight w:hRule="exact" w:val="681"/>
          <w:tblHeader/>
        </w:trPr>
        <w:tc>
          <w:tcPr>
            <w:tcW w:w="1100" w:type="dxa"/>
          </w:tcPr>
          <w:p w14:paraId="42030850" w14:textId="77777777" w:rsidR="003D6D7E" w:rsidRPr="00B717E0" w:rsidRDefault="003D6D7E" w:rsidP="00F73065">
            <w:pPr>
              <w:rPr>
                <w:b/>
                <w:sz w:val="18"/>
              </w:rPr>
            </w:pPr>
            <w:r w:rsidRPr="00B717E0">
              <w:rPr>
                <w:b/>
                <w:sz w:val="18"/>
              </w:rPr>
              <w:t>Sequence</w:t>
            </w:r>
            <w:r>
              <w:rPr>
                <w:b/>
                <w:sz w:val="18"/>
              </w:rPr>
              <w:t xml:space="preserve"> Number</w:t>
            </w:r>
          </w:p>
        </w:tc>
        <w:tc>
          <w:tcPr>
            <w:tcW w:w="7060" w:type="dxa"/>
          </w:tcPr>
          <w:p w14:paraId="0962B17E" w14:textId="77777777" w:rsidR="003D6D7E" w:rsidRPr="00BF2182" w:rsidRDefault="003D6D7E" w:rsidP="00F73065">
            <w:pPr>
              <w:rPr>
                <w:b/>
              </w:rPr>
            </w:pPr>
            <w:r w:rsidRPr="00BF2182">
              <w:rPr>
                <w:b/>
              </w:rPr>
              <w:t>Information</w:t>
            </w:r>
          </w:p>
        </w:tc>
        <w:tc>
          <w:tcPr>
            <w:tcW w:w="837" w:type="dxa"/>
            <w:tcBorders>
              <w:top w:val="nil"/>
              <w:right w:val="nil"/>
            </w:tcBorders>
          </w:tcPr>
          <w:p w14:paraId="3FC7DB3D" w14:textId="77777777" w:rsidR="003D6D7E" w:rsidRPr="00BF2182" w:rsidRDefault="003D6D7E" w:rsidP="00F73065">
            <w:pPr>
              <w:rPr>
                <w:b/>
              </w:rPr>
            </w:pPr>
          </w:p>
        </w:tc>
      </w:tr>
      <w:tr w:rsidR="003D6D7E" w:rsidRPr="00803374" w14:paraId="3AE7F8A3" w14:textId="713289ED" w:rsidTr="003D6D7E">
        <w:trPr>
          <w:trHeight w:val="567"/>
        </w:trPr>
        <w:tc>
          <w:tcPr>
            <w:tcW w:w="1100" w:type="dxa"/>
          </w:tcPr>
          <w:p w14:paraId="3B058594" w14:textId="77777777" w:rsidR="003D6D7E" w:rsidRPr="00803374" w:rsidRDefault="003D6D7E" w:rsidP="00BD1BF4">
            <w:r>
              <w:t>7.2.3.1</w:t>
            </w:r>
          </w:p>
        </w:tc>
        <w:tc>
          <w:tcPr>
            <w:tcW w:w="7060" w:type="dxa"/>
          </w:tcPr>
          <w:p w14:paraId="5DE25681" w14:textId="77777777" w:rsidR="003D6D7E" w:rsidRPr="00803374" w:rsidRDefault="003D6D7E" w:rsidP="00916CF5">
            <w:r w:rsidRPr="00803374">
              <w:t xml:space="preserve">School defined Sub Program codes </w:t>
            </w:r>
            <w:r>
              <w:t>must</w:t>
            </w:r>
            <w:r w:rsidRPr="00803374">
              <w:t xml:space="preserve"> not be created prior to a check being done to ascertain whether a predefined code already exists. </w:t>
            </w:r>
          </w:p>
        </w:tc>
        <w:tc>
          <w:tcPr>
            <w:tcW w:w="837" w:type="dxa"/>
          </w:tcPr>
          <w:p w14:paraId="3AE22FFA" w14:textId="77777777" w:rsidR="003D6D7E" w:rsidRPr="00803374" w:rsidRDefault="003D6D7E" w:rsidP="00916CF5"/>
        </w:tc>
      </w:tr>
      <w:tr w:rsidR="003D6D7E" w:rsidRPr="00803374" w14:paraId="55307AED" w14:textId="12574C6F" w:rsidTr="003D6D7E">
        <w:trPr>
          <w:trHeight w:val="567"/>
        </w:trPr>
        <w:tc>
          <w:tcPr>
            <w:tcW w:w="1100" w:type="dxa"/>
          </w:tcPr>
          <w:p w14:paraId="703A48F3" w14:textId="77777777" w:rsidR="003D6D7E" w:rsidRPr="00803374" w:rsidRDefault="003D6D7E" w:rsidP="00BD1BF4">
            <w:r>
              <w:t>7.2.3.2</w:t>
            </w:r>
          </w:p>
        </w:tc>
        <w:tc>
          <w:tcPr>
            <w:tcW w:w="7060" w:type="dxa"/>
          </w:tcPr>
          <w:p w14:paraId="070D73EA" w14:textId="77777777" w:rsidR="003D6D7E" w:rsidRPr="00803374" w:rsidRDefault="003D6D7E" w:rsidP="00482F8B">
            <w:r w:rsidRPr="00585C89">
              <w:t>Schools must not create a Sub Program code where that code exists at General Ledger level, for example, cash grant, commission, photocopying</w:t>
            </w:r>
            <w:r>
              <w:t xml:space="preserve"> and </w:t>
            </w:r>
            <w:r w:rsidRPr="00585C89">
              <w:t>electricity etc.</w:t>
            </w:r>
            <w:r>
              <w:t xml:space="preserve"> unless used as a clearing account.</w:t>
            </w:r>
          </w:p>
        </w:tc>
        <w:tc>
          <w:tcPr>
            <w:tcW w:w="837" w:type="dxa"/>
          </w:tcPr>
          <w:p w14:paraId="3A1C0428" w14:textId="77777777" w:rsidR="003D6D7E" w:rsidRPr="00585C89" w:rsidRDefault="003D6D7E" w:rsidP="00482F8B"/>
        </w:tc>
      </w:tr>
    </w:tbl>
    <w:p w14:paraId="3FE8C72A" w14:textId="77777777" w:rsidR="00EC7D90" w:rsidRPr="00803374" w:rsidRDefault="00EC7D90" w:rsidP="00BD1BF4"/>
    <w:p w14:paraId="602D73C4" w14:textId="77777777" w:rsidR="008B5B71" w:rsidRPr="008B5B71" w:rsidRDefault="008B5B71" w:rsidP="00EB0C35">
      <w:pPr>
        <w:pStyle w:val="BodyText"/>
      </w:pPr>
      <w:r w:rsidRPr="008B5B71">
        <w:t>Case Study</w:t>
      </w:r>
    </w:p>
    <w:p w14:paraId="4ABF1A6B" w14:textId="77777777" w:rsidR="008B5B71" w:rsidRPr="008B5B71" w:rsidRDefault="008B5B71" w:rsidP="00EB0C35">
      <w:pPr>
        <w:pStyle w:val="BodyText2"/>
        <w:rPr>
          <w:w w:val="110"/>
          <w:highlight w:val="yellow"/>
        </w:rPr>
      </w:pPr>
      <w:r w:rsidRPr="008B5B71">
        <w:rPr>
          <w:w w:val="110"/>
        </w:rPr>
        <w:t xml:space="preserve">Correct </w:t>
      </w:r>
      <w:r w:rsidR="00C10EC7">
        <w:rPr>
          <w:w w:val="110"/>
        </w:rPr>
        <w:t xml:space="preserve">Chart </w:t>
      </w:r>
      <w:r w:rsidRPr="008B5B71">
        <w:rPr>
          <w:w w:val="110"/>
        </w:rPr>
        <w:t xml:space="preserve">of </w:t>
      </w:r>
      <w:r w:rsidR="00C10EC7">
        <w:rPr>
          <w:w w:val="110"/>
        </w:rPr>
        <w:t>A</w:t>
      </w:r>
      <w:r w:rsidRPr="008B5B71">
        <w:rPr>
          <w:w w:val="110"/>
        </w:rPr>
        <w:t>ccount code to be used by Schools for the receipting of the Student Resource Package</w:t>
      </w:r>
      <w:r w:rsidR="0024279C">
        <w:rPr>
          <w:w w:val="110"/>
        </w:rPr>
        <w:t xml:space="preserve"> (SRP)</w:t>
      </w:r>
      <w:r w:rsidRPr="008B5B71">
        <w:rPr>
          <w:w w:val="110"/>
        </w:rPr>
        <w:t xml:space="preserve"> </w:t>
      </w:r>
      <w:r w:rsidR="0024279C">
        <w:rPr>
          <w:w w:val="110"/>
        </w:rPr>
        <w:t>cash funding</w:t>
      </w:r>
      <w:r w:rsidRPr="008B5B71">
        <w:rPr>
          <w:w w:val="110"/>
        </w:rPr>
        <w:t xml:space="preserve"> paid by the Department of Education and Training </w:t>
      </w:r>
    </w:p>
    <w:p w14:paraId="20654A26" w14:textId="77777777" w:rsidR="00716F0A" w:rsidRDefault="008B5B71" w:rsidP="00EB0C35">
      <w:pPr>
        <w:pStyle w:val="BodyText2"/>
        <w:rPr>
          <w:w w:val="110"/>
        </w:rPr>
      </w:pPr>
      <w:r w:rsidRPr="008B5B71">
        <w:rPr>
          <w:w w:val="110"/>
        </w:rPr>
        <w:t>A schools receives the following funding from the Department which includes the Student Resource Package (SRP) Student-based funding, School-based funding, Establishment grants, Targeted Initiatives, SRP credit to cash transfers, short term leave reimbursement (STLR),</w:t>
      </w:r>
      <w:r w:rsidR="00A753AB">
        <w:rPr>
          <w:w w:val="110"/>
        </w:rPr>
        <w:t xml:space="preserve"> and</w:t>
      </w:r>
      <w:r w:rsidRPr="008B5B71">
        <w:rPr>
          <w:w w:val="110"/>
        </w:rPr>
        <w:t xml:space="preserve"> reconciliation funding, all this type of funding must be recorded in account code 70001 – Cash Grant.</w:t>
      </w:r>
    </w:p>
    <w:p w14:paraId="68DA4E06" w14:textId="77777777" w:rsidR="008B5B71" w:rsidRPr="008B5B71" w:rsidRDefault="008B5B71" w:rsidP="00EB0C35">
      <w:pPr>
        <w:pStyle w:val="BodyText2"/>
        <w:rPr>
          <w:w w:val="110"/>
        </w:rPr>
      </w:pPr>
    </w:p>
    <w:p w14:paraId="19F01B31" w14:textId="77777777" w:rsidR="008B5B71" w:rsidRDefault="008B5B71" w:rsidP="00BD1BF4"/>
    <w:p w14:paraId="2B4FE691" w14:textId="77777777" w:rsidR="00346858" w:rsidRDefault="00346858">
      <w:pPr>
        <w:spacing w:after="0" w:line="240" w:lineRule="auto"/>
      </w:pPr>
      <w:r>
        <w:br w:type="page"/>
      </w:r>
    </w:p>
    <w:p w14:paraId="334D1242" w14:textId="77777777" w:rsidR="00602979" w:rsidRPr="00803374" w:rsidRDefault="00602979" w:rsidP="00221808">
      <w:pPr>
        <w:pStyle w:val="Heading2"/>
      </w:pPr>
      <w:r w:rsidRPr="00803374">
        <w:lastRenderedPageBreak/>
        <w:t xml:space="preserve">7.3 </w:t>
      </w:r>
      <w:r w:rsidR="00A64251">
        <w:tab/>
        <w:t>Goods and Services T</w:t>
      </w:r>
      <w:r w:rsidRPr="00803374">
        <w:t xml:space="preserve">ax (GST) and the </w:t>
      </w:r>
      <w:r w:rsidR="00A64251">
        <w:t>C</w:t>
      </w:r>
      <w:r w:rsidRPr="00803374">
        <w:t xml:space="preserve">hart of </w:t>
      </w:r>
      <w:r w:rsidR="00C10EC7">
        <w:t>A</w:t>
      </w:r>
      <w:r w:rsidRPr="00803374">
        <w:t xml:space="preserve">ccounts </w:t>
      </w:r>
    </w:p>
    <w:p w14:paraId="2EC22FB1" w14:textId="77777777" w:rsidR="00602979" w:rsidRPr="00221808" w:rsidRDefault="00602979" w:rsidP="00221808">
      <w:pPr>
        <w:pStyle w:val="Heading3"/>
      </w:pPr>
      <w:r w:rsidRPr="00221808">
        <w:t xml:space="preserve">7.3.1 </w:t>
      </w:r>
      <w:r w:rsidR="00A64251">
        <w:tab/>
      </w:r>
      <w:r w:rsidRPr="00221808">
        <w:t>Overview</w:t>
      </w:r>
    </w:p>
    <w:p w14:paraId="6AAC583D" w14:textId="77777777" w:rsidR="00602979" w:rsidRDefault="00602979" w:rsidP="00BD1BF4">
      <w:r w:rsidRPr="00803374">
        <w:t xml:space="preserve">Primary, Secondary and Special Schools have multiple GST tax codes to choose from when receipting revenue or to apply when paying creditor invoices on CASES21. </w:t>
      </w:r>
    </w:p>
    <w:p w14:paraId="70C20C2D" w14:textId="77777777" w:rsidR="00602979" w:rsidRPr="00803374" w:rsidRDefault="00602979" w:rsidP="00221808">
      <w:pPr>
        <w:pStyle w:val="Heading3"/>
      </w:pPr>
      <w:r w:rsidRPr="00803374">
        <w:t>7</w:t>
      </w:r>
      <w:r w:rsidR="004F0AF6" w:rsidRPr="00803374">
        <w:t>.3</w:t>
      </w:r>
      <w:r w:rsidRPr="00803374">
        <w:t xml:space="preserve">.2 </w:t>
      </w:r>
      <w:r w:rsidR="00A64251">
        <w:tab/>
      </w:r>
      <w:r w:rsidRPr="00803374">
        <w:t>Mandatory policy (</w:t>
      </w:r>
      <w:r w:rsidR="00916CF5">
        <w:t>Must do</w:t>
      </w:r>
      <w:r w:rsidRPr="00803374">
        <w:t>)</w:t>
      </w:r>
      <w:r w:rsidR="00B02020">
        <w:t>:</w:t>
      </w:r>
    </w:p>
    <w:tbl>
      <w:tblPr>
        <w:tblStyle w:val="TableGrid"/>
        <w:tblW w:w="0" w:type="auto"/>
        <w:tblInd w:w="57" w:type="dxa"/>
        <w:tblLook w:val="04A0" w:firstRow="1" w:lastRow="0" w:firstColumn="1" w:lastColumn="0" w:noHBand="0" w:noVBand="1"/>
        <w:tblDescription w:val="table containing sequence numbers and policy information"/>
      </w:tblPr>
      <w:tblGrid>
        <w:gridCol w:w="1100"/>
        <w:gridCol w:w="7060"/>
        <w:gridCol w:w="837"/>
      </w:tblGrid>
      <w:tr w:rsidR="003D6D7E" w:rsidRPr="00803374" w14:paraId="4AE40FE4" w14:textId="03672C14" w:rsidTr="003D6D7E">
        <w:trPr>
          <w:trHeight w:hRule="exact" w:val="681"/>
          <w:tblHeader/>
        </w:trPr>
        <w:tc>
          <w:tcPr>
            <w:tcW w:w="1100" w:type="dxa"/>
          </w:tcPr>
          <w:p w14:paraId="08FECDEC" w14:textId="77777777" w:rsidR="003D6D7E" w:rsidRPr="00B717E0" w:rsidRDefault="003D6D7E" w:rsidP="00F73065">
            <w:pPr>
              <w:rPr>
                <w:b/>
                <w:sz w:val="18"/>
              </w:rPr>
            </w:pPr>
            <w:r w:rsidRPr="00B717E0">
              <w:rPr>
                <w:b/>
                <w:sz w:val="18"/>
              </w:rPr>
              <w:t>Sequence</w:t>
            </w:r>
            <w:r>
              <w:rPr>
                <w:b/>
                <w:sz w:val="18"/>
              </w:rPr>
              <w:t xml:space="preserve"> Number</w:t>
            </w:r>
          </w:p>
        </w:tc>
        <w:tc>
          <w:tcPr>
            <w:tcW w:w="7060" w:type="dxa"/>
          </w:tcPr>
          <w:p w14:paraId="322E7ED2" w14:textId="77777777" w:rsidR="003D6D7E" w:rsidRPr="00BF2182" w:rsidRDefault="003D6D7E" w:rsidP="00F73065">
            <w:pPr>
              <w:rPr>
                <w:b/>
              </w:rPr>
            </w:pPr>
            <w:r w:rsidRPr="00BF2182">
              <w:rPr>
                <w:b/>
              </w:rPr>
              <w:t>Information</w:t>
            </w:r>
          </w:p>
        </w:tc>
        <w:tc>
          <w:tcPr>
            <w:tcW w:w="837" w:type="dxa"/>
            <w:tcBorders>
              <w:top w:val="nil"/>
              <w:right w:val="nil"/>
            </w:tcBorders>
          </w:tcPr>
          <w:p w14:paraId="2812BEED" w14:textId="77777777" w:rsidR="003D6D7E" w:rsidRPr="00BF2182" w:rsidRDefault="003D6D7E" w:rsidP="00F73065">
            <w:pPr>
              <w:rPr>
                <w:b/>
              </w:rPr>
            </w:pPr>
          </w:p>
        </w:tc>
      </w:tr>
      <w:tr w:rsidR="003D6D7E" w:rsidRPr="00221808" w14:paraId="7F2DFDB3" w14:textId="723364C2" w:rsidTr="003D6D7E">
        <w:trPr>
          <w:trHeight w:val="567"/>
        </w:trPr>
        <w:tc>
          <w:tcPr>
            <w:tcW w:w="1100" w:type="dxa"/>
          </w:tcPr>
          <w:p w14:paraId="5F5A0964" w14:textId="77777777" w:rsidR="003D6D7E" w:rsidRPr="00221808" w:rsidRDefault="003D6D7E" w:rsidP="00BD1BF4">
            <w:r>
              <w:t>7.3.2.1</w:t>
            </w:r>
          </w:p>
        </w:tc>
        <w:tc>
          <w:tcPr>
            <w:tcW w:w="7060" w:type="dxa"/>
          </w:tcPr>
          <w:p w14:paraId="1C2722AA" w14:textId="77777777" w:rsidR="003D6D7E" w:rsidRPr="00221808" w:rsidRDefault="003D6D7E" w:rsidP="00BD1BF4">
            <w:r w:rsidRPr="00221808">
              <w:t>The GST revenue code to use is determined by the type or source of revenue being receipted. For invoices, the GST code is determined on whether the creditor holds an ABN and/or GST registration.</w:t>
            </w:r>
          </w:p>
        </w:tc>
        <w:tc>
          <w:tcPr>
            <w:tcW w:w="837" w:type="dxa"/>
          </w:tcPr>
          <w:p w14:paraId="38AD5E70" w14:textId="77777777" w:rsidR="003D6D7E" w:rsidRPr="00221808" w:rsidRDefault="003D6D7E" w:rsidP="00BD1BF4"/>
        </w:tc>
      </w:tr>
      <w:tr w:rsidR="003D6D7E" w:rsidRPr="00221808" w14:paraId="2729AF0B" w14:textId="6E0CC12E" w:rsidTr="003D6D7E">
        <w:trPr>
          <w:trHeight w:val="567"/>
        </w:trPr>
        <w:tc>
          <w:tcPr>
            <w:tcW w:w="1100" w:type="dxa"/>
          </w:tcPr>
          <w:p w14:paraId="226AAFB8" w14:textId="77777777" w:rsidR="003D6D7E" w:rsidRPr="00221808" w:rsidRDefault="003D6D7E" w:rsidP="00BD1BF4">
            <w:r>
              <w:t>7.3.2.2</w:t>
            </w:r>
          </w:p>
        </w:tc>
        <w:tc>
          <w:tcPr>
            <w:tcW w:w="7060" w:type="dxa"/>
          </w:tcPr>
          <w:p w14:paraId="71E3EAB3" w14:textId="77777777" w:rsidR="003D6D7E" w:rsidRPr="00221808" w:rsidRDefault="003D6D7E" w:rsidP="00BD1BF4">
            <w:r w:rsidRPr="00221808">
              <w:t>It should be noted also that Special Schools have the ability to treat certain revenue (donations etc.) as out of scope (i.e. NS6) due to their status as a Deductible Gift Recipient</w:t>
            </w:r>
            <w:r>
              <w:t xml:space="preserve"> (DGR)</w:t>
            </w:r>
            <w:r w:rsidRPr="00221808">
              <w:t xml:space="preserve">. </w:t>
            </w:r>
          </w:p>
        </w:tc>
        <w:tc>
          <w:tcPr>
            <w:tcW w:w="837" w:type="dxa"/>
          </w:tcPr>
          <w:p w14:paraId="7A5C0163" w14:textId="77777777" w:rsidR="003D6D7E" w:rsidRPr="00221808" w:rsidRDefault="003D6D7E" w:rsidP="00BD1BF4"/>
        </w:tc>
      </w:tr>
      <w:tr w:rsidR="003D6D7E" w:rsidRPr="00221808" w14:paraId="434FB3D3" w14:textId="36AE2096" w:rsidTr="003D6D7E">
        <w:trPr>
          <w:trHeight w:val="567"/>
        </w:trPr>
        <w:tc>
          <w:tcPr>
            <w:tcW w:w="1100" w:type="dxa"/>
          </w:tcPr>
          <w:p w14:paraId="052CF8FD" w14:textId="77777777" w:rsidR="003D6D7E" w:rsidRPr="00221808" w:rsidRDefault="003D6D7E" w:rsidP="00BD1BF4">
            <w:r>
              <w:t>7.3.2.3</w:t>
            </w:r>
          </w:p>
        </w:tc>
        <w:tc>
          <w:tcPr>
            <w:tcW w:w="7060" w:type="dxa"/>
          </w:tcPr>
          <w:p w14:paraId="2958BA08" w14:textId="77777777" w:rsidR="003D6D7E" w:rsidRPr="00221808" w:rsidRDefault="003D6D7E" w:rsidP="00BD1BF4">
            <w:r w:rsidRPr="00221808">
              <w:t>The liability of accounting for GST correctly falls on ‘the receiver’ of revenue. Therefore, when schools receive revenue, they must be diligent in ensuring that the correct GST treatment is applied. Schools must also ensure that they claim back all GST to which they are entitled when they make purchases.</w:t>
            </w:r>
          </w:p>
        </w:tc>
        <w:tc>
          <w:tcPr>
            <w:tcW w:w="837" w:type="dxa"/>
          </w:tcPr>
          <w:p w14:paraId="5124EA71" w14:textId="77777777" w:rsidR="003D6D7E" w:rsidRPr="00221808" w:rsidRDefault="003D6D7E" w:rsidP="00BD1BF4"/>
        </w:tc>
      </w:tr>
      <w:tr w:rsidR="003D6D7E" w:rsidRPr="00221808" w14:paraId="587C7CC2" w14:textId="1042C3A0" w:rsidTr="003D6D7E">
        <w:trPr>
          <w:trHeight w:val="567"/>
        </w:trPr>
        <w:tc>
          <w:tcPr>
            <w:tcW w:w="1100" w:type="dxa"/>
          </w:tcPr>
          <w:p w14:paraId="63B28B1A" w14:textId="77777777" w:rsidR="003D6D7E" w:rsidRPr="00221808" w:rsidRDefault="003D6D7E" w:rsidP="00BD1BF4">
            <w:r>
              <w:t>7.3.2.4</w:t>
            </w:r>
          </w:p>
        </w:tc>
        <w:tc>
          <w:tcPr>
            <w:tcW w:w="7060" w:type="dxa"/>
          </w:tcPr>
          <w:p w14:paraId="538F6266" w14:textId="77777777" w:rsidR="003D6D7E" w:rsidRDefault="003D6D7E" w:rsidP="00024C71">
            <w:r w:rsidRPr="00221808">
              <w:t xml:space="preserve">The GST codes for revenue and expenditure that are utilised by schools are listed in the ‘GST codes for schools’ table. </w:t>
            </w:r>
            <w:hyperlink r:id="rId11" w:history="1">
              <w:r w:rsidRPr="00024C71">
                <w:rPr>
                  <w:rStyle w:val="Hyperlink"/>
                </w:rPr>
                <w:t>Refer to page 8 and 9 in the Chart of Accounts.</w:t>
              </w:r>
            </w:hyperlink>
          </w:p>
          <w:p w14:paraId="3EBEC9DB" w14:textId="77777777" w:rsidR="003D6D7E" w:rsidRPr="00221808" w:rsidRDefault="003D6D7E" w:rsidP="00024C71"/>
        </w:tc>
        <w:tc>
          <w:tcPr>
            <w:tcW w:w="837" w:type="dxa"/>
          </w:tcPr>
          <w:p w14:paraId="6C578B0B" w14:textId="77777777" w:rsidR="003D6D7E" w:rsidRPr="00221808" w:rsidRDefault="003D6D7E" w:rsidP="00024C71"/>
        </w:tc>
      </w:tr>
    </w:tbl>
    <w:p w14:paraId="3ACB0727" w14:textId="77777777" w:rsidR="00602979" w:rsidRPr="00803374" w:rsidRDefault="00ED3DCD" w:rsidP="00221808">
      <w:pPr>
        <w:pStyle w:val="Heading3"/>
      </w:pPr>
      <w:r w:rsidRPr="00803374">
        <w:t>7.</w:t>
      </w:r>
      <w:r w:rsidR="00916CF5">
        <w:t>3.3</w:t>
      </w:r>
      <w:r w:rsidRPr="00803374">
        <w:t xml:space="preserve"> </w:t>
      </w:r>
      <w:r w:rsidR="00A64251">
        <w:tab/>
      </w:r>
      <w:r w:rsidRPr="00803374">
        <w:t xml:space="preserve">Additional </w:t>
      </w:r>
      <w:r w:rsidR="00A64251">
        <w:t>resources and s</w:t>
      </w:r>
      <w:r w:rsidRPr="00803374">
        <w:t>upport</w:t>
      </w:r>
    </w:p>
    <w:p w14:paraId="19DE337E" w14:textId="168AE830" w:rsidR="00ED3DCD" w:rsidRPr="00221808" w:rsidRDefault="00ED3DCD" w:rsidP="00BD1BF4">
      <w:r w:rsidRPr="00221808">
        <w:t xml:space="preserve">For further information, </w:t>
      </w:r>
      <w:r w:rsidR="001C334A">
        <w:t>see</w:t>
      </w:r>
      <w:r w:rsidR="001C334A" w:rsidRPr="00221808">
        <w:t xml:space="preserve"> </w:t>
      </w:r>
      <w:r w:rsidRPr="00221808">
        <w:t xml:space="preserve">the Tax website at </w:t>
      </w:r>
      <w:r w:rsidR="00221808">
        <w:br/>
      </w:r>
      <w:r w:rsidRPr="00221808">
        <w:t xml:space="preserve"> </w:t>
      </w:r>
      <w:hyperlink r:id="rId12" w:history="1">
        <w:r w:rsidR="00100502" w:rsidRPr="00100502">
          <w:rPr>
            <w:rStyle w:val="Hyperlink"/>
          </w:rPr>
          <w:t>Tax Website</w:t>
        </w:r>
      </w:hyperlink>
    </w:p>
    <w:p w14:paraId="7C6A37D2" w14:textId="7C23508E" w:rsidR="00ED3DCD" w:rsidRPr="00803374" w:rsidRDefault="00ED3DCD" w:rsidP="00BD1BF4">
      <w:r w:rsidRPr="00221808">
        <w:t xml:space="preserve">If you have any questions or enquiries concerning GST, please contact the Department’s </w:t>
      </w:r>
      <w:r w:rsidR="001C334A">
        <w:t>Schools Financial Management Support</w:t>
      </w:r>
      <w:r w:rsidR="001C334A" w:rsidRPr="00221808">
        <w:t xml:space="preserve"> </w:t>
      </w:r>
      <w:r w:rsidRPr="00221808">
        <w:t xml:space="preserve">Unit on Phone: </w:t>
      </w:r>
      <w:r w:rsidR="000A2CD7">
        <w:t>70222228</w:t>
      </w:r>
      <w:r w:rsidRPr="00221808">
        <w:t xml:space="preserve"> or e-mail - Greg Hart at: </w:t>
      </w:r>
      <w:hyperlink r:id="rId13" w:history="1">
        <w:r w:rsidRPr="00221808">
          <w:rPr>
            <w:rStyle w:val="Hyperlink"/>
          </w:rPr>
          <w:t>hart.greg.j@edumail.vic.gov.au</w:t>
        </w:r>
      </w:hyperlink>
    </w:p>
    <w:p w14:paraId="11EC6555" w14:textId="77777777" w:rsidR="00ED3DCD" w:rsidRDefault="00ED3DCD" w:rsidP="00BD1BF4"/>
    <w:p w14:paraId="34F8330A" w14:textId="77777777" w:rsidR="0051778F" w:rsidRPr="00803374" w:rsidRDefault="0051778F" w:rsidP="00221808">
      <w:pPr>
        <w:pStyle w:val="Heading2"/>
      </w:pPr>
      <w:r w:rsidRPr="00803374">
        <w:t>Legislative requirements</w:t>
      </w:r>
    </w:p>
    <w:p w14:paraId="30CAD336" w14:textId="77777777" w:rsidR="0051778F" w:rsidRPr="00887F4D" w:rsidRDefault="0051778F" w:rsidP="00887F4D">
      <w:pPr>
        <w:pStyle w:val="Heading3"/>
      </w:pPr>
      <w:r w:rsidRPr="00887F4D">
        <w:t>Legislation</w:t>
      </w:r>
    </w:p>
    <w:p w14:paraId="70158A84" w14:textId="77777777" w:rsidR="00384920" w:rsidRPr="00803374" w:rsidRDefault="00384920" w:rsidP="00BD1BF4">
      <w:r w:rsidRPr="00803374">
        <w:t>The advice in this section was based on requirements outlined in the following legislation:</w:t>
      </w:r>
    </w:p>
    <w:p w14:paraId="056FEA3C" w14:textId="77777777" w:rsidR="00602979" w:rsidRPr="00803374" w:rsidRDefault="00602979" w:rsidP="00887F4D">
      <w:pPr>
        <w:pStyle w:val="ListBullet"/>
      </w:pPr>
      <w:r w:rsidRPr="004D4D13">
        <w:rPr>
          <w:i/>
        </w:rPr>
        <w:t>Education and Training Reform Act 2006</w:t>
      </w:r>
      <w:r w:rsidRPr="00803374">
        <w:t xml:space="preserve"> – Division 4 Accounts and records </w:t>
      </w:r>
    </w:p>
    <w:p w14:paraId="3179B213" w14:textId="77777777" w:rsidR="004E4CAD" w:rsidRDefault="004E4CAD" w:rsidP="004E4CAD">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24B1582C" w14:textId="5A1CECF4" w:rsidR="00602979" w:rsidRDefault="00602979" w:rsidP="00887F4D">
      <w:pPr>
        <w:pStyle w:val="ListBullet"/>
      </w:pPr>
      <w:r w:rsidRPr="00803374">
        <w:lastRenderedPageBreak/>
        <w:t>Standing Directions</w:t>
      </w:r>
      <w:r w:rsidR="00B74F5F">
        <w:t xml:space="preserve"> of the Minister of Finance 2018</w:t>
      </w:r>
      <w:r w:rsidRPr="00803374">
        <w:t xml:space="preserve"> </w:t>
      </w:r>
      <w:r w:rsidR="00916CF5">
        <w:t xml:space="preserve">under the </w:t>
      </w:r>
      <w:r w:rsidR="00B04643" w:rsidRPr="00B04643">
        <w:rPr>
          <w:i/>
        </w:rPr>
        <w:t xml:space="preserve">Financial </w:t>
      </w:r>
      <w:r w:rsidR="00D775FA" w:rsidRPr="00B04643">
        <w:rPr>
          <w:i/>
        </w:rPr>
        <w:t>Management</w:t>
      </w:r>
      <w:r w:rsidR="00B04643" w:rsidRPr="00B04643">
        <w:rPr>
          <w:i/>
        </w:rPr>
        <w:t xml:space="preserve"> Act 1994</w:t>
      </w:r>
      <w:r w:rsidR="00916CF5">
        <w:t xml:space="preserve"> </w:t>
      </w:r>
      <w:r w:rsidRPr="00803374">
        <w:t xml:space="preserve">– Section 2.4.2 Chief Finance Officer – General responsibilities </w:t>
      </w:r>
    </w:p>
    <w:p w14:paraId="42905E96" w14:textId="77777777" w:rsidR="004422ED" w:rsidRDefault="004422ED">
      <w:pPr>
        <w:pStyle w:val="ListBullet"/>
        <w:numPr>
          <w:ilvl w:val="0"/>
          <w:numId w:val="0"/>
        </w:numPr>
      </w:pPr>
    </w:p>
    <w:p w14:paraId="378968B9" w14:textId="77777777" w:rsidR="0051778F" w:rsidRPr="00803374" w:rsidRDefault="0051778F" w:rsidP="00887F4D">
      <w:pPr>
        <w:pStyle w:val="Heading2"/>
      </w:pPr>
      <w:r w:rsidRPr="00803374">
        <w:t>D</w:t>
      </w:r>
      <w:r w:rsidR="00534DA6" w:rsidRPr="00803374">
        <w:t>efinitions</w:t>
      </w:r>
      <w:r w:rsidRPr="00803374">
        <w:t xml:space="preserve"> </w:t>
      </w:r>
    </w:p>
    <w:tbl>
      <w:tblPr>
        <w:tblStyle w:val="GridTable6Colorful1"/>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table containing DET terms and their definitions"/>
      </w:tblPr>
      <w:tblGrid>
        <w:gridCol w:w="1930"/>
        <w:gridCol w:w="7067"/>
      </w:tblGrid>
      <w:tr w:rsidR="00E74FF8" w:rsidRPr="003F57F5" w14:paraId="1E4FA12B" w14:textId="77777777" w:rsidTr="003F57F5">
        <w:trPr>
          <w:tblHeader/>
        </w:trPr>
        <w:tc>
          <w:tcPr>
            <w:tcW w:w="1930" w:type="dxa"/>
          </w:tcPr>
          <w:p w14:paraId="09E3122B" w14:textId="7FEA0841" w:rsidR="00E74FF8" w:rsidRPr="003F57F5" w:rsidRDefault="003F57F5" w:rsidP="00D775FA">
            <w:pPr>
              <w:rPr>
                <w:b/>
              </w:rPr>
            </w:pPr>
            <w:r w:rsidRPr="003F57F5">
              <w:rPr>
                <w:b/>
              </w:rPr>
              <w:t>Term</w:t>
            </w:r>
          </w:p>
        </w:tc>
        <w:tc>
          <w:tcPr>
            <w:tcW w:w="7067" w:type="dxa"/>
          </w:tcPr>
          <w:p w14:paraId="673CB098" w14:textId="7068E284" w:rsidR="00E74FF8" w:rsidRPr="003F57F5" w:rsidRDefault="003F57F5" w:rsidP="00716F0A">
            <w:pPr>
              <w:rPr>
                <w:b/>
              </w:rPr>
            </w:pPr>
            <w:r w:rsidRPr="003F57F5">
              <w:rPr>
                <w:b/>
              </w:rPr>
              <w:t>Definition</w:t>
            </w:r>
          </w:p>
        </w:tc>
      </w:tr>
      <w:tr w:rsidR="00D775FA" w:rsidRPr="00887F4D" w14:paraId="1C70679D" w14:textId="77777777" w:rsidTr="00AD01FD">
        <w:tc>
          <w:tcPr>
            <w:tcW w:w="1930" w:type="dxa"/>
          </w:tcPr>
          <w:p w14:paraId="2D835EF2" w14:textId="77777777" w:rsidR="00D775FA" w:rsidRPr="00EB0C35" w:rsidRDefault="00D775FA" w:rsidP="00D775FA">
            <w:pPr>
              <w:rPr>
                <w:b/>
              </w:rPr>
            </w:pPr>
            <w:r w:rsidRPr="002E640B">
              <w:rPr>
                <w:b/>
              </w:rPr>
              <w:t>CASES21</w:t>
            </w:r>
          </w:p>
        </w:tc>
        <w:tc>
          <w:tcPr>
            <w:tcW w:w="7067" w:type="dxa"/>
          </w:tcPr>
          <w:p w14:paraId="23DE264F" w14:textId="77777777" w:rsidR="00D775FA" w:rsidRPr="00716F0A" w:rsidRDefault="00D775FA" w:rsidP="00716F0A">
            <w:r w:rsidRPr="00E77398">
              <w:t>CASES21 (Computerised Administrative System Environment in Schools</w:t>
            </w:r>
            <w:r>
              <w:t>)</w:t>
            </w:r>
            <w:r w:rsidRPr="00E77398">
              <w:t xml:space="preserve"> is the </w:t>
            </w:r>
            <w:r>
              <w:t xml:space="preserve">software </w:t>
            </w:r>
            <w:r w:rsidRPr="00E77398">
              <w:t>package provided to Victorian Government Schools to support school administration, finance and central reporting.</w:t>
            </w:r>
          </w:p>
        </w:tc>
      </w:tr>
      <w:tr w:rsidR="00D775FA" w:rsidRPr="00887F4D" w14:paraId="19C1A640" w14:textId="77777777" w:rsidTr="00D775FA">
        <w:tc>
          <w:tcPr>
            <w:tcW w:w="1930" w:type="dxa"/>
            <w:shd w:val="clear" w:color="auto" w:fill="F2F2F2" w:themeFill="background1" w:themeFillShade="F2"/>
          </w:tcPr>
          <w:p w14:paraId="1F43AD61" w14:textId="77777777" w:rsidR="00D775FA" w:rsidRPr="00EB0C35" w:rsidRDefault="00D775FA" w:rsidP="00C10EC7">
            <w:pPr>
              <w:rPr>
                <w:b/>
              </w:rPr>
            </w:pPr>
            <w:r w:rsidRPr="00EB0C35">
              <w:rPr>
                <w:b/>
              </w:rPr>
              <w:t xml:space="preserve">Chart of </w:t>
            </w:r>
            <w:r w:rsidR="00C10EC7">
              <w:rPr>
                <w:b/>
              </w:rPr>
              <w:t>A</w:t>
            </w:r>
            <w:r w:rsidRPr="00EB0C35">
              <w:rPr>
                <w:b/>
              </w:rPr>
              <w:t>ccounts</w:t>
            </w:r>
          </w:p>
        </w:tc>
        <w:tc>
          <w:tcPr>
            <w:tcW w:w="7067" w:type="dxa"/>
            <w:shd w:val="clear" w:color="auto" w:fill="F2F2F2" w:themeFill="background1" w:themeFillShade="F2"/>
          </w:tcPr>
          <w:p w14:paraId="025F36B0" w14:textId="77777777" w:rsidR="00D775FA" w:rsidRPr="00716F0A" w:rsidRDefault="00D775FA" w:rsidP="00C10EC7">
            <w:r w:rsidRPr="00716F0A">
              <w:t xml:space="preserve">A listing of accounts available in an accounting system in which to record entries. The </w:t>
            </w:r>
            <w:r w:rsidR="00C10EC7">
              <w:t>C</w:t>
            </w:r>
            <w:r w:rsidRPr="00716F0A">
              <w:t xml:space="preserve">hart of </w:t>
            </w:r>
            <w:r w:rsidR="00C10EC7">
              <w:t>A</w:t>
            </w:r>
            <w:r w:rsidRPr="00716F0A">
              <w:t xml:space="preserve">ccounts consists of balance sheet accounts (assets, liabilities, equity) and operating statement accounts (revenue and expenditure).   </w:t>
            </w:r>
          </w:p>
        </w:tc>
      </w:tr>
      <w:tr w:rsidR="00D775FA" w:rsidRPr="00887F4D" w14:paraId="4AEB6EB1" w14:textId="77777777" w:rsidTr="00AD01FD">
        <w:tc>
          <w:tcPr>
            <w:tcW w:w="1930" w:type="dxa"/>
          </w:tcPr>
          <w:p w14:paraId="3513B474" w14:textId="77777777" w:rsidR="00D775FA" w:rsidRPr="00D775FA" w:rsidRDefault="00D775FA" w:rsidP="00E41CB1">
            <w:pPr>
              <w:rPr>
                <w:b/>
                <w:color w:val="auto"/>
              </w:rPr>
            </w:pPr>
            <w:r w:rsidRPr="00D775FA">
              <w:rPr>
                <w:b/>
                <w:color w:val="auto"/>
              </w:rPr>
              <w:t>Declaration of private interest (DPI)</w:t>
            </w:r>
          </w:p>
          <w:p w14:paraId="4FFE9065" w14:textId="77777777" w:rsidR="00D775FA" w:rsidRPr="00D775FA" w:rsidRDefault="00D775FA" w:rsidP="00BD1BF4">
            <w:pPr>
              <w:rPr>
                <w:b/>
              </w:rPr>
            </w:pPr>
          </w:p>
        </w:tc>
        <w:tc>
          <w:tcPr>
            <w:tcW w:w="7067" w:type="dxa"/>
          </w:tcPr>
          <w:p w14:paraId="73F64CC1" w14:textId="77777777" w:rsidR="00D775FA" w:rsidRPr="00716F0A" w:rsidRDefault="00D775FA" w:rsidP="00716F0A">
            <w:r>
              <w:t>Declaration made via Edupay of potential conflicts of interest including, but not limited to, other sources of income, any positions of office held in public or private companies, shareholdings and other business interests, relationships with trusts, holdings of real estate, agreements and contracts, other financial interests and any probity issues.</w:t>
            </w:r>
          </w:p>
        </w:tc>
      </w:tr>
      <w:tr w:rsidR="00D775FA" w:rsidRPr="00887F4D" w14:paraId="7C5C71B9" w14:textId="77777777" w:rsidTr="00D775FA">
        <w:tc>
          <w:tcPr>
            <w:tcW w:w="1930" w:type="dxa"/>
            <w:shd w:val="clear" w:color="auto" w:fill="F2F2F2" w:themeFill="background1" w:themeFillShade="F2"/>
          </w:tcPr>
          <w:p w14:paraId="45024967" w14:textId="77777777" w:rsidR="00D775FA" w:rsidRPr="00D775FA" w:rsidRDefault="00D775FA" w:rsidP="00E41CB1">
            <w:pPr>
              <w:rPr>
                <w:b/>
              </w:rPr>
            </w:pPr>
            <w:r w:rsidRPr="00E01659">
              <w:rPr>
                <w:b/>
              </w:rPr>
              <w:t>GST</w:t>
            </w:r>
          </w:p>
        </w:tc>
        <w:tc>
          <w:tcPr>
            <w:tcW w:w="7067" w:type="dxa"/>
            <w:shd w:val="clear" w:color="auto" w:fill="F2F2F2" w:themeFill="background1" w:themeFillShade="F2"/>
          </w:tcPr>
          <w:p w14:paraId="03C6CABD" w14:textId="77777777" w:rsidR="00D775FA" w:rsidRDefault="00D775FA" w:rsidP="00716F0A">
            <w:r w:rsidRPr="00D75869">
              <w:t>Goods and Services Tax – Value added tax which taxes final consumption of all goods and services consumed within Australia</w:t>
            </w:r>
            <w:r>
              <w:t xml:space="preserve">. </w:t>
            </w:r>
            <w:r w:rsidRPr="00D75869">
              <w:t>Victorian government schools are subject to GST and must ensure that they comply with the GST law on revenue and payments</w:t>
            </w:r>
            <w:r>
              <w:t>.</w:t>
            </w:r>
          </w:p>
        </w:tc>
      </w:tr>
      <w:tr w:rsidR="00887F4D" w:rsidRPr="00887F4D" w14:paraId="6083F6BF" w14:textId="77777777" w:rsidTr="00D775FA">
        <w:trPr>
          <w:trHeight w:val="609"/>
        </w:trPr>
        <w:tc>
          <w:tcPr>
            <w:tcW w:w="1930" w:type="dxa"/>
            <w:shd w:val="clear" w:color="auto" w:fill="auto"/>
          </w:tcPr>
          <w:p w14:paraId="0183C7D6" w14:textId="77777777" w:rsidR="0051778F" w:rsidRPr="00EB0C35" w:rsidRDefault="005F12DB" w:rsidP="00BD1BF4">
            <w:pPr>
              <w:rPr>
                <w:b/>
              </w:rPr>
            </w:pPr>
            <w:r w:rsidRPr="00EB0C35">
              <w:rPr>
                <w:b/>
              </w:rPr>
              <w:t>Assets</w:t>
            </w:r>
          </w:p>
        </w:tc>
        <w:tc>
          <w:tcPr>
            <w:tcW w:w="7067" w:type="dxa"/>
            <w:shd w:val="clear" w:color="auto" w:fill="auto"/>
          </w:tcPr>
          <w:p w14:paraId="37961983" w14:textId="77777777" w:rsidR="005F12DB" w:rsidRPr="00716F0A" w:rsidRDefault="005F12DB" w:rsidP="00716F0A">
            <w:r w:rsidRPr="00716F0A">
              <w:t>Items of value owned or controlled by the school e.g. bank accounts, debtors, plant and equipment (over $5,000)</w:t>
            </w:r>
            <w:r w:rsidR="006858F2" w:rsidRPr="00716F0A">
              <w:t>.</w:t>
            </w:r>
          </w:p>
          <w:p w14:paraId="145D75FC" w14:textId="77777777" w:rsidR="0051778F" w:rsidRPr="00716F0A" w:rsidRDefault="00EB0C35" w:rsidP="00C10EC7">
            <w:r>
              <w:t xml:space="preserve">Chart of </w:t>
            </w:r>
            <w:r w:rsidR="00C10EC7">
              <w:t>A</w:t>
            </w:r>
            <w:r w:rsidR="00582B37" w:rsidRPr="00716F0A">
              <w:t>ccount code range (10001 – 29102)</w:t>
            </w:r>
          </w:p>
        </w:tc>
      </w:tr>
      <w:tr w:rsidR="00887F4D" w:rsidRPr="00887F4D" w14:paraId="27EDE853" w14:textId="77777777" w:rsidTr="00D775FA">
        <w:tc>
          <w:tcPr>
            <w:tcW w:w="1930" w:type="dxa"/>
            <w:shd w:val="clear" w:color="auto" w:fill="F2F2F2" w:themeFill="background1" w:themeFillShade="F2"/>
          </w:tcPr>
          <w:p w14:paraId="419DF20D" w14:textId="77777777" w:rsidR="0051778F" w:rsidRPr="00EB0C35" w:rsidRDefault="005F12DB" w:rsidP="00BD1BF4">
            <w:pPr>
              <w:rPr>
                <w:b/>
              </w:rPr>
            </w:pPr>
            <w:r w:rsidRPr="00EB0C35">
              <w:rPr>
                <w:b/>
              </w:rPr>
              <w:t>Liabilities</w:t>
            </w:r>
          </w:p>
        </w:tc>
        <w:tc>
          <w:tcPr>
            <w:tcW w:w="7067" w:type="dxa"/>
            <w:shd w:val="clear" w:color="auto" w:fill="F2F2F2" w:themeFill="background1" w:themeFillShade="F2"/>
          </w:tcPr>
          <w:p w14:paraId="635BAF71" w14:textId="77777777" w:rsidR="0051778F" w:rsidRPr="00887F4D" w:rsidRDefault="005F12DB" w:rsidP="00BD1BF4">
            <w:r w:rsidRPr="00887F4D">
              <w:t xml:space="preserve">Liabilities - Amounts owing by the school to external parties e.g. </w:t>
            </w:r>
            <w:r w:rsidR="00582B37" w:rsidRPr="00887F4D">
              <w:t>Accounts Payable</w:t>
            </w:r>
            <w:r w:rsidRPr="00887F4D">
              <w:t>, Co-operative Loan</w:t>
            </w:r>
            <w:r w:rsidR="00582B37" w:rsidRPr="00887F4D">
              <w:t xml:space="preserve"> and Revenue received in advance.</w:t>
            </w:r>
          </w:p>
          <w:p w14:paraId="4F667045" w14:textId="55902143" w:rsidR="00582B37" w:rsidRPr="00887F4D" w:rsidRDefault="00EB0C35" w:rsidP="00C10EC7">
            <w:r>
              <w:t xml:space="preserve">Chart of </w:t>
            </w:r>
            <w:r w:rsidR="00C10EC7">
              <w:t>A</w:t>
            </w:r>
            <w:r w:rsidR="00582B37" w:rsidRPr="00887F4D">
              <w:t xml:space="preserve">ccount code range </w:t>
            </w:r>
            <w:r w:rsidR="001B586A">
              <w:t>(33</w:t>
            </w:r>
            <w:r w:rsidR="00582B37" w:rsidRPr="00887F4D">
              <w:t>000 – 40001)</w:t>
            </w:r>
          </w:p>
        </w:tc>
      </w:tr>
      <w:tr w:rsidR="00887F4D" w:rsidRPr="00887F4D" w14:paraId="50398DA2" w14:textId="77777777" w:rsidTr="00D775FA">
        <w:tc>
          <w:tcPr>
            <w:tcW w:w="1930" w:type="dxa"/>
            <w:shd w:val="clear" w:color="auto" w:fill="FFFFFF" w:themeFill="background1"/>
          </w:tcPr>
          <w:p w14:paraId="6CF68926" w14:textId="77777777" w:rsidR="005F12DB" w:rsidRPr="00EB0C35" w:rsidRDefault="005F12DB" w:rsidP="00BD1BF4">
            <w:pPr>
              <w:rPr>
                <w:b/>
              </w:rPr>
            </w:pPr>
            <w:r w:rsidRPr="00EB0C35">
              <w:rPr>
                <w:b/>
              </w:rPr>
              <w:t>Accumulated Funds</w:t>
            </w:r>
          </w:p>
        </w:tc>
        <w:tc>
          <w:tcPr>
            <w:tcW w:w="7067" w:type="dxa"/>
            <w:shd w:val="clear" w:color="auto" w:fill="FFFFFF" w:themeFill="background1"/>
          </w:tcPr>
          <w:p w14:paraId="48F85E35" w14:textId="77777777" w:rsidR="005F12DB" w:rsidRPr="00887F4D" w:rsidRDefault="005F12DB" w:rsidP="00BD1BF4">
            <w:r w:rsidRPr="00887F4D">
              <w:t>The net assets of the school</w:t>
            </w:r>
            <w:r w:rsidR="00582B37" w:rsidRPr="00887F4D">
              <w:t xml:space="preserve"> which is represented by the equation: Accumulated Funds = Assets (what is owned) –</w:t>
            </w:r>
            <w:r w:rsidR="009B347D" w:rsidRPr="00887F4D">
              <w:t xml:space="preserve"> [minus]</w:t>
            </w:r>
            <w:r w:rsidR="00582B37" w:rsidRPr="00887F4D">
              <w:t xml:space="preserve"> Liabilities (what is owed).  </w:t>
            </w:r>
          </w:p>
          <w:p w14:paraId="7B42E434" w14:textId="77777777" w:rsidR="00582B37" w:rsidRPr="00887F4D" w:rsidRDefault="00EB0C35" w:rsidP="00C10EC7">
            <w:r>
              <w:t xml:space="preserve">Chart of </w:t>
            </w:r>
            <w:r w:rsidR="00C10EC7">
              <w:t>A</w:t>
            </w:r>
            <w:r w:rsidR="00582B37" w:rsidRPr="00887F4D">
              <w:t>ccount code range (50001 -50003)</w:t>
            </w:r>
          </w:p>
        </w:tc>
      </w:tr>
      <w:tr w:rsidR="00887F4D" w:rsidRPr="00887F4D" w14:paraId="7B9674B8" w14:textId="77777777" w:rsidTr="00D775FA">
        <w:tc>
          <w:tcPr>
            <w:tcW w:w="1930" w:type="dxa"/>
            <w:shd w:val="clear" w:color="auto" w:fill="F2F2F2" w:themeFill="background1" w:themeFillShade="F2"/>
          </w:tcPr>
          <w:p w14:paraId="4AFB6BAC" w14:textId="77777777" w:rsidR="005F12DB" w:rsidRPr="00EB0C35" w:rsidRDefault="005F12DB" w:rsidP="00BD1BF4">
            <w:pPr>
              <w:rPr>
                <w:b/>
              </w:rPr>
            </w:pPr>
            <w:r w:rsidRPr="00EB0C35">
              <w:rPr>
                <w:b/>
              </w:rPr>
              <w:t xml:space="preserve">Revenue </w:t>
            </w:r>
          </w:p>
        </w:tc>
        <w:tc>
          <w:tcPr>
            <w:tcW w:w="7067" w:type="dxa"/>
            <w:shd w:val="clear" w:color="auto" w:fill="F2F2F2" w:themeFill="background1" w:themeFillShade="F2"/>
          </w:tcPr>
          <w:p w14:paraId="2A5E8DF0" w14:textId="77777777" w:rsidR="005F12DB" w:rsidRPr="00887F4D" w:rsidRDefault="005F12DB" w:rsidP="00BD1BF4">
            <w:r w:rsidRPr="00887F4D">
              <w:t>An inflow of resources/funds resulting from the provision of services, trading and investing operations</w:t>
            </w:r>
            <w:r w:rsidR="009B347D" w:rsidRPr="00887F4D">
              <w:t>,</w:t>
            </w:r>
            <w:r w:rsidRPr="00887F4D">
              <w:t xml:space="preserve"> e.g. grants, locally raised funds</w:t>
            </w:r>
            <w:r w:rsidR="005A53C4" w:rsidRPr="00887F4D">
              <w:t xml:space="preserve"> or other funds such as bank interest.</w:t>
            </w:r>
          </w:p>
          <w:p w14:paraId="0877EB9C" w14:textId="77777777" w:rsidR="00582B37" w:rsidRPr="00887F4D" w:rsidRDefault="00EB0C35" w:rsidP="00C10EC7">
            <w:r>
              <w:t xml:space="preserve">Chart of </w:t>
            </w:r>
            <w:r w:rsidR="00C10EC7">
              <w:t>A</w:t>
            </w:r>
            <w:r w:rsidR="00582B37" w:rsidRPr="00887F4D">
              <w:t>ccount code range (70001 – 74580)</w:t>
            </w:r>
          </w:p>
        </w:tc>
      </w:tr>
      <w:tr w:rsidR="00887F4D" w:rsidRPr="00887F4D" w14:paraId="0FB4AF5D" w14:textId="77777777" w:rsidTr="00D775FA">
        <w:tc>
          <w:tcPr>
            <w:tcW w:w="1930" w:type="dxa"/>
            <w:shd w:val="clear" w:color="auto" w:fill="FFFFFF" w:themeFill="background1"/>
          </w:tcPr>
          <w:p w14:paraId="5608A7C2" w14:textId="77777777" w:rsidR="005F12DB" w:rsidRPr="00EB0C35" w:rsidRDefault="005F12DB" w:rsidP="00BD1BF4">
            <w:pPr>
              <w:rPr>
                <w:b/>
              </w:rPr>
            </w:pPr>
            <w:r w:rsidRPr="00EB0C35">
              <w:rPr>
                <w:b/>
              </w:rPr>
              <w:t>Expenditure</w:t>
            </w:r>
          </w:p>
        </w:tc>
        <w:tc>
          <w:tcPr>
            <w:tcW w:w="7067" w:type="dxa"/>
            <w:shd w:val="clear" w:color="auto" w:fill="FFFFFF" w:themeFill="background1"/>
          </w:tcPr>
          <w:p w14:paraId="2518B37E" w14:textId="77777777" w:rsidR="005A53C4" w:rsidRPr="00887F4D" w:rsidRDefault="005F12DB" w:rsidP="00BD1BF4">
            <w:r w:rsidRPr="00887F4D">
              <w:t>Expenditure - An outflow of resources/funds in exchange for services or products e.g. Class materials, utilities</w:t>
            </w:r>
            <w:r w:rsidR="005A53C4" w:rsidRPr="00887F4D">
              <w:t xml:space="preserve"> and telephone expenditure.  Operating expenditure produces benefits not extending beyond the accounting period. Capital expenditure provides value</w:t>
            </w:r>
            <w:r w:rsidR="009A5235" w:rsidRPr="00887F4D">
              <w:t xml:space="preserve"> </w:t>
            </w:r>
            <w:r w:rsidR="005A53C4" w:rsidRPr="00887F4D">
              <w:t xml:space="preserve">extending into </w:t>
            </w:r>
            <w:r w:rsidR="005A53C4" w:rsidRPr="00887F4D">
              <w:lastRenderedPageBreak/>
              <w:t>future accounting periods (asset purchase such as equipment with a value over $5000).</w:t>
            </w:r>
          </w:p>
          <w:p w14:paraId="3FAA9F79" w14:textId="77777777" w:rsidR="00582B37" w:rsidRPr="00887F4D" w:rsidRDefault="00EB0C35" w:rsidP="00C10EC7">
            <w:r>
              <w:t xml:space="preserve">Chart of </w:t>
            </w:r>
            <w:r w:rsidR="00C10EC7">
              <w:t>A</w:t>
            </w:r>
            <w:r w:rsidR="00582B37" w:rsidRPr="00887F4D">
              <w:t>ccount code range (80052 – 89593)</w:t>
            </w:r>
            <w:r w:rsidR="009B347D" w:rsidRPr="00887F4D">
              <w:t>.</w:t>
            </w:r>
          </w:p>
        </w:tc>
      </w:tr>
      <w:tr w:rsidR="004D4D13" w:rsidRPr="00887F4D" w14:paraId="047FCBD2" w14:textId="77777777" w:rsidTr="00AD01FD">
        <w:tc>
          <w:tcPr>
            <w:tcW w:w="1930" w:type="dxa"/>
          </w:tcPr>
          <w:p w14:paraId="21B8446D" w14:textId="77777777" w:rsidR="004D4D13" w:rsidRPr="00EB0C35" w:rsidRDefault="004D4D13" w:rsidP="00BD1BF4">
            <w:pPr>
              <w:rPr>
                <w:b/>
              </w:rPr>
            </w:pPr>
            <w:r w:rsidRPr="00EB0C35">
              <w:rPr>
                <w:b/>
              </w:rPr>
              <w:lastRenderedPageBreak/>
              <w:t>Initiatives</w:t>
            </w:r>
          </w:p>
        </w:tc>
        <w:tc>
          <w:tcPr>
            <w:tcW w:w="7067" w:type="dxa"/>
          </w:tcPr>
          <w:p w14:paraId="3525C192" w14:textId="77777777" w:rsidR="004D4D13" w:rsidRPr="00887F4D" w:rsidRDefault="004D4D13" w:rsidP="00BD1BF4">
            <w:r w:rsidRPr="00543C84">
              <w:t>Classification layer allowing transactions to be linked across a number of sub programs, e.g. used for multi campus schools.</w:t>
            </w:r>
          </w:p>
        </w:tc>
      </w:tr>
      <w:tr w:rsidR="00887F4D" w:rsidRPr="00887F4D" w14:paraId="1607A1FC" w14:textId="77777777" w:rsidTr="00AD01FD">
        <w:tc>
          <w:tcPr>
            <w:tcW w:w="1930" w:type="dxa"/>
            <w:shd w:val="clear" w:color="auto" w:fill="F2F2F2" w:themeFill="background1" w:themeFillShade="F2"/>
          </w:tcPr>
          <w:p w14:paraId="35BAD93C" w14:textId="77777777" w:rsidR="00BC20EE" w:rsidRPr="00EB0C35" w:rsidRDefault="00BC20EE" w:rsidP="00BD1BF4">
            <w:pPr>
              <w:rPr>
                <w:b/>
              </w:rPr>
            </w:pPr>
            <w:r w:rsidRPr="00EB0C35">
              <w:rPr>
                <w:b/>
              </w:rPr>
              <w:t>Programs</w:t>
            </w:r>
          </w:p>
        </w:tc>
        <w:tc>
          <w:tcPr>
            <w:tcW w:w="7067" w:type="dxa"/>
            <w:shd w:val="clear" w:color="auto" w:fill="F2F2F2" w:themeFill="background1" w:themeFillShade="F2"/>
          </w:tcPr>
          <w:p w14:paraId="5C2C9123" w14:textId="77777777" w:rsidR="00BC20EE" w:rsidRPr="00887F4D" w:rsidRDefault="00BC20EE" w:rsidP="00BD1BF4">
            <w:r w:rsidRPr="00887F4D">
              <w:t>Group of Sub</w:t>
            </w:r>
            <w:r w:rsidR="00886166" w:rsidRPr="00887F4D">
              <w:t xml:space="preserve"> </w:t>
            </w:r>
            <w:r w:rsidRPr="00887F4D">
              <w:t>Programs</w:t>
            </w:r>
            <w:r w:rsidR="00582B37" w:rsidRPr="00887F4D">
              <w:t xml:space="preserve"> </w:t>
            </w:r>
          </w:p>
          <w:p w14:paraId="34C8CA5A" w14:textId="77777777" w:rsidR="00582B37" w:rsidRPr="00887F4D" w:rsidRDefault="00582B37" w:rsidP="00BD1BF4">
            <w:r w:rsidRPr="00887F4D">
              <w:t>Program code range (100 – 970)</w:t>
            </w:r>
          </w:p>
        </w:tc>
      </w:tr>
      <w:tr w:rsidR="00887F4D" w:rsidRPr="00887F4D" w14:paraId="03E7BD27" w14:textId="77777777" w:rsidTr="00AD01FD">
        <w:tc>
          <w:tcPr>
            <w:tcW w:w="1930" w:type="dxa"/>
            <w:shd w:val="clear" w:color="auto" w:fill="FFFFFF" w:themeFill="background1"/>
          </w:tcPr>
          <w:p w14:paraId="3DDDF85E" w14:textId="77777777" w:rsidR="00BC20EE" w:rsidRPr="00EB0C35" w:rsidRDefault="00BC20EE" w:rsidP="00BD1BF4">
            <w:pPr>
              <w:rPr>
                <w:b/>
              </w:rPr>
            </w:pPr>
            <w:r w:rsidRPr="00EB0C35">
              <w:rPr>
                <w:b/>
              </w:rPr>
              <w:t>Sub</w:t>
            </w:r>
            <w:r w:rsidR="00582B37" w:rsidRPr="00EB0C35">
              <w:rPr>
                <w:b/>
              </w:rPr>
              <w:t xml:space="preserve"> </w:t>
            </w:r>
            <w:r w:rsidRPr="00EB0C35">
              <w:rPr>
                <w:b/>
              </w:rPr>
              <w:t>Programs</w:t>
            </w:r>
          </w:p>
        </w:tc>
        <w:tc>
          <w:tcPr>
            <w:tcW w:w="7067" w:type="dxa"/>
            <w:shd w:val="clear" w:color="auto" w:fill="FFFFFF" w:themeFill="background1"/>
          </w:tcPr>
          <w:p w14:paraId="078E145B" w14:textId="77777777" w:rsidR="00582B37" w:rsidRPr="00887F4D" w:rsidRDefault="00582B37" w:rsidP="00BD1BF4">
            <w:r w:rsidRPr="00887F4D">
              <w:t xml:space="preserve">All Sub Programs are linked to Programs in the Chart of Accounts. Included are hard coded Sub Programs along with a provision for schools generate additional Sub Programs at each Program level.  </w:t>
            </w:r>
          </w:p>
          <w:p w14:paraId="70AF913E" w14:textId="77777777" w:rsidR="00BC20EE" w:rsidRPr="00887F4D" w:rsidRDefault="00BC20EE" w:rsidP="00BD1BF4">
            <w:r w:rsidRPr="00887F4D">
              <w:t>Cost centres, project, e.g. Subject areas, administration</w:t>
            </w:r>
            <w:r w:rsidR="009B347D" w:rsidRPr="00887F4D">
              <w:t>.</w:t>
            </w:r>
          </w:p>
          <w:p w14:paraId="1A63DB7B" w14:textId="77777777" w:rsidR="00582B37" w:rsidRPr="00887F4D" w:rsidRDefault="00582B37" w:rsidP="00BD1BF4">
            <w:r w:rsidRPr="00887F4D">
              <w:t>Sub Program code range (1001 – 9799)</w:t>
            </w:r>
            <w:r w:rsidR="009B347D" w:rsidRPr="00887F4D">
              <w:t>.</w:t>
            </w:r>
          </w:p>
        </w:tc>
      </w:tr>
    </w:tbl>
    <w:p w14:paraId="6C502EDF" w14:textId="77777777" w:rsidR="00B02020" w:rsidRDefault="00B02020" w:rsidP="00BD1BF4"/>
    <w:p w14:paraId="5B231992" w14:textId="77777777" w:rsidR="0051778F" w:rsidRPr="00803374" w:rsidRDefault="0051778F" w:rsidP="00887F4D">
      <w:pPr>
        <w:pStyle w:val="Heading2"/>
      </w:pPr>
      <w:r w:rsidRPr="00803374">
        <w:t xml:space="preserve">Additional </w:t>
      </w:r>
      <w:r w:rsidR="00714BCD">
        <w:t>r</w:t>
      </w:r>
      <w:r w:rsidRPr="00803374">
        <w:t>esources</w:t>
      </w:r>
      <w:r w:rsidR="00A223D8" w:rsidRPr="00803374">
        <w:t xml:space="preserve"> and support </w:t>
      </w:r>
    </w:p>
    <w:p w14:paraId="6C98D9EB" w14:textId="3DE581C8" w:rsidR="006858F2" w:rsidRPr="00803374" w:rsidRDefault="005F12DB" w:rsidP="00BD1BF4">
      <w:r w:rsidRPr="00803374">
        <w:t xml:space="preserve">For further information see the Chart of Accounts for Victorian Government Schools available on the Finance website: </w:t>
      </w:r>
      <w:hyperlink r:id="rId14" w:history="1">
        <w:r w:rsidR="00755501">
          <w:rPr>
            <w:rStyle w:val="Hyperlink"/>
          </w:rPr>
          <w:t>Chart of accounts for Victorian Government Schools</w:t>
        </w:r>
      </w:hyperlink>
    </w:p>
    <w:p w14:paraId="3EECEB15" w14:textId="30703946" w:rsidR="006858F2" w:rsidRPr="00803374" w:rsidRDefault="00582B37" w:rsidP="00BD1BF4">
      <w:r w:rsidRPr="00803374">
        <w:t xml:space="preserve">For </w:t>
      </w:r>
      <w:r w:rsidR="002A5856">
        <w:t>more</w:t>
      </w:r>
      <w:r w:rsidR="002A5856" w:rsidRPr="00803374">
        <w:t xml:space="preserve"> </w:t>
      </w:r>
      <w:r w:rsidR="00287AC8" w:rsidRPr="00803374">
        <w:t>information, c</w:t>
      </w:r>
      <w:r w:rsidRPr="00803374">
        <w:t xml:space="preserve">ontact the CASES21 Support staff via the Service Gateway or Service Desk. </w:t>
      </w:r>
      <w:hyperlink r:id="rId15" w:history="1">
        <w:r w:rsidR="00100502">
          <w:rPr>
            <w:rStyle w:val="Hyperlink"/>
          </w:rPr>
          <w:t>Access the Service Gateway here</w:t>
        </w:r>
      </w:hyperlink>
      <w:r w:rsidRPr="00803374">
        <w:t xml:space="preserve">  or 1800 641 943</w:t>
      </w:r>
      <w:r w:rsidR="00B02020">
        <w:t>.</w:t>
      </w:r>
    </w:p>
    <w:p w14:paraId="22034EE3" w14:textId="77777777" w:rsidR="006858F2" w:rsidRDefault="006858F2" w:rsidP="00BD1BF4"/>
    <w:p w14:paraId="73F60E2A" w14:textId="77777777" w:rsidR="004D4D13" w:rsidRDefault="004D4D13" w:rsidP="00BD1BF4"/>
    <w:p w14:paraId="418A47D6" w14:textId="77777777" w:rsidR="004D4D13" w:rsidRDefault="004D4D13" w:rsidP="00BD1BF4"/>
    <w:p w14:paraId="70F2A9D7" w14:textId="77777777" w:rsidR="004D4D13" w:rsidRDefault="004D4D13" w:rsidP="00BD1BF4"/>
    <w:p w14:paraId="286A99CA" w14:textId="77777777" w:rsidR="004D4D13" w:rsidRDefault="004D4D13" w:rsidP="00BD1BF4"/>
    <w:p w14:paraId="1C9A9774" w14:textId="77777777" w:rsidR="004D4D13" w:rsidRDefault="004D4D13" w:rsidP="00BD1BF4"/>
    <w:p w14:paraId="71B0F20A" w14:textId="77777777" w:rsidR="004D4D13" w:rsidRDefault="004D4D13" w:rsidP="00BD1BF4"/>
    <w:p w14:paraId="2C424C9D" w14:textId="77777777" w:rsidR="004D4D13" w:rsidRDefault="004D4D13" w:rsidP="00BD1BF4"/>
    <w:p w14:paraId="0681FAEE" w14:textId="77777777" w:rsidR="004D4D13" w:rsidRDefault="004D4D13" w:rsidP="00BD1BF4"/>
    <w:p w14:paraId="43843269" w14:textId="77777777" w:rsidR="004D4D13" w:rsidRDefault="004D4D13" w:rsidP="00BD1BF4"/>
    <w:p w14:paraId="418EB798" w14:textId="77777777" w:rsidR="004D4D13" w:rsidRDefault="004D4D13" w:rsidP="00BD1BF4"/>
    <w:p w14:paraId="4C3F361B" w14:textId="77777777" w:rsidR="004D4D13" w:rsidRPr="004D4D13" w:rsidRDefault="00EB0C35" w:rsidP="00EB0C35">
      <w:pPr>
        <w:pStyle w:val="Heading2"/>
      </w:pPr>
      <w:r>
        <w:t xml:space="preserve">Version and </w:t>
      </w:r>
      <w:r w:rsidR="00714BCD">
        <w:t>r</w:t>
      </w:r>
      <w:r w:rsidR="004D4D13" w:rsidRPr="004D4D13">
        <w:t>evision control</w:t>
      </w:r>
      <w:r w:rsidR="001D5763">
        <w:t xml:space="preserve"> record</w:t>
      </w:r>
    </w:p>
    <w:tbl>
      <w:tblPr>
        <w:tblStyle w:val="GridTable6Colorful20"/>
        <w:tblW w:w="0" w:type="auto"/>
        <w:tblLook w:val="04A0" w:firstRow="1" w:lastRow="0" w:firstColumn="1" w:lastColumn="0" w:noHBand="0" w:noVBand="1"/>
        <w:tblDescription w:val="table containing version and revision control information"/>
      </w:tblPr>
      <w:tblGrid>
        <w:gridCol w:w="1318"/>
        <w:gridCol w:w="1133"/>
        <w:gridCol w:w="4914"/>
        <w:gridCol w:w="1689"/>
      </w:tblGrid>
      <w:tr w:rsidR="004D4D13" w:rsidRPr="004D4D13" w14:paraId="1B7A3D7B" w14:textId="77777777" w:rsidTr="00100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300B7BC8" w14:textId="77777777" w:rsidR="004D4D13" w:rsidRPr="004D4D13" w:rsidRDefault="004D4D13" w:rsidP="00BD1BF4">
            <w:r w:rsidRPr="004D4D13">
              <w:t>Date</w:t>
            </w:r>
          </w:p>
        </w:tc>
        <w:tc>
          <w:tcPr>
            <w:tcW w:w="1133" w:type="dxa"/>
            <w:tcBorders>
              <w:top w:val="single" w:sz="4" w:space="0" w:color="auto"/>
              <w:bottom w:val="single" w:sz="4" w:space="0" w:color="auto"/>
            </w:tcBorders>
            <w:shd w:val="clear" w:color="auto" w:fill="F2F2F2" w:themeFill="background1" w:themeFillShade="F2"/>
          </w:tcPr>
          <w:p w14:paraId="4398768E" w14:textId="77777777" w:rsidR="004D4D13" w:rsidRPr="004D4D13" w:rsidRDefault="004D4D13" w:rsidP="00BD1BF4">
            <w:pPr>
              <w:cnfStyle w:val="100000000000" w:firstRow="1" w:lastRow="0" w:firstColumn="0" w:lastColumn="0" w:oddVBand="0" w:evenVBand="0" w:oddHBand="0" w:evenHBand="0" w:firstRowFirstColumn="0" w:firstRowLastColumn="0" w:lastRowFirstColumn="0" w:lastRowLastColumn="0"/>
            </w:pPr>
            <w:r w:rsidRPr="004D4D13">
              <w:t>Version</w:t>
            </w:r>
          </w:p>
        </w:tc>
        <w:tc>
          <w:tcPr>
            <w:tcW w:w="4914" w:type="dxa"/>
            <w:tcBorders>
              <w:top w:val="single" w:sz="4" w:space="0" w:color="auto"/>
              <w:bottom w:val="single" w:sz="4" w:space="0" w:color="auto"/>
            </w:tcBorders>
            <w:shd w:val="clear" w:color="auto" w:fill="F2F2F2" w:themeFill="background1" w:themeFillShade="F2"/>
          </w:tcPr>
          <w:p w14:paraId="4B0909B1" w14:textId="77777777" w:rsidR="004D4D13" w:rsidRPr="004D4D13" w:rsidRDefault="004D4D13" w:rsidP="00BD1BF4">
            <w:pPr>
              <w:cnfStyle w:val="100000000000" w:firstRow="1" w:lastRow="0" w:firstColumn="0" w:lastColumn="0" w:oddVBand="0" w:evenVBand="0" w:oddHBand="0" w:evenHBand="0" w:firstRowFirstColumn="0" w:firstRowLastColumn="0" w:lastRowFirstColumn="0" w:lastRowLastColumn="0"/>
            </w:pPr>
            <w:r w:rsidRPr="004D4D13">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34C5988E" w14:textId="77777777" w:rsidR="004D4D13" w:rsidRPr="004D4D13" w:rsidRDefault="004D4D13" w:rsidP="00BD1BF4">
            <w:pPr>
              <w:cnfStyle w:val="100000000000" w:firstRow="1" w:lastRow="0" w:firstColumn="0" w:lastColumn="0" w:oddVBand="0" w:evenVBand="0" w:oddHBand="0" w:evenHBand="0" w:firstRowFirstColumn="0" w:firstRowLastColumn="0" w:lastRowFirstColumn="0" w:lastRowLastColumn="0"/>
            </w:pPr>
            <w:r w:rsidRPr="004D4D13">
              <w:t>Next Review</w:t>
            </w:r>
          </w:p>
        </w:tc>
      </w:tr>
      <w:tr w:rsidR="004D4D13" w:rsidRPr="004D4D13" w14:paraId="1F634EF7" w14:textId="77777777" w:rsidTr="00502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3B954C82" w14:textId="2E86A8D6" w:rsidR="004D4D13" w:rsidRPr="00CD3D1A" w:rsidRDefault="00287EA4" w:rsidP="00654794">
            <w:pPr>
              <w:rPr>
                <w:b w:val="0"/>
              </w:rPr>
            </w:pPr>
            <w:r>
              <w:rPr>
                <w:b w:val="0"/>
              </w:rPr>
              <w:t>0</w:t>
            </w:r>
            <w:r w:rsidR="00DD7BCE">
              <w:rPr>
                <w:b w:val="0"/>
              </w:rPr>
              <w:t>1/2019</w:t>
            </w:r>
          </w:p>
        </w:tc>
        <w:tc>
          <w:tcPr>
            <w:tcW w:w="1133" w:type="dxa"/>
            <w:tcBorders>
              <w:top w:val="single" w:sz="4" w:space="0" w:color="auto"/>
            </w:tcBorders>
            <w:shd w:val="clear" w:color="auto" w:fill="auto"/>
          </w:tcPr>
          <w:p w14:paraId="69A4F33C" w14:textId="5AE9DF98" w:rsidR="004D4D13" w:rsidRPr="004D4D13" w:rsidRDefault="005225CC" w:rsidP="00BD1BF4">
            <w:pPr>
              <w:cnfStyle w:val="000000100000" w:firstRow="0" w:lastRow="0" w:firstColumn="0" w:lastColumn="0" w:oddVBand="0" w:evenVBand="0" w:oddHBand="1" w:evenHBand="0" w:firstRowFirstColumn="0" w:firstRowLastColumn="0" w:lastRowFirstColumn="0" w:lastRowLastColumn="0"/>
            </w:pPr>
            <w:r>
              <w:t>1.2</w:t>
            </w:r>
          </w:p>
        </w:tc>
        <w:tc>
          <w:tcPr>
            <w:tcW w:w="4914" w:type="dxa"/>
            <w:tcBorders>
              <w:top w:val="single" w:sz="4" w:space="0" w:color="auto"/>
            </w:tcBorders>
            <w:shd w:val="clear" w:color="auto" w:fill="auto"/>
          </w:tcPr>
          <w:p w14:paraId="78144718" w14:textId="77777777" w:rsidR="004D4D13" w:rsidRPr="004D4D13" w:rsidRDefault="004D4D13" w:rsidP="00BD1BF4">
            <w:pPr>
              <w:cnfStyle w:val="000000100000" w:firstRow="0" w:lastRow="0" w:firstColumn="0" w:lastColumn="0" w:oddVBand="0" w:evenVBand="0" w:oddHBand="1" w:evenHBand="0" w:firstRowFirstColumn="0" w:firstRowLastColumn="0" w:lastRowFirstColumn="0" w:lastRowLastColumn="0"/>
            </w:pPr>
            <w:r w:rsidRPr="004D4D13">
              <w:t>Chief Finance Officer -  Financial Services Division</w:t>
            </w:r>
          </w:p>
        </w:tc>
        <w:tc>
          <w:tcPr>
            <w:tcW w:w="1689" w:type="dxa"/>
            <w:tcBorders>
              <w:top w:val="single" w:sz="4" w:space="0" w:color="auto"/>
            </w:tcBorders>
            <w:shd w:val="clear" w:color="auto" w:fill="auto"/>
          </w:tcPr>
          <w:p w14:paraId="3CF85F0D" w14:textId="63564D99" w:rsidR="004D4D13" w:rsidRPr="004D4D13" w:rsidRDefault="00AE6F6F" w:rsidP="00DD7BCE">
            <w:pPr>
              <w:cnfStyle w:val="000000100000" w:firstRow="0" w:lastRow="0" w:firstColumn="0" w:lastColumn="0" w:oddVBand="0" w:evenVBand="0" w:oddHBand="1" w:evenHBand="0" w:firstRowFirstColumn="0" w:firstRowLastColumn="0" w:lastRowFirstColumn="0" w:lastRowLastColumn="0"/>
            </w:pPr>
            <w:r>
              <w:t>0</w:t>
            </w:r>
            <w:r w:rsidR="00DD7BCE">
              <w:t>1</w:t>
            </w:r>
            <w:r>
              <w:t>/20</w:t>
            </w:r>
            <w:r w:rsidR="00DD7BCE">
              <w:t>20</w:t>
            </w:r>
          </w:p>
        </w:tc>
      </w:tr>
    </w:tbl>
    <w:p w14:paraId="3FD91A05" w14:textId="77777777" w:rsidR="00585C89" w:rsidRPr="00585C89" w:rsidRDefault="00585C89" w:rsidP="00BD1BF4">
      <w:pPr>
        <w:rPr>
          <w:lang w:val="en-AU"/>
        </w:rPr>
      </w:pPr>
    </w:p>
    <w:sectPr w:rsidR="00585C89" w:rsidRPr="00585C89" w:rsidSect="00A64251">
      <w:footerReference w:type="default" r:id="rId16"/>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CD31" w14:textId="77777777" w:rsidR="00E6102D" w:rsidRDefault="00E6102D" w:rsidP="008766A4">
      <w:r>
        <w:separator/>
      </w:r>
    </w:p>
  </w:endnote>
  <w:endnote w:type="continuationSeparator" w:id="0">
    <w:p w14:paraId="42265C2F" w14:textId="77777777" w:rsidR="00E6102D" w:rsidRDefault="00E6102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0453" w14:textId="7E3515B3" w:rsidR="000F4C22" w:rsidRPr="003E29B5" w:rsidRDefault="00803374" w:rsidP="00803374">
    <w:pPr>
      <w:pStyle w:val="Footer"/>
    </w:pPr>
    <w:r w:rsidRPr="00006534">
      <w:rPr>
        <w:noProof/>
        <w:lang w:val="en-AU" w:eastAsia="en-AU"/>
      </w:rPr>
      <w:drawing>
        <wp:anchor distT="0" distB="0" distL="114300" distR="114300" simplePos="0" relativeHeight="251659264" behindDoc="1" locked="0" layoutInCell="1" allowOverlap="1" wp14:anchorId="0FBCE5B3" wp14:editId="149D572A">
          <wp:simplePos x="0" y="0"/>
          <wp:positionH relativeFrom="margin">
            <wp:align>left</wp:align>
          </wp:positionH>
          <wp:positionV relativeFrom="page">
            <wp:posOffset>9779000</wp:posOffset>
          </wp:positionV>
          <wp:extent cx="6678759" cy="721995"/>
          <wp:effectExtent l="0" t="0" r="8255" b="1905"/>
          <wp:wrapNone/>
          <wp:docPr id="22" name="Picture 22" descr="footer containing name of doument, page number and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78759" cy="721995"/>
                  </a:xfrm>
                  <a:prstGeom prst="rect">
                    <a:avLst/>
                  </a:prstGeom>
                </pic:spPr>
              </pic:pic>
            </a:graphicData>
          </a:graphic>
        </wp:anchor>
      </w:drawing>
    </w:r>
    <w:r w:rsidR="005F10A0">
      <w:rPr>
        <w:noProof/>
      </w:rPr>
      <w:t xml:space="preserve">Section </w:t>
    </w:r>
    <w:r w:rsidR="00A24F9D">
      <w:rPr>
        <w:noProof/>
      </w:rPr>
      <w:t>7</w:t>
    </w:r>
    <w:r w:rsidR="00C10EC7">
      <w:rPr>
        <w:noProof/>
      </w:rPr>
      <w:t>:</w:t>
    </w:r>
    <w:r w:rsidR="00EB0C35">
      <w:rPr>
        <w:noProof/>
      </w:rPr>
      <w:t xml:space="preserve"> </w:t>
    </w:r>
    <w:r w:rsidR="00A24F9D">
      <w:rPr>
        <w:noProof/>
      </w:rPr>
      <w:t>Chart of accounts</w:t>
    </w:r>
    <w:r w:rsidR="00EB0C35">
      <w:rPr>
        <w:noProof/>
      </w:rPr>
      <w:t xml:space="preserve"> </w:t>
    </w:r>
    <w:r>
      <w:rPr>
        <w:noProof/>
      </w:rPr>
      <w:t xml:space="preserve">| </w:t>
    </w:r>
    <w:r w:rsidR="00DD7BCE">
      <w:rPr>
        <w:noProof/>
      </w:rPr>
      <w:t>January 2019</w:t>
    </w:r>
    <w:r>
      <w:rPr>
        <w:noProof/>
      </w:rPr>
      <w:tab/>
    </w:r>
    <w:r w:rsidR="00232E06">
      <w:rPr>
        <w:noProof/>
      </w:rPr>
      <w:t>P</w:t>
    </w:r>
    <w:r>
      <w:rPr>
        <w:noProof/>
      </w:rPr>
      <w:t xml:space="preserve">age </w:t>
    </w:r>
    <w:r w:rsidR="004422ED" w:rsidRPr="00803374">
      <w:rPr>
        <w:noProof/>
      </w:rPr>
      <w:fldChar w:fldCharType="begin"/>
    </w:r>
    <w:r w:rsidRPr="00803374">
      <w:rPr>
        <w:noProof/>
      </w:rPr>
      <w:instrText xml:space="preserve"> PAGE   \* MERGEFORMAT </w:instrText>
    </w:r>
    <w:r w:rsidR="004422ED" w:rsidRPr="00803374">
      <w:rPr>
        <w:noProof/>
      </w:rPr>
      <w:fldChar w:fldCharType="separate"/>
    </w:r>
    <w:r w:rsidR="00152EF7">
      <w:rPr>
        <w:noProof/>
      </w:rPr>
      <w:t>1</w:t>
    </w:r>
    <w:r w:rsidR="004422ED" w:rsidRPr="008033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6F42" w14:textId="77777777" w:rsidR="00E6102D" w:rsidRDefault="00E6102D" w:rsidP="008766A4">
      <w:r>
        <w:separator/>
      </w:r>
    </w:p>
  </w:footnote>
  <w:footnote w:type="continuationSeparator" w:id="0">
    <w:p w14:paraId="0882BBAD" w14:textId="77777777" w:rsidR="00E6102D" w:rsidRDefault="00E6102D"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F1D16"/>
    <w:multiLevelType w:val="hybridMultilevel"/>
    <w:tmpl w:val="978EBCF6"/>
    <w:lvl w:ilvl="0" w:tplc="BB62348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7E5740"/>
    <w:multiLevelType w:val="hybridMultilevel"/>
    <w:tmpl w:val="1A4A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5F38D6"/>
    <w:multiLevelType w:val="hybridMultilevel"/>
    <w:tmpl w:val="32F6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728D9"/>
    <w:multiLevelType w:val="hybridMultilevel"/>
    <w:tmpl w:val="904EAC22"/>
    <w:lvl w:ilvl="0" w:tplc="A4CCCF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C75A9A"/>
    <w:multiLevelType w:val="hybridMultilevel"/>
    <w:tmpl w:val="1048E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1C368E"/>
    <w:multiLevelType w:val="hybridMultilevel"/>
    <w:tmpl w:val="6DD2A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704F9F"/>
    <w:multiLevelType w:val="hybridMultilevel"/>
    <w:tmpl w:val="7CA2E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5C6684"/>
    <w:multiLevelType w:val="hybridMultilevel"/>
    <w:tmpl w:val="40E86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0D2A1A"/>
    <w:multiLevelType w:val="hybridMultilevel"/>
    <w:tmpl w:val="E392D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83AC2"/>
    <w:multiLevelType w:val="multilevel"/>
    <w:tmpl w:val="B9BA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63A75A1E"/>
    <w:multiLevelType w:val="hybridMultilevel"/>
    <w:tmpl w:val="F6C808A2"/>
    <w:lvl w:ilvl="0" w:tplc="3ED4D2F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5A5EEE"/>
    <w:multiLevelType w:val="multilevel"/>
    <w:tmpl w:val="18886FA2"/>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666335DC"/>
    <w:multiLevelType w:val="hybridMultilevel"/>
    <w:tmpl w:val="043CD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813891"/>
    <w:multiLevelType w:val="hybridMultilevel"/>
    <w:tmpl w:val="A9C20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4E1A78"/>
    <w:multiLevelType w:val="hybridMultilevel"/>
    <w:tmpl w:val="ED8E00FC"/>
    <w:lvl w:ilvl="0" w:tplc="BDBA2AC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3572BD7"/>
    <w:multiLevelType w:val="multilevel"/>
    <w:tmpl w:val="33C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15170F"/>
    <w:multiLevelType w:val="hybridMultilevel"/>
    <w:tmpl w:val="BC188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2B00E1"/>
    <w:multiLevelType w:val="multilevel"/>
    <w:tmpl w:val="B25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5" w15:restartNumberingAfterBreak="0">
    <w:nsid w:val="7D5A340B"/>
    <w:multiLevelType w:val="hybridMultilevel"/>
    <w:tmpl w:val="7FF66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7"/>
  </w:num>
  <w:num w:numId="14">
    <w:abstractNumId w:val="25"/>
  </w:num>
  <w:num w:numId="15">
    <w:abstractNumId w:val="34"/>
  </w:num>
  <w:num w:numId="16">
    <w:abstractNumId w:val="15"/>
  </w:num>
  <w:num w:numId="17">
    <w:abstractNumId w:val="16"/>
  </w:num>
  <w:num w:numId="18">
    <w:abstractNumId w:val="18"/>
  </w:num>
  <w:num w:numId="19">
    <w:abstractNumId w:val="36"/>
  </w:num>
  <w:num w:numId="20">
    <w:abstractNumId w:val="31"/>
  </w:num>
  <w:num w:numId="21">
    <w:abstractNumId w:val="14"/>
  </w:num>
  <w:num w:numId="22">
    <w:abstractNumId w:val="24"/>
  </w:num>
  <w:num w:numId="23">
    <w:abstractNumId w:val="35"/>
  </w:num>
  <w:num w:numId="24">
    <w:abstractNumId w:val="22"/>
  </w:num>
  <w:num w:numId="25">
    <w:abstractNumId w:val="29"/>
  </w:num>
  <w:num w:numId="26">
    <w:abstractNumId w:val="32"/>
  </w:num>
  <w:num w:numId="27">
    <w:abstractNumId w:val="33"/>
  </w:num>
  <w:num w:numId="28">
    <w:abstractNumId w:val="21"/>
  </w:num>
  <w:num w:numId="29">
    <w:abstractNumId w:val="13"/>
  </w:num>
  <w:num w:numId="30">
    <w:abstractNumId w:val="17"/>
  </w:num>
  <w:num w:numId="31">
    <w:abstractNumId w:val="23"/>
  </w:num>
  <w:num w:numId="32">
    <w:abstractNumId w:val="30"/>
  </w:num>
  <w:num w:numId="33">
    <w:abstractNumId w:val="27"/>
  </w:num>
  <w:num w:numId="34">
    <w:abstractNumId w:val="20"/>
  </w:num>
  <w:num w:numId="35">
    <w:abstractNumId w:val="19"/>
  </w:num>
  <w:num w:numId="36">
    <w:abstractNumId w:val="12"/>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AU" w:vendorID="64" w:dllVersion="0" w:nlCheck="1" w:checkStyle="0"/>
  <w:activeWritingStyle w:appName="MSWord" w:lang="en-AU" w:vendorID="64" w:dllVersion="6" w:nlCheck="1" w:checkStyle="0"/>
  <w:activeWritingStyle w:appName="MSWord" w:lang="en-US" w:vendorID="64" w:dllVersion="6" w:nlCheck="1" w:checkStyle="0"/>
  <w:activeWritingStyle w:appName="MSWord" w:lang="en-US" w:vendorID="64" w:dllVersion="131078" w:nlCheck="1" w:checkStyle="1"/>
  <w:activeWritingStyle w:appName="MSWord" w:lang="en-AU" w:vendorID="64" w:dllVersion="131078" w:nlCheck="1" w:checkStyle="1"/>
  <w:stylePaneSortMethod w:val="0000"/>
  <w:defaultTabStop w:val="567"/>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B21"/>
    <w:rsid w:val="00024C71"/>
    <w:rsid w:val="00056588"/>
    <w:rsid w:val="00065FC7"/>
    <w:rsid w:val="00084105"/>
    <w:rsid w:val="000A2CD7"/>
    <w:rsid w:val="000A2D3C"/>
    <w:rsid w:val="000B668D"/>
    <w:rsid w:val="000C499D"/>
    <w:rsid w:val="000D1B50"/>
    <w:rsid w:val="000D2F79"/>
    <w:rsid w:val="000F155E"/>
    <w:rsid w:val="000F4C22"/>
    <w:rsid w:val="0010002A"/>
    <w:rsid w:val="00100502"/>
    <w:rsid w:val="00127682"/>
    <w:rsid w:val="0013716D"/>
    <w:rsid w:val="00137179"/>
    <w:rsid w:val="0014310A"/>
    <w:rsid w:val="00152EF7"/>
    <w:rsid w:val="0017525D"/>
    <w:rsid w:val="00193A4B"/>
    <w:rsid w:val="00197D71"/>
    <w:rsid w:val="001A1558"/>
    <w:rsid w:val="001B586A"/>
    <w:rsid w:val="001C334A"/>
    <w:rsid w:val="001C6431"/>
    <w:rsid w:val="001D083F"/>
    <w:rsid w:val="001D5763"/>
    <w:rsid w:val="001F2E18"/>
    <w:rsid w:val="001F375F"/>
    <w:rsid w:val="00216E22"/>
    <w:rsid w:val="00221808"/>
    <w:rsid w:val="0022212D"/>
    <w:rsid w:val="00226B71"/>
    <w:rsid w:val="00232E06"/>
    <w:rsid w:val="0024279C"/>
    <w:rsid w:val="002431E9"/>
    <w:rsid w:val="00255E0C"/>
    <w:rsid w:val="0026190C"/>
    <w:rsid w:val="0027062A"/>
    <w:rsid w:val="00271F77"/>
    <w:rsid w:val="00287AC8"/>
    <w:rsid w:val="00287EA4"/>
    <w:rsid w:val="002A5856"/>
    <w:rsid w:val="002F4E54"/>
    <w:rsid w:val="00326F48"/>
    <w:rsid w:val="0033799B"/>
    <w:rsid w:val="00346858"/>
    <w:rsid w:val="00347714"/>
    <w:rsid w:val="00364919"/>
    <w:rsid w:val="003650A0"/>
    <w:rsid w:val="00372DC5"/>
    <w:rsid w:val="00384920"/>
    <w:rsid w:val="00387492"/>
    <w:rsid w:val="003B01B0"/>
    <w:rsid w:val="003D6D7E"/>
    <w:rsid w:val="003E29B5"/>
    <w:rsid w:val="003E36C1"/>
    <w:rsid w:val="003E3A28"/>
    <w:rsid w:val="003E57C4"/>
    <w:rsid w:val="003F3C92"/>
    <w:rsid w:val="003F57F5"/>
    <w:rsid w:val="00402F6E"/>
    <w:rsid w:val="004136D4"/>
    <w:rsid w:val="00415090"/>
    <w:rsid w:val="0042385D"/>
    <w:rsid w:val="004422ED"/>
    <w:rsid w:val="004615C4"/>
    <w:rsid w:val="00463610"/>
    <w:rsid w:val="00482F8B"/>
    <w:rsid w:val="004D4D13"/>
    <w:rsid w:val="004E4CAD"/>
    <w:rsid w:val="004F0AF6"/>
    <w:rsid w:val="00515A08"/>
    <w:rsid w:val="0051778F"/>
    <w:rsid w:val="005225CC"/>
    <w:rsid w:val="00534DA6"/>
    <w:rsid w:val="005711D2"/>
    <w:rsid w:val="0057654B"/>
    <w:rsid w:val="00582B37"/>
    <w:rsid w:val="005832B7"/>
    <w:rsid w:val="00585C89"/>
    <w:rsid w:val="00596923"/>
    <w:rsid w:val="005A23F9"/>
    <w:rsid w:val="005A53C4"/>
    <w:rsid w:val="005B3B56"/>
    <w:rsid w:val="005F10A0"/>
    <w:rsid w:val="005F12DB"/>
    <w:rsid w:val="00600EB1"/>
    <w:rsid w:val="00602979"/>
    <w:rsid w:val="0061321D"/>
    <w:rsid w:val="00627D90"/>
    <w:rsid w:val="006424A3"/>
    <w:rsid w:val="00651C93"/>
    <w:rsid w:val="00654794"/>
    <w:rsid w:val="00666960"/>
    <w:rsid w:val="006858F2"/>
    <w:rsid w:val="006935C9"/>
    <w:rsid w:val="00694796"/>
    <w:rsid w:val="006C56C1"/>
    <w:rsid w:val="0071497B"/>
    <w:rsid w:val="00714BCD"/>
    <w:rsid w:val="00716F0A"/>
    <w:rsid w:val="007178F0"/>
    <w:rsid w:val="00751081"/>
    <w:rsid w:val="00755501"/>
    <w:rsid w:val="00784798"/>
    <w:rsid w:val="007A62A1"/>
    <w:rsid w:val="00803374"/>
    <w:rsid w:val="008077B4"/>
    <w:rsid w:val="00816ED5"/>
    <w:rsid w:val="008203E8"/>
    <w:rsid w:val="008229A2"/>
    <w:rsid w:val="00841F2A"/>
    <w:rsid w:val="008766A4"/>
    <w:rsid w:val="00877262"/>
    <w:rsid w:val="00886166"/>
    <w:rsid w:val="00887F4D"/>
    <w:rsid w:val="00895870"/>
    <w:rsid w:val="008B5B71"/>
    <w:rsid w:val="008C6FA8"/>
    <w:rsid w:val="008D127E"/>
    <w:rsid w:val="008D18C3"/>
    <w:rsid w:val="008D3BDE"/>
    <w:rsid w:val="008E11E2"/>
    <w:rsid w:val="008F3046"/>
    <w:rsid w:val="00916CF5"/>
    <w:rsid w:val="00927DEE"/>
    <w:rsid w:val="00933910"/>
    <w:rsid w:val="009437D3"/>
    <w:rsid w:val="00963BAA"/>
    <w:rsid w:val="00966666"/>
    <w:rsid w:val="00976850"/>
    <w:rsid w:val="00980015"/>
    <w:rsid w:val="009907B4"/>
    <w:rsid w:val="009A5235"/>
    <w:rsid w:val="009B347D"/>
    <w:rsid w:val="009B4EE0"/>
    <w:rsid w:val="009E4078"/>
    <w:rsid w:val="009F030B"/>
    <w:rsid w:val="009F2302"/>
    <w:rsid w:val="009F5CB4"/>
    <w:rsid w:val="00A223D8"/>
    <w:rsid w:val="00A24F9D"/>
    <w:rsid w:val="00A2755E"/>
    <w:rsid w:val="00A33C93"/>
    <w:rsid w:val="00A3693C"/>
    <w:rsid w:val="00A64251"/>
    <w:rsid w:val="00A753AB"/>
    <w:rsid w:val="00A87A9F"/>
    <w:rsid w:val="00A917C7"/>
    <w:rsid w:val="00AB49E5"/>
    <w:rsid w:val="00AD01FD"/>
    <w:rsid w:val="00AE4681"/>
    <w:rsid w:val="00AE6F6F"/>
    <w:rsid w:val="00B02020"/>
    <w:rsid w:val="00B04643"/>
    <w:rsid w:val="00B17AF7"/>
    <w:rsid w:val="00B354DE"/>
    <w:rsid w:val="00B40154"/>
    <w:rsid w:val="00B6030C"/>
    <w:rsid w:val="00B63AD4"/>
    <w:rsid w:val="00B717E0"/>
    <w:rsid w:val="00B74F5F"/>
    <w:rsid w:val="00B850E1"/>
    <w:rsid w:val="00BB7B01"/>
    <w:rsid w:val="00BC20EE"/>
    <w:rsid w:val="00BD1BF4"/>
    <w:rsid w:val="00BF2182"/>
    <w:rsid w:val="00C052CB"/>
    <w:rsid w:val="00C10EC7"/>
    <w:rsid w:val="00C34984"/>
    <w:rsid w:val="00C40948"/>
    <w:rsid w:val="00C63676"/>
    <w:rsid w:val="00C91AC2"/>
    <w:rsid w:val="00C95672"/>
    <w:rsid w:val="00C96775"/>
    <w:rsid w:val="00C97847"/>
    <w:rsid w:val="00CA58FF"/>
    <w:rsid w:val="00CB1AF9"/>
    <w:rsid w:val="00CC7F0A"/>
    <w:rsid w:val="00CD3D1A"/>
    <w:rsid w:val="00CE74B0"/>
    <w:rsid w:val="00D049D0"/>
    <w:rsid w:val="00D114E3"/>
    <w:rsid w:val="00D23546"/>
    <w:rsid w:val="00D31299"/>
    <w:rsid w:val="00D40657"/>
    <w:rsid w:val="00D775FA"/>
    <w:rsid w:val="00D8417C"/>
    <w:rsid w:val="00D84C0F"/>
    <w:rsid w:val="00DD7BCE"/>
    <w:rsid w:val="00DF1C42"/>
    <w:rsid w:val="00E42E39"/>
    <w:rsid w:val="00E6102D"/>
    <w:rsid w:val="00E74FF8"/>
    <w:rsid w:val="00E80B03"/>
    <w:rsid w:val="00E84FFD"/>
    <w:rsid w:val="00E93CCE"/>
    <w:rsid w:val="00EA7F56"/>
    <w:rsid w:val="00EB0C35"/>
    <w:rsid w:val="00EC4687"/>
    <w:rsid w:val="00EC7AF5"/>
    <w:rsid w:val="00EC7D90"/>
    <w:rsid w:val="00ED3DCD"/>
    <w:rsid w:val="00EF04D3"/>
    <w:rsid w:val="00F27799"/>
    <w:rsid w:val="00F36897"/>
    <w:rsid w:val="00F3741B"/>
    <w:rsid w:val="00F37E0C"/>
    <w:rsid w:val="00F52421"/>
    <w:rsid w:val="00F56517"/>
    <w:rsid w:val="00F81B03"/>
    <w:rsid w:val="00F85A04"/>
    <w:rsid w:val="00F85A39"/>
    <w:rsid w:val="00F91F09"/>
    <w:rsid w:val="00F97B56"/>
    <w:rsid w:val="00FA4B55"/>
    <w:rsid w:val="00FA6B94"/>
    <w:rsid w:val="00FC0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F40553"/>
  <w15:docId w15:val="{72F14FC8-A35E-4B1A-A94D-3375141D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717E0"/>
    <w:pPr>
      <w:spacing w:after="120" w:line="240" w:lineRule="atLeast"/>
    </w:pPr>
    <w:rPr>
      <w:rFonts w:ascii="Arial" w:hAnsi="Arial" w:cs="Arial"/>
      <w:sz w:val="22"/>
      <w:szCs w:val="18"/>
    </w:rPr>
  </w:style>
  <w:style w:type="paragraph" w:styleId="Heading1">
    <w:name w:val="heading 1"/>
    <w:basedOn w:val="Normal"/>
    <w:next w:val="Normal"/>
    <w:link w:val="Heading1Char"/>
    <w:uiPriority w:val="9"/>
    <w:qFormat/>
    <w:locked/>
    <w:rsid w:val="00A64251"/>
    <w:pPr>
      <w:keepNext/>
      <w:keepLines/>
      <w:spacing w:before="240" w:line="280" w:lineRule="atLeast"/>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A64251"/>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BD1BF4"/>
    <w:pPr>
      <w:tabs>
        <w:tab w:val="left" w:pos="851"/>
      </w:tabs>
      <w:spacing w:before="24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1808"/>
    <w:rPr>
      <w:rFonts w:ascii="Arial" w:hAnsi="Arial" w:cs="Arial"/>
      <w:sz w:val="22"/>
      <w:szCs w:val="18"/>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803374"/>
    <w:pPr>
      <w:tabs>
        <w:tab w:val="right" w:pos="6804"/>
      </w:tabs>
      <w:spacing w:after="0" w:line="240" w:lineRule="auto"/>
    </w:pPr>
    <w:rPr>
      <w:sz w:val="20"/>
    </w:rPr>
  </w:style>
  <w:style w:type="character" w:customStyle="1" w:styleId="FooterChar">
    <w:name w:val="Footer Char"/>
    <w:basedOn w:val="DefaultParagraphFont"/>
    <w:link w:val="Footer"/>
    <w:uiPriority w:val="99"/>
    <w:rsid w:val="00803374"/>
    <w:rPr>
      <w:rFonts w:ascii="Arial" w:hAnsi="Arial" w:cs="Arial"/>
      <w:sz w:val="20"/>
      <w:szCs w:val="1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rsid w:val="00A64251"/>
    <w:rPr>
      <w:rFonts w:ascii="Arial" w:eastAsiaTheme="majorEastAsia" w:hAnsi="Arial" w:cstheme="majorBidi"/>
      <w:b/>
      <w:bCs/>
      <w:color w:val="AF272F"/>
      <w:sz w:val="44"/>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A64251"/>
    <w:rPr>
      <w:rFonts w:ascii="Arial" w:eastAsiaTheme="majorEastAsia" w:hAnsi="Arial" w:cstheme="majorBidi"/>
      <w:b/>
      <w:color w:val="AF272F"/>
      <w:sz w:val="36"/>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803374"/>
    <w:pPr>
      <w:spacing w:after="0" w:line="240" w:lineRule="auto"/>
    </w:pPr>
    <w:rPr>
      <w:sz w:val="20"/>
    </w:rPr>
  </w:style>
  <w:style w:type="character" w:customStyle="1" w:styleId="HeaderChar">
    <w:name w:val="Header Char"/>
    <w:basedOn w:val="DefaultParagraphFont"/>
    <w:link w:val="Header"/>
    <w:uiPriority w:val="99"/>
    <w:rsid w:val="00803374"/>
    <w:rPr>
      <w:rFonts w:ascii="Arial" w:hAnsi="Arial" w:cs="Arial"/>
      <w:sz w:val="20"/>
      <w:szCs w:val="18"/>
    </w:rPr>
  </w:style>
  <w:style w:type="character" w:customStyle="1" w:styleId="Heading3Char">
    <w:name w:val="Heading 3 Char"/>
    <w:basedOn w:val="DefaultParagraphFont"/>
    <w:link w:val="Heading3"/>
    <w:uiPriority w:val="9"/>
    <w:rsid w:val="00BD1BF4"/>
    <w:rPr>
      <w:rFonts w:ascii="Arial" w:hAnsi="Arial" w:cs="Arial"/>
      <w:b/>
      <w:color w:val="000000" w:themeColor="text1"/>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customStyle="1" w:styleId="NoteLevel1">
    <w:name w:val="Note Level 1"/>
    <w:basedOn w:val="Normal"/>
    <w:uiPriority w:val="99"/>
    <w:semiHidden/>
    <w:locked/>
    <w:rsid w:val="00895870"/>
    <w:pPr>
      <w:keepNext/>
      <w:numPr>
        <w:numId w:val="11"/>
      </w:numPr>
      <w:spacing w:before="120"/>
      <w:ind w:left="284"/>
      <w:contextualSpacing/>
      <w:outlineLvl w:val="0"/>
    </w:pPr>
  </w:style>
  <w:style w:type="paragraph" w:customStyle="1" w:styleId="NoteLevel2">
    <w:name w:val="Note Level 2"/>
    <w:basedOn w:val="Normal"/>
    <w:uiPriority w:val="99"/>
    <w:semiHidden/>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semiHidden/>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semiHidden/>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semiHidden/>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semiHidden/>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spacing w:after="0"/>
      <w:contextualSpacing/>
      <w:outlineLvl w:val="7"/>
    </w:pPr>
  </w:style>
  <w:style w:type="paragraph" w:customStyle="1" w:styleId="NoteLevel9">
    <w:name w:val="Note Level 9"/>
    <w:basedOn w:val="Normal"/>
    <w:uiPriority w:val="99"/>
    <w:semiHidden/>
    <w:locked/>
    <w:rsid w:val="00D84C0F"/>
    <w:pPr>
      <w:keepNext/>
      <w:numPr>
        <w:ilvl w:val="8"/>
        <w:numId w:val="11"/>
      </w:numPr>
      <w:spacing w:after="0"/>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221808"/>
    <w:pPr>
      <w:numPr>
        <w:numId w:val="38"/>
      </w:numPr>
      <w:spacing w:before="120" w:after="0" w:line="280" w:lineRule="atLeast"/>
      <w:ind w:left="284" w:hanging="284"/>
    </w:pPr>
    <w:rPr>
      <w:rFonts w:eastAsiaTheme="minorHAnsi" w:cstheme="minorBidi"/>
      <w:szCs w:val="22"/>
      <w:lang w:val="en-AU"/>
    </w:rPr>
  </w:style>
  <w:style w:type="paragraph" w:styleId="ListBullet2">
    <w:name w:val="List Bullet 2"/>
    <w:basedOn w:val="Normal"/>
    <w:uiPriority w:val="99"/>
    <w:locked/>
    <w:rsid w:val="00927DEE"/>
    <w:pPr>
      <w:spacing w:before="60" w:after="0" w:line="280" w:lineRule="atLeast"/>
      <w:ind w:left="568" w:hanging="284"/>
    </w:pPr>
    <w:rPr>
      <w:rFonts w:ascii="Candara" w:eastAsiaTheme="minorHAnsi" w:hAnsi="Candara" w:cstheme="minorBidi"/>
      <w:szCs w:val="22"/>
      <w:lang w:val="en-AU"/>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Continue">
    <w:name w:val="List Continue"/>
    <w:basedOn w:val="Normal"/>
    <w:uiPriority w:val="99"/>
    <w:unhideWhenUsed/>
    <w:locked/>
    <w:rsid w:val="0051778F"/>
    <w:pPr>
      <w:spacing w:before="120" w:after="0" w:line="280" w:lineRule="atLeast"/>
      <w:ind w:left="284"/>
    </w:pPr>
    <w:rPr>
      <w:rFonts w:ascii="Candara" w:eastAsiaTheme="minorHAnsi" w:hAnsi="Candara" w:cstheme="minorBidi"/>
      <w:szCs w:val="22"/>
      <w:lang w:val="en-AU"/>
    </w:rPr>
  </w:style>
  <w:style w:type="paragraph" w:styleId="BodyText">
    <w:name w:val="Body Text"/>
    <w:basedOn w:val="Normal"/>
    <w:link w:val="BodyTextChar"/>
    <w:uiPriority w:val="99"/>
    <w:unhideWhenUsed/>
    <w:locked/>
    <w:rsid w:val="00803374"/>
    <w:pPr>
      <w:pBdr>
        <w:top w:val="single" w:sz="2" w:space="1" w:color="C00000" w:shadow="1"/>
        <w:left w:val="single" w:sz="2" w:space="4" w:color="C00000" w:shadow="1"/>
        <w:bottom w:val="single" w:sz="2" w:space="1" w:color="C00000" w:shadow="1"/>
        <w:right w:val="single" w:sz="2" w:space="4" w:color="C00000" w:shadow="1"/>
      </w:pBdr>
      <w:spacing w:before="120" w:line="280" w:lineRule="atLeast"/>
      <w:ind w:left="567" w:right="567"/>
    </w:pPr>
    <w:rPr>
      <w:rFonts w:eastAsiaTheme="minorHAnsi" w:cstheme="minorBidi"/>
      <w:b/>
      <w:color w:val="C00000"/>
      <w:szCs w:val="22"/>
      <w:lang w:val="en-AU"/>
    </w:rPr>
  </w:style>
  <w:style w:type="character" w:customStyle="1" w:styleId="BodyTextChar">
    <w:name w:val="Body Text Char"/>
    <w:basedOn w:val="DefaultParagraphFont"/>
    <w:link w:val="BodyText"/>
    <w:uiPriority w:val="99"/>
    <w:rsid w:val="00803374"/>
    <w:rPr>
      <w:rFonts w:ascii="Arial" w:eastAsiaTheme="minorHAnsi" w:hAnsi="Arial"/>
      <w:b/>
      <w:color w:val="C00000"/>
      <w:sz w:val="22"/>
      <w:szCs w:val="22"/>
      <w:lang w:val="en-AU"/>
    </w:rPr>
  </w:style>
  <w:style w:type="paragraph" w:styleId="BodyText2">
    <w:name w:val="Body Text 2"/>
    <w:basedOn w:val="Normal"/>
    <w:link w:val="BodyText2Char"/>
    <w:uiPriority w:val="99"/>
    <w:unhideWhenUsed/>
    <w:locked/>
    <w:rsid w:val="00803374"/>
    <w:pPr>
      <w:pBdr>
        <w:top w:val="single" w:sz="2" w:space="1" w:color="C00000" w:shadow="1"/>
        <w:left w:val="single" w:sz="2" w:space="4" w:color="C00000" w:shadow="1"/>
        <w:bottom w:val="single" w:sz="2" w:space="1" w:color="C00000" w:shadow="1"/>
        <w:right w:val="single" w:sz="2" w:space="4" w:color="C00000" w:shadow="1"/>
      </w:pBdr>
      <w:spacing w:before="120" w:after="0" w:line="280" w:lineRule="atLeast"/>
      <w:ind w:left="567" w:right="567"/>
    </w:pPr>
    <w:rPr>
      <w:rFonts w:eastAsiaTheme="minorHAnsi" w:cstheme="minorBidi"/>
      <w:szCs w:val="22"/>
      <w:lang w:val="en-AU"/>
    </w:rPr>
  </w:style>
  <w:style w:type="character" w:customStyle="1" w:styleId="BodyText2Char">
    <w:name w:val="Body Text 2 Char"/>
    <w:basedOn w:val="DefaultParagraphFont"/>
    <w:link w:val="BodyText2"/>
    <w:uiPriority w:val="99"/>
    <w:rsid w:val="00803374"/>
    <w:rPr>
      <w:rFonts w:ascii="Arial" w:eastAsiaTheme="minorHAnsi" w:hAnsi="Arial"/>
      <w:sz w:val="22"/>
      <w:szCs w:val="22"/>
      <w:lang w:val="en-AU"/>
    </w:rPr>
  </w:style>
  <w:style w:type="paragraph" w:styleId="NoSpacing">
    <w:name w:val="No Spacing"/>
    <w:uiPriority w:val="1"/>
    <w:unhideWhenUsed/>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38749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87492"/>
    <w:rPr>
      <w:rFonts w:ascii="Segoe UI" w:hAnsi="Segoe UI" w:cs="Segoe UI"/>
      <w:sz w:val="18"/>
      <w:szCs w:val="18"/>
    </w:rPr>
  </w:style>
  <w:style w:type="table" w:customStyle="1" w:styleId="TableGrid2">
    <w:name w:val="Table Grid2"/>
    <w:basedOn w:val="TableNormal"/>
    <w:next w:val="TableGrid"/>
    <w:uiPriority w:val="59"/>
    <w:rsid w:val="0062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1D083F"/>
    <w:rPr>
      <w:sz w:val="16"/>
      <w:szCs w:val="16"/>
    </w:rPr>
  </w:style>
  <w:style w:type="paragraph" w:styleId="CommentText">
    <w:name w:val="annotation text"/>
    <w:basedOn w:val="Normal"/>
    <w:link w:val="CommentTextChar"/>
    <w:uiPriority w:val="99"/>
    <w:semiHidden/>
    <w:unhideWhenUsed/>
    <w:locked/>
    <w:rsid w:val="001D083F"/>
    <w:pPr>
      <w:spacing w:line="240" w:lineRule="auto"/>
    </w:pPr>
    <w:rPr>
      <w:sz w:val="20"/>
      <w:szCs w:val="20"/>
    </w:rPr>
  </w:style>
  <w:style w:type="character" w:customStyle="1" w:styleId="CommentTextChar">
    <w:name w:val="Comment Text Char"/>
    <w:basedOn w:val="DefaultParagraphFont"/>
    <w:link w:val="CommentText"/>
    <w:uiPriority w:val="99"/>
    <w:semiHidden/>
    <w:rsid w:val="001D083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1D083F"/>
    <w:rPr>
      <w:b/>
      <w:bCs/>
    </w:rPr>
  </w:style>
  <w:style w:type="character" w:customStyle="1" w:styleId="CommentSubjectChar">
    <w:name w:val="Comment Subject Char"/>
    <w:basedOn w:val="CommentTextChar"/>
    <w:link w:val="CommentSubject"/>
    <w:uiPriority w:val="99"/>
    <w:semiHidden/>
    <w:rsid w:val="001D083F"/>
    <w:rPr>
      <w:rFonts w:ascii="Arial" w:hAnsi="Arial" w:cs="Arial"/>
      <w:b/>
      <w:bCs/>
      <w:sz w:val="20"/>
      <w:szCs w:val="20"/>
    </w:rPr>
  </w:style>
  <w:style w:type="table" w:customStyle="1" w:styleId="GridTable6Colorful2">
    <w:name w:val="Grid Table 6 Colorful2"/>
    <w:basedOn w:val="TableNormal"/>
    <w:uiPriority w:val="51"/>
    <w:rsid w:val="00585C89"/>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0">
    <w:name w:val="Grid Table 6 Colorful2"/>
    <w:basedOn w:val="TableNormal"/>
    <w:uiPriority w:val="51"/>
    <w:rsid w:val="004D4D13"/>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locked/>
    <w:rsid w:val="00B35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8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t.greg.j@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gate.eduweb.vic.gov.au/Services/Finance/Pages/Ta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Documents/school/principals/finance/C21chartofaccounts.pdf" TargetMode="External"/><Relationship Id="rId5" Type="http://schemas.openxmlformats.org/officeDocument/2006/relationships/numbering" Target="numbering.xml"/><Relationship Id="rId15" Type="http://schemas.openxmlformats.org/officeDocument/2006/relationships/hyperlink" Target="https://servicegateway.eduweb.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principals/finance/C21chartofaccoun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13287-36D7-49FD-B01B-7ABB8FE6526B}"/>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6732CB68-E08D-4B65-8AE7-B1921D3D7345}"/>
</file>

<file path=docProps/app.xml><?xml version="1.0" encoding="utf-8"?>
<Properties xmlns="http://schemas.openxmlformats.org/officeDocument/2006/extended-properties" xmlns:vt="http://schemas.openxmlformats.org/officeDocument/2006/docPropsVTypes">
  <Template>Normal</Template>
  <TotalTime>3</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Sutherland, Lisa J</cp:lastModifiedBy>
  <cp:revision>5</cp:revision>
  <cp:lastPrinted>2019-02-01T00:56:00Z</cp:lastPrinted>
  <dcterms:created xsi:type="dcterms:W3CDTF">2019-01-25T05:39:00Z</dcterms:created>
  <dcterms:modified xsi:type="dcterms:W3CDTF">2019-02-01T00:58:00Z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