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25737" w14:textId="77777777" w:rsidR="00927DEE" w:rsidRPr="00F11220" w:rsidRDefault="00340B26">
      <w:pPr>
        <w:pStyle w:val="Heading1"/>
      </w:pPr>
      <w:bookmarkStart w:id="0" w:name="_Toc455499267"/>
      <w:bookmarkStart w:id="1" w:name="_Toc455499461"/>
      <w:bookmarkStart w:id="2" w:name="_Toc455501167"/>
      <w:bookmarkStart w:id="3" w:name="_GoBack"/>
      <w:bookmarkEnd w:id="3"/>
      <w:r w:rsidRPr="00F11220">
        <w:t>Section 6</w:t>
      </w:r>
      <w:r w:rsidR="00927DEE" w:rsidRPr="00F11220">
        <w:t xml:space="preserve">: </w:t>
      </w:r>
      <w:r w:rsidRPr="00F11220">
        <w:t>Budget</w:t>
      </w:r>
      <w:r w:rsidR="00B239F0" w:rsidRPr="00F11220">
        <w:t xml:space="preserve"> Management</w:t>
      </w:r>
    </w:p>
    <w:p w14:paraId="6C289F69" w14:textId="77777777" w:rsidR="0049078A" w:rsidRPr="00F11220" w:rsidRDefault="0049078A" w:rsidP="00E14E0C">
      <w:pPr>
        <w:pStyle w:val="Heading2"/>
      </w:pPr>
      <w:r w:rsidRPr="00F11220">
        <w:t>6.1</w:t>
      </w:r>
      <w:r w:rsidR="002C4CA5">
        <w:tab/>
      </w:r>
      <w:r w:rsidRPr="00F11220">
        <w:t>Overview</w:t>
      </w:r>
    </w:p>
    <w:p w14:paraId="6D787574" w14:textId="77777777" w:rsidR="00F85738" w:rsidRPr="00F85738" w:rsidRDefault="00F85738" w:rsidP="001630E3">
      <w:r w:rsidRPr="00F85738">
        <w:t>An annual budget is a comprehensive financial plan for the school that is calculated from potential revenue and proposed expenditure for the coming year. It is used to plan the course of future events in a school and assists a school council in monitoring actual events against its initial plan</w:t>
      </w:r>
      <w:r w:rsidR="00315AC8">
        <w:t xml:space="preserve"> and evaluating performance at the end of the year</w:t>
      </w:r>
      <w:r w:rsidRPr="00F85738">
        <w:t xml:space="preserve">. </w:t>
      </w:r>
    </w:p>
    <w:p w14:paraId="413EDC26" w14:textId="77777777" w:rsidR="00D33B4C" w:rsidRDefault="00F85738" w:rsidP="001630E3">
      <w:r w:rsidRPr="00F85738">
        <w:t>The school council has responsibility for the school budget and for seeing that it is developed in a way which ensures that funds expected to be available are put to the best use in terms of the school’s strategic plan and its educational policies</w:t>
      </w:r>
      <w:r w:rsidR="00350C5B">
        <w:t xml:space="preserve"> and priorities</w:t>
      </w:r>
      <w:r w:rsidRPr="00F85738">
        <w:t>. It is through the school budget that cash resources are directed into activities that enable clearly identified school goals to be met.</w:t>
      </w:r>
      <w:r w:rsidR="00D33B4C">
        <w:t xml:space="preserve"> </w:t>
      </w:r>
    </w:p>
    <w:p w14:paraId="23908522" w14:textId="77777777" w:rsidR="00D33B4C" w:rsidRPr="00F85738" w:rsidRDefault="00750CA5" w:rsidP="001630E3">
      <w:r>
        <w:t>In</w:t>
      </w:r>
      <w:r w:rsidR="00D33B4C">
        <w:t>adequate and ineffective oversight of financial performance and budgets may result in programs and expenses not being appropriately controlled and monitored. Budget variance analysis is required to ensure financial issues are addressed in a timely manner and errors or irregularities detected.</w:t>
      </w:r>
    </w:p>
    <w:p w14:paraId="7A502F55" w14:textId="77777777" w:rsidR="006E77A1" w:rsidRDefault="006E77A1" w:rsidP="001630E3"/>
    <w:p w14:paraId="7134C2BE" w14:textId="77777777" w:rsidR="00927DEE" w:rsidRPr="0049078A" w:rsidRDefault="00F85738" w:rsidP="00EC7525">
      <w:pPr>
        <w:pStyle w:val="Heading2"/>
        <w:rPr>
          <w:caps/>
          <w:lang w:val="en-AU"/>
        </w:rPr>
      </w:pPr>
      <w:r w:rsidRPr="0049078A">
        <w:rPr>
          <w:lang w:val="en-AU"/>
        </w:rPr>
        <w:t>6</w:t>
      </w:r>
      <w:r w:rsidR="00927DEE" w:rsidRPr="0049078A">
        <w:rPr>
          <w:lang w:val="en-AU"/>
        </w:rPr>
        <w:t>.2</w:t>
      </w:r>
      <w:r w:rsidR="002C4CA5">
        <w:rPr>
          <w:lang w:val="en-AU"/>
        </w:rPr>
        <w:tab/>
      </w:r>
      <w:r w:rsidRPr="0049078A">
        <w:rPr>
          <w:lang w:val="en-AU"/>
        </w:rPr>
        <w:t>Budget development</w:t>
      </w:r>
    </w:p>
    <w:p w14:paraId="101FDE66" w14:textId="77777777" w:rsidR="00927DEE" w:rsidRPr="002C4CA5" w:rsidRDefault="00F85738" w:rsidP="002C4CA5">
      <w:pPr>
        <w:pStyle w:val="Heading3"/>
        <w:tabs>
          <w:tab w:val="left" w:pos="851"/>
        </w:tabs>
        <w:spacing w:after="240"/>
        <w:rPr>
          <w:lang w:val="en-AU"/>
        </w:rPr>
      </w:pPr>
      <w:r w:rsidRPr="002C4CA5">
        <w:rPr>
          <w:lang w:val="en-AU"/>
        </w:rPr>
        <w:t>6</w:t>
      </w:r>
      <w:r w:rsidR="00927DEE" w:rsidRPr="002C4CA5">
        <w:rPr>
          <w:lang w:val="en-AU"/>
        </w:rPr>
        <w:t>.2.1</w:t>
      </w:r>
      <w:r w:rsidR="002C4CA5" w:rsidRPr="002C4CA5">
        <w:rPr>
          <w:lang w:val="en-AU"/>
        </w:rPr>
        <w:tab/>
      </w:r>
      <w:r w:rsidR="00927DEE" w:rsidRPr="002C4CA5">
        <w:rPr>
          <w:lang w:val="en-AU"/>
        </w:rPr>
        <w:t>Mandatory policy (</w:t>
      </w:r>
      <w:r w:rsidR="009248FE" w:rsidRPr="002C4CA5">
        <w:rPr>
          <w:lang w:val="en-AU"/>
        </w:rPr>
        <w:t>Must do</w:t>
      </w:r>
      <w:r w:rsidR="00927DEE" w:rsidRPr="002C4CA5">
        <w:rPr>
          <w:lang w:val="en-AU"/>
        </w:rPr>
        <w:t>)</w:t>
      </w:r>
      <w:r w:rsidR="00541857" w:rsidRPr="002C4CA5">
        <w:rPr>
          <w:lang w:val="en-AU"/>
        </w:rPr>
        <w:t>:</w:t>
      </w:r>
    </w:p>
    <w:tbl>
      <w:tblPr>
        <w:tblStyle w:val="LightList-Accent3"/>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Description w:val="table containing sequence number and policy information"/>
      </w:tblPr>
      <w:tblGrid>
        <w:gridCol w:w="1072"/>
        <w:gridCol w:w="7088"/>
        <w:gridCol w:w="837"/>
      </w:tblGrid>
      <w:tr w:rsidR="00B8317A" w:rsidRPr="00E14E0C" w14:paraId="53606AB7" w14:textId="7F70BDD7" w:rsidTr="00B8317A">
        <w:trPr>
          <w:trHeight w:hRule="exact" w:val="857"/>
          <w:tblHeader/>
        </w:trPr>
        <w:tc>
          <w:tcPr>
            <w:tcW w:w="1072" w:type="dxa"/>
            <w:tcBorders>
              <w:bottom w:val="single" w:sz="4" w:space="0" w:color="auto"/>
            </w:tcBorders>
            <w:shd w:val="clear" w:color="auto" w:fill="FFFFFF" w:themeFill="background1"/>
          </w:tcPr>
          <w:p w14:paraId="2849066E" w14:textId="6FACF44D" w:rsidR="00B8317A" w:rsidRPr="00B131B9" w:rsidRDefault="00B8317A" w:rsidP="001630E3">
            <w:pPr>
              <w:rPr>
                <w:b/>
              </w:rPr>
            </w:pPr>
            <w:r w:rsidRPr="00C64616">
              <w:rPr>
                <w:b/>
                <w:sz w:val="18"/>
              </w:rPr>
              <w:t>Sequence Number</w:t>
            </w:r>
          </w:p>
        </w:tc>
        <w:tc>
          <w:tcPr>
            <w:tcW w:w="7088" w:type="dxa"/>
            <w:tcBorders>
              <w:bottom w:val="single" w:sz="4" w:space="0" w:color="auto"/>
            </w:tcBorders>
            <w:shd w:val="clear" w:color="auto" w:fill="auto"/>
          </w:tcPr>
          <w:p w14:paraId="48E83FA8" w14:textId="77777777" w:rsidR="00B8317A" w:rsidRDefault="00B8317A" w:rsidP="001630E3">
            <w:pPr>
              <w:rPr>
                <w:b/>
              </w:rPr>
            </w:pPr>
            <w:r w:rsidRPr="00B131B9">
              <w:rPr>
                <w:b/>
              </w:rPr>
              <w:t>Information</w:t>
            </w:r>
          </w:p>
          <w:p w14:paraId="5CADFF33" w14:textId="77777777" w:rsidR="00B8317A" w:rsidRDefault="00B8317A" w:rsidP="001630E3">
            <w:pPr>
              <w:rPr>
                <w:b/>
              </w:rPr>
            </w:pPr>
          </w:p>
          <w:p w14:paraId="14887E42" w14:textId="443FBFCD" w:rsidR="00B8317A" w:rsidRPr="00B131B9" w:rsidRDefault="00B8317A" w:rsidP="001630E3">
            <w:pPr>
              <w:rPr>
                <w:b/>
              </w:rPr>
            </w:pPr>
          </w:p>
        </w:tc>
        <w:tc>
          <w:tcPr>
            <w:tcW w:w="837" w:type="dxa"/>
            <w:tcBorders>
              <w:top w:val="nil"/>
              <w:bottom w:val="single" w:sz="4" w:space="0" w:color="auto"/>
              <w:right w:val="nil"/>
            </w:tcBorders>
          </w:tcPr>
          <w:p w14:paraId="232FE49B" w14:textId="77777777" w:rsidR="00B8317A" w:rsidRPr="00B131B9" w:rsidRDefault="00B8317A" w:rsidP="001630E3">
            <w:pPr>
              <w:rPr>
                <w:b/>
              </w:rPr>
            </w:pPr>
          </w:p>
        </w:tc>
      </w:tr>
      <w:tr w:rsidR="00B8317A" w:rsidRPr="00E14E0C" w14:paraId="6A28A6BE" w14:textId="7F61DFC1" w:rsidTr="00B8317A">
        <w:trPr>
          <w:trHeight w:hRule="exact" w:val="1021"/>
        </w:trPr>
        <w:tc>
          <w:tcPr>
            <w:tcW w:w="1072" w:type="dxa"/>
            <w:tcBorders>
              <w:bottom w:val="single" w:sz="4" w:space="0" w:color="auto"/>
            </w:tcBorders>
            <w:shd w:val="clear" w:color="auto" w:fill="FFFFFF" w:themeFill="background1"/>
          </w:tcPr>
          <w:p w14:paraId="31A3ADC5" w14:textId="77777777" w:rsidR="00B8317A" w:rsidRPr="001630E3" w:rsidRDefault="00B8317A" w:rsidP="001630E3">
            <w:r w:rsidRPr="00E14E0C">
              <w:t>6.2.1.1</w:t>
            </w:r>
          </w:p>
        </w:tc>
        <w:tc>
          <w:tcPr>
            <w:tcW w:w="7088" w:type="dxa"/>
            <w:tcBorders>
              <w:bottom w:val="single" w:sz="4" w:space="0" w:color="auto"/>
            </w:tcBorders>
            <w:shd w:val="clear" w:color="auto" w:fill="auto"/>
          </w:tcPr>
          <w:p w14:paraId="6F4E39AD" w14:textId="77777777" w:rsidR="00B8317A" w:rsidRPr="001630E3" w:rsidRDefault="00B8317A" w:rsidP="001630E3">
            <w:r w:rsidRPr="00E14E0C">
              <w:t>Develop an indicative cash budget</w:t>
            </w:r>
            <w:r>
              <w:t xml:space="preserve"> (revenue and expenditure)</w:t>
            </w:r>
            <w:r w:rsidRPr="00E14E0C">
              <w:t xml:space="preserve"> based on the Indicative SRP and estimates of other revenue and expenditure. Include capital if capital projects.</w:t>
            </w:r>
          </w:p>
        </w:tc>
        <w:tc>
          <w:tcPr>
            <w:tcW w:w="837" w:type="dxa"/>
            <w:tcBorders>
              <w:bottom w:val="single" w:sz="4" w:space="0" w:color="auto"/>
            </w:tcBorders>
          </w:tcPr>
          <w:p w14:paraId="68D1D9F5" w14:textId="77777777" w:rsidR="00B8317A" w:rsidRPr="00E14E0C" w:rsidRDefault="00B8317A" w:rsidP="001630E3"/>
        </w:tc>
      </w:tr>
      <w:tr w:rsidR="00B8317A" w:rsidRPr="00E14E0C" w14:paraId="7954A465" w14:textId="55A38D1B" w:rsidTr="00B8317A">
        <w:trPr>
          <w:trHeight w:hRule="exact" w:val="1304"/>
        </w:trPr>
        <w:tc>
          <w:tcPr>
            <w:tcW w:w="1072" w:type="dxa"/>
            <w:tcBorders>
              <w:top w:val="single" w:sz="4" w:space="0" w:color="auto"/>
              <w:left w:val="single" w:sz="4" w:space="0" w:color="auto"/>
              <w:bottom w:val="single" w:sz="4" w:space="0" w:color="auto"/>
            </w:tcBorders>
            <w:shd w:val="clear" w:color="auto" w:fill="FFFFFF" w:themeFill="background1"/>
          </w:tcPr>
          <w:p w14:paraId="3491C8F3" w14:textId="77777777" w:rsidR="00B8317A" w:rsidRPr="001630E3" w:rsidRDefault="00B8317A" w:rsidP="001630E3">
            <w:r w:rsidRPr="001630E3">
              <w:rPr>
                <w:rFonts w:eastAsiaTheme="minorEastAsia"/>
                <w:lang w:val="en-US"/>
              </w:rPr>
              <w:t>6.2.1.2</w:t>
            </w:r>
          </w:p>
        </w:tc>
        <w:tc>
          <w:tcPr>
            <w:tcW w:w="7088" w:type="dxa"/>
            <w:tcBorders>
              <w:top w:val="single" w:sz="4" w:space="0" w:color="auto"/>
              <w:bottom w:val="single" w:sz="4" w:space="0" w:color="auto"/>
            </w:tcBorders>
            <w:shd w:val="clear" w:color="auto" w:fill="auto"/>
          </w:tcPr>
          <w:p w14:paraId="57D6EAC4" w14:textId="77777777" w:rsidR="00B8317A" w:rsidRPr="001D330B" w:rsidRDefault="00B8317A" w:rsidP="001630E3">
            <w:r w:rsidRPr="00E14E0C">
              <w:t>Have the indicative cash budget approved and minuted by school council prior to the end of the year preceding the budget year</w:t>
            </w:r>
            <w:r w:rsidRPr="001630E3">
              <w:rPr>
                <w:rFonts w:eastAsiaTheme="minorEastAsia"/>
                <w:lang w:val="en-US"/>
              </w:rPr>
              <w:t>. For example, the budget for the 2019 year to be approved by end of 2018 year.</w:t>
            </w:r>
          </w:p>
        </w:tc>
        <w:tc>
          <w:tcPr>
            <w:tcW w:w="837" w:type="dxa"/>
            <w:tcBorders>
              <w:top w:val="single" w:sz="4" w:space="0" w:color="auto"/>
              <w:bottom w:val="single" w:sz="4" w:space="0" w:color="auto"/>
            </w:tcBorders>
          </w:tcPr>
          <w:p w14:paraId="7E691D5F" w14:textId="77777777" w:rsidR="00B8317A" w:rsidRPr="00E14E0C" w:rsidRDefault="00B8317A" w:rsidP="001630E3"/>
        </w:tc>
      </w:tr>
      <w:tr w:rsidR="00B8317A" w:rsidRPr="00E14E0C" w14:paraId="3D5BAE7D" w14:textId="2198BA2D" w:rsidTr="00B8317A">
        <w:trPr>
          <w:trHeight w:hRule="exact" w:val="1021"/>
        </w:trPr>
        <w:tc>
          <w:tcPr>
            <w:tcW w:w="1072" w:type="dxa"/>
            <w:tcBorders>
              <w:top w:val="single" w:sz="4" w:space="0" w:color="auto"/>
              <w:left w:val="single" w:sz="4" w:space="0" w:color="auto"/>
              <w:bottom w:val="single" w:sz="4" w:space="0" w:color="auto"/>
            </w:tcBorders>
            <w:shd w:val="clear" w:color="auto" w:fill="FFFFFF" w:themeFill="background1"/>
          </w:tcPr>
          <w:p w14:paraId="3F33A49D" w14:textId="77777777" w:rsidR="00B8317A" w:rsidRPr="001630E3" w:rsidRDefault="00B8317A" w:rsidP="001630E3">
            <w:r w:rsidRPr="001630E3">
              <w:rPr>
                <w:rFonts w:eastAsiaTheme="minorEastAsia"/>
                <w:lang w:val="en-US"/>
              </w:rPr>
              <w:t>6.2.1.3</w:t>
            </w:r>
          </w:p>
        </w:tc>
        <w:tc>
          <w:tcPr>
            <w:tcW w:w="7088" w:type="dxa"/>
            <w:tcBorders>
              <w:top w:val="single" w:sz="4" w:space="0" w:color="auto"/>
              <w:bottom w:val="single" w:sz="4" w:space="0" w:color="auto"/>
            </w:tcBorders>
            <w:shd w:val="clear" w:color="auto" w:fill="auto"/>
          </w:tcPr>
          <w:p w14:paraId="3B3EE07F" w14:textId="77777777" w:rsidR="00B8317A" w:rsidRPr="001D330B" w:rsidRDefault="00B8317A" w:rsidP="001630E3">
            <w:r w:rsidRPr="00E14E0C">
              <w:t xml:space="preserve">Enter the indicative </w:t>
            </w:r>
            <w:r>
              <w:t xml:space="preserve">cash </w:t>
            </w:r>
            <w:r w:rsidRPr="00E14E0C">
              <w:t>budget (both revenue and expenditure) into CASES21 prior to the first meeting of school council in the budget year.</w:t>
            </w:r>
          </w:p>
        </w:tc>
        <w:tc>
          <w:tcPr>
            <w:tcW w:w="837" w:type="dxa"/>
            <w:tcBorders>
              <w:top w:val="single" w:sz="4" w:space="0" w:color="auto"/>
              <w:bottom w:val="single" w:sz="4" w:space="0" w:color="auto"/>
            </w:tcBorders>
          </w:tcPr>
          <w:p w14:paraId="7B2B2324" w14:textId="77777777" w:rsidR="00B8317A" w:rsidRPr="00E14E0C" w:rsidRDefault="00B8317A" w:rsidP="001630E3"/>
        </w:tc>
      </w:tr>
      <w:tr w:rsidR="00B8317A" w:rsidRPr="00E14E0C" w14:paraId="118F23C7" w14:textId="40F01144" w:rsidTr="00B8317A">
        <w:trPr>
          <w:trHeight w:hRule="exact" w:val="737"/>
        </w:trPr>
        <w:tc>
          <w:tcPr>
            <w:tcW w:w="1072" w:type="dxa"/>
            <w:tcBorders>
              <w:top w:val="single" w:sz="4" w:space="0" w:color="auto"/>
              <w:left w:val="single" w:sz="4" w:space="0" w:color="auto"/>
              <w:bottom w:val="single" w:sz="4" w:space="0" w:color="auto"/>
            </w:tcBorders>
            <w:shd w:val="clear" w:color="auto" w:fill="FFFFFF" w:themeFill="background1"/>
          </w:tcPr>
          <w:p w14:paraId="0141CCE7" w14:textId="77777777" w:rsidR="00B8317A" w:rsidRPr="001630E3" w:rsidRDefault="00B8317A" w:rsidP="001630E3">
            <w:r w:rsidRPr="001630E3">
              <w:rPr>
                <w:rFonts w:eastAsiaTheme="minorEastAsia"/>
                <w:lang w:val="en-US"/>
              </w:rPr>
              <w:t>6.2.1.4</w:t>
            </w:r>
          </w:p>
        </w:tc>
        <w:tc>
          <w:tcPr>
            <w:tcW w:w="7088" w:type="dxa"/>
            <w:tcBorders>
              <w:top w:val="single" w:sz="4" w:space="0" w:color="auto"/>
              <w:bottom w:val="single" w:sz="4" w:space="0" w:color="auto"/>
            </w:tcBorders>
            <w:shd w:val="clear" w:color="auto" w:fill="auto"/>
          </w:tcPr>
          <w:p w14:paraId="545E6513" w14:textId="77777777" w:rsidR="00B8317A" w:rsidRPr="001D330B" w:rsidRDefault="00B8317A" w:rsidP="001630E3">
            <w:r w:rsidRPr="00E14E0C">
              <w:t>Review and update the indicative cash budget once the Confirmed S</w:t>
            </w:r>
            <w:r>
              <w:t>tudent Resource Package (S</w:t>
            </w:r>
            <w:r w:rsidRPr="00E14E0C">
              <w:t>RP</w:t>
            </w:r>
            <w:r>
              <w:t>)</w:t>
            </w:r>
            <w:r w:rsidRPr="00E14E0C">
              <w:t xml:space="preserve"> is released.</w:t>
            </w:r>
          </w:p>
        </w:tc>
        <w:tc>
          <w:tcPr>
            <w:tcW w:w="837" w:type="dxa"/>
            <w:tcBorders>
              <w:top w:val="single" w:sz="4" w:space="0" w:color="auto"/>
              <w:bottom w:val="single" w:sz="4" w:space="0" w:color="auto"/>
            </w:tcBorders>
          </w:tcPr>
          <w:p w14:paraId="54D33AD7" w14:textId="77777777" w:rsidR="00B8317A" w:rsidRPr="00E14E0C" w:rsidRDefault="00B8317A" w:rsidP="001630E3"/>
        </w:tc>
      </w:tr>
      <w:tr w:rsidR="00B8317A" w:rsidRPr="00E14E0C" w14:paraId="0B882D6D" w14:textId="46851B7A" w:rsidTr="00B8317A">
        <w:trPr>
          <w:trHeight w:hRule="exact" w:val="737"/>
        </w:trPr>
        <w:tc>
          <w:tcPr>
            <w:tcW w:w="1072" w:type="dxa"/>
            <w:tcBorders>
              <w:top w:val="single" w:sz="4" w:space="0" w:color="auto"/>
              <w:left w:val="single" w:sz="4" w:space="0" w:color="auto"/>
              <w:bottom w:val="single" w:sz="4" w:space="0" w:color="auto"/>
            </w:tcBorders>
            <w:shd w:val="clear" w:color="auto" w:fill="FFFFFF" w:themeFill="background1"/>
          </w:tcPr>
          <w:p w14:paraId="3B5C4C48" w14:textId="77777777" w:rsidR="00B8317A" w:rsidRPr="001630E3" w:rsidRDefault="00B8317A" w:rsidP="001630E3">
            <w:r w:rsidRPr="001630E3">
              <w:rPr>
                <w:rFonts w:eastAsiaTheme="minorEastAsia"/>
                <w:lang w:val="en-US"/>
              </w:rPr>
              <w:t>6.2.1.5</w:t>
            </w:r>
          </w:p>
        </w:tc>
        <w:tc>
          <w:tcPr>
            <w:tcW w:w="7088" w:type="dxa"/>
            <w:tcBorders>
              <w:top w:val="single" w:sz="4" w:space="0" w:color="auto"/>
              <w:bottom w:val="single" w:sz="4" w:space="0" w:color="auto"/>
            </w:tcBorders>
            <w:shd w:val="clear" w:color="auto" w:fill="auto"/>
          </w:tcPr>
          <w:p w14:paraId="5EE72877" w14:textId="77777777" w:rsidR="00B8317A" w:rsidRPr="001D330B" w:rsidRDefault="00B8317A" w:rsidP="001630E3">
            <w:r w:rsidRPr="00E14E0C">
              <w:t>Have any changes to the budget approved and minuted by school council.</w:t>
            </w:r>
          </w:p>
        </w:tc>
        <w:tc>
          <w:tcPr>
            <w:tcW w:w="837" w:type="dxa"/>
            <w:tcBorders>
              <w:top w:val="single" w:sz="4" w:space="0" w:color="auto"/>
              <w:bottom w:val="single" w:sz="4" w:space="0" w:color="auto"/>
            </w:tcBorders>
          </w:tcPr>
          <w:p w14:paraId="7B7BFB32" w14:textId="77777777" w:rsidR="00B8317A" w:rsidRPr="00E14E0C" w:rsidRDefault="00B8317A" w:rsidP="001630E3"/>
        </w:tc>
      </w:tr>
      <w:tr w:rsidR="00B8317A" w:rsidRPr="00E14E0C" w14:paraId="506EDEBA" w14:textId="5E60B23C" w:rsidTr="00B8317A">
        <w:trPr>
          <w:trHeight w:hRule="exact" w:val="454"/>
        </w:trPr>
        <w:tc>
          <w:tcPr>
            <w:tcW w:w="1072" w:type="dxa"/>
            <w:tcBorders>
              <w:top w:val="single" w:sz="4" w:space="0" w:color="auto"/>
              <w:left w:val="single" w:sz="4" w:space="0" w:color="auto"/>
              <w:bottom w:val="single" w:sz="4" w:space="0" w:color="auto"/>
            </w:tcBorders>
            <w:shd w:val="clear" w:color="auto" w:fill="FFFFFF" w:themeFill="background1"/>
          </w:tcPr>
          <w:p w14:paraId="024353EB" w14:textId="77777777" w:rsidR="00B8317A" w:rsidRPr="001630E3" w:rsidRDefault="00B8317A" w:rsidP="001630E3">
            <w:r w:rsidRPr="001630E3">
              <w:rPr>
                <w:rFonts w:eastAsiaTheme="minorEastAsia"/>
                <w:lang w:val="en-US"/>
              </w:rPr>
              <w:lastRenderedPageBreak/>
              <w:t>6.2.1.6</w:t>
            </w:r>
          </w:p>
        </w:tc>
        <w:tc>
          <w:tcPr>
            <w:tcW w:w="7088" w:type="dxa"/>
            <w:tcBorders>
              <w:top w:val="single" w:sz="4" w:space="0" w:color="auto"/>
              <w:bottom w:val="single" w:sz="4" w:space="0" w:color="auto"/>
            </w:tcBorders>
            <w:shd w:val="clear" w:color="auto" w:fill="auto"/>
          </w:tcPr>
          <w:p w14:paraId="6BF6FD04" w14:textId="77777777" w:rsidR="00B8317A" w:rsidRPr="00E14E0C" w:rsidRDefault="00B8317A" w:rsidP="001630E3">
            <w:r w:rsidRPr="00E14E0C">
              <w:t>Update the budget in CASES21.</w:t>
            </w:r>
          </w:p>
        </w:tc>
        <w:tc>
          <w:tcPr>
            <w:tcW w:w="837" w:type="dxa"/>
            <w:tcBorders>
              <w:top w:val="single" w:sz="4" w:space="0" w:color="auto"/>
              <w:bottom w:val="single" w:sz="4" w:space="0" w:color="auto"/>
            </w:tcBorders>
          </w:tcPr>
          <w:p w14:paraId="3EA2986A" w14:textId="77777777" w:rsidR="00B8317A" w:rsidRPr="00E14E0C" w:rsidRDefault="00B8317A" w:rsidP="001630E3"/>
        </w:tc>
      </w:tr>
      <w:tr w:rsidR="00B8317A" w:rsidRPr="00E14E0C" w14:paraId="7B77D959" w14:textId="7EBDF491" w:rsidTr="00B8317A">
        <w:trPr>
          <w:trHeight w:hRule="exact" w:val="737"/>
        </w:trPr>
        <w:tc>
          <w:tcPr>
            <w:tcW w:w="1072" w:type="dxa"/>
            <w:tcBorders>
              <w:top w:val="single" w:sz="4" w:space="0" w:color="auto"/>
              <w:left w:val="single" w:sz="4" w:space="0" w:color="auto"/>
              <w:bottom w:val="single" w:sz="4" w:space="0" w:color="auto"/>
            </w:tcBorders>
            <w:shd w:val="clear" w:color="auto" w:fill="FFFFFF" w:themeFill="background1"/>
          </w:tcPr>
          <w:p w14:paraId="48635CB6" w14:textId="77777777" w:rsidR="00B8317A" w:rsidRPr="001630E3" w:rsidRDefault="00B8317A" w:rsidP="001630E3">
            <w:r w:rsidRPr="001630E3">
              <w:rPr>
                <w:rFonts w:eastAsiaTheme="minorEastAsia"/>
                <w:lang w:val="en-US"/>
              </w:rPr>
              <w:t>6.2.1.7</w:t>
            </w:r>
          </w:p>
        </w:tc>
        <w:tc>
          <w:tcPr>
            <w:tcW w:w="7088" w:type="dxa"/>
            <w:tcBorders>
              <w:top w:val="single" w:sz="4" w:space="0" w:color="auto"/>
              <w:bottom w:val="single" w:sz="4" w:space="0" w:color="auto"/>
            </w:tcBorders>
            <w:shd w:val="clear" w:color="auto" w:fill="auto"/>
          </w:tcPr>
          <w:p w14:paraId="26E89579" w14:textId="11A73A78" w:rsidR="00B8317A" w:rsidRDefault="00B8317A" w:rsidP="001630E3">
            <w:r w:rsidRPr="00E14E0C">
              <w:t>Ensure that the budget entered into CASES21 reconciles with the budget approved by school council.</w:t>
            </w:r>
          </w:p>
          <w:p w14:paraId="577ACA22" w14:textId="7B50F97C" w:rsidR="00B8317A" w:rsidRPr="001049A6" w:rsidRDefault="00B8317A" w:rsidP="001049A6">
            <w:pPr>
              <w:tabs>
                <w:tab w:val="left" w:pos="2220"/>
              </w:tabs>
            </w:pPr>
            <w:r>
              <w:tab/>
            </w:r>
          </w:p>
        </w:tc>
        <w:tc>
          <w:tcPr>
            <w:tcW w:w="837" w:type="dxa"/>
            <w:tcBorders>
              <w:top w:val="single" w:sz="4" w:space="0" w:color="auto"/>
              <w:bottom w:val="single" w:sz="4" w:space="0" w:color="auto"/>
            </w:tcBorders>
          </w:tcPr>
          <w:p w14:paraId="585C6B9D" w14:textId="77777777" w:rsidR="00B8317A" w:rsidRPr="00E14E0C" w:rsidRDefault="00B8317A" w:rsidP="001630E3"/>
        </w:tc>
      </w:tr>
      <w:tr w:rsidR="00B8317A" w:rsidRPr="00E14E0C" w14:paraId="5A1A80AD" w14:textId="6C99597F" w:rsidTr="00B8317A">
        <w:trPr>
          <w:trHeight w:hRule="exact" w:val="454"/>
        </w:trPr>
        <w:tc>
          <w:tcPr>
            <w:tcW w:w="1072" w:type="dxa"/>
            <w:tcBorders>
              <w:top w:val="single" w:sz="4" w:space="0" w:color="auto"/>
              <w:left w:val="single" w:sz="4" w:space="0" w:color="auto"/>
              <w:bottom w:val="single" w:sz="4" w:space="0" w:color="auto"/>
            </w:tcBorders>
            <w:shd w:val="clear" w:color="auto" w:fill="FFFFFF" w:themeFill="background1"/>
          </w:tcPr>
          <w:p w14:paraId="3FDA2923" w14:textId="77777777" w:rsidR="00B8317A" w:rsidRPr="001630E3" w:rsidRDefault="00B8317A" w:rsidP="001630E3">
            <w:r w:rsidRPr="001630E3">
              <w:rPr>
                <w:rFonts w:eastAsiaTheme="minorEastAsia"/>
                <w:lang w:val="en-US"/>
              </w:rPr>
              <w:t>6.2.1.8</w:t>
            </w:r>
          </w:p>
        </w:tc>
        <w:tc>
          <w:tcPr>
            <w:tcW w:w="7088" w:type="dxa"/>
            <w:tcBorders>
              <w:top w:val="single" w:sz="4" w:space="0" w:color="auto"/>
              <w:bottom w:val="single" w:sz="4" w:space="0" w:color="auto"/>
            </w:tcBorders>
            <w:shd w:val="clear" w:color="auto" w:fill="auto"/>
          </w:tcPr>
          <w:p w14:paraId="2F68FCA8" w14:textId="77777777" w:rsidR="00B8317A" w:rsidRPr="00E14E0C" w:rsidRDefault="00B8317A" w:rsidP="001630E3">
            <w:r w:rsidRPr="00E14E0C">
              <w:t>Develop a cash flow budget for the budget year.</w:t>
            </w:r>
          </w:p>
        </w:tc>
        <w:tc>
          <w:tcPr>
            <w:tcW w:w="837" w:type="dxa"/>
            <w:tcBorders>
              <w:top w:val="single" w:sz="4" w:space="0" w:color="auto"/>
              <w:bottom w:val="single" w:sz="4" w:space="0" w:color="auto"/>
            </w:tcBorders>
          </w:tcPr>
          <w:p w14:paraId="520B59D1" w14:textId="77777777" w:rsidR="00B8317A" w:rsidRPr="00E14E0C" w:rsidRDefault="00B8317A" w:rsidP="001630E3"/>
        </w:tc>
      </w:tr>
      <w:tr w:rsidR="00B8317A" w:rsidRPr="00E14E0C" w14:paraId="38E42943" w14:textId="18818A5C" w:rsidTr="00B8317A">
        <w:trPr>
          <w:trHeight w:hRule="exact" w:val="454"/>
        </w:trPr>
        <w:tc>
          <w:tcPr>
            <w:tcW w:w="1072" w:type="dxa"/>
            <w:tcBorders>
              <w:top w:val="single" w:sz="4" w:space="0" w:color="auto"/>
              <w:left w:val="single" w:sz="4" w:space="0" w:color="auto"/>
              <w:bottom w:val="single" w:sz="4" w:space="0" w:color="auto"/>
            </w:tcBorders>
            <w:shd w:val="clear" w:color="auto" w:fill="FFFFFF" w:themeFill="background1"/>
          </w:tcPr>
          <w:p w14:paraId="45C75CF1" w14:textId="77777777" w:rsidR="00B8317A" w:rsidRPr="001630E3" w:rsidRDefault="00B8317A" w:rsidP="001630E3">
            <w:r w:rsidRPr="001630E3">
              <w:rPr>
                <w:rFonts w:eastAsiaTheme="minorEastAsia"/>
                <w:lang w:val="en-US"/>
              </w:rPr>
              <w:t>6.2.1.9</w:t>
            </w:r>
          </w:p>
        </w:tc>
        <w:tc>
          <w:tcPr>
            <w:tcW w:w="7088" w:type="dxa"/>
            <w:tcBorders>
              <w:top w:val="single" w:sz="4" w:space="0" w:color="auto"/>
              <w:bottom w:val="single" w:sz="4" w:space="0" w:color="auto"/>
            </w:tcBorders>
            <w:shd w:val="clear" w:color="auto" w:fill="auto"/>
          </w:tcPr>
          <w:p w14:paraId="0C455934" w14:textId="77777777" w:rsidR="00B8317A" w:rsidRPr="00E14E0C" w:rsidRDefault="00B8317A" w:rsidP="001630E3">
            <w:r w:rsidRPr="00E14E0C">
              <w:t>Have the cash flow budget approved and minuted by school council.</w:t>
            </w:r>
          </w:p>
        </w:tc>
        <w:tc>
          <w:tcPr>
            <w:tcW w:w="837" w:type="dxa"/>
            <w:tcBorders>
              <w:top w:val="single" w:sz="4" w:space="0" w:color="auto"/>
              <w:bottom w:val="single" w:sz="4" w:space="0" w:color="auto"/>
            </w:tcBorders>
          </w:tcPr>
          <w:p w14:paraId="3CA5A052" w14:textId="77777777" w:rsidR="00B8317A" w:rsidRPr="00E14E0C" w:rsidRDefault="00B8317A" w:rsidP="001630E3"/>
        </w:tc>
      </w:tr>
      <w:bookmarkEnd w:id="0"/>
      <w:bookmarkEnd w:id="1"/>
      <w:bookmarkEnd w:id="2"/>
    </w:tbl>
    <w:p w14:paraId="240FB0FB" w14:textId="77777777" w:rsidR="001630E3" w:rsidRPr="001630E3" w:rsidRDefault="001630E3" w:rsidP="00F11220"/>
    <w:p w14:paraId="09054529" w14:textId="77777777" w:rsidR="0051778F" w:rsidRPr="00F11220" w:rsidRDefault="003600AE" w:rsidP="00E14E0C">
      <w:pPr>
        <w:pStyle w:val="Heading2"/>
      </w:pPr>
      <w:r w:rsidRPr="00F11220">
        <w:t>6</w:t>
      </w:r>
      <w:r w:rsidR="0051778F" w:rsidRPr="00F11220">
        <w:t>.3</w:t>
      </w:r>
      <w:r w:rsidR="002C4CA5">
        <w:tab/>
      </w:r>
      <w:r w:rsidRPr="00F11220">
        <w:t xml:space="preserve">Budget </w:t>
      </w:r>
      <w:r w:rsidR="00197D11">
        <w:t>m</w:t>
      </w:r>
      <w:r w:rsidRPr="00F11220">
        <w:t>onitoring</w:t>
      </w:r>
    </w:p>
    <w:p w14:paraId="2A3ADD4F" w14:textId="77777777" w:rsidR="0051778F" w:rsidRPr="002C4CA5" w:rsidRDefault="003600AE" w:rsidP="002C4CA5">
      <w:pPr>
        <w:pStyle w:val="Heading3"/>
        <w:tabs>
          <w:tab w:val="left" w:pos="851"/>
        </w:tabs>
        <w:spacing w:after="240"/>
        <w:rPr>
          <w:lang w:val="en-AU"/>
        </w:rPr>
      </w:pPr>
      <w:r w:rsidRPr="002C4CA5">
        <w:rPr>
          <w:lang w:val="en-AU"/>
        </w:rPr>
        <w:t>6</w:t>
      </w:r>
      <w:r w:rsidR="0051778F" w:rsidRPr="002C4CA5">
        <w:rPr>
          <w:lang w:val="en-AU"/>
        </w:rPr>
        <w:t>.3.1</w:t>
      </w:r>
      <w:r w:rsidR="002C4CA5">
        <w:rPr>
          <w:lang w:val="en-AU"/>
        </w:rPr>
        <w:tab/>
      </w:r>
      <w:r w:rsidR="0051778F" w:rsidRPr="002C4CA5">
        <w:rPr>
          <w:lang w:val="en-AU"/>
        </w:rPr>
        <w:t>Mandatory policy (</w:t>
      </w:r>
      <w:r w:rsidR="009248FE" w:rsidRPr="002C4CA5">
        <w:rPr>
          <w:lang w:val="en-AU"/>
        </w:rPr>
        <w:t>Must do</w:t>
      </w:r>
      <w:r w:rsidR="0051778F" w:rsidRPr="002C4CA5">
        <w:rPr>
          <w:lang w:val="en-AU"/>
        </w:rPr>
        <w:t>)</w:t>
      </w:r>
      <w:r w:rsidR="00206C2B" w:rsidRPr="002C4CA5">
        <w:rPr>
          <w:lang w:val="en-AU"/>
        </w:rPr>
        <w:t>:</w:t>
      </w:r>
    </w:p>
    <w:tbl>
      <w:tblPr>
        <w:tblStyle w:val="LightList-Accent3"/>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Description w:val="table containing sequence number and policy information"/>
      </w:tblPr>
      <w:tblGrid>
        <w:gridCol w:w="1072"/>
        <w:gridCol w:w="7088"/>
        <w:gridCol w:w="837"/>
      </w:tblGrid>
      <w:tr w:rsidR="00B8317A" w:rsidRPr="00E14E0C" w14:paraId="26FC2621" w14:textId="1EB67D2B" w:rsidTr="00B8317A">
        <w:trPr>
          <w:trHeight w:hRule="exact" w:val="821"/>
          <w:tblHeader/>
        </w:trPr>
        <w:tc>
          <w:tcPr>
            <w:tcW w:w="1072" w:type="dxa"/>
            <w:tcBorders>
              <w:bottom w:val="single" w:sz="4" w:space="0" w:color="auto"/>
            </w:tcBorders>
            <w:shd w:val="clear" w:color="auto" w:fill="FFFFFF" w:themeFill="background1"/>
          </w:tcPr>
          <w:p w14:paraId="2AC4488B" w14:textId="5EFBF7AD" w:rsidR="00B8317A" w:rsidRPr="00B131B9" w:rsidRDefault="00B8317A" w:rsidP="00C64616">
            <w:pPr>
              <w:rPr>
                <w:b/>
              </w:rPr>
            </w:pPr>
            <w:r w:rsidRPr="00C64616">
              <w:rPr>
                <w:b/>
                <w:sz w:val="18"/>
              </w:rPr>
              <w:t>Sequence Number</w:t>
            </w:r>
          </w:p>
        </w:tc>
        <w:tc>
          <w:tcPr>
            <w:tcW w:w="7088" w:type="dxa"/>
            <w:tcBorders>
              <w:bottom w:val="single" w:sz="4" w:space="0" w:color="auto"/>
            </w:tcBorders>
            <w:shd w:val="clear" w:color="auto" w:fill="auto"/>
          </w:tcPr>
          <w:p w14:paraId="1CEDA1CF" w14:textId="77777777" w:rsidR="00B8317A" w:rsidRDefault="00B8317A" w:rsidP="00C64616">
            <w:pPr>
              <w:rPr>
                <w:b/>
              </w:rPr>
            </w:pPr>
            <w:r w:rsidRPr="00B131B9">
              <w:rPr>
                <w:b/>
              </w:rPr>
              <w:t>Information</w:t>
            </w:r>
          </w:p>
          <w:p w14:paraId="6365433C" w14:textId="77777777" w:rsidR="00B8317A" w:rsidRDefault="00B8317A" w:rsidP="00C64616">
            <w:pPr>
              <w:rPr>
                <w:b/>
              </w:rPr>
            </w:pPr>
          </w:p>
          <w:p w14:paraId="471FB8AA" w14:textId="0359891C" w:rsidR="00B8317A" w:rsidRPr="00B131B9" w:rsidRDefault="00B8317A" w:rsidP="00C64616">
            <w:pPr>
              <w:rPr>
                <w:b/>
              </w:rPr>
            </w:pPr>
          </w:p>
        </w:tc>
        <w:tc>
          <w:tcPr>
            <w:tcW w:w="837" w:type="dxa"/>
            <w:tcBorders>
              <w:top w:val="nil"/>
              <w:bottom w:val="single" w:sz="4" w:space="0" w:color="auto"/>
              <w:right w:val="nil"/>
            </w:tcBorders>
          </w:tcPr>
          <w:p w14:paraId="59EC91EB" w14:textId="77777777" w:rsidR="00B8317A" w:rsidRPr="00B131B9" w:rsidRDefault="00B8317A" w:rsidP="00C64616">
            <w:pPr>
              <w:rPr>
                <w:b/>
              </w:rPr>
            </w:pPr>
          </w:p>
        </w:tc>
      </w:tr>
      <w:tr w:rsidR="00B8317A" w:rsidRPr="00E14E0C" w14:paraId="668A9BD9" w14:textId="63A6C028" w:rsidTr="00B8317A">
        <w:trPr>
          <w:trHeight w:hRule="exact" w:val="737"/>
        </w:trPr>
        <w:tc>
          <w:tcPr>
            <w:tcW w:w="1072" w:type="dxa"/>
            <w:tcBorders>
              <w:bottom w:val="single" w:sz="4" w:space="0" w:color="auto"/>
            </w:tcBorders>
            <w:shd w:val="clear" w:color="auto" w:fill="FFFFFF" w:themeFill="background1"/>
          </w:tcPr>
          <w:p w14:paraId="2F48E802" w14:textId="77777777" w:rsidR="00B8317A" w:rsidRPr="001630E3" w:rsidRDefault="00B8317A" w:rsidP="00C64616">
            <w:r w:rsidRPr="00E14E0C">
              <w:t>6.3.1.1</w:t>
            </w:r>
          </w:p>
        </w:tc>
        <w:tc>
          <w:tcPr>
            <w:tcW w:w="7088" w:type="dxa"/>
            <w:tcBorders>
              <w:bottom w:val="single" w:sz="4" w:space="0" w:color="auto"/>
            </w:tcBorders>
            <w:shd w:val="clear" w:color="auto" w:fill="auto"/>
          </w:tcPr>
          <w:p w14:paraId="1AF95312" w14:textId="77777777" w:rsidR="00B8317A" w:rsidRPr="001630E3" w:rsidRDefault="00B8317A" w:rsidP="00C64616">
            <w:r w:rsidRPr="00E14E0C">
              <w:t>Each meeting present reports to finance committee/school council to enable review of budget to actual performance.</w:t>
            </w:r>
          </w:p>
        </w:tc>
        <w:tc>
          <w:tcPr>
            <w:tcW w:w="837" w:type="dxa"/>
            <w:tcBorders>
              <w:bottom w:val="single" w:sz="4" w:space="0" w:color="auto"/>
            </w:tcBorders>
          </w:tcPr>
          <w:p w14:paraId="0F26ABEE" w14:textId="77777777" w:rsidR="00B8317A" w:rsidRPr="00E14E0C" w:rsidRDefault="00B8317A" w:rsidP="00C64616"/>
        </w:tc>
      </w:tr>
      <w:tr w:rsidR="00B8317A" w:rsidRPr="00E14E0C" w14:paraId="029A2BB9" w14:textId="599E846E" w:rsidTr="00B8317A">
        <w:trPr>
          <w:trHeight w:hRule="exact" w:val="737"/>
        </w:trPr>
        <w:tc>
          <w:tcPr>
            <w:tcW w:w="1072" w:type="dxa"/>
            <w:tcBorders>
              <w:top w:val="single" w:sz="4" w:space="0" w:color="auto"/>
              <w:left w:val="single" w:sz="4" w:space="0" w:color="auto"/>
              <w:bottom w:val="single" w:sz="4" w:space="0" w:color="auto"/>
            </w:tcBorders>
            <w:shd w:val="clear" w:color="auto" w:fill="auto"/>
          </w:tcPr>
          <w:p w14:paraId="6E89B204" w14:textId="77777777" w:rsidR="00B8317A" w:rsidRPr="001630E3" w:rsidRDefault="00B8317A" w:rsidP="00C64616">
            <w:r w:rsidRPr="001630E3">
              <w:rPr>
                <w:rFonts w:eastAsiaTheme="minorEastAsia"/>
                <w:lang w:val="en-US"/>
              </w:rPr>
              <w:t>6.3.1.2</w:t>
            </w:r>
          </w:p>
        </w:tc>
        <w:tc>
          <w:tcPr>
            <w:tcW w:w="7088" w:type="dxa"/>
            <w:tcBorders>
              <w:top w:val="single" w:sz="4" w:space="0" w:color="auto"/>
              <w:bottom w:val="single" w:sz="4" w:space="0" w:color="auto"/>
            </w:tcBorders>
            <w:shd w:val="clear" w:color="auto" w:fill="auto"/>
          </w:tcPr>
          <w:p w14:paraId="337F29A8" w14:textId="77777777" w:rsidR="00B8317A" w:rsidRPr="001D330B" w:rsidRDefault="00B8317A" w:rsidP="00C64616">
            <w:r w:rsidRPr="00E14E0C">
              <w:t>Each meeting review actual performance against budget and identify any variances.</w:t>
            </w:r>
          </w:p>
        </w:tc>
        <w:tc>
          <w:tcPr>
            <w:tcW w:w="837" w:type="dxa"/>
            <w:tcBorders>
              <w:top w:val="single" w:sz="4" w:space="0" w:color="auto"/>
              <w:bottom w:val="single" w:sz="4" w:space="0" w:color="auto"/>
            </w:tcBorders>
          </w:tcPr>
          <w:p w14:paraId="314B47EE" w14:textId="77777777" w:rsidR="00B8317A" w:rsidRPr="00E14E0C" w:rsidRDefault="00B8317A" w:rsidP="00C64616"/>
        </w:tc>
      </w:tr>
      <w:tr w:rsidR="00B8317A" w:rsidRPr="00E14E0C" w14:paraId="4ED6064C" w14:textId="30133261" w:rsidTr="00B8317A">
        <w:trPr>
          <w:trHeight w:val="548"/>
        </w:trPr>
        <w:tc>
          <w:tcPr>
            <w:tcW w:w="1072" w:type="dxa"/>
            <w:shd w:val="clear" w:color="auto" w:fill="auto"/>
          </w:tcPr>
          <w:p w14:paraId="6F8C1785" w14:textId="77777777" w:rsidR="00B8317A" w:rsidRPr="001630E3" w:rsidRDefault="00B8317A" w:rsidP="00C64616">
            <w:r w:rsidRPr="001630E3">
              <w:rPr>
                <w:rFonts w:eastAsiaTheme="minorEastAsia"/>
                <w:lang w:val="en-US"/>
              </w:rPr>
              <w:t>6.3.1.3</w:t>
            </w:r>
          </w:p>
        </w:tc>
        <w:tc>
          <w:tcPr>
            <w:tcW w:w="7088" w:type="dxa"/>
            <w:shd w:val="clear" w:color="auto" w:fill="auto"/>
          </w:tcPr>
          <w:p w14:paraId="6C6F35D0" w14:textId="77777777" w:rsidR="00B8317A" w:rsidRPr="001630E3" w:rsidRDefault="00B8317A" w:rsidP="00C64616">
            <w:r w:rsidRPr="00E14E0C">
              <w:t>Undertake analysis of variances where appropriate.</w:t>
            </w:r>
          </w:p>
        </w:tc>
        <w:tc>
          <w:tcPr>
            <w:tcW w:w="837" w:type="dxa"/>
          </w:tcPr>
          <w:p w14:paraId="6B808090" w14:textId="77777777" w:rsidR="00B8317A" w:rsidRPr="00E14E0C" w:rsidRDefault="00B8317A" w:rsidP="00C64616"/>
        </w:tc>
      </w:tr>
      <w:tr w:rsidR="00B8317A" w:rsidRPr="00E14E0C" w14:paraId="73F37D82" w14:textId="3BD0FF89" w:rsidTr="00B8317A">
        <w:trPr>
          <w:trHeight w:val="571"/>
        </w:trPr>
        <w:tc>
          <w:tcPr>
            <w:tcW w:w="1072" w:type="dxa"/>
            <w:tcBorders>
              <w:top w:val="single" w:sz="4" w:space="0" w:color="auto"/>
              <w:left w:val="single" w:sz="4" w:space="0" w:color="auto"/>
              <w:bottom w:val="single" w:sz="4" w:space="0" w:color="auto"/>
            </w:tcBorders>
            <w:shd w:val="clear" w:color="auto" w:fill="auto"/>
          </w:tcPr>
          <w:p w14:paraId="03BC7412" w14:textId="77777777" w:rsidR="00B8317A" w:rsidRPr="001630E3" w:rsidRDefault="00B8317A" w:rsidP="00C64616">
            <w:r w:rsidRPr="001630E3">
              <w:rPr>
                <w:rFonts w:eastAsiaTheme="minorEastAsia"/>
                <w:lang w:val="en-US"/>
              </w:rPr>
              <w:t>6.3.1.4</w:t>
            </w:r>
          </w:p>
        </w:tc>
        <w:tc>
          <w:tcPr>
            <w:tcW w:w="7088" w:type="dxa"/>
            <w:tcBorders>
              <w:top w:val="single" w:sz="4" w:space="0" w:color="auto"/>
              <w:bottom w:val="single" w:sz="4" w:space="0" w:color="auto"/>
            </w:tcBorders>
            <w:shd w:val="clear" w:color="auto" w:fill="auto"/>
          </w:tcPr>
          <w:p w14:paraId="6FBD890A" w14:textId="77777777" w:rsidR="00B8317A" w:rsidRPr="001D330B" w:rsidRDefault="00B8317A" w:rsidP="00C64616">
            <w:r w:rsidRPr="00E14E0C">
              <w:t>Retain evidence of the review, the results of any analysis and any action undertaken.</w:t>
            </w:r>
            <w:r w:rsidRPr="001630E3">
              <w:rPr>
                <w:rFonts w:eastAsiaTheme="minorEastAsia"/>
                <w:lang w:val="en-US"/>
              </w:rPr>
              <w:t xml:space="preserve"> Minute the discussion at the finance committee and school council meeting.</w:t>
            </w:r>
          </w:p>
        </w:tc>
        <w:tc>
          <w:tcPr>
            <w:tcW w:w="837" w:type="dxa"/>
            <w:tcBorders>
              <w:top w:val="single" w:sz="4" w:space="0" w:color="auto"/>
              <w:bottom w:val="single" w:sz="4" w:space="0" w:color="auto"/>
            </w:tcBorders>
          </w:tcPr>
          <w:p w14:paraId="5BE801E9" w14:textId="77777777" w:rsidR="00B8317A" w:rsidRPr="00E14E0C" w:rsidRDefault="00B8317A" w:rsidP="00C64616"/>
        </w:tc>
      </w:tr>
    </w:tbl>
    <w:p w14:paraId="5F22DAE9" w14:textId="77777777" w:rsidR="00FB1204" w:rsidRPr="00F11220" w:rsidRDefault="00FB1204" w:rsidP="00F11220"/>
    <w:p w14:paraId="5735120E" w14:textId="77777777" w:rsidR="0051778F" w:rsidRPr="00F11220" w:rsidRDefault="0051778F" w:rsidP="00F11220">
      <w:pPr>
        <w:pStyle w:val="Heading2"/>
      </w:pPr>
      <w:r w:rsidRPr="00F11220">
        <w:t>Legislative requirements</w:t>
      </w:r>
    </w:p>
    <w:p w14:paraId="2A029521" w14:textId="77777777" w:rsidR="0051778F" w:rsidRPr="00F11220" w:rsidRDefault="0051778F" w:rsidP="00E14E0C">
      <w:pPr>
        <w:pStyle w:val="Heading3"/>
      </w:pPr>
      <w:r w:rsidRPr="00F11220">
        <w:t>Legislation</w:t>
      </w:r>
    </w:p>
    <w:p w14:paraId="401FD7FF" w14:textId="77777777" w:rsidR="0051778F" w:rsidRPr="00E14E0C" w:rsidRDefault="0051778F" w:rsidP="00E14E0C">
      <w:r w:rsidRPr="00E14E0C">
        <w:t>The advice in this section was based on requirements outlined in the following legislation:</w:t>
      </w:r>
    </w:p>
    <w:p w14:paraId="20AE36A4" w14:textId="77777777" w:rsidR="0051778F" w:rsidRPr="00E14E0C" w:rsidRDefault="0051778F" w:rsidP="00801600">
      <w:pPr>
        <w:pStyle w:val="ListBullet"/>
      </w:pPr>
      <w:r w:rsidRPr="00F11220">
        <w:rPr>
          <w:i/>
        </w:rPr>
        <w:t>Education and Training Reform Act 2006</w:t>
      </w:r>
      <w:r w:rsidRPr="00E14E0C">
        <w:t xml:space="preserve"> – </w:t>
      </w:r>
      <w:r w:rsidR="0019008B" w:rsidRPr="00E14E0C">
        <w:t>Part 2.3 – Government School Councils</w:t>
      </w:r>
    </w:p>
    <w:p w14:paraId="567305B9" w14:textId="77777777" w:rsidR="00EB713C" w:rsidRDefault="00EB713C" w:rsidP="00EB713C">
      <w:pPr>
        <w:pStyle w:val="ListBullet"/>
      </w:pPr>
      <w:r w:rsidRPr="00F1501C">
        <w:rPr>
          <w:i/>
        </w:rPr>
        <w:t>Education and Training Regulations 20</w:t>
      </w:r>
      <w:r>
        <w:rPr>
          <w:i/>
        </w:rPr>
        <w:t>1</w:t>
      </w:r>
      <w:r w:rsidRPr="00F1501C">
        <w:rPr>
          <w:i/>
        </w:rPr>
        <w:t>7</w:t>
      </w:r>
      <w:r w:rsidRPr="0008210B">
        <w:t xml:space="preserve"> – Part </w:t>
      </w:r>
      <w:r>
        <w:t>4</w:t>
      </w:r>
      <w:r w:rsidRPr="0008210B">
        <w:t xml:space="preserve"> – Government School Councils</w:t>
      </w:r>
      <w:r>
        <w:t xml:space="preserve"> and Parents Clubs</w:t>
      </w:r>
    </w:p>
    <w:p w14:paraId="15AF6360" w14:textId="77777777" w:rsidR="0051778F" w:rsidRPr="003347CD" w:rsidRDefault="0051778F" w:rsidP="00801600">
      <w:pPr>
        <w:pStyle w:val="ListBullet"/>
        <w:rPr>
          <w:i/>
        </w:rPr>
      </w:pPr>
      <w:r w:rsidRPr="003347CD">
        <w:rPr>
          <w:i/>
        </w:rPr>
        <w:t>Financial Management Act 1994</w:t>
      </w:r>
    </w:p>
    <w:p w14:paraId="04841333" w14:textId="7343C545" w:rsidR="0051778F" w:rsidRPr="001D330B" w:rsidRDefault="0051778F" w:rsidP="00801600">
      <w:pPr>
        <w:pStyle w:val="ListBullet"/>
      </w:pPr>
      <w:r w:rsidRPr="00E14E0C">
        <w:t>Standing Directions</w:t>
      </w:r>
      <w:r w:rsidR="008302B4">
        <w:t xml:space="preserve"> of the Minister of Finance 2018</w:t>
      </w:r>
      <w:r w:rsidRPr="00E14E0C">
        <w:t xml:space="preserve"> </w:t>
      </w:r>
      <w:r w:rsidR="00541857">
        <w:t xml:space="preserve">under </w:t>
      </w:r>
      <w:r w:rsidR="00541857" w:rsidRPr="00541857">
        <w:rPr>
          <w:i/>
        </w:rPr>
        <w:t xml:space="preserve">Financial Management Act 1994 </w:t>
      </w:r>
      <w:r w:rsidRPr="00E14E0C">
        <w:t xml:space="preserve">- Section </w:t>
      </w:r>
      <w:r w:rsidR="00340B26" w:rsidRPr="00E14E0C">
        <w:t>4.1 Planning and managing</w:t>
      </w:r>
      <w:r w:rsidR="006E77A1" w:rsidRPr="00E14E0C">
        <w:t xml:space="preserve"> </w:t>
      </w:r>
      <w:r w:rsidR="00340B26" w:rsidRPr="001D330B">
        <w:t>performance</w:t>
      </w:r>
    </w:p>
    <w:p w14:paraId="59E13D47" w14:textId="77777777" w:rsidR="0058443C" w:rsidRDefault="0058443C" w:rsidP="006E77A1"/>
    <w:p w14:paraId="30F8BE03" w14:textId="77777777" w:rsidR="0051778F" w:rsidRPr="00F11220" w:rsidRDefault="00676C69" w:rsidP="00F11220">
      <w:pPr>
        <w:pStyle w:val="Heading2"/>
      </w:pPr>
      <w:r w:rsidRPr="00F11220">
        <w:lastRenderedPageBreak/>
        <w:t>D</w:t>
      </w:r>
      <w:r w:rsidR="0051778F" w:rsidRPr="00F11220">
        <w:t xml:space="preserve">efinitions </w:t>
      </w:r>
    </w:p>
    <w:tbl>
      <w:tblPr>
        <w:tblStyle w:val="GridTable6Colorful1"/>
        <w:tblpPr w:leftFromText="180" w:rightFromText="180" w:vertAnchor="text" w:tblpY="1"/>
        <w:tblOverlap w:val="never"/>
        <w:tblW w:w="9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containing words and their definitions"/>
      </w:tblPr>
      <w:tblGrid>
        <w:gridCol w:w="1794"/>
        <w:gridCol w:w="7270"/>
      </w:tblGrid>
      <w:tr w:rsidR="00B131B9" w:rsidRPr="00EB3461" w14:paraId="7145CDAD" w14:textId="77777777" w:rsidTr="00BA61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94" w:type="dxa"/>
            <w:tcBorders>
              <w:top w:val="single" w:sz="4" w:space="0" w:color="auto"/>
              <w:left w:val="single" w:sz="4" w:space="0" w:color="auto"/>
              <w:bottom w:val="single" w:sz="4" w:space="0" w:color="auto"/>
              <w:right w:val="single" w:sz="4" w:space="0" w:color="auto"/>
            </w:tcBorders>
          </w:tcPr>
          <w:p w14:paraId="4E86B114" w14:textId="20CF279D" w:rsidR="00B131B9" w:rsidRPr="006E77A1" w:rsidRDefault="00B131B9" w:rsidP="00E14E0C">
            <w:r>
              <w:t>Item</w:t>
            </w:r>
          </w:p>
        </w:tc>
        <w:tc>
          <w:tcPr>
            <w:tcW w:w="7270" w:type="dxa"/>
            <w:tcBorders>
              <w:top w:val="single" w:sz="4" w:space="0" w:color="auto"/>
              <w:left w:val="single" w:sz="4" w:space="0" w:color="auto"/>
              <w:bottom w:val="single" w:sz="4" w:space="0" w:color="auto"/>
              <w:right w:val="single" w:sz="4" w:space="0" w:color="auto"/>
            </w:tcBorders>
          </w:tcPr>
          <w:p w14:paraId="204424D5" w14:textId="39EA0957" w:rsidR="00B131B9" w:rsidRPr="00A24F41" w:rsidRDefault="00B131B9" w:rsidP="00F11220">
            <w:pPr>
              <w:cnfStyle w:val="100000000000" w:firstRow="1" w:lastRow="0" w:firstColumn="0" w:lastColumn="0" w:oddVBand="0" w:evenVBand="0" w:oddHBand="0" w:evenHBand="0" w:firstRowFirstColumn="0" w:firstRowLastColumn="0" w:lastRowFirstColumn="0" w:lastRowLastColumn="0"/>
            </w:pPr>
            <w:r>
              <w:t>Definition</w:t>
            </w:r>
          </w:p>
        </w:tc>
      </w:tr>
      <w:tr w:rsidR="00A24F41" w:rsidRPr="00EB3461" w14:paraId="01BECC08" w14:textId="77777777" w:rsidTr="00CF05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4" w:type="dxa"/>
            <w:tcBorders>
              <w:top w:val="single" w:sz="4" w:space="0" w:color="auto"/>
              <w:left w:val="single" w:sz="4" w:space="0" w:color="auto"/>
              <w:bottom w:val="single" w:sz="4" w:space="0" w:color="auto"/>
              <w:right w:val="single" w:sz="4" w:space="0" w:color="auto"/>
            </w:tcBorders>
            <w:shd w:val="clear" w:color="auto" w:fill="auto"/>
          </w:tcPr>
          <w:p w14:paraId="519E3E2C" w14:textId="77777777" w:rsidR="00A24F41" w:rsidRPr="006E77A1" w:rsidRDefault="00A24F41" w:rsidP="00E14E0C">
            <w:r w:rsidRPr="006E77A1">
              <w:t>Budget Year</w:t>
            </w:r>
          </w:p>
        </w:tc>
        <w:tc>
          <w:tcPr>
            <w:tcW w:w="7270" w:type="dxa"/>
            <w:tcBorders>
              <w:top w:val="single" w:sz="4" w:space="0" w:color="auto"/>
              <w:left w:val="single" w:sz="4" w:space="0" w:color="auto"/>
              <w:bottom w:val="single" w:sz="4" w:space="0" w:color="auto"/>
              <w:right w:val="single" w:sz="4" w:space="0" w:color="auto"/>
            </w:tcBorders>
            <w:shd w:val="clear" w:color="auto" w:fill="auto"/>
          </w:tcPr>
          <w:p w14:paraId="3EC409F5" w14:textId="77777777" w:rsidR="00A24F41" w:rsidRPr="00A24F41" w:rsidRDefault="00A24F41" w:rsidP="00F11220">
            <w:pPr>
              <w:cnfStyle w:val="000000100000" w:firstRow="0" w:lastRow="0" w:firstColumn="0" w:lastColumn="0" w:oddVBand="0" w:evenVBand="0" w:oddHBand="1" w:evenHBand="0" w:firstRowFirstColumn="0" w:firstRowLastColumn="0" w:lastRowFirstColumn="0" w:lastRowLastColumn="0"/>
              <w:rPr>
                <w:b/>
              </w:rPr>
            </w:pPr>
            <w:r w:rsidRPr="00A24F41">
              <w:t>The year that the cash budget is developed for. The period including January – December.</w:t>
            </w:r>
          </w:p>
        </w:tc>
      </w:tr>
      <w:tr w:rsidR="00A24F41" w:rsidRPr="00EB3461" w14:paraId="26F33543" w14:textId="77777777" w:rsidTr="00BA6101">
        <w:trPr>
          <w:trHeight w:val="609"/>
        </w:trPr>
        <w:tc>
          <w:tcPr>
            <w:cnfStyle w:val="001000000000" w:firstRow="0" w:lastRow="0" w:firstColumn="1" w:lastColumn="0" w:oddVBand="0" w:evenVBand="0" w:oddHBand="0" w:evenHBand="0" w:firstRowFirstColumn="0" w:firstRowLastColumn="0" w:lastRowFirstColumn="0" w:lastRowLastColumn="0"/>
            <w:tcW w:w="17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A60216" w14:textId="77777777" w:rsidR="00A24F41" w:rsidRPr="006E77A1" w:rsidRDefault="00A24F41" w:rsidP="00E14E0C">
            <w:pPr>
              <w:rPr>
                <w:color w:val="auto"/>
              </w:rPr>
            </w:pPr>
            <w:r w:rsidRPr="006E77A1">
              <w:rPr>
                <w:color w:val="auto"/>
              </w:rPr>
              <w:t>CASES21</w:t>
            </w:r>
          </w:p>
        </w:tc>
        <w:tc>
          <w:tcPr>
            <w:tcW w:w="72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AABBCA" w14:textId="77777777" w:rsidR="00A24F41" w:rsidRPr="006E77A1" w:rsidRDefault="002807CA" w:rsidP="00B91DE8">
            <w:pPr>
              <w:cnfStyle w:val="000000000000" w:firstRow="0" w:lastRow="0" w:firstColumn="0" w:lastColumn="0" w:oddVBand="0" w:evenVBand="0" w:oddHBand="0" w:evenHBand="0" w:firstRowFirstColumn="0" w:firstRowLastColumn="0" w:lastRowFirstColumn="0" w:lastRowLastColumn="0"/>
              <w:rPr>
                <w:color w:val="auto"/>
              </w:rPr>
            </w:pPr>
            <w:r w:rsidRPr="00E77398">
              <w:t>CASES21 (Computerised Administrative System Environment in Schools</w:t>
            </w:r>
            <w:r>
              <w:t>)</w:t>
            </w:r>
            <w:r w:rsidRPr="00E77398">
              <w:t xml:space="preserve"> is the </w:t>
            </w:r>
            <w:r>
              <w:t xml:space="preserve">software </w:t>
            </w:r>
            <w:r w:rsidRPr="00E77398">
              <w:t>package provided to Victorian Government Schools to support school administration, finance and central reporting</w:t>
            </w:r>
            <w:r w:rsidR="00A24F41" w:rsidRPr="006E77A1">
              <w:rPr>
                <w:color w:val="auto"/>
              </w:rPr>
              <w:t>.</w:t>
            </w:r>
          </w:p>
        </w:tc>
      </w:tr>
      <w:tr w:rsidR="00A24F41" w:rsidRPr="00EB3461" w14:paraId="1753445C" w14:textId="77777777" w:rsidTr="00BA6101">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1794" w:type="dxa"/>
            <w:tcBorders>
              <w:top w:val="single" w:sz="4" w:space="0" w:color="auto"/>
              <w:left w:val="single" w:sz="4" w:space="0" w:color="auto"/>
              <w:bottom w:val="single" w:sz="4" w:space="0" w:color="auto"/>
              <w:right w:val="single" w:sz="4" w:space="0" w:color="auto"/>
            </w:tcBorders>
            <w:shd w:val="clear" w:color="auto" w:fill="auto"/>
          </w:tcPr>
          <w:p w14:paraId="5B4F0F00" w14:textId="77777777" w:rsidR="00A24F41" w:rsidRPr="006E77A1" w:rsidRDefault="00A24F41" w:rsidP="00E14E0C">
            <w:pPr>
              <w:rPr>
                <w:color w:val="auto"/>
              </w:rPr>
            </w:pPr>
            <w:r w:rsidRPr="006E77A1">
              <w:rPr>
                <w:color w:val="auto"/>
              </w:rPr>
              <w:t>Indicative budget</w:t>
            </w:r>
          </w:p>
        </w:tc>
        <w:tc>
          <w:tcPr>
            <w:tcW w:w="7270" w:type="dxa"/>
            <w:tcBorders>
              <w:top w:val="single" w:sz="4" w:space="0" w:color="auto"/>
              <w:left w:val="single" w:sz="4" w:space="0" w:color="auto"/>
              <w:bottom w:val="single" w:sz="4" w:space="0" w:color="auto"/>
              <w:right w:val="single" w:sz="4" w:space="0" w:color="auto"/>
            </w:tcBorders>
            <w:shd w:val="clear" w:color="auto" w:fill="auto"/>
          </w:tcPr>
          <w:p w14:paraId="02FF4DAB" w14:textId="77777777" w:rsidR="00A24F41" w:rsidRPr="006E77A1" w:rsidRDefault="00A24F41" w:rsidP="00F11220">
            <w:pPr>
              <w:cnfStyle w:val="000000100000" w:firstRow="0" w:lastRow="0" w:firstColumn="0" w:lastColumn="0" w:oddVBand="0" w:evenVBand="0" w:oddHBand="1" w:evenHBand="0" w:firstRowFirstColumn="0" w:firstRowLastColumn="0" w:lastRowFirstColumn="0" w:lastRowLastColumn="0"/>
              <w:rPr>
                <w:color w:val="auto"/>
              </w:rPr>
            </w:pPr>
            <w:r w:rsidRPr="006E77A1">
              <w:rPr>
                <w:color w:val="auto"/>
              </w:rPr>
              <w:t>Budget based in indicative (predicted) enrolment figures in the SRP.</w:t>
            </w:r>
          </w:p>
        </w:tc>
      </w:tr>
      <w:tr w:rsidR="00A24F41" w:rsidRPr="00EB3461" w14:paraId="456844BB" w14:textId="77777777" w:rsidTr="00BA6101">
        <w:trPr>
          <w:trHeight w:val="609"/>
        </w:trPr>
        <w:tc>
          <w:tcPr>
            <w:cnfStyle w:val="001000000000" w:firstRow="0" w:lastRow="0" w:firstColumn="1" w:lastColumn="0" w:oddVBand="0" w:evenVBand="0" w:oddHBand="0" w:evenHBand="0" w:firstRowFirstColumn="0" w:firstRowLastColumn="0" w:lastRowFirstColumn="0" w:lastRowLastColumn="0"/>
            <w:tcW w:w="17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72297B" w14:textId="77777777" w:rsidR="00A24F41" w:rsidRPr="006E77A1" w:rsidRDefault="00A24F41" w:rsidP="00E14E0C">
            <w:pPr>
              <w:rPr>
                <w:color w:val="auto"/>
              </w:rPr>
            </w:pPr>
            <w:r w:rsidRPr="006E77A1">
              <w:rPr>
                <w:color w:val="auto"/>
              </w:rPr>
              <w:t>SRP</w:t>
            </w:r>
          </w:p>
        </w:tc>
        <w:tc>
          <w:tcPr>
            <w:tcW w:w="72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AE3D08" w14:textId="77777777" w:rsidR="00A24F41" w:rsidRPr="006E77A1" w:rsidRDefault="00A24F41" w:rsidP="00F11220">
            <w:pPr>
              <w:cnfStyle w:val="000000000000" w:firstRow="0" w:lastRow="0" w:firstColumn="0" w:lastColumn="0" w:oddVBand="0" w:evenVBand="0" w:oddHBand="0" w:evenHBand="0" w:firstRowFirstColumn="0" w:firstRowLastColumn="0" w:lastRowFirstColumn="0" w:lastRowLastColumn="0"/>
              <w:rPr>
                <w:color w:val="auto"/>
              </w:rPr>
            </w:pPr>
            <w:r w:rsidRPr="006E77A1">
              <w:rPr>
                <w:color w:val="auto"/>
              </w:rPr>
              <w:t>Student Resource Package – Main funding mechanism for schools comprising two components. Credit – used for central salaries and Cash – used for school based expenditure.</w:t>
            </w:r>
          </w:p>
        </w:tc>
      </w:tr>
      <w:tr w:rsidR="0051778F" w:rsidRPr="00EB3461" w14:paraId="6F3F28E2" w14:textId="77777777" w:rsidTr="00BA6101">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1794" w:type="dxa"/>
            <w:tcBorders>
              <w:top w:val="single" w:sz="4" w:space="0" w:color="auto"/>
              <w:left w:val="single" w:sz="4" w:space="0" w:color="auto"/>
              <w:bottom w:val="single" w:sz="4" w:space="0" w:color="auto"/>
              <w:right w:val="single" w:sz="4" w:space="0" w:color="auto"/>
            </w:tcBorders>
            <w:shd w:val="clear" w:color="auto" w:fill="auto"/>
          </w:tcPr>
          <w:p w14:paraId="4C219831" w14:textId="77777777" w:rsidR="0051778F" w:rsidRPr="006E77A1" w:rsidRDefault="007D2017" w:rsidP="00E14E0C">
            <w:pPr>
              <w:rPr>
                <w:color w:val="auto"/>
              </w:rPr>
            </w:pPr>
            <w:r w:rsidRPr="006E77A1">
              <w:rPr>
                <w:color w:val="auto"/>
              </w:rPr>
              <w:t>Variance Analysis</w:t>
            </w:r>
          </w:p>
        </w:tc>
        <w:tc>
          <w:tcPr>
            <w:tcW w:w="7270" w:type="dxa"/>
            <w:tcBorders>
              <w:top w:val="single" w:sz="4" w:space="0" w:color="auto"/>
              <w:left w:val="single" w:sz="4" w:space="0" w:color="auto"/>
              <w:bottom w:val="single" w:sz="4" w:space="0" w:color="auto"/>
              <w:right w:val="single" w:sz="4" w:space="0" w:color="auto"/>
            </w:tcBorders>
            <w:shd w:val="clear" w:color="auto" w:fill="auto"/>
          </w:tcPr>
          <w:p w14:paraId="3FD87CF9" w14:textId="77777777" w:rsidR="0051778F" w:rsidRPr="006E77A1" w:rsidRDefault="007D2017" w:rsidP="00F11220">
            <w:pPr>
              <w:cnfStyle w:val="000000100000" w:firstRow="0" w:lastRow="0" w:firstColumn="0" w:lastColumn="0" w:oddVBand="0" w:evenVBand="0" w:oddHBand="1" w:evenHBand="0" w:firstRowFirstColumn="0" w:firstRowLastColumn="0" w:lastRowFirstColumn="0" w:lastRowLastColumn="0"/>
              <w:rPr>
                <w:color w:val="auto"/>
              </w:rPr>
            </w:pPr>
            <w:r w:rsidRPr="006E77A1">
              <w:rPr>
                <w:color w:val="auto"/>
              </w:rPr>
              <w:t>Investigating the budget and actual figures to determine why a variance arose.</w:t>
            </w:r>
          </w:p>
        </w:tc>
      </w:tr>
    </w:tbl>
    <w:p w14:paraId="65104A6E" w14:textId="77777777" w:rsidR="00E14E0C" w:rsidRDefault="00E14E0C" w:rsidP="00F11220">
      <w:pPr>
        <w:rPr>
          <w:lang w:val="en-AU"/>
        </w:rPr>
      </w:pPr>
    </w:p>
    <w:p w14:paraId="3D044031" w14:textId="77777777" w:rsidR="0051778F" w:rsidRPr="00F11220" w:rsidRDefault="0051778F" w:rsidP="00F11220">
      <w:pPr>
        <w:pStyle w:val="Heading2"/>
      </w:pPr>
      <w:r w:rsidRPr="00F11220">
        <w:t xml:space="preserve">Additional </w:t>
      </w:r>
      <w:r w:rsidR="00A0413B">
        <w:t>r</w:t>
      </w:r>
      <w:r w:rsidRPr="00F11220">
        <w:t>esources</w:t>
      </w:r>
    </w:p>
    <w:p w14:paraId="3023CB03" w14:textId="4D79CB89" w:rsidR="0074409F" w:rsidRDefault="00A50520" w:rsidP="0074409F">
      <w:pPr>
        <w:pStyle w:val="ListBullet"/>
        <w:spacing w:before="0"/>
      </w:pPr>
      <w:hyperlink r:id="rId11" w:history="1">
        <w:r w:rsidR="00541857" w:rsidRPr="008E6B97">
          <w:rPr>
            <w:rStyle w:val="Hyperlink"/>
          </w:rPr>
          <w:t>A guide to Budget Management in Victorian Government Schools</w:t>
        </w:r>
      </w:hyperlink>
    </w:p>
    <w:p w14:paraId="3D180996" w14:textId="5D8771C0" w:rsidR="00541857" w:rsidRDefault="00A50520" w:rsidP="0074409F">
      <w:pPr>
        <w:pStyle w:val="ListBullet"/>
        <w:spacing w:before="0"/>
      </w:pPr>
      <w:hyperlink r:id="rId12" w:history="1">
        <w:r w:rsidR="00541857" w:rsidRPr="001630E3">
          <w:rPr>
            <w:rStyle w:val="Hyperlink"/>
          </w:rPr>
          <w:t xml:space="preserve">CASES21 Finance Business Process Guide Section 6 </w:t>
        </w:r>
        <w:r w:rsidR="00541857">
          <w:rPr>
            <w:rStyle w:val="Hyperlink"/>
          </w:rPr>
          <w:t xml:space="preserve">- </w:t>
        </w:r>
        <w:r w:rsidR="00541857" w:rsidRPr="001630E3">
          <w:rPr>
            <w:rStyle w:val="Hyperlink"/>
          </w:rPr>
          <w:t>Budgets</w:t>
        </w:r>
      </w:hyperlink>
    </w:p>
    <w:p w14:paraId="098AA3A3" w14:textId="77777777" w:rsidR="0074409F" w:rsidRDefault="00A50520" w:rsidP="0074409F">
      <w:pPr>
        <w:pStyle w:val="ListBullet"/>
        <w:spacing w:before="0"/>
      </w:pPr>
      <w:hyperlink r:id="rId13" w:history="1">
        <w:r w:rsidR="00BB5F6F" w:rsidRPr="008E6B97">
          <w:rPr>
            <w:rStyle w:val="Hyperlink"/>
          </w:rPr>
          <w:t>School financial guidelines</w:t>
        </w:r>
      </w:hyperlink>
    </w:p>
    <w:p w14:paraId="21B79164" w14:textId="0E7A6BEA" w:rsidR="00536060" w:rsidRPr="001630E3" w:rsidRDefault="00A50520" w:rsidP="0074409F">
      <w:pPr>
        <w:pStyle w:val="ListBullet"/>
        <w:spacing w:before="0"/>
      </w:pPr>
      <w:hyperlink r:id="rId14" w:history="1">
        <w:r w:rsidR="00536060" w:rsidRPr="0074409F">
          <w:rPr>
            <w:rStyle w:val="Hyperlink"/>
          </w:rPr>
          <w:t>School Policy and Advisory Guide</w:t>
        </w:r>
      </w:hyperlink>
      <w:r w:rsidR="001630E3" w:rsidRPr="001630E3">
        <w:br/>
      </w:r>
    </w:p>
    <w:p w14:paraId="1A516F50" w14:textId="77777777" w:rsidR="006E77A1" w:rsidRPr="001630E3" w:rsidRDefault="006E77A1" w:rsidP="001630E3"/>
    <w:p w14:paraId="0F07C106" w14:textId="77777777" w:rsidR="00541857" w:rsidRDefault="00541857" w:rsidP="0051778F"/>
    <w:p w14:paraId="7937DE83" w14:textId="628B063F" w:rsidR="00541857" w:rsidRDefault="00541857" w:rsidP="0051778F"/>
    <w:p w14:paraId="6F60344F" w14:textId="77777777" w:rsidR="00541857" w:rsidRDefault="00541857" w:rsidP="0051778F"/>
    <w:p w14:paraId="58C3AA1E" w14:textId="77777777" w:rsidR="00B91DE8" w:rsidRDefault="00B91DE8" w:rsidP="0051778F"/>
    <w:p w14:paraId="65621EA2" w14:textId="77777777" w:rsidR="00B91DE8" w:rsidRDefault="00B91DE8" w:rsidP="0051778F"/>
    <w:p w14:paraId="003E0F9C" w14:textId="77777777" w:rsidR="00B91DE8" w:rsidRDefault="00B91DE8" w:rsidP="0051778F"/>
    <w:p w14:paraId="67E99695" w14:textId="77777777" w:rsidR="00E06FD2" w:rsidRDefault="00E06FD2" w:rsidP="0051778F"/>
    <w:p w14:paraId="0742B3D7" w14:textId="77777777" w:rsidR="0051778F" w:rsidRPr="0038168E" w:rsidRDefault="00F11220" w:rsidP="001630E3">
      <w:pPr>
        <w:pStyle w:val="Heading2"/>
        <w:rPr>
          <w:caps/>
          <w:lang w:val="en-AU"/>
        </w:rPr>
      </w:pPr>
      <w:r>
        <w:t xml:space="preserve">Version and </w:t>
      </w:r>
      <w:r w:rsidR="00197D11">
        <w:t>r</w:t>
      </w:r>
      <w:r w:rsidR="0051778F" w:rsidRPr="001630E3">
        <w:t>evision</w:t>
      </w:r>
      <w:r w:rsidR="0051778F" w:rsidRPr="0038168E">
        <w:rPr>
          <w:lang w:val="en-AU"/>
        </w:rPr>
        <w:t xml:space="preserve"> </w:t>
      </w:r>
      <w:r>
        <w:rPr>
          <w:lang w:val="en-AU"/>
        </w:rPr>
        <w:t xml:space="preserve">control </w:t>
      </w:r>
      <w:r w:rsidR="0051778F" w:rsidRPr="0038168E">
        <w:rPr>
          <w:lang w:val="en-AU"/>
        </w:rPr>
        <w:t>record</w:t>
      </w:r>
    </w:p>
    <w:tbl>
      <w:tblPr>
        <w:tblStyle w:val="TableGrid"/>
        <w:tblW w:w="0" w:type="auto"/>
        <w:tblInd w:w="-5" w:type="dxa"/>
        <w:tblLook w:val="04A0" w:firstRow="1" w:lastRow="0" w:firstColumn="1" w:lastColumn="0" w:noHBand="0" w:noVBand="1"/>
        <w:tblDescription w:val="version and revision control"/>
      </w:tblPr>
      <w:tblGrid>
        <w:gridCol w:w="1147"/>
        <w:gridCol w:w="1133"/>
        <w:gridCol w:w="5089"/>
        <w:gridCol w:w="1690"/>
      </w:tblGrid>
      <w:tr w:rsidR="0051778F" w:rsidRPr="00950602" w14:paraId="118241A0" w14:textId="77777777" w:rsidTr="00B131B9">
        <w:trPr>
          <w:tblHeader/>
        </w:trPr>
        <w:tc>
          <w:tcPr>
            <w:tcW w:w="1147" w:type="dxa"/>
            <w:shd w:val="clear" w:color="auto" w:fill="F2F2F2" w:themeFill="background1" w:themeFillShade="F2"/>
          </w:tcPr>
          <w:p w14:paraId="24F9FB93" w14:textId="77777777" w:rsidR="0051778F" w:rsidRPr="00950602" w:rsidRDefault="0051778F" w:rsidP="00AE66E2">
            <w:pPr>
              <w:rPr>
                <w:b/>
                <w:szCs w:val="22"/>
              </w:rPr>
            </w:pPr>
            <w:r w:rsidRPr="00950602">
              <w:rPr>
                <w:b/>
                <w:szCs w:val="22"/>
              </w:rPr>
              <w:t>Date</w:t>
            </w:r>
          </w:p>
        </w:tc>
        <w:tc>
          <w:tcPr>
            <w:tcW w:w="1133" w:type="dxa"/>
            <w:shd w:val="clear" w:color="auto" w:fill="F2F2F2" w:themeFill="background1" w:themeFillShade="F2"/>
          </w:tcPr>
          <w:p w14:paraId="25350049" w14:textId="77777777" w:rsidR="0051778F" w:rsidRPr="00950602" w:rsidRDefault="0051778F" w:rsidP="00AE66E2">
            <w:pPr>
              <w:rPr>
                <w:b/>
                <w:szCs w:val="22"/>
              </w:rPr>
            </w:pPr>
            <w:r w:rsidRPr="00950602">
              <w:rPr>
                <w:b/>
                <w:szCs w:val="22"/>
              </w:rPr>
              <w:t>Version</w:t>
            </w:r>
          </w:p>
        </w:tc>
        <w:tc>
          <w:tcPr>
            <w:tcW w:w="5089" w:type="dxa"/>
            <w:shd w:val="clear" w:color="auto" w:fill="F2F2F2" w:themeFill="background1" w:themeFillShade="F2"/>
          </w:tcPr>
          <w:p w14:paraId="7D58A7BD" w14:textId="77777777" w:rsidR="0051778F" w:rsidRPr="00950602" w:rsidRDefault="0051778F" w:rsidP="00AE66E2">
            <w:pPr>
              <w:rPr>
                <w:b/>
                <w:szCs w:val="22"/>
              </w:rPr>
            </w:pPr>
            <w:r w:rsidRPr="00950602">
              <w:rPr>
                <w:b/>
                <w:szCs w:val="22"/>
              </w:rPr>
              <w:t>Approver</w:t>
            </w:r>
          </w:p>
        </w:tc>
        <w:tc>
          <w:tcPr>
            <w:tcW w:w="1690" w:type="dxa"/>
            <w:shd w:val="clear" w:color="auto" w:fill="F2F2F2" w:themeFill="background1" w:themeFillShade="F2"/>
          </w:tcPr>
          <w:p w14:paraId="4D27F8D7" w14:textId="77777777" w:rsidR="0051778F" w:rsidRPr="00950602" w:rsidRDefault="0051778F" w:rsidP="00AE66E2">
            <w:pPr>
              <w:rPr>
                <w:b/>
                <w:szCs w:val="22"/>
              </w:rPr>
            </w:pPr>
            <w:r w:rsidRPr="00950602">
              <w:rPr>
                <w:b/>
                <w:szCs w:val="22"/>
              </w:rPr>
              <w:t>Next Review</w:t>
            </w:r>
          </w:p>
        </w:tc>
      </w:tr>
      <w:tr w:rsidR="0051778F" w:rsidRPr="00950602" w14:paraId="7C61187A" w14:textId="77777777" w:rsidTr="00F11220">
        <w:tc>
          <w:tcPr>
            <w:tcW w:w="1147" w:type="dxa"/>
          </w:tcPr>
          <w:p w14:paraId="4D1C51B8" w14:textId="52A589A8" w:rsidR="0051778F" w:rsidRPr="00950602" w:rsidRDefault="002A7AAE" w:rsidP="00A24F41">
            <w:pPr>
              <w:rPr>
                <w:szCs w:val="22"/>
              </w:rPr>
            </w:pPr>
            <w:r>
              <w:rPr>
                <w:szCs w:val="22"/>
              </w:rPr>
              <w:t>01/2019</w:t>
            </w:r>
          </w:p>
        </w:tc>
        <w:tc>
          <w:tcPr>
            <w:tcW w:w="1133" w:type="dxa"/>
          </w:tcPr>
          <w:p w14:paraId="5277DB55" w14:textId="1533F58D" w:rsidR="0051778F" w:rsidRPr="00950602" w:rsidRDefault="002A7AAE" w:rsidP="00AE66E2">
            <w:pPr>
              <w:rPr>
                <w:szCs w:val="22"/>
              </w:rPr>
            </w:pPr>
            <w:r>
              <w:rPr>
                <w:szCs w:val="22"/>
              </w:rPr>
              <w:t>1.2</w:t>
            </w:r>
          </w:p>
        </w:tc>
        <w:tc>
          <w:tcPr>
            <w:tcW w:w="5089" w:type="dxa"/>
          </w:tcPr>
          <w:p w14:paraId="5B261D66" w14:textId="77777777" w:rsidR="0051778F" w:rsidRPr="00950602" w:rsidRDefault="0051778F" w:rsidP="00AE66E2">
            <w:pPr>
              <w:rPr>
                <w:szCs w:val="22"/>
              </w:rPr>
            </w:pPr>
            <w:r w:rsidRPr="00950602">
              <w:rPr>
                <w:szCs w:val="22"/>
              </w:rPr>
              <w:t>Chief Finance Officer -  Financial Services Division</w:t>
            </w:r>
          </w:p>
        </w:tc>
        <w:tc>
          <w:tcPr>
            <w:tcW w:w="1690" w:type="dxa"/>
          </w:tcPr>
          <w:p w14:paraId="6042C3DE" w14:textId="0BC8D24A" w:rsidR="0051778F" w:rsidRPr="00950602" w:rsidRDefault="001F0152" w:rsidP="002A7AAE">
            <w:pPr>
              <w:rPr>
                <w:szCs w:val="22"/>
              </w:rPr>
            </w:pPr>
            <w:r>
              <w:rPr>
                <w:szCs w:val="22"/>
              </w:rPr>
              <w:t>0</w:t>
            </w:r>
            <w:r w:rsidR="002A7AAE">
              <w:rPr>
                <w:szCs w:val="22"/>
              </w:rPr>
              <w:t>1</w:t>
            </w:r>
            <w:r w:rsidR="0043025E">
              <w:rPr>
                <w:szCs w:val="22"/>
              </w:rPr>
              <w:t>/</w:t>
            </w:r>
            <w:r w:rsidR="002F635C">
              <w:rPr>
                <w:szCs w:val="22"/>
              </w:rPr>
              <w:t>20</w:t>
            </w:r>
            <w:r w:rsidR="002A7AAE">
              <w:rPr>
                <w:szCs w:val="22"/>
              </w:rPr>
              <w:t>20</w:t>
            </w:r>
          </w:p>
        </w:tc>
      </w:tr>
    </w:tbl>
    <w:p w14:paraId="33F4F1B0" w14:textId="77777777" w:rsidR="0051778F" w:rsidRPr="00801600" w:rsidRDefault="0051778F" w:rsidP="00801600"/>
    <w:sectPr w:rsidR="0051778F" w:rsidRPr="00801600" w:rsidSect="001630E3">
      <w:footerReference w:type="default" r:id="rId15"/>
      <w:pgSz w:w="11900" w:h="16840" w:code="9"/>
      <w:pgMar w:top="1701" w:right="1418" w:bottom="1701" w:left="1418" w:header="567" w:footer="851"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DA3EE" w14:textId="77777777" w:rsidR="00C23AC5" w:rsidRDefault="00C23AC5" w:rsidP="008766A4">
      <w:r>
        <w:separator/>
      </w:r>
    </w:p>
  </w:endnote>
  <w:endnote w:type="continuationSeparator" w:id="0">
    <w:p w14:paraId="43447407" w14:textId="77777777" w:rsidR="00C23AC5" w:rsidRDefault="00C23AC5" w:rsidP="008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5CB37" w14:textId="736D66D6" w:rsidR="000F4C22" w:rsidRPr="00AD1D97" w:rsidRDefault="004615C4" w:rsidP="00676C69">
    <w:pPr>
      <w:spacing w:before="200" w:after="40"/>
      <w:rPr>
        <w:sz w:val="20"/>
        <w:szCs w:val="20"/>
      </w:rPr>
    </w:pPr>
    <w:r w:rsidRPr="00AD1D97">
      <w:rPr>
        <w:noProof/>
        <w:color w:val="000000" w:themeColor="text1"/>
        <w:sz w:val="20"/>
        <w:szCs w:val="20"/>
        <w:lang w:val="en-AU" w:eastAsia="en-AU"/>
      </w:rPr>
      <w:drawing>
        <wp:anchor distT="0" distB="0" distL="114300" distR="114300" simplePos="0" relativeHeight="251660800" behindDoc="1" locked="0" layoutInCell="1" allowOverlap="1" wp14:anchorId="300AB157" wp14:editId="4D599FD8">
          <wp:simplePos x="0" y="0"/>
          <wp:positionH relativeFrom="page">
            <wp:posOffset>53975</wp:posOffset>
          </wp:positionH>
          <wp:positionV relativeFrom="page">
            <wp:posOffset>9950450</wp:posOffset>
          </wp:positionV>
          <wp:extent cx="7527279" cy="722376"/>
          <wp:effectExtent l="0" t="0" r="0" b="1905"/>
          <wp:wrapNone/>
          <wp:docPr id="1" name="Picture 1" descr="footer containing document name, page number and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anchor>
      </w:drawing>
    </w:r>
    <w:r w:rsidR="00676C69" w:rsidRPr="00AD1D97">
      <w:rPr>
        <w:rFonts w:eastAsia="Arial" w:cs="Times New Roman"/>
        <w:color w:val="000000" w:themeColor="text1"/>
        <w:sz w:val="20"/>
        <w:szCs w:val="20"/>
        <w:lang w:val="en-AU"/>
      </w:rPr>
      <w:t>Section 6</w:t>
    </w:r>
    <w:r w:rsidR="00206C2B">
      <w:rPr>
        <w:rFonts w:eastAsia="Arial" w:cs="Times New Roman"/>
        <w:color w:val="000000" w:themeColor="text1"/>
        <w:sz w:val="20"/>
        <w:szCs w:val="20"/>
        <w:lang w:val="en-AU"/>
      </w:rPr>
      <w:t>:</w:t>
    </w:r>
    <w:r w:rsidR="006A30A0">
      <w:rPr>
        <w:rFonts w:eastAsia="Arial" w:cs="Times New Roman"/>
        <w:color w:val="000000" w:themeColor="text1"/>
        <w:sz w:val="20"/>
        <w:szCs w:val="20"/>
        <w:lang w:val="en-AU"/>
      </w:rPr>
      <w:t xml:space="preserve"> </w:t>
    </w:r>
    <w:r w:rsidR="00676C69" w:rsidRPr="00AD1D97">
      <w:rPr>
        <w:rFonts w:eastAsia="Arial" w:cs="Times New Roman"/>
        <w:color w:val="000000" w:themeColor="text1"/>
        <w:sz w:val="20"/>
        <w:szCs w:val="20"/>
        <w:lang w:val="en-AU"/>
      </w:rPr>
      <w:t>Budget Management</w:t>
    </w:r>
    <w:r w:rsidR="00F11220">
      <w:rPr>
        <w:rFonts w:eastAsia="Arial" w:cs="Times New Roman"/>
        <w:color w:val="000000" w:themeColor="text1"/>
        <w:sz w:val="20"/>
        <w:szCs w:val="20"/>
        <w:lang w:val="en-AU"/>
      </w:rPr>
      <w:t xml:space="preserve"> </w:t>
    </w:r>
    <w:r w:rsidR="00676C69" w:rsidRPr="00AD1D97">
      <w:rPr>
        <w:rFonts w:eastAsia="Arial" w:cs="Times New Roman"/>
        <w:color w:val="000000" w:themeColor="text1"/>
        <w:sz w:val="20"/>
        <w:szCs w:val="20"/>
        <w:lang w:val="en-AU"/>
      </w:rPr>
      <w:t xml:space="preserve">| </w:t>
    </w:r>
    <w:r w:rsidR="002A7AAE">
      <w:rPr>
        <w:rFonts w:eastAsia="Arial" w:cs="Times New Roman"/>
        <w:color w:val="000000" w:themeColor="text1"/>
        <w:sz w:val="20"/>
        <w:szCs w:val="20"/>
        <w:lang w:val="en-AU"/>
      </w:rPr>
      <w:t xml:space="preserve">January </w:t>
    </w:r>
    <w:r w:rsidR="001F0152">
      <w:rPr>
        <w:rFonts w:eastAsia="Arial" w:cs="Times New Roman"/>
        <w:color w:val="000000" w:themeColor="text1"/>
        <w:sz w:val="20"/>
        <w:szCs w:val="20"/>
        <w:lang w:val="en-AU"/>
      </w:rPr>
      <w:t>201</w:t>
    </w:r>
    <w:r w:rsidR="002A7AAE">
      <w:rPr>
        <w:rFonts w:eastAsia="Arial" w:cs="Times New Roman"/>
        <w:color w:val="000000" w:themeColor="text1"/>
        <w:sz w:val="20"/>
        <w:szCs w:val="20"/>
        <w:lang w:val="en-AU"/>
      </w:rPr>
      <w:t>9</w:t>
    </w:r>
    <w:r w:rsidR="00676C69" w:rsidRPr="00AD1D97">
      <w:rPr>
        <w:rFonts w:eastAsia="Arial" w:cs="Times New Roman"/>
        <w:color w:val="000000" w:themeColor="text1"/>
        <w:sz w:val="20"/>
        <w:szCs w:val="20"/>
        <w:lang w:val="en-AU"/>
      </w:rPr>
      <w:tab/>
    </w:r>
    <w:r w:rsidR="00676C69" w:rsidRPr="00AD1D97">
      <w:rPr>
        <w:rFonts w:eastAsia="Arial" w:cs="Times New Roman"/>
        <w:color w:val="000000" w:themeColor="text1"/>
        <w:sz w:val="20"/>
        <w:szCs w:val="20"/>
        <w:lang w:val="en-AU"/>
      </w:rPr>
      <w:tab/>
    </w:r>
    <w:r w:rsidR="00676C69" w:rsidRPr="00AD1D97">
      <w:rPr>
        <w:rFonts w:eastAsia="Arial" w:cs="Times New Roman"/>
        <w:color w:val="000000" w:themeColor="text1"/>
        <w:sz w:val="20"/>
        <w:szCs w:val="20"/>
        <w:lang w:val="en-AU"/>
      </w:rPr>
      <w:tab/>
    </w:r>
    <w:r w:rsidR="000F4C22" w:rsidRPr="00AD1D97">
      <w:rPr>
        <w:noProof/>
        <w:color w:val="000000" w:themeColor="text1"/>
        <w:sz w:val="20"/>
        <w:szCs w:val="20"/>
        <w:lang w:val="en-AU" w:eastAsia="en-AU"/>
      </w:rPr>
      <w:drawing>
        <wp:anchor distT="0" distB="0" distL="114300" distR="114300" simplePos="0" relativeHeight="251657728" behindDoc="1" locked="0" layoutInCell="1" allowOverlap="1" wp14:anchorId="75C5488B" wp14:editId="0C1CE99D">
          <wp:simplePos x="0" y="0"/>
          <wp:positionH relativeFrom="page">
            <wp:posOffset>53975</wp:posOffset>
          </wp:positionH>
          <wp:positionV relativeFrom="page">
            <wp:posOffset>9950450</wp:posOffset>
          </wp:positionV>
          <wp:extent cx="7527279" cy="722376"/>
          <wp:effectExtent l="0" t="0" r="0" b="1905"/>
          <wp:wrapNone/>
          <wp:docPr id="3" name="Picture 3" descr="footer containing name of document, page number and education department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anchor>
      </w:drawing>
    </w:r>
    <w:r w:rsidR="000F4C22" w:rsidRPr="00AD1D97">
      <w:rPr>
        <w:color w:val="000000" w:themeColor="text1"/>
        <w:sz w:val="20"/>
        <w:szCs w:val="20"/>
      </w:rPr>
      <w:tab/>
    </w:r>
    <w:r w:rsidR="00784761" w:rsidRPr="00784761">
      <w:rPr>
        <w:sz w:val="20"/>
        <w:szCs w:val="20"/>
      </w:rPr>
      <w:t xml:space="preserve">Page </w:t>
    </w:r>
    <w:r w:rsidR="00784761" w:rsidRPr="00784761">
      <w:rPr>
        <w:sz w:val="20"/>
        <w:szCs w:val="20"/>
      </w:rPr>
      <w:fldChar w:fldCharType="begin"/>
    </w:r>
    <w:r w:rsidR="00784761" w:rsidRPr="00784761">
      <w:rPr>
        <w:sz w:val="20"/>
        <w:szCs w:val="20"/>
      </w:rPr>
      <w:instrText xml:space="preserve"> PAGE   \* MERGEFORMAT </w:instrText>
    </w:r>
    <w:r w:rsidR="00784761" w:rsidRPr="00784761">
      <w:rPr>
        <w:sz w:val="20"/>
        <w:szCs w:val="20"/>
      </w:rPr>
      <w:fldChar w:fldCharType="separate"/>
    </w:r>
    <w:r w:rsidR="00A50520">
      <w:rPr>
        <w:noProof/>
        <w:sz w:val="20"/>
        <w:szCs w:val="20"/>
      </w:rPr>
      <w:t>3</w:t>
    </w:r>
    <w:r w:rsidR="00784761" w:rsidRPr="00784761">
      <w:rPr>
        <w:sz w:val="20"/>
        <w:szCs w:val="20"/>
      </w:rPr>
      <w:fldChar w:fldCharType="end"/>
    </w:r>
    <w:r w:rsidR="003F3C92" w:rsidRPr="00AD1D97">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D19BA" w14:textId="77777777" w:rsidR="00C23AC5" w:rsidRDefault="00C23AC5" w:rsidP="008766A4">
      <w:r>
        <w:separator/>
      </w:r>
    </w:p>
  </w:footnote>
  <w:footnote w:type="continuationSeparator" w:id="0">
    <w:p w14:paraId="159B12F3" w14:textId="77777777" w:rsidR="00C23AC5" w:rsidRDefault="00C23AC5" w:rsidP="008766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226E270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DBE8A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E8CF51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8863F0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604A7F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EACD3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730B4C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DE42AA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710316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4CCCFF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EC71F9C"/>
    <w:multiLevelType w:val="hybridMultilevel"/>
    <w:tmpl w:val="DB782B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FE97570"/>
    <w:multiLevelType w:val="hybridMultilevel"/>
    <w:tmpl w:val="B76067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0412514"/>
    <w:multiLevelType w:val="hybridMultilevel"/>
    <w:tmpl w:val="59628A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067406E"/>
    <w:multiLevelType w:val="hybridMultilevel"/>
    <w:tmpl w:val="D4CE9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164D5B"/>
    <w:multiLevelType w:val="hybridMultilevel"/>
    <w:tmpl w:val="60E837CE"/>
    <w:lvl w:ilvl="0" w:tplc="F3189634">
      <w:numFmt w:val="bullet"/>
      <w:lvlText w:val="•"/>
      <w:lvlJc w:val="left"/>
      <w:pPr>
        <w:ind w:left="720" w:hanging="360"/>
      </w:pPr>
      <w:rPr>
        <w:rFonts w:ascii="Times New Roman" w:eastAsia="Times New Roman" w:hAnsi="Times New Roman" w:hint="default"/>
        <w:color w:val="7A7B7D"/>
        <w:w w:val="14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274AB6"/>
    <w:multiLevelType w:val="hybridMultilevel"/>
    <w:tmpl w:val="8706771E"/>
    <w:lvl w:ilvl="0" w:tplc="732E1394">
      <w:start w:val="1"/>
      <w:numFmt w:val="bullet"/>
      <w:pStyle w:val="List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9" w15:restartNumberingAfterBreak="0">
    <w:nsid w:val="32617FD5"/>
    <w:multiLevelType w:val="hybridMultilevel"/>
    <w:tmpl w:val="A992B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130530"/>
    <w:multiLevelType w:val="hybridMultilevel"/>
    <w:tmpl w:val="4950F2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960527E"/>
    <w:multiLevelType w:val="hybridMultilevel"/>
    <w:tmpl w:val="97505B86"/>
    <w:lvl w:ilvl="0" w:tplc="A118BB48">
      <w:start w:val="1"/>
      <w:numFmt w:val="bullet"/>
      <w:lvlText w:val=""/>
      <w:lvlJc w:val="left"/>
      <w:pPr>
        <w:ind w:left="360" w:hanging="360"/>
      </w:pPr>
      <w:rPr>
        <w:rFonts w:ascii="Symbol" w:hAnsi="Symbol" w:hint="default"/>
        <w:color w:val="AF272F"/>
      </w:rPr>
    </w:lvl>
    <w:lvl w:ilvl="1" w:tplc="2B14FD5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E64CAE"/>
    <w:multiLevelType w:val="hybridMultilevel"/>
    <w:tmpl w:val="3662B2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5" w15:restartNumberingAfterBreak="0">
    <w:nsid w:val="7F36218B"/>
    <w:multiLevelType w:val="hybridMultilevel"/>
    <w:tmpl w:val="F120EBD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26"/>
  </w:num>
  <w:num w:numId="14">
    <w:abstractNumId w:val="23"/>
  </w:num>
  <w:num w:numId="15">
    <w:abstractNumId w:val="24"/>
  </w:num>
  <w:num w:numId="16">
    <w:abstractNumId w:val="18"/>
  </w:num>
  <w:num w:numId="17">
    <w:abstractNumId w:val="21"/>
  </w:num>
  <w:num w:numId="18">
    <w:abstractNumId w:val="22"/>
  </w:num>
  <w:num w:numId="19">
    <w:abstractNumId w:val="25"/>
  </w:num>
  <w:num w:numId="20">
    <w:abstractNumId w:val="16"/>
  </w:num>
  <w:num w:numId="21">
    <w:abstractNumId w:val="15"/>
  </w:num>
  <w:num w:numId="22">
    <w:abstractNumId w:val="19"/>
  </w:num>
  <w:num w:numId="23">
    <w:abstractNumId w:val="13"/>
  </w:num>
  <w:num w:numId="24">
    <w:abstractNumId w:val="12"/>
  </w:num>
  <w:num w:numId="25">
    <w:abstractNumId w:val="14"/>
  </w:num>
  <w:num w:numId="26">
    <w:abstractNumId w:val="2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AU" w:vendorID="64" w:dllVersion="6" w:nlCheck="1" w:checkStyle="0"/>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009E4"/>
    <w:rsid w:val="0003247C"/>
    <w:rsid w:val="00073B91"/>
    <w:rsid w:val="000B0506"/>
    <w:rsid w:val="000B0EDE"/>
    <w:rsid w:val="000B6F69"/>
    <w:rsid w:val="000B747F"/>
    <w:rsid w:val="000C499D"/>
    <w:rsid w:val="000C5885"/>
    <w:rsid w:val="000D43A9"/>
    <w:rsid w:val="000E4A08"/>
    <w:rsid w:val="000E4ACB"/>
    <w:rsid w:val="000F155E"/>
    <w:rsid w:val="000F424E"/>
    <w:rsid w:val="000F4C22"/>
    <w:rsid w:val="00102E14"/>
    <w:rsid w:val="001049A6"/>
    <w:rsid w:val="00124DC1"/>
    <w:rsid w:val="00127682"/>
    <w:rsid w:val="0013716D"/>
    <w:rsid w:val="0014310A"/>
    <w:rsid w:val="00150C51"/>
    <w:rsid w:val="001630E3"/>
    <w:rsid w:val="0019008B"/>
    <w:rsid w:val="00193A4B"/>
    <w:rsid w:val="00197C23"/>
    <w:rsid w:val="00197D11"/>
    <w:rsid w:val="001A3B85"/>
    <w:rsid w:val="001A6947"/>
    <w:rsid w:val="001C5C38"/>
    <w:rsid w:val="001D330B"/>
    <w:rsid w:val="001F0152"/>
    <w:rsid w:val="001F54D0"/>
    <w:rsid w:val="00206C2B"/>
    <w:rsid w:val="0022212D"/>
    <w:rsid w:val="00226B71"/>
    <w:rsid w:val="00231D0D"/>
    <w:rsid w:val="00232805"/>
    <w:rsid w:val="00255E0C"/>
    <w:rsid w:val="00271AB6"/>
    <w:rsid w:val="00271F77"/>
    <w:rsid w:val="0027290E"/>
    <w:rsid w:val="002807CA"/>
    <w:rsid w:val="002A494D"/>
    <w:rsid w:val="002A7AAE"/>
    <w:rsid w:val="002B2D6F"/>
    <w:rsid w:val="002B37D8"/>
    <w:rsid w:val="002C4CA5"/>
    <w:rsid w:val="002C75E6"/>
    <w:rsid w:val="002F304C"/>
    <w:rsid w:val="002F4E54"/>
    <w:rsid w:val="002F635C"/>
    <w:rsid w:val="00313358"/>
    <w:rsid w:val="00315AC8"/>
    <w:rsid w:val="00320E5E"/>
    <w:rsid w:val="00326F48"/>
    <w:rsid w:val="003347CD"/>
    <w:rsid w:val="00340B26"/>
    <w:rsid w:val="00347714"/>
    <w:rsid w:val="00350C5B"/>
    <w:rsid w:val="003514AD"/>
    <w:rsid w:val="003600AE"/>
    <w:rsid w:val="00366BF2"/>
    <w:rsid w:val="0038168E"/>
    <w:rsid w:val="003B01B0"/>
    <w:rsid w:val="003D0E09"/>
    <w:rsid w:val="003D4DD2"/>
    <w:rsid w:val="003E0FF8"/>
    <w:rsid w:val="003E29B5"/>
    <w:rsid w:val="003E51EB"/>
    <w:rsid w:val="003E7FAC"/>
    <w:rsid w:val="003F3C92"/>
    <w:rsid w:val="003F5E75"/>
    <w:rsid w:val="00406793"/>
    <w:rsid w:val="004177BE"/>
    <w:rsid w:val="0042385D"/>
    <w:rsid w:val="0043025E"/>
    <w:rsid w:val="00443FF4"/>
    <w:rsid w:val="004615C4"/>
    <w:rsid w:val="00464F81"/>
    <w:rsid w:val="004801D1"/>
    <w:rsid w:val="0049078A"/>
    <w:rsid w:val="0049377B"/>
    <w:rsid w:val="004D102E"/>
    <w:rsid w:val="004D3349"/>
    <w:rsid w:val="004D6461"/>
    <w:rsid w:val="004E12FC"/>
    <w:rsid w:val="0051778F"/>
    <w:rsid w:val="00521D69"/>
    <w:rsid w:val="00532F91"/>
    <w:rsid w:val="00536060"/>
    <w:rsid w:val="00541857"/>
    <w:rsid w:val="0057050B"/>
    <w:rsid w:val="005711D2"/>
    <w:rsid w:val="0057654B"/>
    <w:rsid w:val="005832B7"/>
    <w:rsid w:val="0058443C"/>
    <w:rsid w:val="0059508D"/>
    <w:rsid w:val="00596923"/>
    <w:rsid w:val="005A0C09"/>
    <w:rsid w:val="005A23F9"/>
    <w:rsid w:val="005B3B56"/>
    <w:rsid w:val="005E2469"/>
    <w:rsid w:val="005E75B8"/>
    <w:rsid w:val="00600EB1"/>
    <w:rsid w:val="00651C93"/>
    <w:rsid w:val="00675AB7"/>
    <w:rsid w:val="00676C69"/>
    <w:rsid w:val="006935C9"/>
    <w:rsid w:val="00694796"/>
    <w:rsid w:val="0069535D"/>
    <w:rsid w:val="006A30A0"/>
    <w:rsid w:val="006A4F51"/>
    <w:rsid w:val="006B4CDE"/>
    <w:rsid w:val="006D754E"/>
    <w:rsid w:val="006E2451"/>
    <w:rsid w:val="006E77A1"/>
    <w:rsid w:val="007040C9"/>
    <w:rsid w:val="007178F0"/>
    <w:rsid w:val="0073072D"/>
    <w:rsid w:val="0074409F"/>
    <w:rsid w:val="00746CF6"/>
    <w:rsid w:val="00750CA5"/>
    <w:rsid w:val="00751081"/>
    <w:rsid w:val="00776F20"/>
    <w:rsid w:val="00784761"/>
    <w:rsid w:val="00784798"/>
    <w:rsid w:val="007D2017"/>
    <w:rsid w:val="007F4A35"/>
    <w:rsid w:val="00801600"/>
    <w:rsid w:val="00816ED5"/>
    <w:rsid w:val="008302B4"/>
    <w:rsid w:val="00831BB4"/>
    <w:rsid w:val="00833C8B"/>
    <w:rsid w:val="00841F2A"/>
    <w:rsid w:val="00871EC0"/>
    <w:rsid w:val="008766A4"/>
    <w:rsid w:val="00877262"/>
    <w:rsid w:val="00887E2D"/>
    <w:rsid w:val="00895870"/>
    <w:rsid w:val="00896FF2"/>
    <w:rsid w:val="008A5234"/>
    <w:rsid w:val="008C0B02"/>
    <w:rsid w:val="008C6FA8"/>
    <w:rsid w:val="008D2D16"/>
    <w:rsid w:val="008D3BDE"/>
    <w:rsid w:val="008E6B97"/>
    <w:rsid w:val="008F3046"/>
    <w:rsid w:val="00917F2A"/>
    <w:rsid w:val="00920D27"/>
    <w:rsid w:val="009248FE"/>
    <w:rsid w:val="009269FD"/>
    <w:rsid w:val="00927DEE"/>
    <w:rsid w:val="00933910"/>
    <w:rsid w:val="00950602"/>
    <w:rsid w:val="00954A49"/>
    <w:rsid w:val="00967755"/>
    <w:rsid w:val="009731D8"/>
    <w:rsid w:val="0097421F"/>
    <w:rsid w:val="00980015"/>
    <w:rsid w:val="0098300C"/>
    <w:rsid w:val="00990D12"/>
    <w:rsid w:val="009A25B7"/>
    <w:rsid w:val="009E4078"/>
    <w:rsid w:val="009F2302"/>
    <w:rsid w:val="00A0413B"/>
    <w:rsid w:val="00A140E9"/>
    <w:rsid w:val="00A16157"/>
    <w:rsid w:val="00A24F41"/>
    <w:rsid w:val="00A279B9"/>
    <w:rsid w:val="00A27A02"/>
    <w:rsid w:val="00A33C93"/>
    <w:rsid w:val="00A50520"/>
    <w:rsid w:val="00A62D1A"/>
    <w:rsid w:val="00A70CA5"/>
    <w:rsid w:val="00AB438A"/>
    <w:rsid w:val="00AD1D97"/>
    <w:rsid w:val="00AD4561"/>
    <w:rsid w:val="00B131B9"/>
    <w:rsid w:val="00B17AF7"/>
    <w:rsid w:val="00B239F0"/>
    <w:rsid w:val="00B24C5A"/>
    <w:rsid w:val="00B40154"/>
    <w:rsid w:val="00B5537C"/>
    <w:rsid w:val="00B617F9"/>
    <w:rsid w:val="00B67988"/>
    <w:rsid w:val="00B8317A"/>
    <w:rsid w:val="00B91DE8"/>
    <w:rsid w:val="00B92301"/>
    <w:rsid w:val="00BA6101"/>
    <w:rsid w:val="00BB0D43"/>
    <w:rsid w:val="00BB5F6F"/>
    <w:rsid w:val="00BC3DEC"/>
    <w:rsid w:val="00C00630"/>
    <w:rsid w:val="00C052CB"/>
    <w:rsid w:val="00C1688C"/>
    <w:rsid w:val="00C23AC5"/>
    <w:rsid w:val="00C329AC"/>
    <w:rsid w:val="00C40A8C"/>
    <w:rsid w:val="00C64616"/>
    <w:rsid w:val="00C70FED"/>
    <w:rsid w:val="00C75380"/>
    <w:rsid w:val="00C82292"/>
    <w:rsid w:val="00C91AC2"/>
    <w:rsid w:val="00C945D9"/>
    <w:rsid w:val="00C96775"/>
    <w:rsid w:val="00CA19CD"/>
    <w:rsid w:val="00CA4E2A"/>
    <w:rsid w:val="00CC7F0A"/>
    <w:rsid w:val="00CF05E7"/>
    <w:rsid w:val="00D049D0"/>
    <w:rsid w:val="00D15ECD"/>
    <w:rsid w:val="00D168EE"/>
    <w:rsid w:val="00D31299"/>
    <w:rsid w:val="00D33B4C"/>
    <w:rsid w:val="00D33FFB"/>
    <w:rsid w:val="00D37503"/>
    <w:rsid w:val="00D5039D"/>
    <w:rsid w:val="00D84C0F"/>
    <w:rsid w:val="00DA020D"/>
    <w:rsid w:val="00DD47FD"/>
    <w:rsid w:val="00DD681E"/>
    <w:rsid w:val="00DE0F00"/>
    <w:rsid w:val="00DE643D"/>
    <w:rsid w:val="00DF1C42"/>
    <w:rsid w:val="00E06FD2"/>
    <w:rsid w:val="00E14E0C"/>
    <w:rsid w:val="00E15B3D"/>
    <w:rsid w:val="00E42E39"/>
    <w:rsid w:val="00E909D7"/>
    <w:rsid w:val="00EB247D"/>
    <w:rsid w:val="00EB713C"/>
    <w:rsid w:val="00EC718D"/>
    <w:rsid w:val="00EC7525"/>
    <w:rsid w:val="00EF04D3"/>
    <w:rsid w:val="00F11220"/>
    <w:rsid w:val="00F16129"/>
    <w:rsid w:val="00F27799"/>
    <w:rsid w:val="00F36897"/>
    <w:rsid w:val="00F37E0C"/>
    <w:rsid w:val="00F43542"/>
    <w:rsid w:val="00F4531B"/>
    <w:rsid w:val="00F512FA"/>
    <w:rsid w:val="00F60188"/>
    <w:rsid w:val="00F70CB4"/>
    <w:rsid w:val="00F7204D"/>
    <w:rsid w:val="00F85738"/>
    <w:rsid w:val="00F85A04"/>
    <w:rsid w:val="00F85A39"/>
    <w:rsid w:val="00F95DC1"/>
    <w:rsid w:val="00F9759C"/>
    <w:rsid w:val="00F97B56"/>
    <w:rsid w:val="00FA6B94"/>
    <w:rsid w:val="00FB1204"/>
    <w:rsid w:val="00FD73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254FE6B2"/>
  <w15:docId w15:val="{DF33847F-684F-4367-BE21-C7E086373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semiHidden/>
    <w:qFormat/>
    <w:rsid w:val="001630E3"/>
    <w:pPr>
      <w:spacing w:before="120" w:line="280" w:lineRule="atLeast"/>
    </w:pPr>
    <w:rPr>
      <w:rFonts w:ascii="Arial" w:hAnsi="Arial" w:cs="Arial"/>
      <w:sz w:val="22"/>
      <w:szCs w:val="18"/>
    </w:rPr>
  </w:style>
  <w:style w:type="paragraph" w:styleId="Heading1">
    <w:name w:val="heading 1"/>
    <w:basedOn w:val="Normal"/>
    <w:next w:val="Normal"/>
    <w:link w:val="Heading1Char"/>
    <w:uiPriority w:val="9"/>
    <w:qFormat/>
    <w:locked/>
    <w:rsid w:val="00E14E0C"/>
    <w:pPr>
      <w:keepNext/>
      <w:keepLines/>
      <w:spacing w:before="240" w:after="120"/>
      <w:outlineLvl w:val="0"/>
    </w:pPr>
    <w:rPr>
      <w:rFonts w:eastAsiaTheme="majorEastAsia" w:cstheme="majorBidi"/>
      <w:b/>
      <w:bCs/>
      <w:color w:val="AF272F"/>
      <w:sz w:val="44"/>
      <w:szCs w:val="20"/>
    </w:rPr>
  </w:style>
  <w:style w:type="paragraph" w:styleId="Heading2">
    <w:name w:val="heading 2"/>
    <w:basedOn w:val="Heading1"/>
    <w:next w:val="Normal"/>
    <w:link w:val="Heading2Char"/>
    <w:uiPriority w:val="9"/>
    <w:qFormat/>
    <w:locked/>
    <w:rsid w:val="00E14E0C"/>
    <w:pPr>
      <w:pBdr>
        <w:top w:val="single" w:sz="8" w:space="3" w:color="AF272F"/>
      </w:pBdr>
      <w:ind w:left="851" w:hanging="851"/>
      <w:outlineLvl w:val="1"/>
    </w:pPr>
    <w:rPr>
      <w:bCs w:val="0"/>
      <w:sz w:val="36"/>
    </w:rPr>
  </w:style>
  <w:style w:type="paragraph" w:styleId="Heading3">
    <w:name w:val="heading 3"/>
    <w:basedOn w:val="Normal"/>
    <w:next w:val="Normal"/>
    <w:link w:val="Heading3Char"/>
    <w:uiPriority w:val="9"/>
    <w:qFormat/>
    <w:locked/>
    <w:rsid w:val="00E14E0C"/>
    <w:pPr>
      <w:spacing w:before="240" w:after="120"/>
      <w:outlineLvl w:val="2"/>
    </w:pPr>
    <w:rPr>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semiHidden/>
    <w:rsid w:val="00326F48"/>
    <w:pPr>
      <w:tabs>
        <w:tab w:val="center" w:pos="4320"/>
        <w:tab w:val="right" w:pos="8640"/>
      </w:tabs>
    </w:pPr>
  </w:style>
  <w:style w:type="character" w:customStyle="1" w:styleId="FooterChar">
    <w:name w:val="Footer Char"/>
    <w:basedOn w:val="DefaultParagraphFont"/>
    <w:link w:val="Footer"/>
    <w:uiPriority w:val="99"/>
    <w:semiHidden/>
    <w:rsid w:val="005711D2"/>
    <w:rPr>
      <w:rFonts w:ascii="Arial" w:hAnsi="Arial" w:cs="Arial"/>
      <w:sz w:val="18"/>
      <w:szCs w:val="18"/>
    </w:rPr>
  </w:style>
  <w:style w:type="paragraph" w:styleId="Subtitle">
    <w:name w:val="Subtitle"/>
    <w:basedOn w:val="Normal"/>
    <w:next w:val="Normal"/>
    <w:link w:val="SubtitleChar"/>
    <w:uiPriority w:val="11"/>
    <w:semiHidden/>
    <w:qFormat/>
    <w:locked/>
    <w:rsid w:val="00980015"/>
    <w:pPr>
      <w:numPr>
        <w:ilvl w:val="1"/>
      </w:numPr>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rsid w:val="00E14E0C"/>
    <w:rPr>
      <w:rFonts w:ascii="Arial" w:eastAsiaTheme="majorEastAsia" w:hAnsi="Arial" w:cstheme="majorBidi"/>
      <w:b/>
      <w:bCs/>
      <w:color w:val="AF272F"/>
      <w:sz w:val="44"/>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rsid w:val="00E14E0C"/>
    <w:rPr>
      <w:rFonts w:ascii="Arial" w:eastAsiaTheme="majorEastAsia" w:hAnsi="Arial" w:cstheme="majorBidi"/>
      <w:b/>
      <w:color w:val="AF272F"/>
      <w:sz w:val="36"/>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rsid w:val="00E14E0C"/>
    <w:rPr>
      <w:rFonts w:ascii="Arial" w:hAnsi="Arial" w:cs="Arial"/>
      <w:b/>
      <w:color w:val="000000" w:themeColor="text1"/>
      <w:szCs w:val="18"/>
    </w:rPr>
  </w:style>
  <w:style w:type="paragraph" w:styleId="TOAHeading">
    <w:name w:val="toa heading"/>
    <w:basedOn w:val="Normal"/>
    <w:next w:val="Normal"/>
    <w:uiPriority w:val="99"/>
    <w:semiHidden/>
    <w:locked/>
    <w:rsid w:val="00751081"/>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after="0"/>
      <w:outlineLvl w:val="9"/>
    </w:pPr>
    <w:rPr>
      <w:rFonts w:asciiTheme="majorHAnsi" w:hAnsiTheme="majorHAnsi"/>
      <w:b w:val="0"/>
      <w:bCs w:val="0"/>
      <w:caps/>
      <w:color w:val="365F91" w:themeColor="accent1" w:themeShade="BF"/>
      <w:sz w:val="32"/>
      <w:szCs w:val="32"/>
    </w:rPr>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ind w:left="284"/>
      <w:contextualSpacing/>
      <w:outlineLvl w:val="0"/>
    </w:pPr>
  </w:style>
  <w:style w:type="paragraph" w:customStyle="1" w:styleId="NoteLevel2">
    <w:name w:val="Note Level 2"/>
    <w:basedOn w:val="Normal"/>
    <w:uiPriority w:val="99"/>
    <w:locked/>
    <w:rsid w:val="00D84C0F"/>
    <w:pPr>
      <w:keepNext/>
      <w:numPr>
        <w:ilvl w:val="1"/>
        <w:numId w:val="11"/>
      </w:numPr>
      <w:ind w:firstLine="164"/>
      <w:contextualSpacing/>
      <w:outlineLvl w:val="1"/>
    </w:pPr>
  </w:style>
  <w:style w:type="paragraph" w:customStyle="1" w:styleId="NoteLevel3">
    <w:name w:val="Note Level 3"/>
    <w:basedOn w:val="Normal"/>
    <w:uiPriority w:val="99"/>
    <w:locked/>
    <w:rsid w:val="00D84C0F"/>
    <w:pPr>
      <w:keepNext/>
      <w:numPr>
        <w:ilvl w:val="2"/>
        <w:numId w:val="11"/>
      </w:numPr>
      <w:ind w:firstLine="164"/>
      <w:contextualSpacing/>
      <w:outlineLvl w:val="2"/>
    </w:pPr>
  </w:style>
  <w:style w:type="paragraph" w:customStyle="1" w:styleId="NoteLevel4">
    <w:name w:val="Note Level 4"/>
    <w:basedOn w:val="Normal"/>
    <w:uiPriority w:val="99"/>
    <w:locked/>
    <w:rsid w:val="00D84C0F"/>
    <w:pPr>
      <w:keepNext/>
      <w:numPr>
        <w:ilvl w:val="3"/>
        <w:numId w:val="11"/>
      </w:numPr>
      <w:ind w:firstLine="164"/>
      <w:contextualSpacing/>
      <w:outlineLvl w:val="3"/>
    </w:pPr>
  </w:style>
  <w:style w:type="paragraph" w:customStyle="1" w:styleId="NoteLevel5">
    <w:name w:val="Note Level 5"/>
    <w:basedOn w:val="Normal"/>
    <w:uiPriority w:val="99"/>
    <w:locked/>
    <w:rsid w:val="00D84C0F"/>
    <w:pPr>
      <w:keepNext/>
      <w:numPr>
        <w:ilvl w:val="4"/>
        <w:numId w:val="11"/>
      </w:numPr>
      <w:ind w:left="1985" w:firstLine="164"/>
      <w:contextualSpacing/>
      <w:outlineLvl w:val="4"/>
    </w:pPr>
  </w:style>
  <w:style w:type="paragraph" w:customStyle="1" w:styleId="NoteLevel6">
    <w:name w:val="Note Level 6"/>
    <w:basedOn w:val="Normal"/>
    <w:uiPriority w:val="99"/>
    <w:locked/>
    <w:rsid w:val="00D84C0F"/>
    <w:pPr>
      <w:keepNext/>
      <w:numPr>
        <w:ilvl w:val="5"/>
        <w:numId w:val="11"/>
      </w:numPr>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contextualSpacing/>
      <w:outlineLvl w:val="7"/>
    </w:p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NoteLevel9">
    <w:name w:val="Note Level 9"/>
    <w:basedOn w:val="Normal"/>
    <w:uiPriority w:val="99"/>
    <w:locked/>
    <w:rsid w:val="00D84C0F"/>
    <w:pPr>
      <w:keepNext/>
      <w:numPr>
        <w:ilvl w:val="8"/>
        <w:numId w:val="11"/>
      </w:numPr>
      <w:contextualSpacing/>
      <w:outlineLvl w:val="8"/>
    </w:p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locked/>
    <w:rsid w:val="00927DEE"/>
    <w:rPr>
      <w:color w:val="0000FF"/>
      <w:u w:val="single"/>
    </w:rPr>
  </w:style>
  <w:style w:type="paragraph" w:styleId="ListBullet">
    <w:name w:val="List Bullet"/>
    <w:basedOn w:val="Normal"/>
    <w:uiPriority w:val="99"/>
    <w:unhideWhenUsed/>
    <w:locked/>
    <w:rsid w:val="00E14E0C"/>
    <w:pPr>
      <w:numPr>
        <w:numId w:val="27"/>
      </w:numPr>
    </w:pPr>
    <w:rPr>
      <w:rFonts w:eastAsiaTheme="minorHAnsi" w:cstheme="minorBidi"/>
      <w:szCs w:val="22"/>
      <w:lang w:val="en-AU"/>
    </w:rPr>
  </w:style>
  <w:style w:type="paragraph" w:styleId="ListBullet2">
    <w:name w:val="List Bullet 2"/>
    <w:basedOn w:val="Normal"/>
    <w:uiPriority w:val="99"/>
    <w:unhideWhenUsed/>
    <w:locked/>
    <w:rsid w:val="00927DEE"/>
    <w:pPr>
      <w:spacing w:before="60"/>
      <w:ind w:left="568" w:hanging="284"/>
    </w:pPr>
    <w:rPr>
      <w:rFonts w:ascii="Candara" w:eastAsiaTheme="minorHAnsi" w:hAnsi="Candara" w:cstheme="minorBidi"/>
      <w:szCs w:val="22"/>
      <w:lang w:val="en-AU"/>
    </w:rPr>
  </w:style>
  <w:style w:type="table" w:styleId="LightList-Accent3">
    <w:name w:val="Light List Accent 3"/>
    <w:basedOn w:val="TableNormal"/>
    <w:uiPriority w:val="61"/>
    <w:locked/>
    <w:rsid w:val="00927DEE"/>
    <w:rPr>
      <w:rFonts w:eastAsiaTheme="minorHAnsi"/>
      <w:sz w:val="22"/>
      <w:szCs w:val="22"/>
      <w:lang w:val="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FollowedHyperlink">
    <w:name w:val="FollowedHyperlink"/>
    <w:basedOn w:val="DefaultParagraphFont"/>
    <w:locked/>
    <w:rsid w:val="0051778F"/>
    <w:rPr>
      <w:color w:val="0000FF"/>
      <w:u w:val="single"/>
    </w:rPr>
  </w:style>
  <w:style w:type="paragraph" w:styleId="ListContinue">
    <w:name w:val="List Continue"/>
    <w:basedOn w:val="Normal"/>
    <w:uiPriority w:val="99"/>
    <w:unhideWhenUsed/>
    <w:locked/>
    <w:rsid w:val="0051778F"/>
    <w:pPr>
      <w:ind w:left="284"/>
    </w:pPr>
    <w:rPr>
      <w:rFonts w:ascii="Candara" w:eastAsiaTheme="minorHAnsi" w:hAnsi="Candara" w:cstheme="minorBidi"/>
      <w:szCs w:val="22"/>
      <w:lang w:val="en-AU"/>
    </w:rPr>
  </w:style>
  <w:style w:type="paragraph" w:styleId="BodyText">
    <w:name w:val="Body Text"/>
    <w:basedOn w:val="Normal"/>
    <w:link w:val="BodyTextChar"/>
    <w:uiPriority w:val="99"/>
    <w:unhideWhenUsed/>
    <w:locked/>
    <w:rsid w:val="0051778F"/>
    <w:pPr>
      <w:pBdr>
        <w:top w:val="single" w:sz="2" w:space="1" w:color="F79646" w:themeColor="accent6" w:shadow="1"/>
        <w:left w:val="single" w:sz="2" w:space="4" w:color="F79646" w:themeColor="accent6" w:shadow="1"/>
        <w:bottom w:val="single" w:sz="2" w:space="1" w:color="F79646" w:themeColor="accent6" w:shadow="1"/>
        <w:right w:val="single" w:sz="2" w:space="4" w:color="F79646" w:themeColor="accent6" w:shadow="1"/>
      </w:pBdr>
      <w:ind w:left="567" w:right="567"/>
    </w:pPr>
    <w:rPr>
      <w:rFonts w:ascii="Candara" w:eastAsiaTheme="minorHAnsi" w:hAnsi="Candara" w:cstheme="minorBidi"/>
      <w:b/>
      <w:color w:val="F79646" w:themeColor="accent6"/>
      <w:sz w:val="24"/>
      <w:szCs w:val="22"/>
      <w:lang w:val="en-AU"/>
    </w:rPr>
  </w:style>
  <w:style w:type="character" w:customStyle="1" w:styleId="BodyTextChar">
    <w:name w:val="Body Text Char"/>
    <w:basedOn w:val="DefaultParagraphFont"/>
    <w:link w:val="BodyText"/>
    <w:uiPriority w:val="99"/>
    <w:rsid w:val="0051778F"/>
    <w:rPr>
      <w:rFonts w:ascii="Candara" w:eastAsiaTheme="minorHAnsi" w:hAnsi="Candara"/>
      <w:b/>
      <w:color w:val="F79646" w:themeColor="accent6"/>
      <w:szCs w:val="22"/>
      <w:lang w:val="en-AU"/>
    </w:rPr>
  </w:style>
  <w:style w:type="paragraph" w:styleId="BodyText2">
    <w:name w:val="Body Text 2"/>
    <w:basedOn w:val="Normal"/>
    <w:link w:val="BodyText2Char"/>
    <w:uiPriority w:val="99"/>
    <w:unhideWhenUsed/>
    <w:locked/>
    <w:rsid w:val="0051778F"/>
    <w:pPr>
      <w:pBdr>
        <w:top w:val="single" w:sz="2" w:space="1" w:color="F79646" w:themeColor="accent6" w:shadow="1"/>
        <w:left w:val="single" w:sz="2" w:space="4" w:color="F79646" w:themeColor="accent6" w:shadow="1"/>
        <w:bottom w:val="single" w:sz="2" w:space="1" w:color="F79646" w:themeColor="accent6" w:shadow="1"/>
        <w:right w:val="single" w:sz="2" w:space="4" w:color="F79646" w:themeColor="accent6" w:shadow="1"/>
      </w:pBdr>
      <w:ind w:left="567" w:right="567"/>
    </w:pPr>
    <w:rPr>
      <w:rFonts w:ascii="Candara" w:eastAsiaTheme="minorHAnsi" w:hAnsi="Candara" w:cstheme="minorBidi"/>
      <w:szCs w:val="22"/>
      <w:lang w:val="en-AU"/>
    </w:rPr>
  </w:style>
  <w:style w:type="character" w:customStyle="1" w:styleId="BodyText2Char">
    <w:name w:val="Body Text 2 Char"/>
    <w:basedOn w:val="DefaultParagraphFont"/>
    <w:link w:val="BodyText2"/>
    <w:uiPriority w:val="99"/>
    <w:rsid w:val="0051778F"/>
    <w:rPr>
      <w:rFonts w:ascii="Candara" w:eastAsiaTheme="minorHAnsi" w:hAnsi="Candara"/>
      <w:sz w:val="22"/>
      <w:szCs w:val="22"/>
      <w:lang w:val="en-AU"/>
    </w:rPr>
  </w:style>
  <w:style w:type="paragraph" w:styleId="NoSpacing">
    <w:name w:val="No Spacing"/>
    <w:uiPriority w:val="1"/>
    <w:qFormat/>
    <w:locked/>
    <w:rsid w:val="0051778F"/>
    <w:rPr>
      <w:rFonts w:ascii="Candara" w:eastAsiaTheme="minorHAnsi" w:hAnsi="Candara"/>
      <w:sz w:val="22"/>
      <w:szCs w:val="22"/>
      <w:lang w:val="en-AU"/>
    </w:rPr>
  </w:style>
  <w:style w:type="table" w:customStyle="1" w:styleId="GridTable6Colorful1">
    <w:name w:val="Grid Table 6 Colorful1"/>
    <w:basedOn w:val="TableNormal"/>
    <w:uiPriority w:val="51"/>
    <w:locked/>
    <w:rsid w:val="0051778F"/>
    <w:rPr>
      <w:rFonts w:eastAsiaTheme="minorHAnsi"/>
      <w:color w:val="000000" w:themeColor="text1"/>
      <w:sz w:val="22"/>
      <w:szCs w:val="22"/>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locked/>
    <w:rsid w:val="00443FF4"/>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43FF4"/>
    <w:rPr>
      <w:rFonts w:ascii="Segoe UI" w:hAnsi="Segoe UI" w:cs="Segoe UI"/>
      <w:sz w:val="18"/>
      <w:szCs w:val="18"/>
    </w:rPr>
  </w:style>
  <w:style w:type="paragraph" w:customStyle="1" w:styleId="Default">
    <w:name w:val="Default"/>
    <w:rsid w:val="00232805"/>
    <w:pPr>
      <w:autoSpaceDE w:val="0"/>
      <w:autoSpaceDN w:val="0"/>
      <w:adjustRightInd w:val="0"/>
    </w:pPr>
    <w:rPr>
      <w:rFonts w:ascii="Times New Roman" w:hAnsi="Times New Roman" w:cs="Times New Roman"/>
      <w:color w:val="000000"/>
      <w:lang w:val="en-AU"/>
    </w:rPr>
  </w:style>
  <w:style w:type="character" w:styleId="CommentReference">
    <w:name w:val="annotation reference"/>
    <w:basedOn w:val="DefaultParagraphFont"/>
    <w:uiPriority w:val="99"/>
    <w:semiHidden/>
    <w:unhideWhenUsed/>
    <w:locked/>
    <w:rsid w:val="00B617F9"/>
    <w:rPr>
      <w:sz w:val="16"/>
      <w:szCs w:val="16"/>
    </w:rPr>
  </w:style>
  <w:style w:type="paragraph" w:styleId="CommentText">
    <w:name w:val="annotation text"/>
    <w:basedOn w:val="Normal"/>
    <w:link w:val="CommentTextChar"/>
    <w:uiPriority w:val="99"/>
    <w:semiHidden/>
    <w:unhideWhenUsed/>
    <w:locked/>
    <w:rsid w:val="00B617F9"/>
    <w:pPr>
      <w:spacing w:line="240" w:lineRule="auto"/>
    </w:pPr>
    <w:rPr>
      <w:sz w:val="20"/>
      <w:szCs w:val="20"/>
    </w:rPr>
  </w:style>
  <w:style w:type="character" w:customStyle="1" w:styleId="CommentTextChar">
    <w:name w:val="Comment Text Char"/>
    <w:basedOn w:val="DefaultParagraphFont"/>
    <w:link w:val="CommentText"/>
    <w:uiPriority w:val="99"/>
    <w:semiHidden/>
    <w:rsid w:val="00B617F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locked/>
    <w:rsid w:val="00B617F9"/>
    <w:rPr>
      <w:b/>
      <w:bCs/>
    </w:rPr>
  </w:style>
  <w:style w:type="character" w:customStyle="1" w:styleId="CommentSubjectChar">
    <w:name w:val="Comment Subject Char"/>
    <w:basedOn w:val="CommentTextChar"/>
    <w:link w:val="CommentSubject"/>
    <w:uiPriority w:val="99"/>
    <w:semiHidden/>
    <w:rsid w:val="00B617F9"/>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cation.vic.gov.au/school/teachers/management/finance/Pages/guidelines.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gate.eduweb.vic.gov.au/edulibrary/Schools/Forms/AllItems.aspx?RootFolder=%2fedulibrary%2fSchools%2fCASES21%2fCASES21%20Finance%2fFinance%20Business%20Process%20Guide&amp;FolderCTID=&amp;View=%7b393E28AF%2d9188%2d49EC%2d9B2F%2d5B1CA6BF217D%7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vic.gov.au/Documents/school/teachers/management/&#8226;%09http:/www.education.vic.gov.au/school/teachers/management/finance/Pages/guidelines.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cation.vic.gov.au/school/principals/spag/Pages/spag.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Finance manual for Victorian Government Schools</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36E9B8-33D9-498F-9C04-39D9D785362E}"/>
</file>

<file path=customXml/itemProps2.xml><?xml version="1.0" encoding="utf-8"?>
<ds:datastoreItem xmlns:ds="http://schemas.openxmlformats.org/officeDocument/2006/customXml" ds:itemID="{42BA66E8-BEDF-4CC9-A9D0-A0D341F95659}"/>
</file>

<file path=customXml/itemProps3.xml><?xml version="1.0" encoding="utf-8"?>
<ds:datastoreItem xmlns:ds="http://schemas.openxmlformats.org/officeDocument/2006/customXml" ds:itemID="{A11081E9-3CD3-4F5B-803C-61E34248A148}"/>
</file>

<file path=customXml/itemProps4.xml><?xml version="1.0" encoding="utf-8"?>
<ds:datastoreItem xmlns:ds="http://schemas.openxmlformats.org/officeDocument/2006/customXml" ds:itemID="{98565FB6-8132-4C56-9868-B5F78E752F76}"/>
</file>

<file path=docProps/app.xml><?xml version="1.0" encoding="utf-8"?>
<Properties xmlns="http://schemas.openxmlformats.org/officeDocument/2006/extended-properties" xmlns:vt="http://schemas.openxmlformats.org/officeDocument/2006/docPropsVTypes">
  <Template>Normal</Template>
  <TotalTime>3</TotalTime>
  <Pages>3</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Dori Maniatakis</dc:creator>
  <cp:lastModifiedBy>Sutherland, Lisa J</cp:lastModifiedBy>
  <cp:revision>4</cp:revision>
  <cp:lastPrinted>2019-02-01T00:56:00Z</cp:lastPrinted>
  <dcterms:created xsi:type="dcterms:W3CDTF">2019-01-25T05:39:00Z</dcterms:created>
  <dcterms:modified xsi:type="dcterms:W3CDTF">2019-02-01T00:56:00Z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