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4CAF7" w14:textId="77777777" w:rsidR="00927DEE" w:rsidRPr="00681347" w:rsidRDefault="00DD7D45" w:rsidP="00681347">
      <w:pPr>
        <w:pStyle w:val="Heading1"/>
      </w:pPr>
      <w:bookmarkStart w:id="0" w:name="_Toc455499267"/>
      <w:bookmarkStart w:id="1" w:name="_Toc455499461"/>
      <w:bookmarkStart w:id="2" w:name="_Toc455501167"/>
      <w:bookmarkStart w:id="3" w:name="_GoBack"/>
      <w:bookmarkEnd w:id="3"/>
      <w:r w:rsidRPr="00681347">
        <w:t xml:space="preserve">Section </w:t>
      </w:r>
      <w:r w:rsidR="008F7030">
        <w:t>5</w:t>
      </w:r>
      <w:r w:rsidR="00927DEE" w:rsidRPr="00681347">
        <w:t xml:space="preserve">: </w:t>
      </w:r>
      <w:r w:rsidR="00DE24F9">
        <w:t>School Council</w:t>
      </w:r>
      <w:r w:rsidR="008F7030">
        <w:t xml:space="preserve"> Financial Assurance Program</w:t>
      </w:r>
    </w:p>
    <w:p w14:paraId="3B4B2F63" w14:textId="77777777" w:rsidR="00927DEE" w:rsidRPr="00681347" w:rsidRDefault="008F7030" w:rsidP="00681347">
      <w:pPr>
        <w:pStyle w:val="Heading2"/>
      </w:pPr>
      <w:r>
        <w:t>5.1</w:t>
      </w:r>
      <w:r w:rsidR="00927DEE" w:rsidRPr="00681347">
        <w:t xml:space="preserve"> </w:t>
      </w:r>
      <w:r w:rsidR="00105B4D">
        <w:tab/>
      </w:r>
      <w:r w:rsidR="00927DEE" w:rsidRPr="00681347">
        <w:t>Overview</w:t>
      </w:r>
    </w:p>
    <w:p w14:paraId="4E65B1A5" w14:textId="77777777" w:rsidR="008F7030" w:rsidRPr="00BA2A3B" w:rsidRDefault="008F7030" w:rsidP="00203A64">
      <w:r w:rsidRPr="00BA2A3B">
        <w:t>The School</w:t>
      </w:r>
      <w:r w:rsidR="00E64136">
        <w:t>s’</w:t>
      </w:r>
      <w:r w:rsidRPr="00BA2A3B">
        <w:t xml:space="preserve"> Financial Assurance Framework (S</w:t>
      </w:r>
      <w:r w:rsidR="00804E24">
        <w:t>FAF</w:t>
      </w:r>
      <w:r w:rsidRPr="00BA2A3B">
        <w:t xml:space="preserve">) was developed with mutual consultations between Financial Services Division (FSD) and the Assurance Branch. The </w:t>
      </w:r>
      <w:r w:rsidR="00DE24F9">
        <w:t>School Council</w:t>
      </w:r>
      <w:r w:rsidRPr="00BA2A3B">
        <w:t xml:space="preserve"> Financial Assurance (SCFA) program is part of the Department’s S</w:t>
      </w:r>
      <w:r w:rsidR="00804E24">
        <w:t>FAF</w:t>
      </w:r>
      <w:r w:rsidRPr="00BA2A3B">
        <w:t xml:space="preserve"> and covers all Victorian Government schools. </w:t>
      </w:r>
    </w:p>
    <w:p w14:paraId="2E5CE820" w14:textId="77777777" w:rsidR="005D23B8" w:rsidRDefault="008F7030" w:rsidP="00203A64">
      <w:r w:rsidRPr="00BA2A3B">
        <w:t>Under the SCFA program, the Assurance Branch conducts the Agreed-</w:t>
      </w:r>
      <w:r w:rsidR="00804E24">
        <w:t>U</w:t>
      </w:r>
      <w:r w:rsidRPr="00BA2A3B">
        <w:t>pon Procedures, Topic Audits and/or Ad-hoc audits at Victorian Government schools.</w:t>
      </w:r>
      <w:r w:rsidR="005D23B8" w:rsidRPr="00BA2A3B">
        <w:t xml:space="preserve"> </w:t>
      </w:r>
    </w:p>
    <w:p w14:paraId="3D41DDA8" w14:textId="77777777" w:rsidR="00AF4C3B" w:rsidRPr="00BA2A3B" w:rsidRDefault="00804E24" w:rsidP="0002019B">
      <w:pPr>
        <w:jc w:val="both"/>
      </w:pPr>
      <w:r>
        <w:t xml:space="preserve"> </w:t>
      </w:r>
    </w:p>
    <w:p w14:paraId="22E13B31" w14:textId="77777777" w:rsidR="00927DEE" w:rsidRPr="00681347" w:rsidRDefault="008F7030" w:rsidP="00681347">
      <w:pPr>
        <w:pStyle w:val="Heading2"/>
      </w:pPr>
      <w:r>
        <w:t>5</w:t>
      </w:r>
      <w:r w:rsidR="00927DEE" w:rsidRPr="00681347">
        <w:t xml:space="preserve">.2 </w:t>
      </w:r>
      <w:r w:rsidR="00105B4D">
        <w:tab/>
      </w:r>
      <w:r>
        <w:t>Agreed</w:t>
      </w:r>
      <w:r w:rsidR="00804E24">
        <w:t>-</w:t>
      </w:r>
      <w:r>
        <w:t>Upon Procedures</w:t>
      </w:r>
    </w:p>
    <w:p w14:paraId="35A89361" w14:textId="77777777" w:rsidR="008F7030" w:rsidRPr="00FA36DB" w:rsidRDefault="008F7030" w:rsidP="008F7030">
      <w:pPr>
        <w:pStyle w:val="Heading3"/>
        <w:rPr>
          <w:szCs w:val="24"/>
          <w:lang w:val="en-US"/>
        </w:rPr>
      </w:pPr>
      <w:r w:rsidRPr="00FA36DB">
        <w:rPr>
          <w:szCs w:val="24"/>
          <w:lang w:val="en-US"/>
        </w:rPr>
        <w:t>5.2.1</w:t>
      </w:r>
      <w:r w:rsidR="00B42217">
        <w:rPr>
          <w:szCs w:val="24"/>
          <w:lang w:val="en-US"/>
        </w:rPr>
        <w:tab/>
      </w:r>
      <w:r w:rsidRPr="00FA36DB">
        <w:rPr>
          <w:szCs w:val="24"/>
          <w:lang w:val="en-US"/>
        </w:rPr>
        <w:t>Overview</w:t>
      </w:r>
    </w:p>
    <w:p w14:paraId="1F2ABC25" w14:textId="77777777" w:rsidR="008F7030" w:rsidRPr="00BA2A3B" w:rsidRDefault="008F7030" w:rsidP="00203A64">
      <w:r w:rsidRPr="00BA2A3B">
        <w:t xml:space="preserve">The Department engages external auditors to perform Agreed-Upon Procedures (AUP) in schools. The AUP program assesses application of key financial controls and tests school transactions across multiple business processes. Simultaneously, the AUP program also assesses </w:t>
      </w:r>
      <w:r w:rsidR="00BA2A3B">
        <w:t xml:space="preserve">the </w:t>
      </w:r>
      <w:r w:rsidRPr="00BA2A3B">
        <w:t xml:space="preserve">reasonableness of </w:t>
      </w:r>
      <w:r w:rsidR="00DE24F9">
        <w:t>School Council</w:t>
      </w:r>
      <w:r w:rsidRPr="00BA2A3B">
        <w:t xml:space="preserve"> Governance. </w:t>
      </w:r>
    </w:p>
    <w:p w14:paraId="45808AFE" w14:textId="77777777" w:rsidR="008F7030" w:rsidRPr="00FA36DB" w:rsidRDefault="008F7030" w:rsidP="008F7030">
      <w:pPr>
        <w:pStyle w:val="Heading3"/>
        <w:rPr>
          <w:szCs w:val="24"/>
          <w:lang w:val="en-US"/>
        </w:rPr>
      </w:pPr>
      <w:r w:rsidRPr="00FA36DB">
        <w:rPr>
          <w:szCs w:val="24"/>
          <w:lang w:val="en-US"/>
        </w:rPr>
        <w:t>5.2.2</w:t>
      </w:r>
      <w:r w:rsidR="00B42217">
        <w:rPr>
          <w:szCs w:val="24"/>
          <w:lang w:val="en-US"/>
        </w:rPr>
        <w:tab/>
      </w:r>
      <w:r w:rsidRPr="00FA36DB">
        <w:rPr>
          <w:szCs w:val="24"/>
          <w:lang w:val="en-US"/>
        </w:rPr>
        <w:t>Why perform AUP?</w:t>
      </w:r>
    </w:p>
    <w:p w14:paraId="6F610AE9" w14:textId="77777777" w:rsidR="008F7030" w:rsidRDefault="008F7030" w:rsidP="00203A64">
      <w:r>
        <w:t>The AUP approach is intended to assist the Department achieve additional assurance over financial internal controls and transactions at the school level for the purposes of consolidation into the Department’s 30 June financial accounts.</w:t>
      </w:r>
    </w:p>
    <w:p w14:paraId="78EC8846" w14:textId="77777777" w:rsidR="008F7030" w:rsidRPr="00FA36DB" w:rsidRDefault="008F7030" w:rsidP="008F7030">
      <w:pPr>
        <w:pStyle w:val="Heading3"/>
        <w:rPr>
          <w:szCs w:val="24"/>
          <w:lang w:val="en-US"/>
        </w:rPr>
      </w:pPr>
      <w:r w:rsidRPr="00FA36DB">
        <w:rPr>
          <w:szCs w:val="24"/>
          <w:lang w:val="en-US"/>
        </w:rPr>
        <w:t>5.2.3</w:t>
      </w:r>
      <w:r w:rsidR="00B42217">
        <w:rPr>
          <w:szCs w:val="24"/>
          <w:lang w:val="en-US"/>
        </w:rPr>
        <w:tab/>
      </w:r>
      <w:r w:rsidRPr="00FA36DB">
        <w:rPr>
          <w:szCs w:val="24"/>
          <w:lang w:val="en-US"/>
        </w:rPr>
        <w:t>Who is covered under the AUP program?</w:t>
      </w:r>
    </w:p>
    <w:p w14:paraId="2534DA8B" w14:textId="77777777" w:rsidR="008F7030" w:rsidRPr="00BA2A3B" w:rsidRDefault="008F7030" w:rsidP="00203A64">
      <w:r w:rsidRPr="00BA2A3B">
        <w:t xml:space="preserve">Schools are selected for the AUP program using a random sampling method after applying statistical methods to determine the sample size. </w:t>
      </w:r>
    </w:p>
    <w:p w14:paraId="77B0DCBC" w14:textId="77777777" w:rsidR="008F7030" w:rsidRPr="00BA2A3B" w:rsidRDefault="008F7030" w:rsidP="00203A64">
      <w:r w:rsidRPr="00BA2A3B">
        <w:t>Schools are notified of the</w:t>
      </w:r>
      <w:r w:rsidR="00BA2A3B">
        <w:t>ir</w:t>
      </w:r>
      <w:r w:rsidRPr="00BA2A3B">
        <w:t xml:space="preserve"> selection via the Schools’ Bulletin and fieldwork takes place throughout the year. Schools selected for the AUP program are contacted directly by the Department's contracted external audit firms to organise a suitable time for the field visit. The firms will provide information to help schools understand what is required and what they can do to prepare. The visit is anticipated to take between 2-3 days; however, the days are subject to change considering the change in procedures performed each year. The school notification for AUP selection will include anticipated fieldwork dates each year.</w:t>
      </w:r>
    </w:p>
    <w:p w14:paraId="57111B1F" w14:textId="77777777" w:rsidR="00C32422" w:rsidRDefault="00C32422">
      <w:pPr>
        <w:spacing w:before="0" w:line="240" w:lineRule="auto"/>
        <w:rPr>
          <w:szCs w:val="24"/>
        </w:rPr>
      </w:pPr>
      <w:r>
        <w:rPr>
          <w:szCs w:val="24"/>
        </w:rPr>
        <w:br w:type="page"/>
      </w:r>
    </w:p>
    <w:p w14:paraId="464A53CC" w14:textId="77777777" w:rsidR="00927DEE" w:rsidRPr="00FA36DB" w:rsidRDefault="008F7030" w:rsidP="00681347">
      <w:pPr>
        <w:pStyle w:val="Heading3"/>
        <w:rPr>
          <w:szCs w:val="24"/>
        </w:rPr>
      </w:pPr>
      <w:r w:rsidRPr="00FA36DB">
        <w:rPr>
          <w:szCs w:val="24"/>
        </w:rPr>
        <w:lastRenderedPageBreak/>
        <w:t>5</w:t>
      </w:r>
      <w:r w:rsidR="00927DEE" w:rsidRPr="00FA36DB">
        <w:rPr>
          <w:szCs w:val="24"/>
        </w:rPr>
        <w:t>.</w:t>
      </w:r>
      <w:r w:rsidRPr="00FA36DB">
        <w:rPr>
          <w:szCs w:val="24"/>
        </w:rPr>
        <w:t>2</w:t>
      </w:r>
      <w:r w:rsidR="00927DEE" w:rsidRPr="00FA36DB">
        <w:rPr>
          <w:szCs w:val="24"/>
        </w:rPr>
        <w:t>.</w:t>
      </w:r>
      <w:r w:rsidRPr="00FA36DB">
        <w:rPr>
          <w:szCs w:val="24"/>
        </w:rPr>
        <w:t>4</w:t>
      </w:r>
      <w:r w:rsidR="00B42217">
        <w:rPr>
          <w:szCs w:val="24"/>
        </w:rPr>
        <w:tab/>
      </w:r>
      <w:r w:rsidR="00927DEE" w:rsidRPr="00FA36DB">
        <w:rPr>
          <w:szCs w:val="24"/>
        </w:rPr>
        <w:t>Mandatory policy (</w:t>
      </w:r>
      <w:r w:rsidRPr="00FA36DB">
        <w:rPr>
          <w:szCs w:val="24"/>
        </w:rPr>
        <w:t>Must do</w:t>
      </w:r>
      <w:r w:rsidR="00927DEE" w:rsidRPr="00FA36DB">
        <w:rPr>
          <w:szCs w:val="24"/>
        </w:rPr>
        <w:t>)</w:t>
      </w:r>
      <w:r w:rsidR="00B31802" w:rsidRPr="00FA36DB">
        <w:rPr>
          <w:szCs w:val="24"/>
        </w:rPr>
        <w:t>:</w:t>
      </w:r>
    </w:p>
    <w:tbl>
      <w:tblPr>
        <w:tblStyle w:val="TableGrid"/>
        <w:tblW w:w="9067" w:type="dxa"/>
        <w:tblLayout w:type="fixed"/>
        <w:tblLook w:val="04A0" w:firstRow="1" w:lastRow="0" w:firstColumn="1" w:lastColumn="0" w:noHBand="0" w:noVBand="1"/>
        <w:tblDescription w:val="scenario numbers and policy information"/>
      </w:tblPr>
      <w:tblGrid>
        <w:gridCol w:w="1134"/>
        <w:gridCol w:w="7083"/>
        <w:gridCol w:w="850"/>
      </w:tblGrid>
      <w:tr w:rsidR="005A0B5B" w:rsidRPr="00BB652D" w14:paraId="5266D707" w14:textId="65946857" w:rsidTr="005A0B5B">
        <w:trPr>
          <w:trHeight w:hRule="exact" w:val="763"/>
          <w:tblHeader/>
        </w:trPr>
        <w:tc>
          <w:tcPr>
            <w:tcW w:w="1134" w:type="dxa"/>
          </w:tcPr>
          <w:p w14:paraId="194B4652" w14:textId="04CBF66C" w:rsidR="005A0B5B" w:rsidRPr="00945D0E" w:rsidRDefault="005A0B5B" w:rsidP="00945D0E">
            <w:pPr>
              <w:rPr>
                <w:b/>
                <w:sz w:val="18"/>
              </w:rPr>
            </w:pPr>
            <w:r w:rsidRPr="00945D0E">
              <w:rPr>
                <w:b/>
                <w:sz w:val="18"/>
              </w:rPr>
              <w:t>Sequence Number</w:t>
            </w:r>
          </w:p>
        </w:tc>
        <w:tc>
          <w:tcPr>
            <w:tcW w:w="7083" w:type="dxa"/>
          </w:tcPr>
          <w:p w14:paraId="77D57142" w14:textId="1FB94283" w:rsidR="005A0B5B" w:rsidRPr="00945D0E" w:rsidRDefault="005A0B5B" w:rsidP="00945D0E">
            <w:pPr>
              <w:rPr>
                <w:b/>
                <w:sz w:val="18"/>
              </w:rPr>
            </w:pPr>
            <w:r w:rsidRPr="00945D0E">
              <w:rPr>
                <w:b/>
                <w:sz w:val="18"/>
              </w:rPr>
              <w:t>Information</w:t>
            </w:r>
          </w:p>
        </w:tc>
        <w:tc>
          <w:tcPr>
            <w:tcW w:w="850" w:type="dxa"/>
          </w:tcPr>
          <w:p w14:paraId="0973B471" w14:textId="77777777" w:rsidR="005A0B5B" w:rsidRPr="00945D0E" w:rsidRDefault="005A0B5B" w:rsidP="00945D0E">
            <w:pPr>
              <w:rPr>
                <w:b/>
                <w:sz w:val="18"/>
              </w:rPr>
            </w:pPr>
          </w:p>
        </w:tc>
      </w:tr>
      <w:tr w:rsidR="005A0B5B" w:rsidRPr="00BB652D" w14:paraId="206A77F8" w14:textId="36DDF691" w:rsidTr="005A0B5B">
        <w:trPr>
          <w:trHeight w:hRule="exact" w:val="1021"/>
          <w:tblHeader/>
        </w:trPr>
        <w:tc>
          <w:tcPr>
            <w:tcW w:w="1134" w:type="dxa"/>
          </w:tcPr>
          <w:p w14:paraId="2C7D834A" w14:textId="77777777" w:rsidR="005A0B5B" w:rsidRPr="00BB652D" w:rsidRDefault="005A0B5B" w:rsidP="009E3CC1">
            <w:r w:rsidRPr="00BB652D">
              <w:t>5.2.4.1</w:t>
            </w:r>
          </w:p>
        </w:tc>
        <w:tc>
          <w:tcPr>
            <w:tcW w:w="7083" w:type="dxa"/>
          </w:tcPr>
          <w:p w14:paraId="662280FA" w14:textId="77777777" w:rsidR="005A0B5B" w:rsidRPr="00BB652D" w:rsidRDefault="005A0B5B" w:rsidP="009E3CC1">
            <w:r w:rsidRPr="00BB652D">
              <w:t xml:space="preserve">Participation in the SCFA program will not preclude schools from other audits. However, the number of times each school is audited each year will be kept to a minimum. </w:t>
            </w:r>
          </w:p>
        </w:tc>
        <w:tc>
          <w:tcPr>
            <w:tcW w:w="850" w:type="dxa"/>
          </w:tcPr>
          <w:p w14:paraId="7C48F642" w14:textId="77777777" w:rsidR="005A0B5B" w:rsidRPr="00BB652D" w:rsidRDefault="005A0B5B" w:rsidP="009E3CC1"/>
        </w:tc>
      </w:tr>
      <w:tr w:rsidR="005A0B5B" w:rsidRPr="00BB652D" w14:paraId="146F2609" w14:textId="161C3D29" w:rsidTr="005A0B5B">
        <w:tc>
          <w:tcPr>
            <w:tcW w:w="1134" w:type="dxa"/>
          </w:tcPr>
          <w:p w14:paraId="2F8937F7" w14:textId="77777777" w:rsidR="005A0B5B" w:rsidRPr="00BB652D" w:rsidRDefault="005A0B5B" w:rsidP="009E3CC1">
            <w:r w:rsidRPr="00BB652D">
              <w:t>5.2.4.2</w:t>
            </w:r>
          </w:p>
        </w:tc>
        <w:tc>
          <w:tcPr>
            <w:tcW w:w="7083" w:type="dxa"/>
          </w:tcPr>
          <w:p w14:paraId="3E34D486" w14:textId="77777777" w:rsidR="005A0B5B" w:rsidRDefault="005A0B5B" w:rsidP="009E3CC1">
            <w:r w:rsidRPr="00BB652D">
              <w:t xml:space="preserve">The AUP program: </w:t>
            </w:r>
          </w:p>
          <w:p w14:paraId="0BC9F1B3" w14:textId="77777777" w:rsidR="005A0B5B" w:rsidRPr="000B114D" w:rsidRDefault="005A0B5B" w:rsidP="009E3CC1">
            <w:pPr>
              <w:pStyle w:val="NoSpacing"/>
              <w:numPr>
                <w:ilvl w:val="0"/>
                <w:numId w:val="37"/>
              </w:numPr>
              <w:spacing w:line="276" w:lineRule="auto"/>
              <w:rPr>
                <w:rFonts w:ascii="Arial" w:hAnsi="Arial" w:cs="Arial"/>
              </w:rPr>
            </w:pPr>
            <w:r w:rsidRPr="000B114D">
              <w:rPr>
                <w:rFonts w:ascii="Arial" w:hAnsi="Arial" w:cs="Arial"/>
              </w:rPr>
              <w:t>assesses key transactional level and entity level financial controls</w:t>
            </w:r>
            <w:r>
              <w:rPr>
                <w:rFonts w:ascii="Arial" w:hAnsi="Arial" w:cs="Arial"/>
              </w:rPr>
              <w:t>;</w:t>
            </w:r>
          </w:p>
          <w:p w14:paraId="5D4A0B69" w14:textId="77777777" w:rsidR="005A0B5B" w:rsidRPr="000B114D" w:rsidRDefault="005A0B5B" w:rsidP="009E3CC1">
            <w:pPr>
              <w:pStyle w:val="NoSpacing"/>
              <w:numPr>
                <w:ilvl w:val="0"/>
                <w:numId w:val="37"/>
              </w:numPr>
              <w:spacing w:line="276" w:lineRule="auto"/>
              <w:rPr>
                <w:rFonts w:ascii="Arial" w:hAnsi="Arial" w:cs="Arial"/>
              </w:rPr>
            </w:pPr>
            <w:r w:rsidRPr="000B114D">
              <w:rPr>
                <w:rFonts w:ascii="Arial" w:hAnsi="Arial" w:cs="Arial"/>
              </w:rPr>
              <w:t>tests school transactions that impact the financial statement line items at the department level</w:t>
            </w:r>
            <w:r>
              <w:rPr>
                <w:rFonts w:ascii="Arial" w:hAnsi="Arial" w:cs="Arial"/>
              </w:rPr>
              <w:t>;</w:t>
            </w:r>
          </w:p>
          <w:p w14:paraId="7CA49B80" w14:textId="77777777" w:rsidR="005A0B5B" w:rsidRPr="000B114D" w:rsidRDefault="005A0B5B" w:rsidP="009E3CC1">
            <w:pPr>
              <w:pStyle w:val="NoSpacing"/>
              <w:numPr>
                <w:ilvl w:val="0"/>
                <w:numId w:val="37"/>
              </w:numPr>
              <w:spacing w:line="276" w:lineRule="auto"/>
              <w:rPr>
                <w:rFonts w:ascii="Arial" w:hAnsi="Arial" w:cs="Arial"/>
              </w:rPr>
            </w:pPr>
            <w:r w:rsidRPr="000B114D">
              <w:rPr>
                <w:rFonts w:ascii="Arial" w:hAnsi="Arial" w:cs="Arial"/>
              </w:rPr>
              <w:t xml:space="preserve">assesses involvement of </w:t>
            </w:r>
            <w:r>
              <w:rPr>
                <w:rFonts w:ascii="Arial" w:hAnsi="Arial" w:cs="Arial"/>
              </w:rPr>
              <w:t>school council</w:t>
            </w:r>
            <w:r w:rsidRPr="000B114D">
              <w:rPr>
                <w:rFonts w:ascii="Arial" w:hAnsi="Arial" w:cs="Arial"/>
              </w:rPr>
              <w:t>s in school financial affairs</w:t>
            </w:r>
            <w:r>
              <w:rPr>
                <w:rFonts w:ascii="Arial" w:hAnsi="Arial" w:cs="Arial"/>
              </w:rPr>
              <w:t>;</w:t>
            </w:r>
          </w:p>
          <w:p w14:paraId="51EE6DF7" w14:textId="77777777" w:rsidR="005A0B5B" w:rsidRPr="00BB652D" w:rsidRDefault="005A0B5B" w:rsidP="009E3CC1">
            <w:pPr>
              <w:pStyle w:val="NoSpacing"/>
              <w:numPr>
                <w:ilvl w:val="0"/>
                <w:numId w:val="37"/>
              </w:numPr>
              <w:spacing w:line="276" w:lineRule="auto"/>
            </w:pPr>
            <w:proofErr w:type="gramStart"/>
            <w:r w:rsidRPr="000B114D">
              <w:rPr>
                <w:rFonts w:ascii="Arial" w:hAnsi="Arial" w:cs="Arial"/>
              </w:rPr>
              <w:t>assesses</w:t>
            </w:r>
            <w:proofErr w:type="gramEnd"/>
            <w:r w:rsidRPr="000B114D">
              <w:rPr>
                <w:rFonts w:ascii="Arial" w:hAnsi="Arial" w:cs="Arial"/>
              </w:rPr>
              <w:t xml:space="preserve"> school compliance with Department policies and procedures</w:t>
            </w:r>
            <w:r>
              <w:rPr>
                <w:rFonts w:ascii="Arial" w:hAnsi="Arial" w:cs="Arial"/>
              </w:rPr>
              <w:t>.</w:t>
            </w:r>
          </w:p>
        </w:tc>
        <w:tc>
          <w:tcPr>
            <w:tcW w:w="850" w:type="dxa"/>
          </w:tcPr>
          <w:p w14:paraId="5463190C" w14:textId="77777777" w:rsidR="005A0B5B" w:rsidRPr="00BB652D" w:rsidRDefault="005A0B5B" w:rsidP="009E3CC1"/>
        </w:tc>
      </w:tr>
    </w:tbl>
    <w:bookmarkEnd w:id="0"/>
    <w:bookmarkEnd w:id="1"/>
    <w:bookmarkEnd w:id="2"/>
    <w:p w14:paraId="0712EF6E" w14:textId="77777777" w:rsidR="008F7030" w:rsidRPr="00DD4387" w:rsidRDefault="008F7030" w:rsidP="00DD4387">
      <w:r w:rsidRPr="00DD4387">
        <w:t>Business cycles and/or processes generally covered under the AUP program are:</w:t>
      </w:r>
    </w:p>
    <w:p w14:paraId="7C77FF5C" w14:textId="77777777" w:rsidR="008F7030" w:rsidRPr="00DD4387" w:rsidRDefault="008F7030" w:rsidP="00DD4387">
      <w:pPr>
        <w:pStyle w:val="ListBullet"/>
      </w:pPr>
      <w:r w:rsidRPr="00DD4387">
        <w:t>locally raised funds</w:t>
      </w:r>
      <w:r w:rsidR="00C97522">
        <w:t>;</w:t>
      </w:r>
    </w:p>
    <w:p w14:paraId="228C79AA" w14:textId="77777777" w:rsidR="008F7030" w:rsidRPr="00DD4387" w:rsidRDefault="00DE24F9" w:rsidP="00DD4387">
      <w:pPr>
        <w:pStyle w:val="ListBullet"/>
      </w:pPr>
      <w:r>
        <w:t>school council</w:t>
      </w:r>
      <w:r w:rsidR="008F7030" w:rsidRPr="00DD4387">
        <w:t xml:space="preserve"> governance</w:t>
      </w:r>
      <w:r w:rsidR="00C97522">
        <w:t>;</w:t>
      </w:r>
    </w:p>
    <w:p w14:paraId="02243160" w14:textId="77777777" w:rsidR="008F7030" w:rsidRPr="00DD4387" w:rsidRDefault="008F7030" w:rsidP="00DD4387">
      <w:pPr>
        <w:pStyle w:val="ListBullet"/>
      </w:pPr>
      <w:r w:rsidRPr="00DD4387">
        <w:t>expenditure and accruals</w:t>
      </w:r>
      <w:r w:rsidR="00C97522">
        <w:t>;</w:t>
      </w:r>
    </w:p>
    <w:p w14:paraId="4186CF58" w14:textId="77777777" w:rsidR="008F7030" w:rsidRPr="00DD4387" w:rsidRDefault="008F7030" w:rsidP="00DD4387">
      <w:pPr>
        <w:pStyle w:val="ListBullet"/>
      </w:pPr>
      <w:r w:rsidRPr="00DD4387">
        <w:t>payroll</w:t>
      </w:r>
      <w:r w:rsidR="00C97522">
        <w:t>;</w:t>
      </w:r>
    </w:p>
    <w:p w14:paraId="6BCD47E6" w14:textId="77777777" w:rsidR="008F7030" w:rsidRPr="00DD4387" w:rsidRDefault="008F7030" w:rsidP="00DD4387">
      <w:pPr>
        <w:pStyle w:val="ListBullet"/>
      </w:pPr>
      <w:r w:rsidRPr="00DD4387">
        <w:t>cash and bank</w:t>
      </w:r>
      <w:r w:rsidR="00C97522">
        <w:t>;</w:t>
      </w:r>
    </w:p>
    <w:p w14:paraId="3D4C26BC" w14:textId="77777777" w:rsidR="008F7030" w:rsidRPr="00DD4387" w:rsidRDefault="008F7030" w:rsidP="00DD4387">
      <w:pPr>
        <w:pStyle w:val="ListBullet"/>
      </w:pPr>
      <w:proofErr w:type="gramStart"/>
      <w:r w:rsidRPr="00DD4387">
        <w:t>fixed</w:t>
      </w:r>
      <w:proofErr w:type="gramEnd"/>
      <w:r w:rsidRPr="00DD4387">
        <w:t xml:space="preserve"> assets</w:t>
      </w:r>
      <w:r w:rsidR="00C97522">
        <w:t>.</w:t>
      </w:r>
    </w:p>
    <w:p w14:paraId="2D76CE98" w14:textId="77777777" w:rsidR="008F7030" w:rsidRPr="008F7030" w:rsidRDefault="008F7030" w:rsidP="008F7030">
      <w:pPr>
        <w:pStyle w:val="Heading3"/>
        <w:rPr>
          <w:lang w:val="en-US"/>
        </w:rPr>
      </w:pPr>
      <w:r>
        <w:rPr>
          <w:lang w:val="en-US"/>
        </w:rPr>
        <w:t>5.2.</w:t>
      </w:r>
      <w:r w:rsidR="00FA36DB">
        <w:rPr>
          <w:lang w:val="en-US"/>
        </w:rPr>
        <w:t>5</w:t>
      </w:r>
      <w:r w:rsidR="00B42217">
        <w:rPr>
          <w:lang w:val="en-US"/>
        </w:rPr>
        <w:tab/>
      </w:r>
      <w:r>
        <w:rPr>
          <w:lang w:val="en-US"/>
        </w:rPr>
        <w:t>How does AUP reporting work</w:t>
      </w:r>
      <w:r w:rsidRPr="008F7030">
        <w:rPr>
          <w:lang w:val="en-US"/>
        </w:rPr>
        <w:t>?</w:t>
      </w:r>
    </w:p>
    <w:p w14:paraId="41E05DF5" w14:textId="77777777" w:rsidR="008F7030" w:rsidRPr="00DD4387" w:rsidRDefault="008F7030" w:rsidP="00203A64">
      <w:r w:rsidRPr="00DD4387">
        <w:t xml:space="preserve">The AUP report to schools includes factual findings resulting from each procedure. </w:t>
      </w:r>
    </w:p>
    <w:p w14:paraId="57815772" w14:textId="77777777" w:rsidR="008F7030" w:rsidRPr="00DD4387" w:rsidRDefault="008F7030" w:rsidP="00203A64">
      <w:r w:rsidRPr="00DD4387">
        <w:t xml:space="preserve">Schools are requested to comment on the factual accuracy of the findings and suggested actions to rectify the findings in the final report. </w:t>
      </w:r>
    </w:p>
    <w:p w14:paraId="18048948" w14:textId="77777777" w:rsidR="008F7030" w:rsidRPr="00DD4387" w:rsidRDefault="008F7030" w:rsidP="00203A64">
      <w:r w:rsidRPr="00DD4387">
        <w:t xml:space="preserve">Findings from individual schools are compiled by the Assurance Branch and assessed for potential impacts at the Departmental level. A collective assessment for each individual procedure is performed to ensure consistency in risk ratings across all schools. </w:t>
      </w:r>
    </w:p>
    <w:p w14:paraId="011352F8" w14:textId="77777777" w:rsidR="008F7030" w:rsidRPr="00DD4387" w:rsidRDefault="008F7030" w:rsidP="00203A64">
      <w:r w:rsidRPr="00DD4387">
        <w:t>Based on overall risk ratings</w:t>
      </w:r>
      <w:r w:rsidR="00DD4387">
        <w:t>,</w:t>
      </w:r>
      <w:r w:rsidRPr="00DD4387">
        <w:t xml:space="preserve"> each school is categorised into one of the following categories:</w:t>
      </w:r>
    </w:p>
    <w:p w14:paraId="5D62B654" w14:textId="77777777" w:rsidR="008F7030" w:rsidRPr="00DD4387" w:rsidRDefault="008F7030" w:rsidP="0002019B">
      <w:pPr>
        <w:pStyle w:val="ListBullet"/>
        <w:spacing w:line="276" w:lineRule="auto"/>
      </w:pPr>
      <w:r w:rsidRPr="00DD4387">
        <w:t>good</w:t>
      </w:r>
      <w:r w:rsidR="00DE24F9">
        <w:t>;</w:t>
      </w:r>
    </w:p>
    <w:p w14:paraId="2EF9A43C" w14:textId="77777777" w:rsidR="008F7030" w:rsidRPr="00DD4387" w:rsidRDefault="008F7030" w:rsidP="0002019B">
      <w:pPr>
        <w:pStyle w:val="ListBullet"/>
        <w:spacing w:line="276" w:lineRule="auto"/>
      </w:pPr>
      <w:r w:rsidRPr="00DD4387">
        <w:t>acceptable</w:t>
      </w:r>
      <w:r w:rsidR="00DE24F9">
        <w:t>;</w:t>
      </w:r>
    </w:p>
    <w:p w14:paraId="3A1E706F" w14:textId="77777777" w:rsidR="008F7030" w:rsidRPr="00DD4387" w:rsidRDefault="008F7030" w:rsidP="0002019B">
      <w:pPr>
        <w:pStyle w:val="ListBullet"/>
        <w:spacing w:line="276" w:lineRule="auto"/>
      </w:pPr>
      <w:r w:rsidRPr="00DD4387">
        <w:t>needs impr</w:t>
      </w:r>
      <w:r w:rsidR="00DE24F9">
        <w:t>o</w:t>
      </w:r>
      <w:r w:rsidRPr="00DD4387">
        <w:t>vement</w:t>
      </w:r>
      <w:r w:rsidR="00DE24F9">
        <w:t>;</w:t>
      </w:r>
    </w:p>
    <w:p w14:paraId="3CCC159C" w14:textId="77777777" w:rsidR="008F7030" w:rsidRPr="00DD4387" w:rsidRDefault="008F7030" w:rsidP="0002019B">
      <w:pPr>
        <w:pStyle w:val="ListBullet"/>
        <w:spacing w:line="276" w:lineRule="auto"/>
      </w:pPr>
      <w:proofErr w:type="gramStart"/>
      <w:r w:rsidRPr="00DD4387">
        <w:t>unsatisfactory</w:t>
      </w:r>
      <w:proofErr w:type="gramEnd"/>
      <w:r w:rsidR="00DE24F9">
        <w:t>.</w:t>
      </w:r>
    </w:p>
    <w:p w14:paraId="7C65DFDA" w14:textId="77777777" w:rsidR="008F7030" w:rsidRDefault="008F7030" w:rsidP="00203A64">
      <w:r w:rsidRPr="00DD4387">
        <w:t>In addition to the overall assessment of AUP, the Assurance Branch performs root cause analysis of the findings based on the nature of the procedure, factual finding and comments from the school on the finding.</w:t>
      </w:r>
    </w:p>
    <w:p w14:paraId="6B49BAC2" w14:textId="77777777" w:rsidR="008F7030" w:rsidRPr="00DD4387" w:rsidRDefault="008F7030" w:rsidP="00203A64">
      <w:r w:rsidRPr="00DD4387">
        <w:lastRenderedPageBreak/>
        <w:t>A State-wide report on the AUP is prepared</w:t>
      </w:r>
      <w:r w:rsidR="00DD4387">
        <w:t>,</w:t>
      </w:r>
      <w:r w:rsidRPr="00DD4387">
        <w:t xml:space="preserve"> based </w:t>
      </w:r>
      <w:r w:rsidR="00AA6941">
        <w:t xml:space="preserve">on </w:t>
      </w:r>
      <w:r w:rsidRPr="00DD4387">
        <w:t xml:space="preserve">the overall results and root cause analysis. This </w:t>
      </w:r>
      <w:r w:rsidR="001B3161" w:rsidRPr="00DD4387">
        <w:t>State-wide</w:t>
      </w:r>
      <w:r w:rsidRPr="00DD4387">
        <w:t xml:space="preserve"> report is approved by the Department’s Audit and Risk Committee and circulated to the regional offices, Financial Services Division and all the schools </w:t>
      </w:r>
      <w:r w:rsidR="00DD4387" w:rsidRPr="00DD4387">
        <w:t>to</w:t>
      </w:r>
      <w:r w:rsidRPr="00DD4387">
        <w:t xml:space="preserve"> ensure corrective measures are taken to rectify the findings at the Department and school level.</w:t>
      </w:r>
    </w:p>
    <w:p w14:paraId="068E9B64" w14:textId="77777777" w:rsidR="008F7030" w:rsidRPr="00681347" w:rsidRDefault="008F7030" w:rsidP="008F7030">
      <w:pPr>
        <w:pStyle w:val="Heading3"/>
      </w:pPr>
      <w:r>
        <w:t>5</w:t>
      </w:r>
      <w:r w:rsidRPr="00681347">
        <w:t>.</w:t>
      </w:r>
      <w:r>
        <w:t>2</w:t>
      </w:r>
      <w:r w:rsidRPr="00681347">
        <w:t>.</w:t>
      </w:r>
      <w:r w:rsidR="00FA36DB">
        <w:t>6</w:t>
      </w:r>
      <w:r w:rsidR="00B42217">
        <w:tab/>
      </w:r>
      <w:r w:rsidRPr="00681347">
        <w:t>Mandatory policy (</w:t>
      </w:r>
      <w:r>
        <w:t>Must do</w:t>
      </w:r>
      <w:r w:rsidRPr="00681347">
        <w:t>)</w:t>
      </w:r>
      <w:r>
        <w:t>:</w:t>
      </w:r>
    </w:p>
    <w:tbl>
      <w:tblPr>
        <w:tblStyle w:val="LightList-Accent3"/>
        <w:tblW w:w="9157" w:type="dxa"/>
        <w:tblInd w:w="52" w:type="dxa"/>
        <w:tblBorders>
          <w:top w:val="single" w:sz="4" w:space="0" w:color="auto"/>
          <w:left w:val="single" w:sz="4" w:space="0" w:color="auto"/>
          <w:bottom w:val="single" w:sz="4" w:space="0" w:color="auto"/>
          <w:right w:val="single" w:sz="4" w:space="0" w:color="auto"/>
          <w:insideH w:val="single" w:sz="8" w:space="0" w:color="9BBB59" w:themeColor="accent3"/>
          <w:insideV w:val="single" w:sz="4" w:space="0" w:color="auto"/>
        </w:tblBorders>
        <w:tblLayout w:type="fixed"/>
        <w:tblLook w:val="04A0" w:firstRow="1" w:lastRow="0" w:firstColumn="1" w:lastColumn="0" w:noHBand="0" w:noVBand="1"/>
        <w:tblDescription w:val="scenario numbers and policy information"/>
      </w:tblPr>
      <w:tblGrid>
        <w:gridCol w:w="1219"/>
        <w:gridCol w:w="7088"/>
        <w:gridCol w:w="850"/>
      </w:tblGrid>
      <w:tr w:rsidR="005A0B5B" w:rsidRPr="00BB652D" w14:paraId="7C80B4E4" w14:textId="0BE7DCE6" w:rsidTr="005A0B5B">
        <w:trPr>
          <w:cnfStyle w:val="100000000000" w:firstRow="1" w:lastRow="0" w:firstColumn="0" w:lastColumn="0" w:oddVBand="0" w:evenVBand="0" w:oddHBand="0" w:evenHBand="0" w:firstRowFirstColumn="0" w:firstRowLastColumn="0" w:lastRowFirstColumn="0" w:lastRowLastColumn="0"/>
          <w:trHeight w:hRule="exact" w:val="737"/>
          <w:tblHeader/>
        </w:trPr>
        <w:tc>
          <w:tcPr>
            <w:cnfStyle w:val="001000000000" w:firstRow="0" w:lastRow="0" w:firstColumn="1" w:lastColumn="0" w:oddVBand="0" w:evenVBand="0" w:oddHBand="0" w:evenHBand="0" w:firstRowFirstColumn="0" w:firstRowLastColumn="0" w:lastRowFirstColumn="0" w:lastRowLastColumn="0"/>
            <w:tcW w:w="1219" w:type="dxa"/>
            <w:tcBorders>
              <w:top w:val="single" w:sz="4" w:space="0" w:color="auto"/>
              <w:bottom w:val="single" w:sz="4" w:space="0" w:color="auto"/>
            </w:tcBorders>
            <w:shd w:val="clear" w:color="auto" w:fill="FFFFFF" w:themeFill="background1"/>
          </w:tcPr>
          <w:p w14:paraId="65D2E811" w14:textId="7500732C" w:rsidR="005A0B5B" w:rsidRPr="0034674E" w:rsidRDefault="005A0B5B" w:rsidP="0034674E">
            <w:pPr>
              <w:rPr>
                <w:color w:val="auto"/>
                <w:sz w:val="18"/>
              </w:rPr>
            </w:pPr>
            <w:r w:rsidRPr="0034674E">
              <w:rPr>
                <w:color w:val="auto"/>
                <w:sz w:val="18"/>
              </w:rPr>
              <w:t>Sequence Number</w:t>
            </w:r>
          </w:p>
        </w:tc>
        <w:tc>
          <w:tcPr>
            <w:tcW w:w="7088" w:type="dxa"/>
            <w:tcBorders>
              <w:top w:val="single" w:sz="4" w:space="0" w:color="auto"/>
              <w:bottom w:val="single" w:sz="4" w:space="0" w:color="auto"/>
            </w:tcBorders>
            <w:shd w:val="clear" w:color="auto" w:fill="auto"/>
          </w:tcPr>
          <w:p w14:paraId="671DC7A3" w14:textId="2D4F51C7" w:rsidR="005A0B5B" w:rsidRPr="0034674E" w:rsidRDefault="005A0B5B" w:rsidP="0034674E">
            <w:pPr>
              <w:cnfStyle w:val="100000000000" w:firstRow="1" w:lastRow="0" w:firstColumn="0" w:lastColumn="0" w:oddVBand="0" w:evenVBand="0" w:oddHBand="0" w:evenHBand="0" w:firstRowFirstColumn="0" w:firstRowLastColumn="0" w:lastRowFirstColumn="0" w:lastRowLastColumn="0"/>
              <w:rPr>
                <w:color w:val="auto"/>
                <w:sz w:val="18"/>
              </w:rPr>
            </w:pPr>
            <w:r w:rsidRPr="0034674E">
              <w:rPr>
                <w:color w:val="auto"/>
                <w:sz w:val="18"/>
              </w:rPr>
              <w:t>Information</w:t>
            </w:r>
          </w:p>
        </w:tc>
        <w:tc>
          <w:tcPr>
            <w:tcW w:w="850" w:type="dxa"/>
            <w:tcBorders>
              <w:top w:val="nil"/>
              <w:bottom w:val="single" w:sz="4" w:space="0" w:color="auto"/>
              <w:right w:val="nil"/>
            </w:tcBorders>
            <w:shd w:val="clear" w:color="auto" w:fill="auto"/>
          </w:tcPr>
          <w:p w14:paraId="59121502" w14:textId="77777777" w:rsidR="005A0B5B" w:rsidRPr="0034674E" w:rsidRDefault="005A0B5B" w:rsidP="0034674E">
            <w:pPr>
              <w:cnfStyle w:val="100000000000" w:firstRow="1" w:lastRow="0" w:firstColumn="0" w:lastColumn="0" w:oddVBand="0" w:evenVBand="0" w:oddHBand="0" w:evenHBand="0" w:firstRowFirstColumn="0" w:firstRowLastColumn="0" w:lastRowFirstColumn="0" w:lastRowLastColumn="0"/>
              <w:rPr>
                <w:sz w:val="18"/>
              </w:rPr>
            </w:pPr>
          </w:p>
        </w:tc>
      </w:tr>
      <w:tr w:rsidR="005A0B5B" w:rsidRPr="00BB652D" w14:paraId="692EC133" w14:textId="25BCC312" w:rsidTr="005A0B5B">
        <w:trPr>
          <w:cnfStyle w:val="100000000000" w:firstRow="1" w:lastRow="0" w:firstColumn="0" w:lastColumn="0" w:oddVBand="0" w:evenVBand="0" w:oddHBand="0" w:evenHBand="0" w:firstRowFirstColumn="0" w:firstRowLastColumn="0" w:lastRowFirstColumn="0" w:lastRowLastColumn="0"/>
          <w:trHeight w:hRule="exact" w:val="737"/>
          <w:tblHeader/>
        </w:trPr>
        <w:tc>
          <w:tcPr>
            <w:cnfStyle w:val="001000000000" w:firstRow="0" w:lastRow="0" w:firstColumn="1" w:lastColumn="0" w:oddVBand="0" w:evenVBand="0" w:oddHBand="0" w:evenHBand="0" w:firstRowFirstColumn="0" w:firstRowLastColumn="0" w:lastRowFirstColumn="0" w:lastRowLastColumn="0"/>
            <w:tcW w:w="1219" w:type="dxa"/>
            <w:tcBorders>
              <w:top w:val="single" w:sz="4" w:space="0" w:color="auto"/>
              <w:bottom w:val="single" w:sz="4" w:space="0" w:color="auto"/>
            </w:tcBorders>
            <w:shd w:val="clear" w:color="auto" w:fill="FFFFFF" w:themeFill="background1"/>
          </w:tcPr>
          <w:p w14:paraId="27EC08FF" w14:textId="77777777" w:rsidR="005A0B5B" w:rsidRPr="00BB652D" w:rsidRDefault="005A0B5B" w:rsidP="00BB652D">
            <w:pPr>
              <w:rPr>
                <w:b w:val="0"/>
                <w:color w:val="auto"/>
              </w:rPr>
            </w:pPr>
            <w:r w:rsidRPr="00BB652D">
              <w:rPr>
                <w:b w:val="0"/>
                <w:color w:val="auto"/>
              </w:rPr>
              <w:t>5.2.6.1</w:t>
            </w:r>
          </w:p>
        </w:tc>
        <w:tc>
          <w:tcPr>
            <w:tcW w:w="7088" w:type="dxa"/>
            <w:tcBorders>
              <w:top w:val="single" w:sz="4" w:space="0" w:color="auto"/>
              <w:bottom w:val="single" w:sz="4" w:space="0" w:color="auto"/>
            </w:tcBorders>
            <w:shd w:val="clear" w:color="auto" w:fill="auto"/>
          </w:tcPr>
          <w:p w14:paraId="2521E4EC" w14:textId="77777777" w:rsidR="005A0B5B" w:rsidRPr="00BB652D" w:rsidRDefault="005A0B5B" w:rsidP="00BB652D">
            <w:pPr>
              <w:cnfStyle w:val="100000000000" w:firstRow="1" w:lastRow="0" w:firstColumn="0" w:lastColumn="0" w:oddVBand="0" w:evenVBand="0" w:oddHBand="0" w:evenHBand="0" w:firstRowFirstColumn="0" w:firstRowLastColumn="0" w:lastRowFirstColumn="0" w:lastRowLastColumn="0"/>
              <w:rPr>
                <w:b w:val="0"/>
                <w:color w:val="auto"/>
              </w:rPr>
            </w:pPr>
            <w:r w:rsidRPr="00BB652D">
              <w:rPr>
                <w:b w:val="0"/>
                <w:color w:val="auto"/>
              </w:rPr>
              <w:t>Schools are requested to comment on the factual accuracy of the findings and suggested actions to rectify the finding in the final report.</w:t>
            </w:r>
          </w:p>
        </w:tc>
        <w:tc>
          <w:tcPr>
            <w:tcW w:w="850" w:type="dxa"/>
            <w:tcBorders>
              <w:top w:val="single" w:sz="4" w:space="0" w:color="auto"/>
              <w:bottom w:val="single" w:sz="4" w:space="0" w:color="auto"/>
            </w:tcBorders>
            <w:shd w:val="clear" w:color="auto" w:fill="auto"/>
          </w:tcPr>
          <w:p w14:paraId="55945F1B" w14:textId="77777777" w:rsidR="005A0B5B" w:rsidRPr="00BB652D" w:rsidRDefault="005A0B5B" w:rsidP="00BB652D">
            <w:pPr>
              <w:cnfStyle w:val="100000000000" w:firstRow="1" w:lastRow="0" w:firstColumn="0" w:lastColumn="0" w:oddVBand="0" w:evenVBand="0" w:oddHBand="0" w:evenHBand="0" w:firstRowFirstColumn="0" w:firstRowLastColumn="0" w:lastRowFirstColumn="0" w:lastRowLastColumn="0"/>
            </w:pPr>
          </w:p>
        </w:tc>
      </w:tr>
    </w:tbl>
    <w:p w14:paraId="41B6A110" w14:textId="77777777" w:rsidR="008F7030" w:rsidRPr="00FA36DB" w:rsidRDefault="008F7030" w:rsidP="008F7030">
      <w:pPr>
        <w:pStyle w:val="Heading3"/>
        <w:rPr>
          <w:szCs w:val="24"/>
          <w:lang w:val="en-US"/>
        </w:rPr>
      </w:pPr>
      <w:r w:rsidRPr="00FA36DB">
        <w:rPr>
          <w:szCs w:val="24"/>
          <w:lang w:val="en-US"/>
        </w:rPr>
        <w:t>5.2.</w:t>
      </w:r>
      <w:r w:rsidR="00FA36DB">
        <w:rPr>
          <w:szCs w:val="24"/>
          <w:lang w:val="en-US"/>
        </w:rPr>
        <w:t>7</w:t>
      </w:r>
      <w:r w:rsidR="00B42217">
        <w:rPr>
          <w:szCs w:val="24"/>
          <w:lang w:val="en-US"/>
        </w:rPr>
        <w:tab/>
      </w:r>
      <w:r w:rsidRPr="00FA36DB">
        <w:rPr>
          <w:szCs w:val="24"/>
          <w:lang w:val="en-US"/>
        </w:rPr>
        <w:t>How to prepare for AUP?</w:t>
      </w:r>
    </w:p>
    <w:p w14:paraId="164DACFF" w14:textId="77777777" w:rsidR="008F7030" w:rsidRPr="008F7030" w:rsidRDefault="008F7030" w:rsidP="00203A64">
      <w:r w:rsidRPr="008F7030">
        <w:t>The Department expects schools to properly prepare for and understand their role in the AUP process. Schools are expected to read and understand the relevant policies and guidelines to ensure that the smooth and efficient conduct of the AUP program.</w:t>
      </w:r>
    </w:p>
    <w:p w14:paraId="3CF25F5F" w14:textId="77777777" w:rsidR="008F7030" w:rsidRPr="00681347" w:rsidRDefault="008F7030" w:rsidP="008F7030">
      <w:pPr>
        <w:pStyle w:val="Heading3"/>
      </w:pPr>
      <w:r>
        <w:t>5</w:t>
      </w:r>
      <w:r w:rsidRPr="00681347">
        <w:t>.</w:t>
      </w:r>
      <w:r>
        <w:t>2</w:t>
      </w:r>
      <w:r w:rsidRPr="00681347">
        <w:t>.</w:t>
      </w:r>
      <w:r w:rsidR="00FA36DB">
        <w:t>8</w:t>
      </w:r>
      <w:r w:rsidRPr="00681347">
        <w:t xml:space="preserve"> </w:t>
      </w:r>
      <w:r>
        <w:tab/>
      </w:r>
      <w:r w:rsidRPr="00681347">
        <w:t>Mandatory policy (</w:t>
      </w:r>
      <w:r>
        <w:t>Must do</w:t>
      </w:r>
      <w:r w:rsidRPr="00681347">
        <w:t>)</w:t>
      </w:r>
      <w:r>
        <w:t>:</w:t>
      </w:r>
    </w:p>
    <w:tbl>
      <w:tblPr>
        <w:tblStyle w:val="LightList-Accent3"/>
        <w:tblW w:w="9167" w:type="dxa"/>
        <w:tblInd w:w="42" w:type="dxa"/>
        <w:tblLayout w:type="fixed"/>
        <w:tblLook w:val="04A0" w:firstRow="1" w:lastRow="0" w:firstColumn="1" w:lastColumn="0" w:noHBand="0" w:noVBand="1"/>
        <w:tblDescription w:val="scenario numbers and policy information"/>
      </w:tblPr>
      <w:tblGrid>
        <w:gridCol w:w="1229"/>
        <w:gridCol w:w="7088"/>
        <w:gridCol w:w="850"/>
      </w:tblGrid>
      <w:tr w:rsidR="005A0B5B" w:rsidRPr="00BB652D" w14:paraId="34DDDF65" w14:textId="597FEEC4" w:rsidTr="005A0B5B">
        <w:trPr>
          <w:cnfStyle w:val="100000000000" w:firstRow="1" w:lastRow="0" w:firstColumn="0" w:lastColumn="0" w:oddVBand="0" w:evenVBand="0" w:oddHBand="0" w:evenHBand="0" w:firstRowFirstColumn="0" w:firstRowLastColumn="0" w:lastRowFirstColumn="0" w:lastRowLastColumn="0"/>
          <w:trHeight w:hRule="exact" w:val="737"/>
          <w:tblHeader/>
        </w:trPr>
        <w:tc>
          <w:tcPr>
            <w:cnfStyle w:val="001000000000" w:firstRow="0" w:lastRow="0" w:firstColumn="1" w:lastColumn="0" w:oddVBand="0" w:evenVBand="0" w:oddHBand="0" w:evenHBand="0" w:firstRowFirstColumn="0" w:firstRowLastColumn="0" w:lastRowFirstColumn="0" w:lastRowLastColumn="0"/>
            <w:tcW w:w="1229" w:type="dxa"/>
            <w:tcBorders>
              <w:top w:val="single" w:sz="4" w:space="0" w:color="auto"/>
              <w:left w:val="single" w:sz="4" w:space="0" w:color="auto"/>
              <w:bottom w:val="single" w:sz="4" w:space="0" w:color="auto"/>
              <w:right w:val="single" w:sz="4" w:space="0" w:color="auto"/>
            </w:tcBorders>
            <w:shd w:val="clear" w:color="auto" w:fill="auto"/>
          </w:tcPr>
          <w:p w14:paraId="40C42547" w14:textId="77777777" w:rsidR="005A0B5B" w:rsidRPr="0034674E" w:rsidRDefault="005A0B5B" w:rsidP="00F73065">
            <w:pPr>
              <w:rPr>
                <w:color w:val="auto"/>
                <w:sz w:val="18"/>
              </w:rPr>
            </w:pPr>
            <w:r w:rsidRPr="0034674E">
              <w:rPr>
                <w:color w:val="auto"/>
                <w:sz w:val="18"/>
              </w:rPr>
              <w:t>Sequence Number</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FD6F766" w14:textId="77777777" w:rsidR="005A0B5B" w:rsidRPr="0034674E" w:rsidRDefault="005A0B5B" w:rsidP="00F73065">
            <w:pPr>
              <w:cnfStyle w:val="100000000000" w:firstRow="1" w:lastRow="0" w:firstColumn="0" w:lastColumn="0" w:oddVBand="0" w:evenVBand="0" w:oddHBand="0" w:evenHBand="0" w:firstRowFirstColumn="0" w:firstRowLastColumn="0" w:lastRowFirstColumn="0" w:lastRowLastColumn="0"/>
              <w:rPr>
                <w:color w:val="auto"/>
                <w:sz w:val="18"/>
              </w:rPr>
            </w:pPr>
            <w:r w:rsidRPr="0034674E">
              <w:rPr>
                <w:color w:val="auto"/>
                <w:sz w:val="18"/>
              </w:rPr>
              <w:t>Information</w:t>
            </w:r>
          </w:p>
        </w:tc>
        <w:tc>
          <w:tcPr>
            <w:tcW w:w="850" w:type="dxa"/>
            <w:tcBorders>
              <w:top w:val="nil"/>
              <w:left w:val="single" w:sz="4" w:space="0" w:color="auto"/>
              <w:bottom w:val="single" w:sz="4" w:space="0" w:color="auto"/>
              <w:right w:val="nil"/>
            </w:tcBorders>
            <w:shd w:val="clear" w:color="auto" w:fill="auto"/>
          </w:tcPr>
          <w:p w14:paraId="1BF7C1B4" w14:textId="77777777" w:rsidR="005A0B5B" w:rsidRPr="0034674E" w:rsidRDefault="005A0B5B" w:rsidP="00F73065">
            <w:pPr>
              <w:cnfStyle w:val="100000000000" w:firstRow="1" w:lastRow="0" w:firstColumn="0" w:lastColumn="0" w:oddVBand="0" w:evenVBand="0" w:oddHBand="0" w:evenHBand="0" w:firstRowFirstColumn="0" w:firstRowLastColumn="0" w:lastRowFirstColumn="0" w:lastRowLastColumn="0"/>
              <w:rPr>
                <w:sz w:val="18"/>
              </w:rPr>
            </w:pPr>
          </w:p>
        </w:tc>
      </w:tr>
      <w:tr w:rsidR="005A0B5B" w:rsidRPr="00084314" w14:paraId="1EE3A02B" w14:textId="0ACECA78" w:rsidTr="005A0B5B">
        <w:tblPrEx>
          <w:tblBorders>
            <w:top w:val="single" w:sz="4" w:space="0" w:color="auto"/>
            <w:left w:val="single" w:sz="4" w:space="0" w:color="auto"/>
            <w:bottom w:val="single" w:sz="4" w:space="0" w:color="auto"/>
            <w:right w:val="single" w:sz="4" w:space="0" w:color="auto"/>
            <w:insideH w:val="single" w:sz="8" w:space="0" w:color="9BBB59" w:themeColor="accent3"/>
            <w:insideV w:val="single" w:sz="4" w:space="0" w:color="auto"/>
          </w:tblBorders>
        </w:tblPrEx>
        <w:trPr>
          <w:cnfStyle w:val="100000000000" w:firstRow="1" w:lastRow="0" w:firstColumn="0" w:lastColumn="0" w:oddVBand="0" w:evenVBand="0" w:oddHBand="0" w:evenHBand="0" w:firstRowFirstColumn="0" w:firstRowLastColumn="0" w:lastRowFirstColumn="0" w:lastRowLastColumn="0"/>
          <w:trHeight w:val="1704"/>
          <w:tblHeader/>
        </w:trPr>
        <w:tc>
          <w:tcPr>
            <w:cnfStyle w:val="001000000000" w:firstRow="0" w:lastRow="0" w:firstColumn="1" w:lastColumn="0" w:oddVBand="0" w:evenVBand="0" w:oddHBand="0" w:evenHBand="0" w:firstRowFirstColumn="0" w:firstRowLastColumn="0" w:lastRowFirstColumn="0" w:lastRowLastColumn="0"/>
            <w:tcW w:w="1229" w:type="dxa"/>
            <w:tcBorders>
              <w:top w:val="single" w:sz="4" w:space="0" w:color="auto"/>
              <w:bottom w:val="single" w:sz="4" w:space="0" w:color="auto"/>
            </w:tcBorders>
            <w:shd w:val="clear" w:color="auto" w:fill="FFFFFF" w:themeFill="background1"/>
          </w:tcPr>
          <w:p w14:paraId="394183D9" w14:textId="77777777" w:rsidR="005A0B5B" w:rsidRPr="00084314" w:rsidRDefault="005A0B5B" w:rsidP="00BB652D">
            <w:pPr>
              <w:rPr>
                <w:b w:val="0"/>
                <w:color w:val="auto"/>
              </w:rPr>
            </w:pPr>
            <w:r w:rsidRPr="00084314">
              <w:rPr>
                <w:b w:val="0"/>
                <w:color w:val="auto"/>
              </w:rPr>
              <w:t>5.2.8.1</w:t>
            </w:r>
          </w:p>
        </w:tc>
        <w:tc>
          <w:tcPr>
            <w:tcW w:w="7088" w:type="dxa"/>
            <w:tcBorders>
              <w:top w:val="single" w:sz="4" w:space="0" w:color="auto"/>
              <w:bottom w:val="single" w:sz="4" w:space="0" w:color="auto"/>
            </w:tcBorders>
            <w:shd w:val="clear" w:color="auto" w:fill="auto"/>
          </w:tcPr>
          <w:p w14:paraId="216BE87C" w14:textId="181AB72D" w:rsidR="005A0B5B" w:rsidRPr="00084314" w:rsidRDefault="005A0B5B" w:rsidP="001B3161">
            <w:pPr>
              <w:cnfStyle w:val="100000000000" w:firstRow="1" w:lastRow="0" w:firstColumn="0" w:lastColumn="0" w:oddVBand="0" w:evenVBand="0" w:oddHBand="0" w:evenHBand="0" w:firstRowFirstColumn="0" w:firstRowLastColumn="0" w:lastRowFirstColumn="0" w:lastRowLastColumn="0"/>
              <w:rPr>
                <w:b w:val="0"/>
                <w:color w:val="auto"/>
              </w:rPr>
            </w:pPr>
            <w:r w:rsidRPr="00084314">
              <w:rPr>
                <w:b w:val="0"/>
                <w:color w:val="auto"/>
              </w:rPr>
              <w:t xml:space="preserve">Complete end-of-year processes, including running all CASES21 reports for both the year end and period specified by the Assurance Branch. Some of these reports cannot be run once operating in the New Year. For more information, refer to the </w:t>
            </w:r>
            <w:hyperlink r:id="rId11" w:history="1">
              <w:r w:rsidRPr="00084314">
                <w:rPr>
                  <w:rStyle w:val="Hyperlink"/>
                  <w:b w:val="0"/>
                  <w:bCs w:val="0"/>
                </w:rPr>
                <w:t>CASES21 Finance Business Process Guide Section - 11 End of Year.</w:t>
              </w:r>
            </w:hyperlink>
          </w:p>
        </w:tc>
        <w:tc>
          <w:tcPr>
            <w:tcW w:w="850" w:type="dxa"/>
            <w:tcBorders>
              <w:top w:val="single" w:sz="4" w:space="0" w:color="auto"/>
              <w:bottom w:val="single" w:sz="4" w:space="0" w:color="auto"/>
            </w:tcBorders>
            <w:shd w:val="clear" w:color="auto" w:fill="auto"/>
          </w:tcPr>
          <w:p w14:paraId="3A3A1A49" w14:textId="77777777" w:rsidR="005A0B5B" w:rsidRPr="00084314" w:rsidRDefault="005A0B5B" w:rsidP="001B3161">
            <w:pPr>
              <w:cnfStyle w:val="100000000000" w:firstRow="1" w:lastRow="0" w:firstColumn="0" w:lastColumn="0" w:oddVBand="0" w:evenVBand="0" w:oddHBand="0" w:evenHBand="0" w:firstRowFirstColumn="0" w:firstRowLastColumn="0" w:lastRowFirstColumn="0" w:lastRowLastColumn="0"/>
            </w:pPr>
          </w:p>
        </w:tc>
      </w:tr>
      <w:tr w:rsidR="005A0B5B" w:rsidRPr="00BB652D" w14:paraId="3B11AB02" w14:textId="620F414D" w:rsidTr="005A0B5B">
        <w:tblPrEx>
          <w:tblBorders>
            <w:top w:val="single" w:sz="4" w:space="0" w:color="auto"/>
            <w:left w:val="single" w:sz="4" w:space="0" w:color="auto"/>
            <w:bottom w:val="single" w:sz="4" w:space="0" w:color="auto"/>
            <w:right w:val="single" w:sz="4" w:space="0" w:color="auto"/>
            <w:insideH w:val="single" w:sz="8" w:space="0" w:color="9BBB59" w:themeColor="accent3"/>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hRule="exact" w:val="1021"/>
        </w:trPr>
        <w:tc>
          <w:tcPr>
            <w:cnfStyle w:val="001000000000" w:firstRow="0" w:lastRow="0" w:firstColumn="1" w:lastColumn="0" w:oddVBand="0" w:evenVBand="0" w:oddHBand="0" w:evenHBand="0" w:firstRowFirstColumn="0" w:firstRowLastColumn="0" w:lastRowFirstColumn="0" w:lastRowLastColumn="0"/>
            <w:tcW w:w="1229" w:type="dxa"/>
            <w:tcBorders>
              <w:top w:val="single" w:sz="4" w:space="0" w:color="auto"/>
              <w:left w:val="single" w:sz="4" w:space="0" w:color="auto"/>
              <w:bottom w:val="single" w:sz="4" w:space="0" w:color="auto"/>
            </w:tcBorders>
            <w:shd w:val="clear" w:color="auto" w:fill="FFFFFF" w:themeFill="background1"/>
          </w:tcPr>
          <w:p w14:paraId="1D844446" w14:textId="77777777" w:rsidR="005A0B5B" w:rsidRPr="00BB652D" w:rsidRDefault="005A0B5B" w:rsidP="00BB652D">
            <w:pPr>
              <w:rPr>
                <w:b w:val="0"/>
              </w:rPr>
            </w:pPr>
            <w:r w:rsidRPr="00BB652D">
              <w:rPr>
                <w:b w:val="0"/>
              </w:rPr>
              <w:t>5.2.8.2</w:t>
            </w:r>
          </w:p>
        </w:tc>
        <w:tc>
          <w:tcPr>
            <w:tcW w:w="7088" w:type="dxa"/>
            <w:tcBorders>
              <w:top w:val="single" w:sz="4" w:space="0" w:color="auto"/>
              <w:bottom w:val="single" w:sz="4" w:space="0" w:color="auto"/>
            </w:tcBorders>
            <w:shd w:val="clear" w:color="auto" w:fill="auto"/>
          </w:tcPr>
          <w:p w14:paraId="763C032C" w14:textId="77777777" w:rsidR="005A0B5B" w:rsidRPr="00BB652D" w:rsidRDefault="005A0B5B" w:rsidP="00096EC6">
            <w:pPr>
              <w:cnfStyle w:val="000000100000" w:firstRow="0" w:lastRow="0" w:firstColumn="0" w:lastColumn="0" w:oddVBand="0" w:evenVBand="0" w:oddHBand="1" w:evenHBand="0" w:firstRowFirstColumn="0" w:firstRowLastColumn="0" w:lastRowFirstColumn="0" w:lastRowLastColumn="0"/>
            </w:pPr>
            <w:r w:rsidRPr="00BB652D">
              <w:t xml:space="preserve">All monthly reconciliations are up-to-date. For example, if a visit to your school is scheduled for April, reconciliations up to March </w:t>
            </w:r>
            <w:r>
              <w:t>must</w:t>
            </w:r>
            <w:r w:rsidRPr="00BB652D">
              <w:t xml:space="preserve"> be completed</w:t>
            </w:r>
            <w:r>
              <w:t>.</w:t>
            </w:r>
          </w:p>
        </w:tc>
        <w:tc>
          <w:tcPr>
            <w:tcW w:w="850" w:type="dxa"/>
            <w:tcBorders>
              <w:top w:val="single" w:sz="4" w:space="0" w:color="auto"/>
              <w:bottom w:val="single" w:sz="4" w:space="0" w:color="auto"/>
              <w:right w:val="single" w:sz="4" w:space="0" w:color="auto"/>
            </w:tcBorders>
            <w:shd w:val="clear" w:color="auto" w:fill="auto"/>
          </w:tcPr>
          <w:p w14:paraId="7E491E8E" w14:textId="77777777" w:rsidR="005A0B5B" w:rsidRPr="00BB652D" w:rsidRDefault="005A0B5B" w:rsidP="00096EC6">
            <w:pPr>
              <w:cnfStyle w:val="000000100000" w:firstRow="0" w:lastRow="0" w:firstColumn="0" w:lastColumn="0" w:oddVBand="0" w:evenVBand="0" w:oddHBand="1" w:evenHBand="0" w:firstRowFirstColumn="0" w:firstRowLastColumn="0" w:lastRowFirstColumn="0" w:lastRowLastColumn="0"/>
            </w:pPr>
          </w:p>
        </w:tc>
      </w:tr>
      <w:tr w:rsidR="005A0B5B" w:rsidRPr="00BB652D" w14:paraId="7B7E203D" w14:textId="562629E4" w:rsidTr="005A0B5B">
        <w:tblPrEx>
          <w:tblBorders>
            <w:top w:val="single" w:sz="4" w:space="0" w:color="auto"/>
            <w:left w:val="single" w:sz="4" w:space="0" w:color="auto"/>
            <w:bottom w:val="single" w:sz="4" w:space="0" w:color="auto"/>
            <w:right w:val="single" w:sz="4" w:space="0" w:color="auto"/>
            <w:insideH w:val="single" w:sz="8" w:space="0" w:color="9BBB59" w:themeColor="accent3"/>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1229" w:type="dxa"/>
            <w:tcBorders>
              <w:top w:val="single" w:sz="4" w:space="0" w:color="auto"/>
              <w:bottom w:val="single" w:sz="4" w:space="0" w:color="auto"/>
            </w:tcBorders>
            <w:shd w:val="clear" w:color="auto" w:fill="FFFFFF" w:themeFill="background1"/>
          </w:tcPr>
          <w:p w14:paraId="2FDA45DE" w14:textId="77777777" w:rsidR="005A0B5B" w:rsidRPr="00BB652D" w:rsidRDefault="005A0B5B" w:rsidP="00BB652D">
            <w:pPr>
              <w:rPr>
                <w:b w:val="0"/>
              </w:rPr>
            </w:pPr>
            <w:r w:rsidRPr="00BB652D">
              <w:rPr>
                <w:b w:val="0"/>
              </w:rPr>
              <w:t>5.2.8.3</w:t>
            </w:r>
          </w:p>
        </w:tc>
        <w:tc>
          <w:tcPr>
            <w:tcW w:w="7088" w:type="dxa"/>
            <w:tcBorders>
              <w:top w:val="single" w:sz="4" w:space="0" w:color="auto"/>
              <w:bottom w:val="single" w:sz="4" w:space="0" w:color="auto"/>
            </w:tcBorders>
            <w:shd w:val="clear" w:color="auto" w:fill="auto"/>
          </w:tcPr>
          <w:p w14:paraId="63B71CD4" w14:textId="77777777" w:rsidR="005A0B5B" w:rsidRPr="00BB652D" w:rsidRDefault="005A0B5B" w:rsidP="00203A64">
            <w:pPr>
              <w:cnfStyle w:val="000000000000" w:firstRow="0" w:lastRow="0" w:firstColumn="0" w:lastColumn="0" w:oddVBand="0" w:evenVBand="0" w:oddHBand="0" w:evenHBand="0" w:firstRowFirstColumn="0" w:firstRowLastColumn="0" w:lastRowFirstColumn="0" w:lastRowLastColumn="0"/>
            </w:pPr>
            <w:r w:rsidRPr="00BB652D">
              <w:t>All records are kept on site for all financial transactions covering the period of the AUP</w:t>
            </w:r>
            <w:r>
              <w:t>.</w:t>
            </w:r>
            <w:r w:rsidRPr="00BB652D">
              <w:t xml:space="preserve"> </w:t>
            </w:r>
            <w:r>
              <w:t>F</w:t>
            </w:r>
            <w:r w:rsidRPr="00BB652D">
              <w:t xml:space="preserve">or </w:t>
            </w:r>
            <w:r>
              <w:t>example,</w:t>
            </w:r>
            <w:r w:rsidRPr="00BB652D">
              <w:t xml:space="preserve"> if your school outsources its stocktake to an external party, you must ask for a copy of the relevant records and report</w:t>
            </w:r>
            <w:r>
              <w:t>s</w:t>
            </w:r>
            <w:r w:rsidRPr="00BB652D">
              <w:t xml:space="preserve"> completed by the external party</w:t>
            </w:r>
            <w:r>
              <w:t>.</w:t>
            </w:r>
          </w:p>
        </w:tc>
        <w:tc>
          <w:tcPr>
            <w:tcW w:w="850" w:type="dxa"/>
            <w:tcBorders>
              <w:top w:val="single" w:sz="4" w:space="0" w:color="auto"/>
              <w:bottom w:val="single" w:sz="4" w:space="0" w:color="auto"/>
            </w:tcBorders>
            <w:shd w:val="clear" w:color="auto" w:fill="auto"/>
          </w:tcPr>
          <w:p w14:paraId="1121F6DC" w14:textId="77777777" w:rsidR="005A0B5B" w:rsidRPr="00BB652D" w:rsidRDefault="005A0B5B" w:rsidP="00203A64">
            <w:pPr>
              <w:cnfStyle w:val="000000000000" w:firstRow="0" w:lastRow="0" w:firstColumn="0" w:lastColumn="0" w:oddVBand="0" w:evenVBand="0" w:oddHBand="0" w:evenHBand="0" w:firstRowFirstColumn="0" w:firstRowLastColumn="0" w:lastRowFirstColumn="0" w:lastRowLastColumn="0"/>
            </w:pPr>
          </w:p>
        </w:tc>
      </w:tr>
      <w:tr w:rsidR="005A0B5B" w:rsidRPr="00BB652D" w14:paraId="0E7F516E" w14:textId="5F080008" w:rsidTr="005A0B5B">
        <w:tblPrEx>
          <w:tblBorders>
            <w:top w:val="single" w:sz="4" w:space="0" w:color="auto"/>
            <w:left w:val="single" w:sz="4" w:space="0" w:color="auto"/>
            <w:bottom w:val="single" w:sz="4" w:space="0" w:color="auto"/>
            <w:right w:val="single" w:sz="4" w:space="0" w:color="auto"/>
            <w:insideH w:val="single" w:sz="8" w:space="0" w:color="9BBB59" w:themeColor="accent3"/>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hRule="exact" w:val="1021"/>
        </w:trPr>
        <w:tc>
          <w:tcPr>
            <w:cnfStyle w:val="001000000000" w:firstRow="0" w:lastRow="0" w:firstColumn="1" w:lastColumn="0" w:oddVBand="0" w:evenVBand="0" w:oddHBand="0" w:evenHBand="0" w:firstRowFirstColumn="0" w:firstRowLastColumn="0" w:lastRowFirstColumn="0" w:lastRowLastColumn="0"/>
            <w:tcW w:w="1229" w:type="dxa"/>
            <w:tcBorders>
              <w:top w:val="single" w:sz="4" w:space="0" w:color="auto"/>
              <w:left w:val="single" w:sz="4" w:space="0" w:color="auto"/>
              <w:bottom w:val="single" w:sz="4" w:space="0" w:color="auto"/>
            </w:tcBorders>
            <w:shd w:val="clear" w:color="auto" w:fill="FFFFFF" w:themeFill="background1"/>
          </w:tcPr>
          <w:p w14:paraId="30A7CE8E" w14:textId="77777777" w:rsidR="005A0B5B" w:rsidRPr="00BB652D" w:rsidRDefault="005A0B5B" w:rsidP="00BB652D">
            <w:pPr>
              <w:rPr>
                <w:b w:val="0"/>
              </w:rPr>
            </w:pPr>
            <w:r w:rsidRPr="00BB652D">
              <w:rPr>
                <w:b w:val="0"/>
              </w:rPr>
              <w:t>5.2.8.4</w:t>
            </w:r>
          </w:p>
        </w:tc>
        <w:tc>
          <w:tcPr>
            <w:tcW w:w="7088" w:type="dxa"/>
            <w:tcBorders>
              <w:top w:val="single" w:sz="4" w:space="0" w:color="auto"/>
              <w:bottom w:val="single" w:sz="4" w:space="0" w:color="auto"/>
            </w:tcBorders>
            <w:shd w:val="clear" w:color="auto" w:fill="auto"/>
          </w:tcPr>
          <w:p w14:paraId="30ABFADF" w14:textId="77777777" w:rsidR="005A0B5B" w:rsidRPr="00BB652D" w:rsidRDefault="005A0B5B" w:rsidP="00F94481">
            <w:pPr>
              <w:cnfStyle w:val="000000100000" w:firstRow="0" w:lastRow="0" w:firstColumn="0" w:lastColumn="0" w:oddVBand="0" w:evenVBand="0" w:oddHBand="1" w:evenHBand="0" w:firstRowFirstColumn="0" w:firstRowLastColumn="0" w:lastRowFirstColumn="0" w:lastRowLastColumn="0"/>
            </w:pPr>
            <w:r w:rsidRPr="00BB652D">
              <w:t xml:space="preserve">All minutes from the </w:t>
            </w:r>
            <w:r>
              <w:t>school council</w:t>
            </w:r>
            <w:r w:rsidRPr="00BB652D">
              <w:t xml:space="preserve"> and </w:t>
            </w:r>
            <w:r>
              <w:t>school council</w:t>
            </w:r>
            <w:r w:rsidRPr="00BB652D">
              <w:t xml:space="preserve"> </w:t>
            </w:r>
            <w:r>
              <w:t>f</w:t>
            </w:r>
            <w:r w:rsidRPr="00BB652D">
              <w:t xml:space="preserve">inance </w:t>
            </w:r>
            <w:r>
              <w:t>c</w:t>
            </w:r>
            <w:r w:rsidRPr="00BB652D">
              <w:t>ommittee meetings are available along with the financial reports presented at these meeting for the period being covered</w:t>
            </w:r>
            <w:r>
              <w:t>.</w:t>
            </w:r>
          </w:p>
        </w:tc>
        <w:tc>
          <w:tcPr>
            <w:tcW w:w="850" w:type="dxa"/>
            <w:tcBorders>
              <w:top w:val="single" w:sz="4" w:space="0" w:color="auto"/>
              <w:bottom w:val="single" w:sz="4" w:space="0" w:color="auto"/>
              <w:right w:val="single" w:sz="4" w:space="0" w:color="auto"/>
            </w:tcBorders>
            <w:shd w:val="clear" w:color="auto" w:fill="auto"/>
          </w:tcPr>
          <w:p w14:paraId="50F60FE4" w14:textId="77777777" w:rsidR="005A0B5B" w:rsidRPr="00BB652D" w:rsidRDefault="005A0B5B" w:rsidP="00F94481">
            <w:pPr>
              <w:cnfStyle w:val="000000100000" w:firstRow="0" w:lastRow="0" w:firstColumn="0" w:lastColumn="0" w:oddVBand="0" w:evenVBand="0" w:oddHBand="1" w:evenHBand="0" w:firstRowFirstColumn="0" w:firstRowLastColumn="0" w:lastRowFirstColumn="0" w:lastRowLastColumn="0"/>
            </w:pPr>
          </w:p>
        </w:tc>
      </w:tr>
      <w:tr w:rsidR="005A0B5B" w:rsidRPr="00BB652D" w14:paraId="2B0248FF" w14:textId="0ACC87A1" w:rsidTr="005A0B5B">
        <w:tblPrEx>
          <w:tblBorders>
            <w:top w:val="single" w:sz="4" w:space="0" w:color="auto"/>
            <w:left w:val="single" w:sz="4" w:space="0" w:color="auto"/>
            <w:bottom w:val="single" w:sz="4" w:space="0" w:color="auto"/>
            <w:right w:val="single" w:sz="4" w:space="0" w:color="auto"/>
            <w:insideH w:val="single" w:sz="8" w:space="0" w:color="9BBB59" w:themeColor="accent3"/>
            <w:insideV w:val="single" w:sz="4" w:space="0" w:color="auto"/>
          </w:tblBorders>
        </w:tblPrEx>
        <w:trPr>
          <w:trHeight w:hRule="exact" w:val="737"/>
        </w:trPr>
        <w:tc>
          <w:tcPr>
            <w:cnfStyle w:val="001000000000" w:firstRow="0" w:lastRow="0" w:firstColumn="1" w:lastColumn="0" w:oddVBand="0" w:evenVBand="0" w:oddHBand="0" w:evenHBand="0" w:firstRowFirstColumn="0" w:firstRowLastColumn="0" w:lastRowFirstColumn="0" w:lastRowLastColumn="0"/>
            <w:tcW w:w="1229" w:type="dxa"/>
            <w:tcBorders>
              <w:top w:val="single" w:sz="4" w:space="0" w:color="auto"/>
              <w:bottom w:val="single" w:sz="4" w:space="0" w:color="auto"/>
            </w:tcBorders>
            <w:shd w:val="clear" w:color="auto" w:fill="FFFFFF" w:themeFill="background1"/>
          </w:tcPr>
          <w:p w14:paraId="4563A20E" w14:textId="77777777" w:rsidR="005A0B5B" w:rsidRPr="00BB652D" w:rsidRDefault="005A0B5B" w:rsidP="00BB652D">
            <w:pPr>
              <w:rPr>
                <w:b w:val="0"/>
              </w:rPr>
            </w:pPr>
            <w:r w:rsidRPr="00BB652D">
              <w:rPr>
                <w:b w:val="0"/>
              </w:rPr>
              <w:t>5.2.8.5</w:t>
            </w:r>
          </w:p>
        </w:tc>
        <w:tc>
          <w:tcPr>
            <w:tcW w:w="7088" w:type="dxa"/>
            <w:tcBorders>
              <w:top w:val="single" w:sz="4" w:space="0" w:color="auto"/>
              <w:bottom w:val="single" w:sz="4" w:space="0" w:color="auto"/>
            </w:tcBorders>
            <w:shd w:val="clear" w:color="auto" w:fill="auto"/>
          </w:tcPr>
          <w:p w14:paraId="1A4CDCAA" w14:textId="77777777" w:rsidR="005A0B5B" w:rsidRPr="00BB652D" w:rsidRDefault="005A0B5B" w:rsidP="00BB652D">
            <w:pPr>
              <w:cnfStyle w:val="000000000000" w:firstRow="0" w:lastRow="0" w:firstColumn="0" w:lastColumn="0" w:oddVBand="0" w:evenVBand="0" w:oddHBand="0" w:evenHBand="0" w:firstRowFirstColumn="0" w:firstRowLastColumn="0" w:lastRowFirstColumn="0" w:lastRowLastColumn="0"/>
            </w:pPr>
            <w:r w:rsidRPr="00BB652D">
              <w:t>Assign an appropriate staff member (usually the business manager) to be responsible to support the AUP process</w:t>
            </w:r>
            <w:r>
              <w:t>.</w:t>
            </w:r>
          </w:p>
        </w:tc>
        <w:tc>
          <w:tcPr>
            <w:tcW w:w="850" w:type="dxa"/>
            <w:tcBorders>
              <w:top w:val="single" w:sz="4" w:space="0" w:color="auto"/>
              <w:bottom w:val="single" w:sz="4" w:space="0" w:color="auto"/>
            </w:tcBorders>
            <w:shd w:val="clear" w:color="auto" w:fill="auto"/>
          </w:tcPr>
          <w:p w14:paraId="637BF13F" w14:textId="77777777" w:rsidR="005A0B5B" w:rsidRPr="00BB652D" w:rsidRDefault="005A0B5B" w:rsidP="00BB652D">
            <w:pPr>
              <w:cnfStyle w:val="000000000000" w:firstRow="0" w:lastRow="0" w:firstColumn="0" w:lastColumn="0" w:oddVBand="0" w:evenVBand="0" w:oddHBand="0" w:evenHBand="0" w:firstRowFirstColumn="0" w:firstRowLastColumn="0" w:lastRowFirstColumn="0" w:lastRowLastColumn="0"/>
            </w:pPr>
          </w:p>
        </w:tc>
      </w:tr>
      <w:tr w:rsidR="005A0B5B" w:rsidRPr="00BB652D" w14:paraId="6DFA3BD3" w14:textId="24E2DBD9" w:rsidTr="005A0B5B">
        <w:tblPrEx>
          <w:tblBorders>
            <w:top w:val="single" w:sz="4" w:space="0" w:color="auto"/>
            <w:left w:val="single" w:sz="4" w:space="0" w:color="auto"/>
            <w:bottom w:val="single" w:sz="4" w:space="0" w:color="auto"/>
            <w:right w:val="single" w:sz="4" w:space="0" w:color="auto"/>
            <w:insideH w:val="single" w:sz="8" w:space="0" w:color="9BBB59" w:themeColor="accent3"/>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229" w:type="dxa"/>
            <w:tcBorders>
              <w:top w:val="single" w:sz="4" w:space="0" w:color="auto"/>
              <w:left w:val="single" w:sz="4" w:space="0" w:color="auto"/>
              <w:bottom w:val="single" w:sz="4" w:space="0" w:color="auto"/>
            </w:tcBorders>
            <w:shd w:val="clear" w:color="auto" w:fill="FFFFFF" w:themeFill="background1"/>
          </w:tcPr>
          <w:p w14:paraId="11B72ED0" w14:textId="77777777" w:rsidR="005A0B5B" w:rsidRPr="00BB652D" w:rsidRDefault="005A0B5B" w:rsidP="00BB652D">
            <w:pPr>
              <w:rPr>
                <w:b w:val="0"/>
              </w:rPr>
            </w:pPr>
            <w:r w:rsidRPr="00BB652D">
              <w:rPr>
                <w:b w:val="0"/>
              </w:rPr>
              <w:t>5.2.8.6</w:t>
            </w:r>
          </w:p>
        </w:tc>
        <w:tc>
          <w:tcPr>
            <w:tcW w:w="7088" w:type="dxa"/>
            <w:tcBorders>
              <w:top w:val="single" w:sz="4" w:space="0" w:color="auto"/>
              <w:bottom w:val="single" w:sz="4" w:space="0" w:color="auto"/>
            </w:tcBorders>
            <w:shd w:val="clear" w:color="auto" w:fill="auto"/>
          </w:tcPr>
          <w:p w14:paraId="3B8BA2AD" w14:textId="77777777" w:rsidR="005A0B5B" w:rsidRPr="00BB652D" w:rsidRDefault="005A0B5B" w:rsidP="00BB652D">
            <w:pPr>
              <w:cnfStyle w:val="000000100000" w:firstRow="0" w:lastRow="0" w:firstColumn="0" w:lastColumn="0" w:oddVBand="0" w:evenVBand="0" w:oddHBand="1" w:evenHBand="0" w:firstRowFirstColumn="0" w:firstRowLastColumn="0" w:lastRowFirstColumn="0" w:lastRowLastColumn="0"/>
            </w:pPr>
            <w:r w:rsidRPr="00BB652D">
              <w:t>Ensure all records and registers are up-to-date</w:t>
            </w:r>
            <w:r>
              <w:t>.</w:t>
            </w:r>
          </w:p>
        </w:tc>
        <w:tc>
          <w:tcPr>
            <w:tcW w:w="850" w:type="dxa"/>
            <w:tcBorders>
              <w:top w:val="single" w:sz="4" w:space="0" w:color="auto"/>
              <w:bottom w:val="single" w:sz="4" w:space="0" w:color="auto"/>
              <w:right w:val="single" w:sz="4" w:space="0" w:color="auto"/>
            </w:tcBorders>
            <w:shd w:val="clear" w:color="auto" w:fill="auto"/>
          </w:tcPr>
          <w:p w14:paraId="2E18E521" w14:textId="77777777" w:rsidR="005A0B5B" w:rsidRPr="00BB652D" w:rsidRDefault="005A0B5B" w:rsidP="00BB652D">
            <w:pPr>
              <w:cnfStyle w:val="000000100000" w:firstRow="0" w:lastRow="0" w:firstColumn="0" w:lastColumn="0" w:oddVBand="0" w:evenVBand="0" w:oddHBand="1" w:evenHBand="0" w:firstRowFirstColumn="0" w:firstRowLastColumn="0" w:lastRowFirstColumn="0" w:lastRowLastColumn="0"/>
            </w:pPr>
          </w:p>
        </w:tc>
      </w:tr>
      <w:tr w:rsidR="005A0B5B" w:rsidRPr="00BB652D" w14:paraId="3E120C6D" w14:textId="0C1AFFE7" w:rsidTr="005A0B5B">
        <w:tblPrEx>
          <w:tblBorders>
            <w:top w:val="single" w:sz="4" w:space="0" w:color="auto"/>
            <w:left w:val="single" w:sz="4" w:space="0" w:color="auto"/>
            <w:bottom w:val="single" w:sz="4" w:space="0" w:color="auto"/>
            <w:right w:val="single" w:sz="4" w:space="0" w:color="auto"/>
            <w:insideH w:val="single" w:sz="8" w:space="0" w:color="9BBB59" w:themeColor="accent3"/>
            <w:insideV w:val="single" w:sz="4" w:space="0" w:color="auto"/>
          </w:tblBorders>
        </w:tblPrEx>
        <w:trPr>
          <w:trHeight w:hRule="exact" w:val="737"/>
        </w:trPr>
        <w:tc>
          <w:tcPr>
            <w:cnfStyle w:val="001000000000" w:firstRow="0" w:lastRow="0" w:firstColumn="1" w:lastColumn="0" w:oddVBand="0" w:evenVBand="0" w:oddHBand="0" w:evenHBand="0" w:firstRowFirstColumn="0" w:firstRowLastColumn="0" w:lastRowFirstColumn="0" w:lastRowLastColumn="0"/>
            <w:tcW w:w="1229" w:type="dxa"/>
            <w:tcBorders>
              <w:top w:val="single" w:sz="4" w:space="0" w:color="auto"/>
              <w:bottom w:val="single" w:sz="4" w:space="0" w:color="auto"/>
            </w:tcBorders>
            <w:shd w:val="clear" w:color="auto" w:fill="FFFFFF" w:themeFill="background1"/>
          </w:tcPr>
          <w:p w14:paraId="33D5F9C6" w14:textId="77777777" w:rsidR="005A0B5B" w:rsidRPr="00BB652D" w:rsidRDefault="005A0B5B" w:rsidP="00BB652D">
            <w:pPr>
              <w:rPr>
                <w:b w:val="0"/>
              </w:rPr>
            </w:pPr>
            <w:r w:rsidRPr="00BB652D">
              <w:rPr>
                <w:b w:val="0"/>
              </w:rPr>
              <w:t>5.2.8.7</w:t>
            </w:r>
          </w:p>
        </w:tc>
        <w:tc>
          <w:tcPr>
            <w:tcW w:w="7088" w:type="dxa"/>
            <w:tcBorders>
              <w:top w:val="single" w:sz="4" w:space="0" w:color="auto"/>
              <w:bottom w:val="single" w:sz="4" w:space="0" w:color="auto"/>
            </w:tcBorders>
            <w:shd w:val="clear" w:color="auto" w:fill="auto"/>
          </w:tcPr>
          <w:p w14:paraId="32DBFEF7" w14:textId="77777777" w:rsidR="005A0B5B" w:rsidRPr="00BB652D" w:rsidRDefault="005A0B5B" w:rsidP="00BB652D">
            <w:pPr>
              <w:cnfStyle w:val="000000000000" w:firstRow="0" w:lastRow="0" w:firstColumn="0" w:lastColumn="0" w:oddVBand="0" w:evenVBand="0" w:oddHBand="0" w:evenHBand="0" w:firstRowFirstColumn="0" w:firstRowLastColumn="0" w:lastRowFirstColumn="0" w:lastRowLastColumn="0"/>
            </w:pPr>
            <w:r w:rsidRPr="00BB652D">
              <w:t>Asking and clarifying any questions with the auditors or School Financial Liaison Officers</w:t>
            </w:r>
            <w:r>
              <w:t xml:space="preserve"> (SFLO’s)</w:t>
            </w:r>
            <w:r w:rsidRPr="00BB652D">
              <w:t xml:space="preserve"> if unclear.</w:t>
            </w:r>
          </w:p>
        </w:tc>
        <w:tc>
          <w:tcPr>
            <w:tcW w:w="850" w:type="dxa"/>
            <w:tcBorders>
              <w:top w:val="single" w:sz="4" w:space="0" w:color="auto"/>
              <w:bottom w:val="single" w:sz="4" w:space="0" w:color="auto"/>
            </w:tcBorders>
            <w:shd w:val="clear" w:color="auto" w:fill="auto"/>
          </w:tcPr>
          <w:p w14:paraId="02D7FD64" w14:textId="77777777" w:rsidR="005A0B5B" w:rsidRPr="00BB652D" w:rsidRDefault="005A0B5B" w:rsidP="00BB652D">
            <w:pPr>
              <w:cnfStyle w:val="000000000000" w:firstRow="0" w:lastRow="0" w:firstColumn="0" w:lastColumn="0" w:oddVBand="0" w:evenVBand="0" w:oddHBand="0" w:evenHBand="0" w:firstRowFirstColumn="0" w:firstRowLastColumn="0" w:lastRowFirstColumn="0" w:lastRowLastColumn="0"/>
            </w:pPr>
          </w:p>
        </w:tc>
      </w:tr>
    </w:tbl>
    <w:p w14:paraId="4E206931" w14:textId="77777777" w:rsidR="00C93EF5" w:rsidRDefault="00C93EF5">
      <w:pPr>
        <w:spacing w:before="0" w:line="240" w:lineRule="auto"/>
        <w:rPr>
          <w:lang w:val="en-US"/>
        </w:rPr>
      </w:pPr>
      <w:r>
        <w:rPr>
          <w:lang w:val="en-US"/>
        </w:rPr>
        <w:br w:type="page"/>
      </w:r>
    </w:p>
    <w:p w14:paraId="4C706C25" w14:textId="77777777" w:rsidR="008F7030" w:rsidRPr="008F7030" w:rsidRDefault="008F7030" w:rsidP="008F7030">
      <w:pPr>
        <w:pStyle w:val="Heading3"/>
        <w:rPr>
          <w:lang w:val="en-US"/>
        </w:rPr>
      </w:pPr>
      <w:r>
        <w:rPr>
          <w:lang w:val="en-US"/>
        </w:rPr>
        <w:lastRenderedPageBreak/>
        <w:t>5.2.</w:t>
      </w:r>
      <w:r w:rsidR="00FA36DB">
        <w:rPr>
          <w:lang w:val="en-US"/>
        </w:rPr>
        <w:t>9</w:t>
      </w:r>
      <w:r w:rsidR="00B42217">
        <w:rPr>
          <w:lang w:val="en-US"/>
        </w:rPr>
        <w:tab/>
      </w:r>
      <w:r>
        <w:rPr>
          <w:lang w:val="en-US"/>
        </w:rPr>
        <w:t>What are schools’ responsibilities in the AUP</w:t>
      </w:r>
    </w:p>
    <w:p w14:paraId="0FF19E23" w14:textId="77777777" w:rsidR="008F7030" w:rsidRDefault="008F7030" w:rsidP="000D73A3">
      <w:r w:rsidRPr="000D73A3">
        <w:t>The role and responsibility of the external auditors are to perform the AUP, document the factual findings and enquire reasons for any exceptions identified.</w:t>
      </w:r>
    </w:p>
    <w:p w14:paraId="434C5E43" w14:textId="77777777" w:rsidR="008F7030" w:rsidRPr="00681347" w:rsidRDefault="008F7030" w:rsidP="008F7030">
      <w:pPr>
        <w:pStyle w:val="Heading3"/>
      </w:pPr>
      <w:r>
        <w:t>5</w:t>
      </w:r>
      <w:r w:rsidRPr="00681347">
        <w:t>.</w:t>
      </w:r>
      <w:r>
        <w:t>2</w:t>
      </w:r>
      <w:r w:rsidRPr="00681347">
        <w:t>.</w:t>
      </w:r>
      <w:r w:rsidR="00FA36DB">
        <w:t>10</w:t>
      </w:r>
      <w:r w:rsidR="00B42217">
        <w:tab/>
      </w:r>
      <w:r w:rsidRPr="00681347">
        <w:t>Mandatory policy (</w:t>
      </w:r>
      <w:r>
        <w:t>Must do</w:t>
      </w:r>
      <w:r w:rsidRPr="00681347">
        <w:t>)</w:t>
      </w:r>
      <w:r>
        <w:t>:</w:t>
      </w:r>
    </w:p>
    <w:tbl>
      <w:tblPr>
        <w:tblStyle w:val="LightList-Accent3"/>
        <w:tblW w:w="9162" w:type="dxa"/>
        <w:tblInd w:w="47" w:type="dxa"/>
        <w:tblLayout w:type="fixed"/>
        <w:tblLook w:val="04A0" w:firstRow="1" w:lastRow="0" w:firstColumn="1" w:lastColumn="0" w:noHBand="0" w:noVBand="1"/>
        <w:tblDescription w:val="scenario numbers and policy information"/>
      </w:tblPr>
      <w:tblGrid>
        <w:gridCol w:w="1224"/>
        <w:gridCol w:w="7088"/>
        <w:gridCol w:w="850"/>
      </w:tblGrid>
      <w:tr w:rsidR="005A0B5B" w:rsidRPr="00BB652D" w14:paraId="0453E469" w14:textId="64EF0E43" w:rsidTr="005A0B5B">
        <w:trPr>
          <w:cnfStyle w:val="100000000000" w:firstRow="1" w:lastRow="0" w:firstColumn="0" w:lastColumn="0" w:oddVBand="0" w:evenVBand="0" w:oddHBand="0" w:evenHBand="0" w:firstRowFirstColumn="0" w:firstRowLastColumn="0" w:lastRowFirstColumn="0" w:lastRowLastColumn="0"/>
          <w:trHeight w:hRule="exact" w:val="737"/>
          <w:tblHeader/>
        </w:trPr>
        <w:tc>
          <w:tcPr>
            <w:cnfStyle w:val="001000000000" w:firstRow="0" w:lastRow="0" w:firstColumn="1" w:lastColumn="0" w:oddVBand="0" w:evenVBand="0" w:oddHBand="0" w:evenHBand="0" w:firstRowFirstColumn="0" w:firstRowLastColumn="0" w:lastRowFirstColumn="0" w:lastRowLastColumn="0"/>
            <w:tcW w:w="1224" w:type="dxa"/>
            <w:tcBorders>
              <w:top w:val="single" w:sz="4" w:space="0" w:color="auto"/>
              <w:left w:val="single" w:sz="4" w:space="0" w:color="auto"/>
              <w:bottom w:val="single" w:sz="4" w:space="0" w:color="auto"/>
              <w:right w:val="single" w:sz="4" w:space="0" w:color="auto"/>
            </w:tcBorders>
            <w:shd w:val="clear" w:color="auto" w:fill="auto"/>
          </w:tcPr>
          <w:p w14:paraId="56071DBD" w14:textId="77777777" w:rsidR="005A0B5B" w:rsidRPr="0034674E" w:rsidRDefault="005A0B5B" w:rsidP="00F73065">
            <w:pPr>
              <w:rPr>
                <w:color w:val="auto"/>
                <w:sz w:val="18"/>
              </w:rPr>
            </w:pPr>
            <w:r w:rsidRPr="0034674E">
              <w:rPr>
                <w:color w:val="auto"/>
                <w:sz w:val="18"/>
              </w:rPr>
              <w:t>Sequence Number</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A0CB3A0" w14:textId="77777777" w:rsidR="005A0B5B" w:rsidRPr="0034674E" w:rsidRDefault="005A0B5B" w:rsidP="00F73065">
            <w:pPr>
              <w:cnfStyle w:val="100000000000" w:firstRow="1" w:lastRow="0" w:firstColumn="0" w:lastColumn="0" w:oddVBand="0" w:evenVBand="0" w:oddHBand="0" w:evenHBand="0" w:firstRowFirstColumn="0" w:firstRowLastColumn="0" w:lastRowFirstColumn="0" w:lastRowLastColumn="0"/>
              <w:rPr>
                <w:color w:val="auto"/>
                <w:sz w:val="18"/>
              </w:rPr>
            </w:pPr>
            <w:r w:rsidRPr="0034674E">
              <w:rPr>
                <w:color w:val="auto"/>
                <w:sz w:val="18"/>
              </w:rPr>
              <w:t>Information</w:t>
            </w:r>
          </w:p>
        </w:tc>
        <w:tc>
          <w:tcPr>
            <w:tcW w:w="850" w:type="dxa"/>
            <w:tcBorders>
              <w:top w:val="nil"/>
              <w:left w:val="single" w:sz="4" w:space="0" w:color="auto"/>
              <w:bottom w:val="single" w:sz="4" w:space="0" w:color="auto"/>
              <w:right w:val="nil"/>
            </w:tcBorders>
            <w:shd w:val="clear" w:color="auto" w:fill="auto"/>
          </w:tcPr>
          <w:p w14:paraId="42030651" w14:textId="77777777" w:rsidR="005A0B5B" w:rsidRPr="0034674E" w:rsidRDefault="005A0B5B" w:rsidP="00F73065">
            <w:pPr>
              <w:cnfStyle w:val="100000000000" w:firstRow="1" w:lastRow="0" w:firstColumn="0" w:lastColumn="0" w:oddVBand="0" w:evenVBand="0" w:oddHBand="0" w:evenHBand="0" w:firstRowFirstColumn="0" w:firstRowLastColumn="0" w:lastRowFirstColumn="0" w:lastRowLastColumn="0"/>
              <w:rPr>
                <w:sz w:val="18"/>
              </w:rPr>
            </w:pPr>
          </w:p>
        </w:tc>
      </w:tr>
      <w:tr w:rsidR="005A0B5B" w:rsidRPr="00084314" w14:paraId="18A82A98" w14:textId="09163370" w:rsidTr="005A0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100000000000" w:firstRow="1" w:lastRow="0" w:firstColumn="0" w:lastColumn="0" w:oddVBand="0" w:evenVBand="0" w:oddHBand="0" w:evenHBand="0" w:firstRowFirstColumn="0" w:firstRowLastColumn="0" w:lastRowFirstColumn="0" w:lastRowLastColumn="0"/>
          <w:trHeight w:hRule="exact" w:val="737"/>
          <w:tblHeader/>
        </w:trPr>
        <w:tc>
          <w:tcPr>
            <w:cnfStyle w:val="001000000000" w:firstRow="0" w:lastRow="0" w:firstColumn="1" w:lastColumn="0" w:oddVBand="0" w:evenVBand="0" w:oddHBand="0" w:evenHBand="0" w:firstRowFirstColumn="0" w:firstRowLastColumn="0" w:lastRowFirstColumn="0" w:lastRowLastColumn="0"/>
            <w:tcW w:w="1224" w:type="dxa"/>
            <w:tcBorders>
              <w:top w:val="single" w:sz="4" w:space="0" w:color="auto"/>
            </w:tcBorders>
            <w:shd w:val="clear" w:color="auto" w:fill="FFFFFF" w:themeFill="background1"/>
          </w:tcPr>
          <w:p w14:paraId="63C8F6FF" w14:textId="77777777" w:rsidR="005A0B5B" w:rsidRPr="00084314" w:rsidRDefault="005A0B5B" w:rsidP="000D73A3">
            <w:pPr>
              <w:rPr>
                <w:b w:val="0"/>
                <w:color w:val="auto"/>
              </w:rPr>
            </w:pPr>
            <w:r w:rsidRPr="00084314">
              <w:rPr>
                <w:b w:val="0"/>
                <w:color w:val="auto"/>
              </w:rPr>
              <w:t>5.2.10.1.</w:t>
            </w:r>
          </w:p>
        </w:tc>
        <w:tc>
          <w:tcPr>
            <w:tcW w:w="7088" w:type="dxa"/>
            <w:tcBorders>
              <w:top w:val="single" w:sz="4" w:space="0" w:color="auto"/>
            </w:tcBorders>
            <w:shd w:val="clear" w:color="auto" w:fill="auto"/>
          </w:tcPr>
          <w:p w14:paraId="2FB8797E" w14:textId="77777777" w:rsidR="005A0B5B" w:rsidRPr="00084314" w:rsidRDefault="005A0B5B" w:rsidP="00203A64">
            <w:pPr>
              <w:cnfStyle w:val="100000000000" w:firstRow="1" w:lastRow="0" w:firstColumn="0" w:lastColumn="0" w:oddVBand="0" w:evenVBand="0" w:oddHBand="0" w:evenHBand="0" w:firstRowFirstColumn="0" w:firstRowLastColumn="0" w:lastRowFirstColumn="0" w:lastRowLastColumn="0"/>
              <w:rPr>
                <w:b w:val="0"/>
                <w:color w:val="auto"/>
              </w:rPr>
            </w:pPr>
            <w:r w:rsidRPr="00084314">
              <w:rPr>
                <w:b w:val="0"/>
                <w:color w:val="auto"/>
              </w:rPr>
              <w:t>Co-operate and provide auditors with access to all information reasonably required for them to perform the AUP.</w:t>
            </w:r>
          </w:p>
        </w:tc>
        <w:tc>
          <w:tcPr>
            <w:tcW w:w="850" w:type="dxa"/>
            <w:tcBorders>
              <w:top w:val="single" w:sz="4" w:space="0" w:color="auto"/>
            </w:tcBorders>
            <w:shd w:val="clear" w:color="auto" w:fill="auto"/>
          </w:tcPr>
          <w:p w14:paraId="33BFF348" w14:textId="77777777" w:rsidR="005A0B5B" w:rsidRPr="00084314" w:rsidRDefault="005A0B5B" w:rsidP="00203A64">
            <w:pPr>
              <w:cnfStyle w:val="100000000000" w:firstRow="1" w:lastRow="0" w:firstColumn="0" w:lastColumn="0" w:oddVBand="0" w:evenVBand="0" w:oddHBand="0" w:evenHBand="0" w:firstRowFirstColumn="0" w:firstRowLastColumn="0" w:lastRowFirstColumn="0" w:lastRowLastColumn="0"/>
            </w:pPr>
          </w:p>
        </w:tc>
      </w:tr>
      <w:tr w:rsidR="005A0B5B" w:rsidRPr="000D73A3" w14:paraId="78E548DD" w14:textId="65E4CF58" w:rsidTr="005A0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hRule="exact" w:val="1021"/>
        </w:trPr>
        <w:tc>
          <w:tcPr>
            <w:cnfStyle w:val="001000000000" w:firstRow="0" w:lastRow="0" w:firstColumn="1" w:lastColumn="0" w:oddVBand="0" w:evenVBand="0" w:oddHBand="0" w:evenHBand="0" w:firstRowFirstColumn="0" w:firstRowLastColumn="0" w:lastRowFirstColumn="0" w:lastRowLastColumn="0"/>
            <w:tcW w:w="1224" w:type="dxa"/>
            <w:tcBorders>
              <w:top w:val="single" w:sz="4" w:space="0" w:color="auto"/>
              <w:left w:val="single" w:sz="4" w:space="0" w:color="auto"/>
              <w:bottom w:val="single" w:sz="4" w:space="0" w:color="auto"/>
            </w:tcBorders>
            <w:shd w:val="clear" w:color="auto" w:fill="FFFFFF" w:themeFill="background1"/>
          </w:tcPr>
          <w:p w14:paraId="0676C1CB" w14:textId="77777777" w:rsidR="005A0B5B" w:rsidRPr="000D73A3" w:rsidRDefault="005A0B5B" w:rsidP="000D73A3">
            <w:pPr>
              <w:rPr>
                <w:b w:val="0"/>
              </w:rPr>
            </w:pPr>
            <w:r w:rsidRPr="000D73A3">
              <w:rPr>
                <w:b w:val="0"/>
              </w:rPr>
              <w:t>5.2.10.2</w:t>
            </w:r>
          </w:p>
        </w:tc>
        <w:tc>
          <w:tcPr>
            <w:tcW w:w="7088" w:type="dxa"/>
            <w:tcBorders>
              <w:top w:val="single" w:sz="4" w:space="0" w:color="auto"/>
              <w:bottom w:val="single" w:sz="4" w:space="0" w:color="auto"/>
            </w:tcBorders>
            <w:shd w:val="clear" w:color="auto" w:fill="auto"/>
          </w:tcPr>
          <w:p w14:paraId="14F5418B" w14:textId="77777777" w:rsidR="005A0B5B" w:rsidRPr="000D73A3" w:rsidRDefault="005A0B5B" w:rsidP="00F94481">
            <w:pPr>
              <w:cnfStyle w:val="000000100000" w:firstRow="0" w:lastRow="0" w:firstColumn="0" w:lastColumn="0" w:oddVBand="0" w:evenVBand="0" w:oddHBand="1" w:evenHBand="0" w:firstRowFirstColumn="0" w:firstRowLastColumn="0" w:lastRowFirstColumn="0" w:lastRowLastColumn="0"/>
            </w:pPr>
            <w:r w:rsidRPr="000D73A3">
              <w:t xml:space="preserve">Ensure the principal and business manager are available to answer questions and discuss the preliminary findings (auditors may also ask the </w:t>
            </w:r>
            <w:r>
              <w:t>school council</w:t>
            </w:r>
            <w:r w:rsidRPr="000D73A3">
              <w:t xml:space="preserve"> president to attend)</w:t>
            </w:r>
            <w:r>
              <w:t>.</w:t>
            </w:r>
          </w:p>
        </w:tc>
        <w:tc>
          <w:tcPr>
            <w:tcW w:w="850" w:type="dxa"/>
            <w:tcBorders>
              <w:top w:val="single" w:sz="4" w:space="0" w:color="auto"/>
              <w:bottom w:val="single" w:sz="4" w:space="0" w:color="auto"/>
              <w:right w:val="single" w:sz="4" w:space="0" w:color="auto"/>
            </w:tcBorders>
            <w:shd w:val="clear" w:color="auto" w:fill="auto"/>
          </w:tcPr>
          <w:p w14:paraId="15F35A08" w14:textId="77777777" w:rsidR="005A0B5B" w:rsidRPr="000D73A3" w:rsidRDefault="005A0B5B" w:rsidP="00F94481">
            <w:pPr>
              <w:cnfStyle w:val="000000100000" w:firstRow="0" w:lastRow="0" w:firstColumn="0" w:lastColumn="0" w:oddVBand="0" w:evenVBand="0" w:oddHBand="1" w:evenHBand="0" w:firstRowFirstColumn="0" w:firstRowLastColumn="0" w:lastRowFirstColumn="0" w:lastRowLastColumn="0"/>
            </w:pPr>
          </w:p>
        </w:tc>
      </w:tr>
      <w:tr w:rsidR="005A0B5B" w:rsidRPr="000D73A3" w14:paraId="3F58EEAB" w14:textId="33D1B06F" w:rsidTr="005A0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37"/>
        </w:trPr>
        <w:tc>
          <w:tcPr>
            <w:cnfStyle w:val="001000000000" w:firstRow="0" w:lastRow="0" w:firstColumn="1" w:lastColumn="0" w:oddVBand="0" w:evenVBand="0" w:oddHBand="0" w:evenHBand="0" w:firstRowFirstColumn="0" w:firstRowLastColumn="0" w:lastRowFirstColumn="0" w:lastRowLastColumn="0"/>
            <w:tcW w:w="1224" w:type="dxa"/>
            <w:shd w:val="clear" w:color="auto" w:fill="FFFFFF" w:themeFill="background1"/>
          </w:tcPr>
          <w:p w14:paraId="0F292F1D" w14:textId="77777777" w:rsidR="005A0B5B" w:rsidRPr="000D73A3" w:rsidRDefault="005A0B5B" w:rsidP="000D73A3">
            <w:pPr>
              <w:rPr>
                <w:b w:val="0"/>
              </w:rPr>
            </w:pPr>
            <w:r w:rsidRPr="000D73A3">
              <w:rPr>
                <w:b w:val="0"/>
              </w:rPr>
              <w:t>5.2.10.3</w:t>
            </w:r>
          </w:p>
        </w:tc>
        <w:tc>
          <w:tcPr>
            <w:tcW w:w="7088" w:type="dxa"/>
            <w:shd w:val="clear" w:color="auto" w:fill="auto"/>
          </w:tcPr>
          <w:p w14:paraId="3A012382" w14:textId="77777777" w:rsidR="005A0B5B" w:rsidRPr="000D73A3" w:rsidRDefault="005A0B5B" w:rsidP="00203A64">
            <w:pPr>
              <w:cnfStyle w:val="000000000000" w:firstRow="0" w:lastRow="0" w:firstColumn="0" w:lastColumn="0" w:oddVBand="0" w:evenVBand="0" w:oddHBand="0" w:evenHBand="0" w:firstRowFirstColumn="0" w:firstRowLastColumn="0" w:lastRowFirstColumn="0" w:lastRowLastColumn="0"/>
            </w:pPr>
            <w:r w:rsidRPr="000D73A3">
              <w:t>Be professional in their approach to the AUP and co-operate with auditors in the discussion of any identified issues</w:t>
            </w:r>
            <w:r>
              <w:t>.</w:t>
            </w:r>
            <w:r w:rsidRPr="000D73A3">
              <w:t xml:space="preserve"> </w:t>
            </w:r>
          </w:p>
        </w:tc>
        <w:tc>
          <w:tcPr>
            <w:tcW w:w="850" w:type="dxa"/>
            <w:shd w:val="clear" w:color="auto" w:fill="auto"/>
          </w:tcPr>
          <w:p w14:paraId="0E6A6FC3" w14:textId="77777777" w:rsidR="005A0B5B" w:rsidRPr="000D73A3" w:rsidRDefault="005A0B5B" w:rsidP="00203A64">
            <w:pPr>
              <w:cnfStyle w:val="000000000000" w:firstRow="0" w:lastRow="0" w:firstColumn="0" w:lastColumn="0" w:oddVBand="0" w:evenVBand="0" w:oddHBand="0" w:evenHBand="0" w:firstRowFirstColumn="0" w:firstRowLastColumn="0" w:lastRowFirstColumn="0" w:lastRowLastColumn="0"/>
            </w:pPr>
          </w:p>
        </w:tc>
      </w:tr>
      <w:tr w:rsidR="005A0B5B" w:rsidRPr="000D73A3" w14:paraId="188D88CF" w14:textId="244E52B9" w:rsidTr="005A0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1224" w:type="dxa"/>
            <w:tcBorders>
              <w:top w:val="single" w:sz="4" w:space="0" w:color="auto"/>
              <w:left w:val="single" w:sz="4" w:space="0" w:color="auto"/>
              <w:bottom w:val="single" w:sz="4" w:space="0" w:color="auto"/>
            </w:tcBorders>
            <w:shd w:val="clear" w:color="auto" w:fill="FFFFFF" w:themeFill="background1"/>
          </w:tcPr>
          <w:p w14:paraId="51C8FAD3" w14:textId="77777777" w:rsidR="005A0B5B" w:rsidRPr="000D73A3" w:rsidRDefault="005A0B5B" w:rsidP="000D73A3">
            <w:pPr>
              <w:rPr>
                <w:b w:val="0"/>
              </w:rPr>
            </w:pPr>
            <w:r w:rsidRPr="000D73A3">
              <w:rPr>
                <w:b w:val="0"/>
              </w:rPr>
              <w:t>5.2.10.4</w:t>
            </w:r>
          </w:p>
        </w:tc>
        <w:tc>
          <w:tcPr>
            <w:tcW w:w="7088" w:type="dxa"/>
            <w:tcBorders>
              <w:top w:val="single" w:sz="4" w:space="0" w:color="auto"/>
              <w:bottom w:val="single" w:sz="4" w:space="0" w:color="auto"/>
            </w:tcBorders>
            <w:shd w:val="clear" w:color="auto" w:fill="auto"/>
          </w:tcPr>
          <w:p w14:paraId="264B4F4A" w14:textId="77777777" w:rsidR="005A0B5B" w:rsidRPr="000D73A3" w:rsidRDefault="005A0B5B" w:rsidP="00203A64">
            <w:pPr>
              <w:cnfStyle w:val="000000100000" w:firstRow="0" w:lastRow="0" w:firstColumn="0" w:lastColumn="0" w:oddVBand="0" w:evenVBand="0" w:oddHBand="1" w:evenHBand="0" w:firstRowFirstColumn="0" w:firstRowLastColumn="0" w:lastRowFirstColumn="0" w:lastRowLastColumn="0"/>
            </w:pPr>
            <w:r w:rsidRPr="000D73A3">
              <w:t>Provide management comments within the specified timeframe to auditors to be included in the AUP report.</w:t>
            </w:r>
          </w:p>
        </w:tc>
        <w:tc>
          <w:tcPr>
            <w:tcW w:w="850" w:type="dxa"/>
            <w:tcBorders>
              <w:top w:val="single" w:sz="4" w:space="0" w:color="auto"/>
              <w:bottom w:val="single" w:sz="4" w:space="0" w:color="auto"/>
              <w:right w:val="single" w:sz="4" w:space="0" w:color="auto"/>
            </w:tcBorders>
            <w:shd w:val="clear" w:color="auto" w:fill="auto"/>
          </w:tcPr>
          <w:p w14:paraId="6BC8569A" w14:textId="77777777" w:rsidR="005A0B5B" w:rsidRPr="000D73A3" w:rsidRDefault="005A0B5B" w:rsidP="00203A64">
            <w:pPr>
              <w:cnfStyle w:val="000000100000" w:firstRow="0" w:lastRow="0" w:firstColumn="0" w:lastColumn="0" w:oddVBand="0" w:evenVBand="0" w:oddHBand="1" w:evenHBand="0" w:firstRowFirstColumn="0" w:firstRowLastColumn="0" w:lastRowFirstColumn="0" w:lastRowLastColumn="0"/>
            </w:pPr>
          </w:p>
        </w:tc>
      </w:tr>
      <w:tr w:rsidR="004047F1" w:rsidRPr="000D73A3" w14:paraId="0DC7B336" w14:textId="77777777" w:rsidTr="00404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37"/>
        </w:trPr>
        <w:tc>
          <w:tcPr>
            <w:cnfStyle w:val="001000000000" w:firstRow="0" w:lastRow="0" w:firstColumn="1" w:lastColumn="0" w:oddVBand="0" w:evenVBand="0" w:oddHBand="0" w:evenHBand="0" w:firstRowFirstColumn="0" w:firstRowLastColumn="0" w:lastRowFirstColumn="0" w:lastRowLastColumn="0"/>
            <w:tcW w:w="1224" w:type="dxa"/>
            <w:tcBorders>
              <w:top w:val="single" w:sz="4" w:space="0" w:color="auto"/>
              <w:left w:val="single" w:sz="4" w:space="0" w:color="auto"/>
              <w:bottom w:val="single" w:sz="8" w:space="0" w:color="auto"/>
            </w:tcBorders>
            <w:shd w:val="clear" w:color="auto" w:fill="FFFFFF" w:themeFill="background1"/>
          </w:tcPr>
          <w:p w14:paraId="01C60F99" w14:textId="2033ADB6" w:rsidR="004047F1" w:rsidRPr="000D73A3" w:rsidRDefault="004047F1" w:rsidP="000D73A3">
            <w:r w:rsidRPr="004047F1">
              <w:rPr>
                <w:b w:val="0"/>
              </w:rPr>
              <w:t>5.2.10.5</w:t>
            </w:r>
          </w:p>
        </w:tc>
        <w:tc>
          <w:tcPr>
            <w:tcW w:w="7088" w:type="dxa"/>
            <w:tcBorders>
              <w:top w:val="single" w:sz="4" w:space="0" w:color="auto"/>
              <w:bottom w:val="single" w:sz="8" w:space="0" w:color="auto"/>
            </w:tcBorders>
            <w:shd w:val="clear" w:color="auto" w:fill="auto"/>
          </w:tcPr>
          <w:p w14:paraId="265105F9" w14:textId="6B480391" w:rsidR="004047F1" w:rsidRPr="000D73A3" w:rsidRDefault="004047F1" w:rsidP="00203A64">
            <w:pPr>
              <w:cnfStyle w:val="000000000000" w:firstRow="0" w:lastRow="0" w:firstColumn="0" w:lastColumn="0" w:oddVBand="0" w:evenVBand="0" w:oddHBand="0" w:evenHBand="0" w:firstRowFirstColumn="0" w:firstRowLastColumn="0" w:lastRowFirstColumn="0" w:lastRowLastColumn="0"/>
            </w:pPr>
            <w:r>
              <w:t>Organise for the final audit report to be tabled and formally minuted at a school council meeting.</w:t>
            </w:r>
          </w:p>
        </w:tc>
        <w:tc>
          <w:tcPr>
            <w:tcW w:w="850" w:type="dxa"/>
            <w:tcBorders>
              <w:top w:val="single" w:sz="4" w:space="0" w:color="auto"/>
              <w:bottom w:val="single" w:sz="8" w:space="0" w:color="auto"/>
              <w:right w:val="single" w:sz="4" w:space="0" w:color="auto"/>
            </w:tcBorders>
            <w:shd w:val="clear" w:color="auto" w:fill="auto"/>
          </w:tcPr>
          <w:p w14:paraId="0D5EED71" w14:textId="77777777" w:rsidR="004047F1" w:rsidRPr="000D73A3" w:rsidRDefault="004047F1" w:rsidP="00203A64">
            <w:pPr>
              <w:cnfStyle w:val="000000000000" w:firstRow="0" w:lastRow="0" w:firstColumn="0" w:lastColumn="0" w:oddVBand="0" w:evenVBand="0" w:oddHBand="0" w:evenHBand="0" w:firstRowFirstColumn="0" w:firstRowLastColumn="0" w:lastRowFirstColumn="0" w:lastRowLastColumn="0"/>
            </w:pPr>
          </w:p>
        </w:tc>
      </w:tr>
      <w:tr w:rsidR="005A0B5B" w:rsidRPr="000D73A3" w14:paraId="22E392C8" w14:textId="7FAF3226" w:rsidTr="00404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224" w:type="dxa"/>
            <w:tcBorders>
              <w:top w:val="single" w:sz="8" w:space="0" w:color="auto"/>
              <w:left w:val="single" w:sz="8" w:space="0" w:color="auto"/>
              <w:bottom w:val="single" w:sz="8" w:space="0" w:color="auto"/>
            </w:tcBorders>
            <w:shd w:val="clear" w:color="auto" w:fill="FFFFFF" w:themeFill="background1"/>
          </w:tcPr>
          <w:p w14:paraId="6B0566D1" w14:textId="7101F8FD" w:rsidR="005A0B5B" w:rsidRPr="000D73A3" w:rsidRDefault="004047F1" w:rsidP="000D73A3">
            <w:pPr>
              <w:rPr>
                <w:b w:val="0"/>
              </w:rPr>
            </w:pPr>
            <w:r>
              <w:rPr>
                <w:b w:val="0"/>
              </w:rPr>
              <w:t>5.2.10.6</w:t>
            </w:r>
          </w:p>
        </w:tc>
        <w:tc>
          <w:tcPr>
            <w:tcW w:w="7088" w:type="dxa"/>
            <w:tcBorders>
              <w:top w:val="single" w:sz="8" w:space="0" w:color="auto"/>
              <w:bottom w:val="single" w:sz="8" w:space="0" w:color="auto"/>
            </w:tcBorders>
            <w:shd w:val="clear" w:color="auto" w:fill="auto"/>
          </w:tcPr>
          <w:p w14:paraId="494660BA" w14:textId="77777777" w:rsidR="005A0B5B" w:rsidRPr="000D73A3" w:rsidRDefault="005A0B5B" w:rsidP="00203A64">
            <w:pPr>
              <w:cnfStyle w:val="000000100000" w:firstRow="0" w:lastRow="0" w:firstColumn="0" w:lastColumn="0" w:oddVBand="0" w:evenVBand="0" w:oddHBand="1" w:evenHBand="0" w:firstRowFirstColumn="0" w:firstRowLastColumn="0" w:lastRowFirstColumn="0" w:lastRowLastColumn="0"/>
            </w:pPr>
            <w:r w:rsidRPr="000D73A3">
              <w:t>Ensure all records and registers are up-to-date</w:t>
            </w:r>
            <w:r>
              <w:t>.</w:t>
            </w:r>
          </w:p>
        </w:tc>
        <w:tc>
          <w:tcPr>
            <w:tcW w:w="850" w:type="dxa"/>
            <w:tcBorders>
              <w:top w:val="single" w:sz="8" w:space="0" w:color="auto"/>
              <w:bottom w:val="single" w:sz="8" w:space="0" w:color="auto"/>
              <w:right w:val="single" w:sz="8" w:space="0" w:color="auto"/>
            </w:tcBorders>
            <w:shd w:val="clear" w:color="auto" w:fill="auto"/>
          </w:tcPr>
          <w:p w14:paraId="7F23E4B2" w14:textId="77777777" w:rsidR="005A0B5B" w:rsidRPr="000D73A3" w:rsidRDefault="005A0B5B" w:rsidP="00203A64">
            <w:pPr>
              <w:cnfStyle w:val="000000100000" w:firstRow="0" w:lastRow="0" w:firstColumn="0" w:lastColumn="0" w:oddVBand="0" w:evenVBand="0" w:oddHBand="1" w:evenHBand="0" w:firstRowFirstColumn="0" w:firstRowLastColumn="0" w:lastRowFirstColumn="0" w:lastRowLastColumn="0"/>
            </w:pPr>
          </w:p>
        </w:tc>
      </w:tr>
    </w:tbl>
    <w:p w14:paraId="0F82CFC3" w14:textId="77777777" w:rsidR="008F7030" w:rsidRPr="00681347" w:rsidRDefault="008F7030" w:rsidP="008F7030">
      <w:pPr>
        <w:pStyle w:val="Heading3"/>
      </w:pPr>
      <w:r>
        <w:t>5</w:t>
      </w:r>
      <w:r w:rsidRPr="00681347">
        <w:t>.</w:t>
      </w:r>
      <w:r>
        <w:t>2</w:t>
      </w:r>
      <w:r w:rsidRPr="00681347">
        <w:t>.</w:t>
      </w:r>
      <w:r w:rsidR="00FA36DB">
        <w:t>11</w:t>
      </w:r>
      <w:r w:rsidR="00B42217">
        <w:tab/>
      </w:r>
      <w:r>
        <w:t xml:space="preserve">Prohibited </w:t>
      </w:r>
      <w:r w:rsidRPr="00681347">
        <w:t>policy (</w:t>
      </w:r>
      <w:r>
        <w:t xml:space="preserve">Must </w:t>
      </w:r>
      <w:r w:rsidR="00C044FE">
        <w:t>not</w:t>
      </w:r>
      <w:r w:rsidR="00096EC6">
        <w:t xml:space="preserve"> do</w:t>
      </w:r>
      <w:r w:rsidRPr="00681347">
        <w:t>)</w:t>
      </w:r>
      <w:r>
        <w:t>:</w:t>
      </w:r>
    </w:p>
    <w:tbl>
      <w:tblPr>
        <w:tblStyle w:val="LightList-Accent3"/>
        <w:tblW w:w="9162" w:type="dxa"/>
        <w:tblInd w:w="47" w:type="dxa"/>
        <w:tblLayout w:type="fixed"/>
        <w:tblLook w:val="04A0" w:firstRow="1" w:lastRow="0" w:firstColumn="1" w:lastColumn="0" w:noHBand="0" w:noVBand="1"/>
        <w:tblDescription w:val="scenario numbers and policy information"/>
      </w:tblPr>
      <w:tblGrid>
        <w:gridCol w:w="1224"/>
        <w:gridCol w:w="7088"/>
        <w:gridCol w:w="850"/>
      </w:tblGrid>
      <w:tr w:rsidR="005A0B5B" w:rsidRPr="00BB652D" w14:paraId="6C32F6BF" w14:textId="3F013739" w:rsidTr="005A0B5B">
        <w:trPr>
          <w:cnfStyle w:val="100000000000" w:firstRow="1" w:lastRow="0" w:firstColumn="0" w:lastColumn="0" w:oddVBand="0" w:evenVBand="0" w:oddHBand="0" w:evenHBand="0" w:firstRowFirstColumn="0" w:firstRowLastColumn="0" w:lastRowFirstColumn="0" w:lastRowLastColumn="0"/>
          <w:trHeight w:hRule="exact" w:val="737"/>
          <w:tblHeader/>
        </w:trPr>
        <w:tc>
          <w:tcPr>
            <w:cnfStyle w:val="001000000000" w:firstRow="0" w:lastRow="0" w:firstColumn="1" w:lastColumn="0" w:oddVBand="0" w:evenVBand="0" w:oddHBand="0" w:evenHBand="0" w:firstRowFirstColumn="0" w:firstRowLastColumn="0" w:lastRowFirstColumn="0" w:lastRowLastColumn="0"/>
            <w:tcW w:w="1224" w:type="dxa"/>
            <w:tcBorders>
              <w:top w:val="single" w:sz="4" w:space="0" w:color="auto"/>
              <w:left w:val="single" w:sz="4" w:space="0" w:color="auto"/>
              <w:bottom w:val="single" w:sz="4" w:space="0" w:color="auto"/>
              <w:right w:val="single" w:sz="4" w:space="0" w:color="auto"/>
            </w:tcBorders>
            <w:shd w:val="clear" w:color="auto" w:fill="auto"/>
          </w:tcPr>
          <w:p w14:paraId="09C16F0E" w14:textId="77777777" w:rsidR="005A0B5B" w:rsidRPr="0034674E" w:rsidRDefault="005A0B5B" w:rsidP="00F73065">
            <w:pPr>
              <w:rPr>
                <w:color w:val="auto"/>
                <w:sz w:val="18"/>
              </w:rPr>
            </w:pPr>
            <w:r w:rsidRPr="0034674E">
              <w:rPr>
                <w:color w:val="auto"/>
                <w:sz w:val="18"/>
              </w:rPr>
              <w:t>Sequence Number</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CCE2A20" w14:textId="77777777" w:rsidR="005A0B5B" w:rsidRPr="0034674E" w:rsidRDefault="005A0B5B" w:rsidP="00F73065">
            <w:pPr>
              <w:cnfStyle w:val="100000000000" w:firstRow="1" w:lastRow="0" w:firstColumn="0" w:lastColumn="0" w:oddVBand="0" w:evenVBand="0" w:oddHBand="0" w:evenHBand="0" w:firstRowFirstColumn="0" w:firstRowLastColumn="0" w:lastRowFirstColumn="0" w:lastRowLastColumn="0"/>
              <w:rPr>
                <w:color w:val="auto"/>
                <w:sz w:val="18"/>
              </w:rPr>
            </w:pPr>
            <w:r w:rsidRPr="0034674E">
              <w:rPr>
                <w:color w:val="auto"/>
                <w:sz w:val="18"/>
              </w:rPr>
              <w:t>Information</w:t>
            </w:r>
          </w:p>
        </w:tc>
        <w:tc>
          <w:tcPr>
            <w:tcW w:w="850" w:type="dxa"/>
            <w:tcBorders>
              <w:top w:val="nil"/>
              <w:left w:val="single" w:sz="4" w:space="0" w:color="auto"/>
              <w:bottom w:val="single" w:sz="4" w:space="0" w:color="auto"/>
              <w:right w:val="nil"/>
            </w:tcBorders>
            <w:shd w:val="clear" w:color="auto" w:fill="auto"/>
          </w:tcPr>
          <w:p w14:paraId="2CB067B7" w14:textId="77777777" w:rsidR="005A0B5B" w:rsidRPr="0034674E" w:rsidRDefault="005A0B5B" w:rsidP="00F73065">
            <w:pPr>
              <w:cnfStyle w:val="100000000000" w:firstRow="1" w:lastRow="0" w:firstColumn="0" w:lastColumn="0" w:oddVBand="0" w:evenVBand="0" w:oddHBand="0" w:evenHBand="0" w:firstRowFirstColumn="0" w:firstRowLastColumn="0" w:lastRowFirstColumn="0" w:lastRowLastColumn="0"/>
              <w:rPr>
                <w:sz w:val="18"/>
              </w:rPr>
            </w:pPr>
          </w:p>
        </w:tc>
      </w:tr>
      <w:tr w:rsidR="005A0B5B" w:rsidRPr="000D71AB" w14:paraId="417266A7" w14:textId="0687A170" w:rsidTr="005A0B5B">
        <w:tblPrEx>
          <w:tblBorders>
            <w:top w:val="single" w:sz="4" w:space="0" w:color="auto"/>
            <w:left w:val="single" w:sz="4" w:space="0" w:color="auto"/>
            <w:bottom w:val="single" w:sz="4" w:space="0" w:color="auto"/>
            <w:right w:val="single" w:sz="4" w:space="0" w:color="auto"/>
            <w:insideH w:val="single" w:sz="8" w:space="0" w:color="9BBB59" w:themeColor="accent3"/>
            <w:insideV w:val="single" w:sz="4" w:space="0" w:color="auto"/>
          </w:tblBorders>
        </w:tblPrEx>
        <w:trPr>
          <w:cnfStyle w:val="100000000000" w:firstRow="1" w:lastRow="0" w:firstColumn="0" w:lastColumn="0" w:oddVBand="0" w:evenVBand="0" w:oddHBand="0" w:evenHBand="0" w:firstRowFirstColumn="0" w:firstRowLastColumn="0" w:lastRowFirstColumn="0" w:lastRowLastColumn="0"/>
          <w:trHeight w:val="1418"/>
          <w:tblHeader/>
        </w:trPr>
        <w:tc>
          <w:tcPr>
            <w:cnfStyle w:val="001000000000" w:firstRow="0" w:lastRow="0" w:firstColumn="1" w:lastColumn="0" w:oddVBand="0" w:evenVBand="0" w:oddHBand="0" w:evenHBand="0" w:firstRowFirstColumn="0" w:firstRowLastColumn="0" w:lastRowFirstColumn="0" w:lastRowLastColumn="0"/>
            <w:tcW w:w="1224" w:type="dxa"/>
            <w:tcBorders>
              <w:top w:val="single" w:sz="4" w:space="0" w:color="auto"/>
              <w:left w:val="single" w:sz="4" w:space="0" w:color="auto"/>
              <w:bottom w:val="single" w:sz="4" w:space="0" w:color="auto"/>
            </w:tcBorders>
            <w:shd w:val="clear" w:color="auto" w:fill="FFFFFF" w:themeFill="background1"/>
          </w:tcPr>
          <w:p w14:paraId="28691BCC" w14:textId="77777777" w:rsidR="005A0B5B" w:rsidRPr="000D71AB" w:rsidRDefault="005A0B5B" w:rsidP="004702FB">
            <w:pPr>
              <w:rPr>
                <w:b w:val="0"/>
                <w:color w:val="auto"/>
              </w:rPr>
            </w:pPr>
            <w:r w:rsidRPr="000D71AB">
              <w:rPr>
                <w:b w:val="0"/>
                <w:color w:val="auto"/>
              </w:rPr>
              <w:t>5.2.11.1</w:t>
            </w:r>
          </w:p>
        </w:tc>
        <w:tc>
          <w:tcPr>
            <w:tcW w:w="7088" w:type="dxa"/>
            <w:tcBorders>
              <w:top w:val="single" w:sz="4" w:space="0" w:color="auto"/>
              <w:bottom w:val="single" w:sz="4" w:space="0" w:color="auto"/>
              <w:right w:val="single" w:sz="4" w:space="0" w:color="auto"/>
            </w:tcBorders>
            <w:shd w:val="clear" w:color="auto" w:fill="auto"/>
          </w:tcPr>
          <w:p w14:paraId="635C1E2D" w14:textId="77777777" w:rsidR="005A0B5B" w:rsidRPr="000D71AB" w:rsidRDefault="005A0B5B" w:rsidP="00F94481">
            <w:pPr>
              <w:cnfStyle w:val="100000000000" w:firstRow="1" w:lastRow="0" w:firstColumn="0" w:lastColumn="0" w:oddVBand="0" w:evenVBand="0" w:oddHBand="0" w:evenHBand="0" w:firstRowFirstColumn="0" w:firstRowLastColumn="0" w:lastRowFirstColumn="0" w:lastRowLastColumn="0"/>
              <w:rPr>
                <w:b w:val="0"/>
                <w:color w:val="auto"/>
              </w:rPr>
            </w:pPr>
            <w:r w:rsidRPr="000D71AB">
              <w:rPr>
                <w:b w:val="0"/>
                <w:color w:val="auto"/>
              </w:rPr>
              <w:t>Schools are advised not to obtain any advice or interpretation of the Department’s school council financial policies and/or guidelines from the external auditors. All such enquiries need to be made with the Financial Services Division.</w:t>
            </w:r>
          </w:p>
        </w:tc>
        <w:tc>
          <w:tcPr>
            <w:tcW w:w="850" w:type="dxa"/>
            <w:tcBorders>
              <w:top w:val="single" w:sz="4" w:space="0" w:color="auto"/>
              <w:bottom w:val="single" w:sz="4" w:space="0" w:color="auto"/>
              <w:right w:val="single" w:sz="4" w:space="0" w:color="auto"/>
            </w:tcBorders>
            <w:shd w:val="clear" w:color="auto" w:fill="auto"/>
          </w:tcPr>
          <w:p w14:paraId="1C4903E1" w14:textId="77777777" w:rsidR="005A0B5B" w:rsidRPr="000D71AB" w:rsidRDefault="005A0B5B" w:rsidP="00F94481">
            <w:pPr>
              <w:cnfStyle w:val="100000000000" w:firstRow="1" w:lastRow="0" w:firstColumn="0" w:lastColumn="0" w:oddVBand="0" w:evenVBand="0" w:oddHBand="0" w:evenHBand="0" w:firstRowFirstColumn="0" w:firstRowLastColumn="0" w:lastRowFirstColumn="0" w:lastRowLastColumn="0"/>
            </w:pPr>
          </w:p>
        </w:tc>
      </w:tr>
    </w:tbl>
    <w:p w14:paraId="5CD8EC7C" w14:textId="77777777" w:rsidR="008F7030" w:rsidRDefault="008F7030" w:rsidP="008F7030">
      <w:pPr>
        <w:pStyle w:val="Heading3"/>
      </w:pPr>
      <w:r>
        <w:rPr>
          <w:lang w:val="en-US"/>
        </w:rPr>
        <w:t>5.2.</w:t>
      </w:r>
      <w:r w:rsidR="00FA36DB">
        <w:rPr>
          <w:lang w:val="en-US"/>
        </w:rPr>
        <w:t>12</w:t>
      </w:r>
      <w:r w:rsidR="00B42217">
        <w:rPr>
          <w:lang w:val="en-US"/>
        </w:rPr>
        <w:tab/>
      </w:r>
      <w:proofErr w:type="gramStart"/>
      <w:r>
        <w:rPr>
          <w:lang w:val="en-US"/>
        </w:rPr>
        <w:t>What</w:t>
      </w:r>
      <w:proofErr w:type="gramEnd"/>
      <w:r>
        <w:rPr>
          <w:lang w:val="en-US"/>
        </w:rPr>
        <w:t xml:space="preserve"> to expect on fieldwork day</w:t>
      </w:r>
    </w:p>
    <w:p w14:paraId="08F52665" w14:textId="58C02483" w:rsidR="008F7030" w:rsidRDefault="008F7030" w:rsidP="004702FB">
      <w:r w:rsidRPr="004702FB">
        <w:t>Auditors will arrive on a scheduled day and time and hold an entry meeting with the principal and the business manager to confirm the scope of the AUP.</w:t>
      </w:r>
    </w:p>
    <w:p w14:paraId="5E45963F" w14:textId="02A491E1" w:rsidR="00892D36" w:rsidRDefault="00892D36" w:rsidP="004702FB"/>
    <w:p w14:paraId="7E7D07BA" w14:textId="5B938A76" w:rsidR="00892D36" w:rsidRDefault="00892D36" w:rsidP="004702FB"/>
    <w:p w14:paraId="4633B9EB" w14:textId="6F85A67D" w:rsidR="00892D36" w:rsidRDefault="00892D36" w:rsidP="004702FB"/>
    <w:p w14:paraId="75510D6E" w14:textId="6F36A75A" w:rsidR="00892D36" w:rsidRDefault="00892D36" w:rsidP="004702FB"/>
    <w:p w14:paraId="1EBF1A6A" w14:textId="58AE9925" w:rsidR="00892D36" w:rsidRDefault="00892D36" w:rsidP="004702FB"/>
    <w:p w14:paraId="3D35F4E3" w14:textId="344EB879" w:rsidR="00892D36" w:rsidRDefault="00892D36" w:rsidP="004702FB"/>
    <w:p w14:paraId="3FCE9FE6" w14:textId="6DB18EE3" w:rsidR="008F7030" w:rsidRPr="004702FB" w:rsidRDefault="004047F1" w:rsidP="004702FB">
      <w:pPr>
        <w:pStyle w:val="Heading3"/>
      </w:pPr>
      <w:r w:rsidRPr="004047F1">
        <w:lastRenderedPageBreak/>
        <w:t>5</w:t>
      </w:r>
      <w:r w:rsidR="008F7030" w:rsidRPr="004702FB">
        <w:t>.2.</w:t>
      </w:r>
      <w:r w:rsidR="00FA36DB" w:rsidRPr="004702FB">
        <w:t>13</w:t>
      </w:r>
      <w:r w:rsidR="00B42217">
        <w:tab/>
      </w:r>
      <w:r w:rsidR="008F7030" w:rsidRPr="004702FB">
        <w:t>Mandatory policy (Must do):</w:t>
      </w:r>
    </w:p>
    <w:tbl>
      <w:tblPr>
        <w:tblStyle w:val="LightList-Accent3"/>
        <w:tblW w:w="9167" w:type="dxa"/>
        <w:tblInd w:w="42" w:type="dxa"/>
        <w:tblLayout w:type="fixed"/>
        <w:tblLook w:val="04A0" w:firstRow="1" w:lastRow="0" w:firstColumn="1" w:lastColumn="0" w:noHBand="0" w:noVBand="1"/>
        <w:tblDescription w:val="scenario numbers and policy information"/>
      </w:tblPr>
      <w:tblGrid>
        <w:gridCol w:w="1229"/>
        <w:gridCol w:w="7088"/>
        <w:gridCol w:w="850"/>
      </w:tblGrid>
      <w:tr w:rsidR="005A0B5B" w:rsidRPr="00BB652D" w14:paraId="14B27BEB" w14:textId="10D58C58" w:rsidTr="005A0B5B">
        <w:trPr>
          <w:cnfStyle w:val="100000000000" w:firstRow="1" w:lastRow="0" w:firstColumn="0" w:lastColumn="0" w:oddVBand="0" w:evenVBand="0" w:oddHBand="0" w:evenHBand="0" w:firstRowFirstColumn="0" w:firstRowLastColumn="0" w:lastRowFirstColumn="0" w:lastRowLastColumn="0"/>
          <w:trHeight w:hRule="exact" w:val="737"/>
          <w:tblHeader/>
        </w:trPr>
        <w:tc>
          <w:tcPr>
            <w:cnfStyle w:val="001000000000" w:firstRow="0" w:lastRow="0" w:firstColumn="1" w:lastColumn="0" w:oddVBand="0" w:evenVBand="0" w:oddHBand="0" w:evenHBand="0" w:firstRowFirstColumn="0" w:firstRowLastColumn="0" w:lastRowFirstColumn="0" w:lastRowLastColumn="0"/>
            <w:tcW w:w="1229" w:type="dxa"/>
            <w:tcBorders>
              <w:top w:val="single" w:sz="4" w:space="0" w:color="auto"/>
              <w:left w:val="single" w:sz="4" w:space="0" w:color="auto"/>
              <w:bottom w:val="single" w:sz="4" w:space="0" w:color="auto"/>
              <w:right w:val="single" w:sz="4" w:space="0" w:color="auto"/>
            </w:tcBorders>
            <w:shd w:val="clear" w:color="auto" w:fill="auto"/>
          </w:tcPr>
          <w:p w14:paraId="407F14C2" w14:textId="77777777" w:rsidR="005A0B5B" w:rsidRPr="0034674E" w:rsidRDefault="005A0B5B" w:rsidP="00F73065">
            <w:pPr>
              <w:rPr>
                <w:color w:val="auto"/>
                <w:sz w:val="18"/>
              </w:rPr>
            </w:pPr>
            <w:r w:rsidRPr="0034674E">
              <w:rPr>
                <w:color w:val="auto"/>
                <w:sz w:val="18"/>
              </w:rPr>
              <w:t>Sequence Number</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64C35A2" w14:textId="77777777" w:rsidR="005A0B5B" w:rsidRPr="0034674E" w:rsidRDefault="005A0B5B" w:rsidP="00F73065">
            <w:pPr>
              <w:cnfStyle w:val="100000000000" w:firstRow="1" w:lastRow="0" w:firstColumn="0" w:lastColumn="0" w:oddVBand="0" w:evenVBand="0" w:oddHBand="0" w:evenHBand="0" w:firstRowFirstColumn="0" w:firstRowLastColumn="0" w:lastRowFirstColumn="0" w:lastRowLastColumn="0"/>
              <w:rPr>
                <w:color w:val="auto"/>
                <w:sz w:val="18"/>
              </w:rPr>
            </w:pPr>
            <w:r w:rsidRPr="0034674E">
              <w:rPr>
                <w:color w:val="auto"/>
                <w:sz w:val="18"/>
              </w:rPr>
              <w:t>Information</w:t>
            </w:r>
          </w:p>
        </w:tc>
        <w:tc>
          <w:tcPr>
            <w:tcW w:w="850" w:type="dxa"/>
            <w:tcBorders>
              <w:top w:val="nil"/>
              <w:left w:val="single" w:sz="4" w:space="0" w:color="auto"/>
              <w:bottom w:val="single" w:sz="4" w:space="0" w:color="auto"/>
              <w:right w:val="nil"/>
            </w:tcBorders>
            <w:shd w:val="clear" w:color="auto" w:fill="auto"/>
          </w:tcPr>
          <w:p w14:paraId="6B75CF07" w14:textId="77777777" w:rsidR="005A0B5B" w:rsidRPr="0034674E" w:rsidRDefault="005A0B5B" w:rsidP="00F73065">
            <w:pPr>
              <w:cnfStyle w:val="100000000000" w:firstRow="1" w:lastRow="0" w:firstColumn="0" w:lastColumn="0" w:oddVBand="0" w:evenVBand="0" w:oddHBand="0" w:evenHBand="0" w:firstRowFirstColumn="0" w:firstRowLastColumn="0" w:lastRowFirstColumn="0" w:lastRowLastColumn="0"/>
              <w:rPr>
                <w:sz w:val="18"/>
              </w:rPr>
            </w:pPr>
          </w:p>
        </w:tc>
      </w:tr>
      <w:tr w:rsidR="005A0B5B" w:rsidRPr="000D71AB" w14:paraId="0525AEC6" w14:textId="21942F30" w:rsidTr="005A0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100000000000" w:firstRow="1" w:lastRow="0" w:firstColumn="0" w:lastColumn="0" w:oddVBand="0" w:evenVBand="0" w:oddHBand="0" w:evenHBand="0" w:firstRowFirstColumn="0" w:firstRowLastColumn="0" w:lastRowFirstColumn="0" w:lastRowLastColumn="0"/>
          <w:trHeight w:hRule="exact" w:val="737"/>
          <w:tblHeader/>
        </w:trPr>
        <w:tc>
          <w:tcPr>
            <w:cnfStyle w:val="001000000000" w:firstRow="0" w:lastRow="0" w:firstColumn="1" w:lastColumn="0" w:oddVBand="0" w:evenVBand="0" w:oddHBand="0" w:evenHBand="0" w:firstRowFirstColumn="0" w:firstRowLastColumn="0" w:lastRowFirstColumn="0" w:lastRowLastColumn="0"/>
            <w:tcW w:w="1229" w:type="dxa"/>
            <w:tcBorders>
              <w:top w:val="single" w:sz="4" w:space="0" w:color="auto"/>
            </w:tcBorders>
            <w:shd w:val="clear" w:color="auto" w:fill="FFFFFF" w:themeFill="background1"/>
          </w:tcPr>
          <w:p w14:paraId="74D8FEA9" w14:textId="77777777" w:rsidR="005A0B5B" w:rsidRPr="000D71AB" w:rsidRDefault="005A0B5B" w:rsidP="004702FB">
            <w:pPr>
              <w:rPr>
                <w:b w:val="0"/>
                <w:color w:val="auto"/>
              </w:rPr>
            </w:pPr>
            <w:r w:rsidRPr="000D71AB">
              <w:rPr>
                <w:b w:val="0"/>
                <w:color w:val="auto"/>
              </w:rPr>
              <w:t>5.2.13.1</w:t>
            </w:r>
          </w:p>
        </w:tc>
        <w:tc>
          <w:tcPr>
            <w:tcW w:w="7088" w:type="dxa"/>
            <w:tcBorders>
              <w:top w:val="single" w:sz="4" w:space="0" w:color="auto"/>
            </w:tcBorders>
            <w:shd w:val="clear" w:color="auto" w:fill="auto"/>
          </w:tcPr>
          <w:p w14:paraId="43AE9DDE" w14:textId="77777777" w:rsidR="005A0B5B" w:rsidRPr="000D71AB" w:rsidRDefault="005A0B5B" w:rsidP="004702FB">
            <w:pPr>
              <w:cnfStyle w:val="100000000000" w:firstRow="1" w:lastRow="0" w:firstColumn="0" w:lastColumn="0" w:oddVBand="0" w:evenVBand="0" w:oddHBand="0" w:evenHBand="0" w:firstRowFirstColumn="0" w:firstRowLastColumn="0" w:lastRowFirstColumn="0" w:lastRowLastColumn="0"/>
              <w:rPr>
                <w:b w:val="0"/>
                <w:color w:val="auto"/>
              </w:rPr>
            </w:pPr>
            <w:r w:rsidRPr="000D71AB">
              <w:rPr>
                <w:b w:val="0"/>
                <w:color w:val="auto"/>
              </w:rPr>
              <w:t>School must make available records and clarify certain areas at the auditor’s request.</w:t>
            </w:r>
          </w:p>
        </w:tc>
        <w:tc>
          <w:tcPr>
            <w:tcW w:w="850" w:type="dxa"/>
            <w:tcBorders>
              <w:top w:val="single" w:sz="4" w:space="0" w:color="auto"/>
            </w:tcBorders>
            <w:shd w:val="clear" w:color="auto" w:fill="auto"/>
          </w:tcPr>
          <w:p w14:paraId="4CE310CA" w14:textId="77777777" w:rsidR="005A0B5B" w:rsidRPr="000D71AB" w:rsidRDefault="005A0B5B" w:rsidP="004702FB">
            <w:pPr>
              <w:cnfStyle w:val="100000000000" w:firstRow="1" w:lastRow="0" w:firstColumn="0" w:lastColumn="0" w:oddVBand="0" w:evenVBand="0" w:oddHBand="0" w:evenHBand="0" w:firstRowFirstColumn="0" w:firstRowLastColumn="0" w:lastRowFirstColumn="0" w:lastRowLastColumn="0"/>
            </w:pPr>
          </w:p>
        </w:tc>
      </w:tr>
      <w:tr w:rsidR="005A0B5B" w:rsidRPr="004702FB" w14:paraId="2DF42E50" w14:textId="3E07F2BE" w:rsidTr="005A0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111"/>
        </w:trPr>
        <w:tc>
          <w:tcPr>
            <w:cnfStyle w:val="001000000000" w:firstRow="0" w:lastRow="0" w:firstColumn="1" w:lastColumn="0" w:oddVBand="0" w:evenVBand="0" w:oddHBand="0" w:evenHBand="0" w:firstRowFirstColumn="0" w:firstRowLastColumn="0" w:lastRowFirstColumn="0" w:lastRowLastColumn="0"/>
            <w:tcW w:w="1229" w:type="dxa"/>
            <w:tcBorders>
              <w:top w:val="single" w:sz="4" w:space="0" w:color="auto"/>
              <w:left w:val="single" w:sz="4" w:space="0" w:color="auto"/>
              <w:bottom w:val="single" w:sz="4" w:space="0" w:color="auto"/>
            </w:tcBorders>
            <w:shd w:val="clear" w:color="auto" w:fill="FFFFFF" w:themeFill="background1"/>
          </w:tcPr>
          <w:p w14:paraId="11AE9F26" w14:textId="77777777" w:rsidR="005A0B5B" w:rsidRPr="004702FB" w:rsidRDefault="005A0B5B" w:rsidP="004702FB">
            <w:pPr>
              <w:rPr>
                <w:b w:val="0"/>
              </w:rPr>
            </w:pPr>
            <w:r w:rsidRPr="004702FB">
              <w:rPr>
                <w:b w:val="0"/>
              </w:rPr>
              <w:t>5.2.13.2</w:t>
            </w:r>
          </w:p>
        </w:tc>
        <w:tc>
          <w:tcPr>
            <w:tcW w:w="7088" w:type="dxa"/>
            <w:tcBorders>
              <w:top w:val="single" w:sz="4" w:space="0" w:color="auto"/>
              <w:bottom w:val="single" w:sz="4" w:space="0" w:color="auto"/>
            </w:tcBorders>
            <w:shd w:val="clear" w:color="auto" w:fill="auto"/>
          </w:tcPr>
          <w:p w14:paraId="731C37A3" w14:textId="77777777" w:rsidR="005A0B5B" w:rsidRPr="004702FB" w:rsidRDefault="005A0B5B" w:rsidP="004702FB">
            <w:pPr>
              <w:cnfStyle w:val="000000100000" w:firstRow="0" w:lastRow="0" w:firstColumn="0" w:lastColumn="0" w:oddVBand="0" w:evenVBand="0" w:oddHBand="1" w:evenHBand="0" w:firstRowFirstColumn="0" w:firstRowLastColumn="0" w:lastRowFirstColumn="0" w:lastRowLastColumn="0"/>
            </w:pPr>
            <w:r w:rsidRPr="004702FB">
              <w:t>The duration of the AUP will be determined by factors including:</w:t>
            </w:r>
          </w:p>
          <w:p w14:paraId="1C8F6952" w14:textId="77777777" w:rsidR="005A0B5B" w:rsidRPr="0002019B" w:rsidRDefault="005A0B5B" w:rsidP="00C93EF5">
            <w:pPr>
              <w:pStyle w:val="ListBullet"/>
              <w:cnfStyle w:val="000000100000" w:firstRow="0" w:lastRow="0" w:firstColumn="0" w:lastColumn="0" w:oddVBand="0" w:evenVBand="0" w:oddHBand="1" w:evenHBand="0" w:firstRowFirstColumn="0" w:firstRowLastColumn="0" w:lastRowFirstColumn="0" w:lastRowLastColumn="0"/>
            </w:pPr>
            <w:r>
              <w:t>s</w:t>
            </w:r>
            <w:r w:rsidRPr="0002019B">
              <w:t>chool size</w:t>
            </w:r>
            <w:r>
              <w:t>;</w:t>
            </w:r>
          </w:p>
          <w:p w14:paraId="44C82111" w14:textId="77777777" w:rsidR="005A0B5B" w:rsidRPr="0002019B" w:rsidRDefault="005A0B5B" w:rsidP="00C93EF5">
            <w:pPr>
              <w:pStyle w:val="ListBullet"/>
              <w:cnfStyle w:val="000000100000" w:firstRow="0" w:lastRow="0" w:firstColumn="0" w:lastColumn="0" w:oddVBand="0" w:evenVBand="0" w:oddHBand="1" w:evenHBand="0" w:firstRowFirstColumn="0" w:firstRowLastColumn="0" w:lastRowFirstColumn="0" w:lastRowLastColumn="0"/>
            </w:pPr>
            <w:r>
              <w:t>i</w:t>
            </w:r>
            <w:r w:rsidRPr="0002019B">
              <w:t>dentified level of risk</w:t>
            </w:r>
            <w:r>
              <w:t>;</w:t>
            </w:r>
          </w:p>
          <w:p w14:paraId="4CA95E72" w14:textId="77777777" w:rsidR="005A0B5B" w:rsidRPr="0002019B" w:rsidRDefault="005A0B5B" w:rsidP="00C93EF5">
            <w:pPr>
              <w:pStyle w:val="ListBullet"/>
              <w:cnfStyle w:val="000000100000" w:firstRow="0" w:lastRow="0" w:firstColumn="0" w:lastColumn="0" w:oddVBand="0" w:evenVBand="0" w:oddHBand="1" w:evenHBand="0" w:firstRowFirstColumn="0" w:firstRowLastColumn="0" w:lastRowFirstColumn="0" w:lastRowLastColumn="0"/>
            </w:pPr>
            <w:r w:rsidRPr="0002019B">
              <w:t>availability of required records</w:t>
            </w:r>
            <w:r>
              <w:t>;</w:t>
            </w:r>
          </w:p>
          <w:p w14:paraId="18990A04" w14:textId="77777777" w:rsidR="005A0B5B" w:rsidRPr="004702FB" w:rsidRDefault="005A0B5B" w:rsidP="00C93EF5">
            <w:pPr>
              <w:pStyle w:val="ListBullet"/>
              <w:cnfStyle w:val="000000100000" w:firstRow="0" w:lastRow="0" w:firstColumn="0" w:lastColumn="0" w:oddVBand="0" w:evenVBand="0" w:oddHBand="1" w:evenHBand="0" w:firstRowFirstColumn="0" w:firstRowLastColumn="0" w:lastRowFirstColumn="0" w:lastRowLastColumn="0"/>
            </w:pPr>
            <w:proofErr w:type="gramStart"/>
            <w:r w:rsidRPr="0002019B">
              <w:t>the</w:t>
            </w:r>
            <w:proofErr w:type="gramEnd"/>
            <w:r w:rsidRPr="0002019B">
              <w:t xml:space="preserve"> complexity of issues that arise</w:t>
            </w:r>
            <w:r>
              <w:t>.</w:t>
            </w:r>
          </w:p>
        </w:tc>
        <w:tc>
          <w:tcPr>
            <w:tcW w:w="850" w:type="dxa"/>
            <w:tcBorders>
              <w:top w:val="single" w:sz="4" w:space="0" w:color="auto"/>
              <w:bottom w:val="single" w:sz="4" w:space="0" w:color="auto"/>
              <w:right w:val="single" w:sz="4" w:space="0" w:color="auto"/>
            </w:tcBorders>
            <w:shd w:val="clear" w:color="auto" w:fill="auto"/>
          </w:tcPr>
          <w:p w14:paraId="51F8494D" w14:textId="77777777" w:rsidR="005A0B5B" w:rsidRPr="004702FB" w:rsidRDefault="005A0B5B" w:rsidP="004702FB">
            <w:pPr>
              <w:cnfStyle w:val="000000100000" w:firstRow="0" w:lastRow="0" w:firstColumn="0" w:lastColumn="0" w:oddVBand="0" w:evenVBand="0" w:oddHBand="1" w:evenHBand="0" w:firstRowFirstColumn="0" w:firstRowLastColumn="0" w:lastRowFirstColumn="0" w:lastRowLastColumn="0"/>
            </w:pPr>
          </w:p>
        </w:tc>
      </w:tr>
      <w:tr w:rsidR="005A0B5B" w:rsidRPr="004702FB" w14:paraId="2CA7546D" w14:textId="3D20E67D" w:rsidTr="005A0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37"/>
        </w:trPr>
        <w:tc>
          <w:tcPr>
            <w:cnfStyle w:val="001000000000" w:firstRow="0" w:lastRow="0" w:firstColumn="1" w:lastColumn="0" w:oddVBand="0" w:evenVBand="0" w:oddHBand="0" w:evenHBand="0" w:firstRowFirstColumn="0" w:firstRowLastColumn="0" w:lastRowFirstColumn="0" w:lastRowLastColumn="0"/>
            <w:tcW w:w="1229" w:type="dxa"/>
            <w:shd w:val="clear" w:color="auto" w:fill="FFFFFF" w:themeFill="background1"/>
          </w:tcPr>
          <w:p w14:paraId="0BA16F75" w14:textId="77777777" w:rsidR="005A0B5B" w:rsidRPr="004702FB" w:rsidRDefault="005A0B5B" w:rsidP="004702FB">
            <w:pPr>
              <w:rPr>
                <w:b w:val="0"/>
              </w:rPr>
            </w:pPr>
            <w:r w:rsidRPr="004702FB">
              <w:rPr>
                <w:b w:val="0"/>
              </w:rPr>
              <w:t>5.2.13.3</w:t>
            </w:r>
          </w:p>
        </w:tc>
        <w:tc>
          <w:tcPr>
            <w:tcW w:w="7088" w:type="dxa"/>
            <w:shd w:val="clear" w:color="auto" w:fill="auto"/>
          </w:tcPr>
          <w:p w14:paraId="4B3D9E6A" w14:textId="77777777" w:rsidR="005A0B5B" w:rsidRPr="004702FB" w:rsidRDefault="005A0B5B" w:rsidP="004702FB">
            <w:pPr>
              <w:cnfStyle w:val="000000000000" w:firstRow="0" w:lastRow="0" w:firstColumn="0" w:lastColumn="0" w:oddVBand="0" w:evenVBand="0" w:oddHBand="0" w:evenHBand="0" w:firstRowFirstColumn="0" w:firstRowLastColumn="0" w:lastRowFirstColumn="0" w:lastRowLastColumn="0"/>
            </w:pPr>
            <w:r w:rsidRPr="004702FB">
              <w:t>The AUP will conclude with an exit meeting to discuss preliminary findings.</w:t>
            </w:r>
          </w:p>
        </w:tc>
        <w:tc>
          <w:tcPr>
            <w:tcW w:w="850" w:type="dxa"/>
            <w:shd w:val="clear" w:color="auto" w:fill="auto"/>
          </w:tcPr>
          <w:p w14:paraId="3237293F" w14:textId="77777777" w:rsidR="005A0B5B" w:rsidRPr="004702FB" w:rsidRDefault="005A0B5B" w:rsidP="004702FB">
            <w:pPr>
              <w:cnfStyle w:val="000000000000" w:firstRow="0" w:lastRow="0" w:firstColumn="0" w:lastColumn="0" w:oddVBand="0" w:evenVBand="0" w:oddHBand="0" w:evenHBand="0" w:firstRowFirstColumn="0" w:firstRowLastColumn="0" w:lastRowFirstColumn="0" w:lastRowLastColumn="0"/>
            </w:pPr>
          </w:p>
        </w:tc>
      </w:tr>
      <w:tr w:rsidR="005A0B5B" w:rsidRPr="004702FB" w14:paraId="601B8E93" w14:textId="09361594" w:rsidTr="005A0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229" w:type="dxa"/>
            <w:tcBorders>
              <w:top w:val="single" w:sz="4" w:space="0" w:color="auto"/>
              <w:left w:val="single" w:sz="4" w:space="0" w:color="auto"/>
              <w:bottom w:val="single" w:sz="4" w:space="0" w:color="auto"/>
            </w:tcBorders>
            <w:shd w:val="clear" w:color="auto" w:fill="FFFFFF" w:themeFill="background1"/>
          </w:tcPr>
          <w:p w14:paraId="2A5EA846" w14:textId="77777777" w:rsidR="005A0B5B" w:rsidRPr="00EA5A82" w:rsidRDefault="005A0B5B" w:rsidP="004702FB">
            <w:pPr>
              <w:rPr>
                <w:b w:val="0"/>
              </w:rPr>
            </w:pPr>
            <w:r w:rsidRPr="00EA5A82">
              <w:rPr>
                <w:b w:val="0"/>
              </w:rPr>
              <w:t>5.2.13.4</w:t>
            </w:r>
          </w:p>
        </w:tc>
        <w:tc>
          <w:tcPr>
            <w:tcW w:w="7088" w:type="dxa"/>
            <w:tcBorders>
              <w:top w:val="single" w:sz="4" w:space="0" w:color="auto"/>
              <w:bottom w:val="single" w:sz="4" w:space="0" w:color="auto"/>
            </w:tcBorders>
            <w:shd w:val="clear" w:color="auto" w:fill="auto"/>
          </w:tcPr>
          <w:p w14:paraId="0C6A54A2" w14:textId="77777777" w:rsidR="005A0B5B" w:rsidRPr="004702FB" w:rsidRDefault="005A0B5B" w:rsidP="004702FB">
            <w:pPr>
              <w:cnfStyle w:val="000000100000" w:firstRow="0" w:lastRow="0" w:firstColumn="0" w:lastColumn="0" w:oddVBand="0" w:evenVBand="0" w:oddHBand="1" w:evenHBand="0" w:firstRowFirstColumn="0" w:firstRowLastColumn="0" w:lastRowFirstColumn="0" w:lastRowLastColumn="0"/>
            </w:pPr>
            <w:r>
              <w:t>Remedy non-compliance identified in the audit.</w:t>
            </w:r>
          </w:p>
        </w:tc>
        <w:tc>
          <w:tcPr>
            <w:tcW w:w="850" w:type="dxa"/>
            <w:tcBorders>
              <w:top w:val="single" w:sz="4" w:space="0" w:color="auto"/>
              <w:bottom w:val="single" w:sz="4" w:space="0" w:color="auto"/>
              <w:right w:val="single" w:sz="4" w:space="0" w:color="auto"/>
            </w:tcBorders>
            <w:shd w:val="clear" w:color="auto" w:fill="auto"/>
          </w:tcPr>
          <w:p w14:paraId="7AE69160" w14:textId="77777777" w:rsidR="005A0B5B" w:rsidRDefault="005A0B5B" w:rsidP="004702FB">
            <w:pPr>
              <w:cnfStyle w:val="000000100000" w:firstRow="0" w:lastRow="0" w:firstColumn="0" w:lastColumn="0" w:oddVBand="0" w:evenVBand="0" w:oddHBand="1" w:evenHBand="0" w:firstRowFirstColumn="0" w:firstRowLastColumn="0" w:lastRowFirstColumn="0" w:lastRowLastColumn="0"/>
            </w:pPr>
          </w:p>
        </w:tc>
      </w:tr>
    </w:tbl>
    <w:p w14:paraId="656962A1" w14:textId="77777777" w:rsidR="0051778F" w:rsidRPr="00FB54EC" w:rsidRDefault="0019637D" w:rsidP="00FB54EC">
      <w:pPr>
        <w:pStyle w:val="Heading2"/>
      </w:pPr>
      <w:r>
        <w:t>5</w:t>
      </w:r>
      <w:r w:rsidR="00CC5736">
        <w:t>.</w:t>
      </w:r>
      <w:r w:rsidR="00FA36DB">
        <w:t>3</w:t>
      </w:r>
      <w:r w:rsidR="0051778F" w:rsidRPr="00FB54EC">
        <w:t xml:space="preserve"> </w:t>
      </w:r>
      <w:r w:rsidR="00105B4D">
        <w:tab/>
      </w:r>
      <w:r>
        <w:t xml:space="preserve">Topic Audits </w:t>
      </w:r>
    </w:p>
    <w:p w14:paraId="16F9B72C" w14:textId="77777777" w:rsidR="0019637D" w:rsidRPr="00FB54EC" w:rsidRDefault="00FA36DB" w:rsidP="0019637D">
      <w:pPr>
        <w:pStyle w:val="Heading3"/>
      </w:pPr>
      <w:r>
        <w:t>5.</w:t>
      </w:r>
      <w:r w:rsidR="0019637D">
        <w:t>3.1</w:t>
      </w:r>
      <w:r w:rsidR="0019637D">
        <w:tab/>
        <w:t>Overview</w:t>
      </w:r>
    </w:p>
    <w:p w14:paraId="04F4D00E" w14:textId="77777777" w:rsidR="0019637D" w:rsidRPr="004702FB" w:rsidRDefault="0019637D" w:rsidP="004702FB">
      <w:r w:rsidRPr="004702FB">
        <w:t xml:space="preserve">In addition to the AUPs, each year, the Department identifies </w:t>
      </w:r>
      <w:r w:rsidR="004702FB" w:rsidRPr="004702FB">
        <w:t>several</w:t>
      </w:r>
      <w:r w:rsidRPr="004702FB">
        <w:t xml:space="preserve"> topic audits to be carried out at schools. Examples of topic audits can include</w:t>
      </w:r>
      <w:r w:rsidR="00096EC6">
        <w:t xml:space="preserve"> the </w:t>
      </w:r>
      <w:r w:rsidR="00B54E92">
        <w:t>review of</w:t>
      </w:r>
      <w:r w:rsidRPr="004702FB">
        <w:t xml:space="preserve">: </w:t>
      </w:r>
    </w:p>
    <w:p w14:paraId="3EDE5DFC" w14:textId="77777777" w:rsidR="00EA5A82" w:rsidRDefault="0019637D" w:rsidP="004F582C">
      <w:pPr>
        <w:pStyle w:val="ListBullet"/>
      </w:pPr>
      <w:r w:rsidRPr="004702FB">
        <w:t>key financial management controls</w:t>
      </w:r>
      <w:r w:rsidR="00DE24F9">
        <w:t>;</w:t>
      </w:r>
    </w:p>
    <w:p w14:paraId="73C86F86" w14:textId="77777777" w:rsidR="0019637D" w:rsidRPr="004702FB" w:rsidRDefault="00DE24F9" w:rsidP="004F582C">
      <w:pPr>
        <w:pStyle w:val="ListBullet"/>
      </w:pPr>
      <w:r>
        <w:t>school council</w:t>
      </w:r>
      <w:r w:rsidR="0019637D" w:rsidRPr="004702FB">
        <w:t xml:space="preserve"> governance</w:t>
      </w:r>
      <w:r>
        <w:t>;</w:t>
      </w:r>
    </w:p>
    <w:p w14:paraId="6B6B65DB" w14:textId="77777777" w:rsidR="0019637D" w:rsidRPr="004702FB" w:rsidRDefault="0019637D" w:rsidP="004702FB">
      <w:pPr>
        <w:pStyle w:val="ListBullet"/>
      </w:pPr>
      <w:r w:rsidRPr="004702FB">
        <w:t>school purchasing cards</w:t>
      </w:r>
      <w:r w:rsidR="004702FB">
        <w:t>;</w:t>
      </w:r>
    </w:p>
    <w:p w14:paraId="122F7E45" w14:textId="77777777" w:rsidR="0019637D" w:rsidRPr="004702FB" w:rsidRDefault="0019637D" w:rsidP="004702FB">
      <w:pPr>
        <w:pStyle w:val="ListBullet"/>
      </w:pPr>
      <w:proofErr w:type="gramStart"/>
      <w:r w:rsidRPr="004702FB">
        <w:t>locally</w:t>
      </w:r>
      <w:proofErr w:type="gramEnd"/>
      <w:r w:rsidRPr="004702FB">
        <w:t xml:space="preserve"> raised funds</w:t>
      </w:r>
      <w:r w:rsidR="00DE24F9">
        <w:t>.</w:t>
      </w:r>
    </w:p>
    <w:p w14:paraId="430BCC59" w14:textId="77777777" w:rsidR="0051778F" w:rsidRPr="00FB54EC" w:rsidRDefault="00FA36DB" w:rsidP="008F7030">
      <w:pPr>
        <w:pStyle w:val="Heading3"/>
      </w:pPr>
      <w:r>
        <w:t>5.3.2</w:t>
      </w:r>
      <w:r>
        <w:tab/>
      </w:r>
      <w:r w:rsidR="0051778F" w:rsidRPr="00FB54EC">
        <w:t>Mandatory policy (</w:t>
      </w:r>
      <w:r w:rsidR="00096EC6">
        <w:t>M</w:t>
      </w:r>
      <w:r w:rsidR="0051778F" w:rsidRPr="00FB54EC">
        <w:t>ust</w:t>
      </w:r>
      <w:r w:rsidR="0019637D">
        <w:t xml:space="preserve"> do</w:t>
      </w:r>
      <w:r w:rsidR="0051778F" w:rsidRPr="00FB54EC">
        <w:t>)</w:t>
      </w:r>
      <w:r w:rsidR="00B31802">
        <w:t>:</w:t>
      </w:r>
    </w:p>
    <w:tbl>
      <w:tblPr>
        <w:tblStyle w:val="TableGrid"/>
        <w:tblW w:w="9209" w:type="dxa"/>
        <w:tblLayout w:type="fixed"/>
        <w:tblLook w:val="04A0" w:firstRow="1" w:lastRow="0" w:firstColumn="1" w:lastColumn="0" w:noHBand="0" w:noVBand="1"/>
        <w:tblDescription w:val="scenario numbers and policy information"/>
      </w:tblPr>
      <w:tblGrid>
        <w:gridCol w:w="1134"/>
        <w:gridCol w:w="7225"/>
        <w:gridCol w:w="850"/>
      </w:tblGrid>
      <w:tr w:rsidR="005A0B5B" w:rsidRPr="00BB652D" w14:paraId="7E0707B3" w14:textId="0843E4AA" w:rsidTr="005A0B5B">
        <w:trPr>
          <w:trHeight w:hRule="exact" w:val="737"/>
          <w:tblHeader/>
        </w:trPr>
        <w:tc>
          <w:tcPr>
            <w:tcW w:w="1134" w:type="dxa"/>
          </w:tcPr>
          <w:p w14:paraId="6E10E88C" w14:textId="77777777" w:rsidR="005A0B5B" w:rsidRPr="00892D36" w:rsidRDefault="005A0B5B" w:rsidP="00F73065">
            <w:pPr>
              <w:rPr>
                <w:b/>
                <w:sz w:val="18"/>
              </w:rPr>
            </w:pPr>
            <w:r w:rsidRPr="00892D36">
              <w:rPr>
                <w:b/>
                <w:sz w:val="18"/>
              </w:rPr>
              <w:t>Sequence Number</w:t>
            </w:r>
          </w:p>
        </w:tc>
        <w:tc>
          <w:tcPr>
            <w:tcW w:w="7225" w:type="dxa"/>
          </w:tcPr>
          <w:p w14:paraId="19B63474" w14:textId="77777777" w:rsidR="005A0B5B" w:rsidRPr="00892D36" w:rsidRDefault="005A0B5B" w:rsidP="00F73065">
            <w:pPr>
              <w:rPr>
                <w:b/>
                <w:sz w:val="18"/>
              </w:rPr>
            </w:pPr>
            <w:r w:rsidRPr="00892D36">
              <w:rPr>
                <w:b/>
                <w:sz w:val="18"/>
              </w:rPr>
              <w:t>Information</w:t>
            </w:r>
          </w:p>
        </w:tc>
        <w:tc>
          <w:tcPr>
            <w:tcW w:w="850" w:type="dxa"/>
            <w:tcBorders>
              <w:top w:val="nil"/>
              <w:right w:val="nil"/>
            </w:tcBorders>
          </w:tcPr>
          <w:p w14:paraId="2FA80A9A" w14:textId="77777777" w:rsidR="005A0B5B" w:rsidRPr="00892D36" w:rsidRDefault="005A0B5B" w:rsidP="00F73065">
            <w:pPr>
              <w:rPr>
                <w:b/>
                <w:sz w:val="18"/>
              </w:rPr>
            </w:pPr>
          </w:p>
        </w:tc>
      </w:tr>
      <w:tr w:rsidR="005A0B5B" w:rsidRPr="004702FB" w14:paraId="09926085" w14:textId="5CAB7C4D" w:rsidTr="005A0B5B">
        <w:trPr>
          <w:trHeight w:hRule="exact" w:val="1021"/>
          <w:tblHeader/>
        </w:trPr>
        <w:tc>
          <w:tcPr>
            <w:tcW w:w="1134" w:type="dxa"/>
          </w:tcPr>
          <w:p w14:paraId="36AB3D69" w14:textId="77777777" w:rsidR="005A0B5B" w:rsidRPr="004702FB" w:rsidRDefault="005A0B5B" w:rsidP="00D60D1E">
            <w:r w:rsidRPr="004702FB">
              <w:t>5.3.2.1</w:t>
            </w:r>
          </w:p>
        </w:tc>
        <w:tc>
          <w:tcPr>
            <w:tcW w:w="7225" w:type="dxa"/>
          </w:tcPr>
          <w:p w14:paraId="625FBF22" w14:textId="77777777" w:rsidR="005A0B5B" w:rsidRPr="004702FB" w:rsidRDefault="005A0B5B" w:rsidP="00203A64">
            <w:r w:rsidRPr="004702FB">
              <w:t>The Assurance Branch of the Department selects schools to be included in the topic audits based on multiple risk factors, which vary from year to year.</w:t>
            </w:r>
          </w:p>
        </w:tc>
        <w:tc>
          <w:tcPr>
            <w:tcW w:w="850" w:type="dxa"/>
          </w:tcPr>
          <w:p w14:paraId="39CC8551" w14:textId="77777777" w:rsidR="005A0B5B" w:rsidRPr="004702FB" w:rsidRDefault="005A0B5B" w:rsidP="00203A64"/>
        </w:tc>
      </w:tr>
      <w:tr w:rsidR="005A0B5B" w:rsidRPr="004702FB" w14:paraId="05084CEF" w14:textId="76234B1D" w:rsidTr="005A0B5B">
        <w:trPr>
          <w:trHeight w:val="2257"/>
        </w:trPr>
        <w:tc>
          <w:tcPr>
            <w:tcW w:w="1134" w:type="dxa"/>
          </w:tcPr>
          <w:p w14:paraId="4F8D76ED" w14:textId="77777777" w:rsidR="005A0B5B" w:rsidRPr="004702FB" w:rsidRDefault="005A0B5B" w:rsidP="00D60D1E">
            <w:r w:rsidRPr="004702FB">
              <w:t>5.3.2.2</w:t>
            </w:r>
          </w:p>
        </w:tc>
        <w:tc>
          <w:tcPr>
            <w:tcW w:w="7225" w:type="dxa"/>
          </w:tcPr>
          <w:p w14:paraId="01184D2D" w14:textId="77777777" w:rsidR="005A0B5B" w:rsidRDefault="005A0B5B" w:rsidP="00203A64">
            <w:r w:rsidRPr="004702FB">
              <w:t>Schools are notified of their involvement in topic audits via email by the Assurance Branch. The email notification will include the following items as a minimum:</w:t>
            </w:r>
          </w:p>
          <w:p w14:paraId="1C555A1E" w14:textId="77777777" w:rsidR="005A0B5B" w:rsidRPr="0002019B" w:rsidRDefault="005A0B5B" w:rsidP="00C93EF5">
            <w:pPr>
              <w:pStyle w:val="ListBullet"/>
            </w:pPr>
            <w:r w:rsidRPr="0002019B">
              <w:t>objective of the audit</w:t>
            </w:r>
            <w:r>
              <w:t>;</w:t>
            </w:r>
          </w:p>
          <w:p w14:paraId="116EEF2B" w14:textId="77777777" w:rsidR="005A0B5B" w:rsidRPr="0002019B" w:rsidRDefault="005A0B5B" w:rsidP="00C93EF5">
            <w:pPr>
              <w:pStyle w:val="ListBullet"/>
            </w:pPr>
            <w:r w:rsidRPr="0002019B">
              <w:t>fieldwork days</w:t>
            </w:r>
            <w:r>
              <w:t>;</w:t>
            </w:r>
          </w:p>
          <w:p w14:paraId="67DA016C" w14:textId="77777777" w:rsidR="005A0B5B" w:rsidRPr="004702FB" w:rsidRDefault="005A0B5B" w:rsidP="00C93EF5">
            <w:pPr>
              <w:pStyle w:val="ListBullet"/>
            </w:pPr>
            <w:proofErr w:type="gramStart"/>
            <w:r w:rsidRPr="0002019B">
              <w:t>period</w:t>
            </w:r>
            <w:proofErr w:type="gramEnd"/>
            <w:r w:rsidRPr="0002019B">
              <w:t xml:space="preserve"> being covered</w:t>
            </w:r>
            <w:r>
              <w:t>.</w:t>
            </w:r>
          </w:p>
        </w:tc>
        <w:tc>
          <w:tcPr>
            <w:tcW w:w="850" w:type="dxa"/>
          </w:tcPr>
          <w:p w14:paraId="43059DCF" w14:textId="77777777" w:rsidR="005A0B5B" w:rsidRPr="004702FB" w:rsidRDefault="005A0B5B" w:rsidP="00203A64"/>
        </w:tc>
      </w:tr>
      <w:tr w:rsidR="005A0B5B" w:rsidRPr="004702FB" w14:paraId="199571AE" w14:textId="4983D4DB" w:rsidTr="005A0B5B">
        <w:trPr>
          <w:trHeight w:hRule="exact" w:val="1021"/>
        </w:trPr>
        <w:tc>
          <w:tcPr>
            <w:tcW w:w="1134" w:type="dxa"/>
          </w:tcPr>
          <w:p w14:paraId="2A7C0D45" w14:textId="77777777" w:rsidR="005A0B5B" w:rsidRPr="004702FB" w:rsidRDefault="005A0B5B" w:rsidP="00D60D1E">
            <w:r w:rsidRPr="004702FB">
              <w:lastRenderedPageBreak/>
              <w:t>5.3.2.3</w:t>
            </w:r>
          </w:p>
        </w:tc>
        <w:tc>
          <w:tcPr>
            <w:tcW w:w="7225" w:type="dxa"/>
          </w:tcPr>
          <w:p w14:paraId="7415DC7E" w14:textId="77777777" w:rsidR="005A0B5B" w:rsidRPr="004702FB" w:rsidRDefault="005A0B5B" w:rsidP="00203A64">
            <w:r w:rsidRPr="004702FB">
              <w:t>Schools who are selected to participate in topic audits must comply and provide the necessary co-operation and documentation as requested to the Assurance Branch of the Department.</w:t>
            </w:r>
          </w:p>
        </w:tc>
        <w:tc>
          <w:tcPr>
            <w:tcW w:w="850" w:type="dxa"/>
          </w:tcPr>
          <w:p w14:paraId="6189BA69" w14:textId="77777777" w:rsidR="005A0B5B" w:rsidRPr="004702FB" w:rsidRDefault="005A0B5B" w:rsidP="00203A64"/>
        </w:tc>
      </w:tr>
    </w:tbl>
    <w:p w14:paraId="1536D8B6" w14:textId="77777777" w:rsidR="00C32422" w:rsidRPr="0019637D" w:rsidRDefault="00C32422" w:rsidP="00C32422">
      <w:pPr>
        <w:rPr>
          <w:color w:val="000000" w:themeColor="text1"/>
        </w:rPr>
      </w:pPr>
    </w:p>
    <w:p w14:paraId="74246FF1" w14:textId="77777777" w:rsidR="0051778F" w:rsidRPr="00FB54EC" w:rsidRDefault="0019637D" w:rsidP="00C32422">
      <w:pPr>
        <w:pStyle w:val="Heading2"/>
      </w:pPr>
      <w:r>
        <w:t>5.</w:t>
      </w:r>
      <w:r w:rsidR="00FA36DB">
        <w:t>4</w:t>
      </w:r>
      <w:r w:rsidR="00C32422">
        <w:tab/>
      </w:r>
      <w:r>
        <w:t>Ad-hoc Audits/Reviews</w:t>
      </w:r>
    </w:p>
    <w:p w14:paraId="34E768BD" w14:textId="77777777" w:rsidR="0019637D" w:rsidRPr="004702FB" w:rsidRDefault="0019637D" w:rsidP="00203A64">
      <w:r w:rsidRPr="004702FB">
        <w:t xml:space="preserve">Ad-hoc audits/reviews may occur outside the plan based audits on requests from management and the Audit and Risk Committee, or are self-initiated by the </w:t>
      </w:r>
      <w:r w:rsidR="004702FB">
        <w:t xml:space="preserve">Department’s </w:t>
      </w:r>
      <w:r w:rsidRPr="004702FB">
        <w:t>Assurance Branch of the Department</w:t>
      </w:r>
      <w:r w:rsidR="004702FB">
        <w:t>,</w:t>
      </w:r>
      <w:r w:rsidRPr="004702FB">
        <w:t xml:space="preserve"> based on a risk assessment. </w:t>
      </w:r>
    </w:p>
    <w:p w14:paraId="2CA9DBA0" w14:textId="77777777" w:rsidR="0019637D" w:rsidRPr="004702FB" w:rsidRDefault="0019637D" w:rsidP="00203A64">
      <w:r w:rsidRPr="004702FB">
        <w:t xml:space="preserve">Schools will be notified individually if they are selected to take part in an ad-hoc audit/reviews. </w:t>
      </w:r>
    </w:p>
    <w:p w14:paraId="71027767" w14:textId="77777777" w:rsidR="005A0B5B" w:rsidRDefault="0019637D" w:rsidP="0076326D">
      <w:r w:rsidRPr="004702FB">
        <w:t>Timelines and reporting format for such reviews is agreed upfront with the stakeholder/s for each individual audit separately.</w:t>
      </w:r>
    </w:p>
    <w:p w14:paraId="48F6B1AC" w14:textId="77777777" w:rsidR="0051778F" w:rsidRPr="00FB54EC" w:rsidRDefault="00FA36DB" w:rsidP="0019637D">
      <w:pPr>
        <w:pStyle w:val="Heading3"/>
      </w:pPr>
      <w:r>
        <w:t>5</w:t>
      </w:r>
      <w:r w:rsidR="00105B4D">
        <w:t>.4.1</w:t>
      </w:r>
      <w:r w:rsidR="00105B4D">
        <w:tab/>
      </w:r>
      <w:r w:rsidR="0051778F" w:rsidRPr="00FB54EC">
        <w:t>Mandatory policy (</w:t>
      </w:r>
      <w:r w:rsidR="0019637D">
        <w:t>Must do</w:t>
      </w:r>
      <w:r w:rsidR="0051778F" w:rsidRPr="00FB54EC">
        <w:t>)</w:t>
      </w:r>
      <w:r w:rsidR="00B31802">
        <w:t>:</w:t>
      </w:r>
    </w:p>
    <w:tbl>
      <w:tblPr>
        <w:tblStyle w:val="TableGrid"/>
        <w:tblW w:w="9157" w:type="dxa"/>
        <w:tblInd w:w="52" w:type="dxa"/>
        <w:tblLayout w:type="fixed"/>
        <w:tblLook w:val="04A0" w:firstRow="1" w:lastRow="0" w:firstColumn="1" w:lastColumn="0" w:noHBand="0" w:noVBand="1"/>
        <w:tblDescription w:val="scenario numbers and policy information"/>
      </w:tblPr>
      <w:tblGrid>
        <w:gridCol w:w="1134"/>
        <w:gridCol w:w="7173"/>
        <w:gridCol w:w="850"/>
      </w:tblGrid>
      <w:tr w:rsidR="005A0B5B" w:rsidRPr="00BB652D" w14:paraId="034305F2" w14:textId="2CA112CF" w:rsidTr="004047F1">
        <w:trPr>
          <w:trHeight w:hRule="exact" w:val="737"/>
          <w:tblHeader/>
        </w:trPr>
        <w:tc>
          <w:tcPr>
            <w:tcW w:w="1134" w:type="dxa"/>
          </w:tcPr>
          <w:p w14:paraId="11EFE9A2" w14:textId="77777777" w:rsidR="005A0B5B" w:rsidRPr="00892D36" w:rsidRDefault="005A0B5B" w:rsidP="00F73065">
            <w:pPr>
              <w:rPr>
                <w:b/>
                <w:sz w:val="18"/>
              </w:rPr>
            </w:pPr>
            <w:r w:rsidRPr="00892D36">
              <w:rPr>
                <w:b/>
                <w:sz w:val="18"/>
              </w:rPr>
              <w:t>Sequence Number</w:t>
            </w:r>
          </w:p>
        </w:tc>
        <w:tc>
          <w:tcPr>
            <w:tcW w:w="7173" w:type="dxa"/>
          </w:tcPr>
          <w:p w14:paraId="3BE2B4E8" w14:textId="77777777" w:rsidR="005A0B5B" w:rsidRPr="00892D36" w:rsidRDefault="005A0B5B" w:rsidP="00F73065">
            <w:pPr>
              <w:rPr>
                <w:b/>
                <w:sz w:val="18"/>
              </w:rPr>
            </w:pPr>
            <w:r w:rsidRPr="00892D36">
              <w:rPr>
                <w:b/>
                <w:sz w:val="18"/>
              </w:rPr>
              <w:t>Information</w:t>
            </w:r>
          </w:p>
        </w:tc>
        <w:tc>
          <w:tcPr>
            <w:tcW w:w="850" w:type="dxa"/>
            <w:tcBorders>
              <w:top w:val="nil"/>
              <w:right w:val="nil"/>
            </w:tcBorders>
          </w:tcPr>
          <w:p w14:paraId="3A5B6C56" w14:textId="77777777" w:rsidR="005A0B5B" w:rsidRPr="00892D36" w:rsidRDefault="005A0B5B" w:rsidP="00F73065">
            <w:pPr>
              <w:rPr>
                <w:b/>
                <w:sz w:val="18"/>
              </w:rPr>
            </w:pPr>
          </w:p>
        </w:tc>
      </w:tr>
      <w:tr w:rsidR="005A0B5B" w:rsidRPr="004702FB" w14:paraId="06AAB578" w14:textId="6057F09D" w:rsidTr="004047F1">
        <w:trPr>
          <w:trHeight w:val="567"/>
          <w:tblHeader/>
        </w:trPr>
        <w:tc>
          <w:tcPr>
            <w:tcW w:w="1134" w:type="dxa"/>
          </w:tcPr>
          <w:p w14:paraId="3B0AFEC8" w14:textId="77777777" w:rsidR="005A0B5B" w:rsidRPr="004702FB" w:rsidRDefault="005A0B5B" w:rsidP="004702FB">
            <w:r w:rsidRPr="004702FB">
              <w:t>5.4.1.1</w:t>
            </w:r>
          </w:p>
        </w:tc>
        <w:tc>
          <w:tcPr>
            <w:tcW w:w="7173" w:type="dxa"/>
          </w:tcPr>
          <w:p w14:paraId="2FDD1CB1" w14:textId="77777777" w:rsidR="005A0B5B" w:rsidRPr="004702FB" w:rsidRDefault="005A0B5B" w:rsidP="0002019B">
            <w:pPr>
              <w:jc w:val="both"/>
            </w:pPr>
            <w:r w:rsidRPr="004702FB">
              <w:t>Schools who are selected to take part in an ad-hoc audit/review must co-operate and provide any necessary documentation that is requested by the Assurance Branch of the Department.</w:t>
            </w:r>
          </w:p>
        </w:tc>
        <w:tc>
          <w:tcPr>
            <w:tcW w:w="850" w:type="dxa"/>
          </w:tcPr>
          <w:p w14:paraId="28B69AEB" w14:textId="77777777" w:rsidR="005A0B5B" w:rsidRPr="004702FB" w:rsidRDefault="005A0B5B" w:rsidP="0002019B">
            <w:pPr>
              <w:jc w:val="both"/>
            </w:pPr>
          </w:p>
        </w:tc>
      </w:tr>
      <w:tr w:rsidR="005A0B5B" w:rsidRPr="004702FB" w14:paraId="56D6A54C" w14:textId="0061E1B9" w:rsidTr="004047F1">
        <w:trPr>
          <w:trHeight w:hRule="exact" w:val="1021"/>
        </w:trPr>
        <w:tc>
          <w:tcPr>
            <w:tcW w:w="1134" w:type="dxa"/>
          </w:tcPr>
          <w:p w14:paraId="5E00796F" w14:textId="77777777" w:rsidR="005A0B5B" w:rsidRPr="004702FB" w:rsidRDefault="005A0B5B" w:rsidP="00096EC6">
            <w:r>
              <w:t>5.4.1.2</w:t>
            </w:r>
          </w:p>
        </w:tc>
        <w:tc>
          <w:tcPr>
            <w:tcW w:w="7173" w:type="dxa"/>
          </w:tcPr>
          <w:p w14:paraId="533F840B" w14:textId="77777777" w:rsidR="005A0B5B" w:rsidRPr="004702FB" w:rsidRDefault="005A0B5B" w:rsidP="0002019B">
            <w:pPr>
              <w:jc w:val="both"/>
            </w:pPr>
            <w:r>
              <w:t>The principal must make a Declaration of Private Interest (DPI) on appointment and annually thereafter. Refer to definitions section for further explanation.</w:t>
            </w:r>
          </w:p>
        </w:tc>
        <w:tc>
          <w:tcPr>
            <w:tcW w:w="850" w:type="dxa"/>
          </w:tcPr>
          <w:p w14:paraId="461D1A19" w14:textId="77777777" w:rsidR="005A0B5B" w:rsidRDefault="005A0B5B" w:rsidP="0002019B">
            <w:pPr>
              <w:jc w:val="both"/>
            </w:pPr>
          </w:p>
        </w:tc>
      </w:tr>
    </w:tbl>
    <w:p w14:paraId="03903486" w14:textId="77777777" w:rsidR="00EA5A82" w:rsidRDefault="00EA5A82" w:rsidP="00EA5A82">
      <w:pPr>
        <w:spacing w:line="240" w:lineRule="auto"/>
        <w:rPr>
          <w:bCs/>
          <w:szCs w:val="22"/>
        </w:rPr>
      </w:pPr>
    </w:p>
    <w:p w14:paraId="4E3B98F9" w14:textId="77777777" w:rsidR="00324CF6" w:rsidRPr="00FB54EC" w:rsidRDefault="00EA5A82" w:rsidP="00324CF6">
      <w:pPr>
        <w:pStyle w:val="Heading2"/>
      </w:pPr>
      <w:r>
        <w:t>5.</w:t>
      </w:r>
      <w:r w:rsidR="00E276AC">
        <w:t>5</w:t>
      </w:r>
      <w:r w:rsidRPr="00FB54EC">
        <w:t xml:space="preserve"> </w:t>
      </w:r>
      <w:r>
        <w:tab/>
      </w:r>
      <w:r w:rsidR="00324CF6">
        <w:t xml:space="preserve">Independent </w:t>
      </w:r>
      <w:r w:rsidR="00C95A64">
        <w:t>a</w:t>
      </w:r>
      <w:r w:rsidR="00324CF6">
        <w:t xml:space="preserve">udit conducted by a School </w:t>
      </w:r>
    </w:p>
    <w:p w14:paraId="5F686D4F" w14:textId="77777777" w:rsidR="00C95A64" w:rsidRDefault="00324CF6" w:rsidP="00203A64">
      <w:r>
        <w:t xml:space="preserve">If a school engages an external audit firm to conduct an </w:t>
      </w:r>
      <w:r w:rsidR="00C95A64">
        <w:t xml:space="preserve">independent </w:t>
      </w:r>
      <w:r>
        <w:t xml:space="preserve">audit on the school’s finances and processes </w:t>
      </w:r>
      <w:r w:rsidR="00C95A64">
        <w:t xml:space="preserve">and receives a report on the result of the audit, </w:t>
      </w:r>
      <w:r w:rsidR="0091673C">
        <w:t xml:space="preserve">it is requested that </w:t>
      </w:r>
      <w:r w:rsidR="00C95A64">
        <w:t>the school forward the report to:</w:t>
      </w:r>
    </w:p>
    <w:p w14:paraId="44365C45" w14:textId="77777777" w:rsidR="00C95A64" w:rsidRPr="00C95A64" w:rsidRDefault="00382340" w:rsidP="00C93EF5">
      <w:pPr>
        <w:pStyle w:val="ListBullet"/>
        <w:rPr>
          <w:color w:val="0070C0"/>
        </w:rPr>
      </w:pPr>
      <w:r>
        <w:t>Business Monitoring</w:t>
      </w:r>
      <w:r w:rsidR="00C95A64">
        <w:t xml:space="preserve"> Team, </w:t>
      </w:r>
      <w:r>
        <w:t>Finance and Compliance</w:t>
      </w:r>
      <w:r w:rsidR="00C95A64">
        <w:t xml:space="preserve"> Branch, Financial Services Division to the following email address: </w:t>
      </w:r>
      <w:hyperlink r:id="rId12" w:history="1">
        <w:r w:rsidR="00C95A64" w:rsidRPr="00324CF6">
          <w:rPr>
            <w:rStyle w:val="Hyperlink"/>
          </w:rPr>
          <w:t>schools.transactions@edumail.vic.gov.au</w:t>
        </w:r>
      </w:hyperlink>
    </w:p>
    <w:p w14:paraId="747EA478" w14:textId="77777777" w:rsidR="00C95A64" w:rsidRDefault="00C95A64" w:rsidP="00203A64">
      <w:r>
        <w:t xml:space="preserve">An independent audit conducted by a third party organisation engaged by the school does not include the </w:t>
      </w:r>
      <w:r w:rsidR="00324CF6">
        <w:t>Department</w:t>
      </w:r>
      <w:r w:rsidR="00E276AC">
        <w:t>’</w:t>
      </w:r>
      <w:r w:rsidR="00324CF6">
        <w:t xml:space="preserve">s </w:t>
      </w:r>
      <w:r w:rsidR="00E276AC">
        <w:t>s</w:t>
      </w:r>
      <w:r w:rsidR="00324CF6">
        <w:t xml:space="preserve">chools </w:t>
      </w:r>
      <w:r w:rsidR="00E276AC">
        <w:t>a</w:t>
      </w:r>
      <w:r w:rsidR="00324CF6">
        <w:t xml:space="preserve">udit </w:t>
      </w:r>
      <w:r w:rsidR="00E276AC">
        <w:t>–</w:t>
      </w:r>
      <w:r w:rsidR="00324CF6">
        <w:t xml:space="preserve"> Agreed</w:t>
      </w:r>
      <w:r w:rsidR="00E276AC">
        <w:t>-</w:t>
      </w:r>
      <w:r w:rsidR="00324CF6">
        <w:t>Upon Procedures program</w:t>
      </w:r>
      <w:r>
        <w:t>.</w:t>
      </w:r>
    </w:p>
    <w:p w14:paraId="397894E4" w14:textId="77777777" w:rsidR="00C95A64" w:rsidRPr="004702FB" w:rsidRDefault="00C95A64" w:rsidP="00C95A64">
      <w:pPr>
        <w:jc w:val="both"/>
      </w:pPr>
    </w:p>
    <w:p w14:paraId="61F4CE0F" w14:textId="77777777" w:rsidR="0051778F" w:rsidRPr="00FB54EC" w:rsidRDefault="0051778F" w:rsidP="00FB54EC">
      <w:pPr>
        <w:pStyle w:val="Heading2"/>
      </w:pPr>
      <w:r w:rsidRPr="00FB54EC">
        <w:lastRenderedPageBreak/>
        <w:t>Legislative requirements</w:t>
      </w:r>
    </w:p>
    <w:p w14:paraId="0792107C" w14:textId="77777777" w:rsidR="0051778F" w:rsidRPr="00FB54EC" w:rsidRDefault="0051778F" w:rsidP="00FB54EC">
      <w:pPr>
        <w:pStyle w:val="Heading3"/>
      </w:pPr>
      <w:r w:rsidRPr="00FB54EC">
        <w:t>Legislation</w:t>
      </w:r>
    </w:p>
    <w:p w14:paraId="098F2244" w14:textId="77777777" w:rsidR="0051778F" w:rsidRPr="004702FB" w:rsidRDefault="0051778F" w:rsidP="004702FB">
      <w:r w:rsidRPr="004702FB">
        <w:t>The advice in this section was based on requirements outlined in the following legislation:</w:t>
      </w:r>
    </w:p>
    <w:p w14:paraId="53224D8A" w14:textId="77777777" w:rsidR="00532D28" w:rsidRPr="00C97522" w:rsidRDefault="00532D28" w:rsidP="00532D28">
      <w:pPr>
        <w:pStyle w:val="ListBullet"/>
        <w:rPr>
          <w:i/>
        </w:rPr>
      </w:pPr>
      <w:r w:rsidRPr="00C97522">
        <w:rPr>
          <w:i/>
        </w:rPr>
        <w:t xml:space="preserve">Audit Act 1994 </w:t>
      </w:r>
    </w:p>
    <w:p w14:paraId="660581DE" w14:textId="77777777" w:rsidR="0019637D" w:rsidRPr="00203A64" w:rsidRDefault="0019637D" w:rsidP="004702FB">
      <w:pPr>
        <w:pStyle w:val="ListBullet"/>
      </w:pPr>
      <w:r w:rsidRPr="00C97522">
        <w:rPr>
          <w:i/>
        </w:rPr>
        <w:t>Education and Training Reform Act 2006</w:t>
      </w:r>
      <w:r w:rsidRPr="00203A64">
        <w:t xml:space="preserve"> – Part 2.3 – Division 7 – Reporting and Accountability Requirements </w:t>
      </w:r>
    </w:p>
    <w:p w14:paraId="7C542093" w14:textId="77777777" w:rsidR="0019637D" w:rsidRPr="00203A64" w:rsidRDefault="00C3116F" w:rsidP="00C3116F">
      <w:pPr>
        <w:pStyle w:val="ListBullet"/>
      </w:pPr>
      <w:r w:rsidRPr="00F1501C">
        <w:rPr>
          <w:i/>
        </w:rPr>
        <w:t>Education and Training Regulations 20</w:t>
      </w:r>
      <w:r>
        <w:rPr>
          <w:i/>
        </w:rPr>
        <w:t>1</w:t>
      </w:r>
      <w:r w:rsidRPr="00F1501C">
        <w:rPr>
          <w:i/>
        </w:rPr>
        <w:t>7</w:t>
      </w:r>
      <w:r w:rsidRPr="0008210B">
        <w:t xml:space="preserve"> – Part </w:t>
      </w:r>
      <w:r>
        <w:t>4</w:t>
      </w:r>
      <w:r w:rsidRPr="0008210B">
        <w:t xml:space="preserve"> – Government School Councils</w:t>
      </w:r>
      <w:r>
        <w:t xml:space="preserve"> and Parents Clubs</w:t>
      </w:r>
    </w:p>
    <w:p w14:paraId="42729C11" w14:textId="77777777" w:rsidR="0019637D" w:rsidRPr="00C97522" w:rsidRDefault="0019637D" w:rsidP="004702FB">
      <w:pPr>
        <w:pStyle w:val="ListBullet"/>
        <w:rPr>
          <w:i/>
        </w:rPr>
      </w:pPr>
      <w:r w:rsidRPr="00C97522">
        <w:rPr>
          <w:i/>
        </w:rPr>
        <w:t>Financial Management Act 1994</w:t>
      </w:r>
    </w:p>
    <w:p w14:paraId="41DA0AF9" w14:textId="77777777" w:rsidR="0019637D" w:rsidRPr="00C97522" w:rsidRDefault="0019637D" w:rsidP="004702FB">
      <w:pPr>
        <w:pStyle w:val="ListBullet"/>
        <w:rPr>
          <w:i/>
        </w:rPr>
      </w:pPr>
      <w:r w:rsidRPr="00C97522">
        <w:rPr>
          <w:i/>
        </w:rPr>
        <w:t>Public Administration Act 2004</w:t>
      </w:r>
    </w:p>
    <w:p w14:paraId="64E3C148" w14:textId="72E7BC63" w:rsidR="0019637D" w:rsidRDefault="0019637D" w:rsidP="004702FB">
      <w:pPr>
        <w:pStyle w:val="ListBullet"/>
      </w:pPr>
      <w:r w:rsidRPr="00203A64">
        <w:t>Standing Directions of the Minister of Finance 201</w:t>
      </w:r>
      <w:r w:rsidR="00D22F54">
        <w:t>8</w:t>
      </w:r>
      <w:r w:rsidRPr="00203A64">
        <w:t xml:space="preserve"> </w:t>
      </w:r>
      <w:r w:rsidR="00096EC6" w:rsidRPr="00096EC6">
        <w:t xml:space="preserve">under </w:t>
      </w:r>
      <w:r w:rsidR="00096EC6" w:rsidRPr="00096EC6">
        <w:rPr>
          <w:i/>
        </w:rPr>
        <w:t>Financial Management Act 1994</w:t>
      </w:r>
      <w:r w:rsidR="00096EC6">
        <w:t xml:space="preserve"> </w:t>
      </w:r>
      <w:r w:rsidRPr="00203A64">
        <w:t>– Section 3.2 Oversight and assurance</w:t>
      </w:r>
    </w:p>
    <w:p w14:paraId="50C9429E" w14:textId="23841B8A" w:rsidR="0051778F" w:rsidRDefault="0051778F" w:rsidP="00FB54EC">
      <w:pPr>
        <w:pStyle w:val="Heading2"/>
      </w:pPr>
      <w:r w:rsidRPr="00FB54EC">
        <w:t xml:space="preserve">Definitions </w:t>
      </w:r>
    </w:p>
    <w:p w14:paraId="1E213183" w14:textId="77777777" w:rsidR="00FA47F9" w:rsidRPr="00FA47F9" w:rsidRDefault="00FA47F9" w:rsidP="00FA47F9"/>
    <w:tbl>
      <w:tblPr>
        <w:tblStyle w:val="GridTable6Colorful1"/>
        <w:tblW w:w="0" w:type="auto"/>
        <w:tblInd w:w="52" w:type="dxa"/>
        <w:tblLayout w:type="fixed"/>
        <w:tblLook w:val="04A0" w:firstRow="1" w:lastRow="0" w:firstColumn="1" w:lastColumn="0" w:noHBand="0" w:noVBand="1"/>
        <w:tblDescription w:val="items and their definitions"/>
      </w:tblPr>
      <w:tblGrid>
        <w:gridCol w:w="1972"/>
        <w:gridCol w:w="7025"/>
      </w:tblGrid>
      <w:tr w:rsidR="00E05E2D" w:rsidRPr="00B63F55" w14:paraId="363D884E" w14:textId="77777777" w:rsidTr="00E05E2D">
        <w:trPr>
          <w:cnfStyle w:val="100000000000" w:firstRow="1" w:lastRow="0" w:firstColumn="0" w:lastColumn="0" w:oddVBand="0" w:evenVBand="0" w:oddHBand="0" w:evenHBand="0" w:firstRowFirstColumn="0" w:firstRowLastColumn="0" w:lastRowFirstColumn="0" w:lastRowLastColumn="0"/>
          <w:trHeight w:hRule="exact" w:val="542"/>
          <w:tblHeader/>
        </w:trPr>
        <w:tc>
          <w:tcPr>
            <w:cnfStyle w:val="001000000000" w:firstRow="0" w:lastRow="0" w:firstColumn="1" w:lastColumn="0" w:oddVBand="0" w:evenVBand="0" w:oddHBand="0" w:evenHBand="0" w:firstRowFirstColumn="0" w:firstRowLastColumn="0" w:lastRowFirstColumn="0" w:lastRowLastColumn="0"/>
            <w:tcW w:w="1972" w:type="dxa"/>
          </w:tcPr>
          <w:p w14:paraId="484C4FED" w14:textId="11871F9D" w:rsidR="00E05E2D" w:rsidRPr="00B63F55" w:rsidRDefault="00E05E2D" w:rsidP="00F73065">
            <w:pPr>
              <w:rPr>
                <w:color w:val="auto"/>
                <w:szCs w:val="22"/>
              </w:rPr>
            </w:pPr>
            <w:r w:rsidRPr="00B63F55">
              <w:rPr>
                <w:color w:val="auto"/>
                <w:szCs w:val="22"/>
              </w:rPr>
              <w:t>Item</w:t>
            </w:r>
          </w:p>
        </w:tc>
        <w:tc>
          <w:tcPr>
            <w:tcW w:w="7025" w:type="dxa"/>
          </w:tcPr>
          <w:p w14:paraId="32A31A87" w14:textId="0D3ACF61" w:rsidR="00E05E2D" w:rsidRPr="00B63F55" w:rsidRDefault="00E05E2D" w:rsidP="00E05E2D">
            <w:pPr>
              <w:cnfStyle w:val="100000000000" w:firstRow="1" w:lastRow="0" w:firstColumn="0" w:lastColumn="0" w:oddVBand="0" w:evenVBand="0" w:oddHBand="0" w:evenHBand="0" w:firstRowFirstColumn="0" w:firstRowLastColumn="0" w:lastRowFirstColumn="0" w:lastRowLastColumn="0"/>
              <w:rPr>
                <w:color w:val="auto"/>
                <w:szCs w:val="22"/>
              </w:rPr>
            </w:pPr>
            <w:r w:rsidRPr="00B63F55">
              <w:rPr>
                <w:color w:val="auto"/>
                <w:szCs w:val="22"/>
              </w:rPr>
              <w:t>Definition</w:t>
            </w:r>
          </w:p>
        </w:tc>
      </w:tr>
      <w:tr w:rsidR="00203A64" w:rsidRPr="004702FB" w14:paraId="23377C1F" w14:textId="77777777" w:rsidTr="00E05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2" w:type="dxa"/>
            <w:tcBorders>
              <w:top w:val="single" w:sz="4" w:space="0" w:color="auto"/>
              <w:left w:val="single" w:sz="4" w:space="0" w:color="auto"/>
              <w:bottom w:val="single" w:sz="4" w:space="0" w:color="auto"/>
              <w:right w:val="single" w:sz="4" w:space="0" w:color="auto"/>
            </w:tcBorders>
          </w:tcPr>
          <w:p w14:paraId="540D8B47" w14:textId="77777777" w:rsidR="00203A64" w:rsidRPr="00203A64" w:rsidRDefault="00203A64" w:rsidP="008C3699">
            <w:pPr>
              <w:rPr>
                <w:color w:val="auto"/>
              </w:rPr>
            </w:pPr>
            <w:r w:rsidRPr="00203A64">
              <w:rPr>
                <w:color w:val="auto"/>
              </w:rPr>
              <w:t>Ad-hoc audits</w:t>
            </w:r>
          </w:p>
        </w:tc>
        <w:tc>
          <w:tcPr>
            <w:tcW w:w="7025" w:type="dxa"/>
            <w:tcBorders>
              <w:top w:val="single" w:sz="4" w:space="0" w:color="auto"/>
              <w:left w:val="single" w:sz="4" w:space="0" w:color="auto"/>
              <w:bottom w:val="single" w:sz="4" w:space="0" w:color="auto"/>
              <w:right w:val="single" w:sz="4" w:space="0" w:color="auto"/>
            </w:tcBorders>
          </w:tcPr>
          <w:p w14:paraId="26A50181" w14:textId="77777777" w:rsidR="00203A64" w:rsidRPr="00FA47F9" w:rsidRDefault="00203A64" w:rsidP="00DE24F9">
            <w:pPr>
              <w:cnfStyle w:val="100000000000" w:firstRow="1" w:lastRow="0" w:firstColumn="0" w:lastColumn="0" w:oddVBand="0" w:evenVBand="0" w:oddHBand="0" w:evenHBand="0" w:firstRowFirstColumn="0" w:firstRowLastColumn="0" w:lastRowFirstColumn="0" w:lastRowLastColumn="0"/>
              <w:rPr>
                <w:b w:val="0"/>
                <w:color w:val="auto"/>
              </w:rPr>
            </w:pPr>
            <w:r w:rsidRPr="00FA47F9">
              <w:rPr>
                <w:b w:val="0"/>
                <w:color w:val="auto"/>
              </w:rPr>
              <w:t>An audit and review that may occur outside the plan based on requests of management of the Department, the Audit and Risk Committee, or are self-initiated by the Department</w:t>
            </w:r>
            <w:r w:rsidR="00AF733D" w:rsidRPr="00FA47F9">
              <w:rPr>
                <w:b w:val="0"/>
                <w:color w:val="auto"/>
              </w:rPr>
              <w:t>’</w:t>
            </w:r>
            <w:r w:rsidRPr="00FA47F9">
              <w:rPr>
                <w:b w:val="0"/>
                <w:color w:val="auto"/>
              </w:rPr>
              <w:t xml:space="preserve">s Assurance Branch and is based on a risk assessment. </w:t>
            </w:r>
          </w:p>
        </w:tc>
      </w:tr>
      <w:tr w:rsidR="00203A64" w:rsidRPr="004702FB" w14:paraId="52C26BF1" w14:textId="77777777" w:rsidTr="00E05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A164F7" w14:textId="77777777" w:rsidR="00203A64" w:rsidRPr="00203A64" w:rsidRDefault="00203A64" w:rsidP="008C3699">
            <w:pPr>
              <w:rPr>
                <w:color w:val="auto"/>
              </w:rPr>
            </w:pPr>
            <w:r w:rsidRPr="00203A64">
              <w:rPr>
                <w:color w:val="auto"/>
              </w:rPr>
              <w:t xml:space="preserve">Agreed-Upon Procedures (AUP) approach </w:t>
            </w:r>
          </w:p>
        </w:tc>
        <w:tc>
          <w:tcPr>
            <w:tcW w:w="7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AB17F2" w14:textId="77777777" w:rsidR="00203A64" w:rsidRPr="004702FB" w:rsidRDefault="00203A64" w:rsidP="00F94481">
            <w:pPr>
              <w:cnfStyle w:val="000000100000" w:firstRow="0" w:lastRow="0" w:firstColumn="0" w:lastColumn="0" w:oddVBand="0" w:evenVBand="0" w:oddHBand="1" w:evenHBand="0" w:firstRowFirstColumn="0" w:firstRowLastColumn="0" w:lastRowFirstColumn="0" w:lastRowLastColumn="0"/>
              <w:rPr>
                <w:b/>
                <w:color w:val="auto"/>
              </w:rPr>
            </w:pPr>
            <w:r w:rsidRPr="004702FB">
              <w:rPr>
                <w:color w:val="auto"/>
              </w:rPr>
              <w:t xml:space="preserve">The AUP program assesses application of key financial controls and tests school transactions across multiple business processes. The AUP program also assesses reasonableness of </w:t>
            </w:r>
            <w:r w:rsidR="00F94481">
              <w:rPr>
                <w:color w:val="auto"/>
              </w:rPr>
              <w:t>s</w:t>
            </w:r>
            <w:r w:rsidR="00DE24F9">
              <w:rPr>
                <w:color w:val="auto"/>
              </w:rPr>
              <w:t xml:space="preserve">chool </w:t>
            </w:r>
            <w:r w:rsidR="00F94481">
              <w:rPr>
                <w:color w:val="auto"/>
              </w:rPr>
              <w:t>c</w:t>
            </w:r>
            <w:r w:rsidR="00DE24F9">
              <w:rPr>
                <w:color w:val="auto"/>
              </w:rPr>
              <w:t>ouncil</w:t>
            </w:r>
            <w:r w:rsidRPr="004702FB">
              <w:rPr>
                <w:color w:val="auto"/>
              </w:rPr>
              <w:t xml:space="preserve"> </w:t>
            </w:r>
            <w:r w:rsidR="00F94481">
              <w:rPr>
                <w:color w:val="auto"/>
              </w:rPr>
              <w:t>g</w:t>
            </w:r>
            <w:r w:rsidRPr="004702FB">
              <w:rPr>
                <w:color w:val="auto"/>
              </w:rPr>
              <w:t>overnance.</w:t>
            </w:r>
          </w:p>
        </w:tc>
      </w:tr>
      <w:tr w:rsidR="00203A64" w:rsidRPr="004702FB" w14:paraId="12DEAF2B" w14:textId="77777777" w:rsidTr="00E05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972" w:type="dxa"/>
            <w:tcBorders>
              <w:top w:val="single" w:sz="4" w:space="0" w:color="auto"/>
              <w:left w:val="single" w:sz="4" w:space="0" w:color="auto"/>
              <w:bottom w:val="single" w:sz="4" w:space="0" w:color="auto"/>
              <w:right w:val="single" w:sz="4" w:space="0" w:color="auto"/>
            </w:tcBorders>
          </w:tcPr>
          <w:p w14:paraId="07B3CBE7" w14:textId="77777777" w:rsidR="00203A64" w:rsidRPr="00203A64" w:rsidRDefault="00203A64" w:rsidP="008C3699">
            <w:pPr>
              <w:rPr>
                <w:color w:val="auto"/>
              </w:rPr>
            </w:pPr>
            <w:r w:rsidRPr="00203A64">
              <w:rPr>
                <w:color w:val="auto"/>
              </w:rPr>
              <w:t>Declaration of private interest (DPI)</w:t>
            </w:r>
          </w:p>
          <w:p w14:paraId="17A21E1C" w14:textId="77777777" w:rsidR="00203A64" w:rsidRPr="00203A64" w:rsidRDefault="00203A64" w:rsidP="008C3699"/>
        </w:tc>
        <w:tc>
          <w:tcPr>
            <w:tcW w:w="7025" w:type="dxa"/>
            <w:tcBorders>
              <w:top w:val="single" w:sz="4" w:space="0" w:color="auto"/>
              <w:left w:val="single" w:sz="4" w:space="0" w:color="auto"/>
              <w:bottom w:val="single" w:sz="4" w:space="0" w:color="auto"/>
              <w:right w:val="single" w:sz="4" w:space="0" w:color="auto"/>
            </w:tcBorders>
          </w:tcPr>
          <w:p w14:paraId="4169CCB2" w14:textId="77777777" w:rsidR="00203A64" w:rsidRPr="004702FB" w:rsidRDefault="00203A64" w:rsidP="00DE24F9">
            <w:pPr>
              <w:cnfStyle w:val="000000000000" w:firstRow="0" w:lastRow="0" w:firstColumn="0" w:lastColumn="0" w:oddVBand="0" w:evenVBand="0" w:oddHBand="0" w:evenHBand="0" w:firstRowFirstColumn="0" w:firstRowLastColumn="0" w:lastRowFirstColumn="0" w:lastRowLastColumn="0"/>
            </w:pPr>
            <w:r>
              <w:t>Declaration made via Edupay of potential conflicts of interest including, but not limited to, other sources of income, any positions of office held in public or private companies, shareholdings and other business interests, relationships with trusts, holdings of real estate, agreements and contracts, other financial interests and any probity issues.</w:t>
            </w:r>
          </w:p>
        </w:tc>
      </w:tr>
      <w:tr w:rsidR="00203A64" w:rsidRPr="004702FB" w14:paraId="4D2F2263" w14:textId="77777777" w:rsidTr="00E05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2CAAF" w14:textId="77777777" w:rsidR="00203A64" w:rsidRPr="00203A64" w:rsidRDefault="00203A64" w:rsidP="004702FB">
            <w:pPr>
              <w:rPr>
                <w:color w:val="auto"/>
              </w:rPr>
            </w:pPr>
            <w:r w:rsidRPr="00203A64">
              <w:rPr>
                <w:color w:val="auto"/>
              </w:rPr>
              <w:t>Topic audits</w:t>
            </w:r>
          </w:p>
        </w:tc>
        <w:tc>
          <w:tcPr>
            <w:tcW w:w="7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5648AF" w14:textId="77777777" w:rsidR="00203A64" w:rsidRPr="004702FB" w:rsidRDefault="00203A64" w:rsidP="00DE24F9">
            <w:pPr>
              <w:cnfStyle w:val="000000100000" w:firstRow="0" w:lastRow="0" w:firstColumn="0" w:lastColumn="0" w:oddVBand="0" w:evenVBand="0" w:oddHBand="1" w:evenHBand="0" w:firstRowFirstColumn="0" w:firstRowLastColumn="0" w:lastRowFirstColumn="0" w:lastRowLastColumn="0"/>
              <w:rPr>
                <w:color w:val="auto"/>
              </w:rPr>
            </w:pPr>
            <w:r w:rsidRPr="004702FB">
              <w:rPr>
                <w:color w:val="auto"/>
              </w:rPr>
              <w:t>The Department identifies several topic audits to be carried out a</w:t>
            </w:r>
            <w:r>
              <w:rPr>
                <w:color w:val="auto"/>
              </w:rPr>
              <w:t>t</w:t>
            </w:r>
            <w:r w:rsidRPr="004702FB">
              <w:rPr>
                <w:color w:val="auto"/>
              </w:rPr>
              <w:t xml:space="preserve"> schools. Some examples of topic audits can include the review of key financial management controls, school governance and locally raised funds.</w:t>
            </w:r>
          </w:p>
        </w:tc>
      </w:tr>
    </w:tbl>
    <w:p w14:paraId="24470E60" w14:textId="35EAC7DD" w:rsidR="00DE24F9" w:rsidRDefault="00DE24F9" w:rsidP="00DE24F9">
      <w:pPr>
        <w:jc w:val="both"/>
      </w:pPr>
    </w:p>
    <w:p w14:paraId="0B022D66" w14:textId="77777777" w:rsidR="0089258D" w:rsidRPr="004702FB" w:rsidRDefault="0089258D" w:rsidP="00DE24F9">
      <w:pPr>
        <w:jc w:val="both"/>
      </w:pPr>
    </w:p>
    <w:p w14:paraId="54FF4D9E" w14:textId="77777777" w:rsidR="0051778F" w:rsidRPr="00FB54EC" w:rsidRDefault="0051778F" w:rsidP="00FB54EC">
      <w:pPr>
        <w:pStyle w:val="Heading2"/>
      </w:pPr>
      <w:r w:rsidRPr="00FB54EC">
        <w:lastRenderedPageBreak/>
        <w:t xml:space="preserve">Additional </w:t>
      </w:r>
      <w:r w:rsidR="00532D28">
        <w:t>r</w:t>
      </w:r>
      <w:r w:rsidRPr="00FB54EC">
        <w:t>esources</w:t>
      </w:r>
    </w:p>
    <w:p w14:paraId="615190F2" w14:textId="77777777" w:rsidR="0019637D" w:rsidRDefault="0019637D" w:rsidP="00ED1024">
      <w:pPr>
        <w:pStyle w:val="ListBullet"/>
        <w:rPr>
          <w:rFonts w:eastAsia="Times New Roman" w:cs="Helvetica"/>
          <w:color w:val="53565A"/>
          <w:lang w:eastAsia="en-AU"/>
        </w:rPr>
      </w:pPr>
      <w:r w:rsidRPr="00534DA6">
        <w:t>If you require additional information on the SCFA program, email the assurance branch on:</w:t>
      </w:r>
      <w:r w:rsidRPr="001F2836">
        <w:rPr>
          <w:rFonts w:eastAsia="Times New Roman" w:cs="Helvetica"/>
          <w:color w:val="53565A"/>
          <w:lang w:eastAsia="en-AU"/>
        </w:rPr>
        <w:t xml:space="preserve"> </w:t>
      </w:r>
      <w:hyperlink r:id="rId13" w:history="1">
        <w:r w:rsidR="00F27BEB" w:rsidRPr="00587082">
          <w:rPr>
            <w:rStyle w:val="Hyperlink"/>
          </w:rPr>
          <w:t>scfa@edumail.vic.gov.au</w:t>
        </w:r>
      </w:hyperlink>
      <w:r>
        <w:rPr>
          <w:rFonts w:eastAsia="Times New Roman" w:cs="Helvetica"/>
          <w:color w:val="53565A"/>
          <w:u w:val="single"/>
          <w:lang w:eastAsia="en-AU"/>
        </w:rPr>
        <w:t xml:space="preserve"> </w:t>
      </w:r>
      <w:r w:rsidRPr="00534DA6">
        <w:t xml:space="preserve">or visit our homepage on </w:t>
      </w:r>
      <w:proofErr w:type="spellStart"/>
      <w:r w:rsidRPr="00534DA6">
        <w:t>edugate</w:t>
      </w:r>
      <w:proofErr w:type="spellEnd"/>
      <w:r>
        <w:rPr>
          <w:rFonts w:eastAsia="Times New Roman" w:cs="Helvetica"/>
          <w:color w:val="53565A"/>
          <w:lang w:eastAsia="en-AU"/>
        </w:rPr>
        <w:t xml:space="preserve">. </w:t>
      </w:r>
    </w:p>
    <w:p w14:paraId="113278FF" w14:textId="281E8912" w:rsidR="00F27BEB" w:rsidRDefault="00A55B90" w:rsidP="00F27BEB">
      <w:pPr>
        <w:pStyle w:val="ListBullet"/>
        <w:numPr>
          <w:ilvl w:val="0"/>
          <w:numId w:val="40"/>
        </w:numPr>
      </w:pPr>
      <w:hyperlink r:id="rId14" w:history="1">
        <w:r w:rsidR="0019637D" w:rsidRPr="00920CB7">
          <w:rPr>
            <w:rStyle w:val="Hyperlink"/>
          </w:rPr>
          <w:t>School Policy and Advisory Guide</w:t>
        </w:r>
      </w:hyperlink>
      <w:r w:rsidR="0019637D">
        <w:t xml:space="preserve"> </w:t>
      </w:r>
    </w:p>
    <w:p w14:paraId="58588363" w14:textId="77777777" w:rsidR="00C95A64" w:rsidRDefault="00C95A64" w:rsidP="00AF4C3B">
      <w:pPr>
        <w:pStyle w:val="ListBullet"/>
        <w:numPr>
          <w:ilvl w:val="0"/>
          <w:numId w:val="0"/>
        </w:numPr>
        <w:ind w:left="284" w:hanging="284"/>
      </w:pPr>
    </w:p>
    <w:p w14:paraId="56B54202" w14:textId="77777777" w:rsidR="00C95A64" w:rsidRDefault="00C95A64" w:rsidP="00AF4C3B">
      <w:pPr>
        <w:pStyle w:val="ListBullet"/>
        <w:numPr>
          <w:ilvl w:val="0"/>
          <w:numId w:val="0"/>
        </w:numPr>
        <w:ind w:left="284" w:hanging="284"/>
      </w:pPr>
    </w:p>
    <w:p w14:paraId="03003635" w14:textId="77777777" w:rsidR="00C32422" w:rsidRDefault="00C32422" w:rsidP="00AF4C3B">
      <w:pPr>
        <w:pStyle w:val="ListBullet"/>
        <w:numPr>
          <w:ilvl w:val="0"/>
          <w:numId w:val="0"/>
        </w:numPr>
        <w:ind w:left="284" w:hanging="284"/>
      </w:pPr>
    </w:p>
    <w:p w14:paraId="4E061D3F" w14:textId="7BA820A7" w:rsidR="00C32422" w:rsidRDefault="00C32422" w:rsidP="00AF4C3B">
      <w:pPr>
        <w:pStyle w:val="ListBullet"/>
        <w:numPr>
          <w:ilvl w:val="0"/>
          <w:numId w:val="0"/>
        </w:numPr>
        <w:ind w:left="284" w:hanging="284"/>
      </w:pPr>
    </w:p>
    <w:p w14:paraId="7BF9B075" w14:textId="0853C854" w:rsidR="0089258D" w:rsidRDefault="0089258D" w:rsidP="00AF4C3B">
      <w:pPr>
        <w:pStyle w:val="ListBullet"/>
        <w:numPr>
          <w:ilvl w:val="0"/>
          <w:numId w:val="0"/>
        </w:numPr>
        <w:ind w:left="284" w:hanging="284"/>
      </w:pPr>
    </w:p>
    <w:p w14:paraId="1138E09C" w14:textId="7D14B327" w:rsidR="0089258D" w:rsidRDefault="0089258D" w:rsidP="00AF4C3B">
      <w:pPr>
        <w:pStyle w:val="ListBullet"/>
        <w:numPr>
          <w:ilvl w:val="0"/>
          <w:numId w:val="0"/>
        </w:numPr>
        <w:ind w:left="284" w:hanging="284"/>
      </w:pPr>
    </w:p>
    <w:p w14:paraId="1E29E3F1" w14:textId="088A0583" w:rsidR="0089258D" w:rsidRDefault="0089258D" w:rsidP="00AF4C3B">
      <w:pPr>
        <w:pStyle w:val="ListBullet"/>
        <w:numPr>
          <w:ilvl w:val="0"/>
          <w:numId w:val="0"/>
        </w:numPr>
        <w:ind w:left="284" w:hanging="284"/>
      </w:pPr>
    </w:p>
    <w:p w14:paraId="320228D7" w14:textId="38A089F5" w:rsidR="0089258D" w:rsidRDefault="0089258D" w:rsidP="00AF4C3B">
      <w:pPr>
        <w:pStyle w:val="ListBullet"/>
        <w:numPr>
          <w:ilvl w:val="0"/>
          <w:numId w:val="0"/>
        </w:numPr>
        <w:ind w:left="284" w:hanging="284"/>
      </w:pPr>
    </w:p>
    <w:p w14:paraId="01D943A4" w14:textId="77324918" w:rsidR="0089258D" w:rsidRDefault="0089258D" w:rsidP="00AF4C3B">
      <w:pPr>
        <w:pStyle w:val="ListBullet"/>
        <w:numPr>
          <w:ilvl w:val="0"/>
          <w:numId w:val="0"/>
        </w:numPr>
        <w:ind w:left="284" w:hanging="284"/>
      </w:pPr>
    </w:p>
    <w:p w14:paraId="5F2B038B" w14:textId="5D8D88FE" w:rsidR="0089258D" w:rsidRDefault="0089258D" w:rsidP="00AF4C3B">
      <w:pPr>
        <w:pStyle w:val="ListBullet"/>
        <w:numPr>
          <w:ilvl w:val="0"/>
          <w:numId w:val="0"/>
        </w:numPr>
        <w:ind w:left="284" w:hanging="284"/>
      </w:pPr>
    </w:p>
    <w:p w14:paraId="19CD61C7" w14:textId="6572B8B6" w:rsidR="0089258D" w:rsidRDefault="0089258D" w:rsidP="00AF4C3B">
      <w:pPr>
        <w:pStyle w:val="ListBullet"/>
        <w:numPr>
          <w:ilvl w:val="0"/>
          <w:numId w:val="0"/>
        </w:numPr>
        <w:ind w:left="284" w:hanging="284"/>
      </w:pPr>
    </w:p>
    <w:p w14:paraId="7D25188C" w14:textId="120637F7" w:rsidR="0089258D" w:rsidRDefault="0089258D" w:rsidP="00AF4C3B">
      <w:pPr>
        <w:pStyle w:val="ListBullet"/>
        <w:numPr>
          <w:ilvl w:val="0"/>
          <w:numId w:val="0"/>
        </w:numPr>
        <w:ind w:left="284" w:hanging="284"/>
      </w:pPr>
    </w:p>
    <w:p w14:paraId="139DA7B8" w14:textId="1911FF6A" w:rsidR="0089258D" w:rsidRDefault="0089258D" w:rsidP="00AF4C3B">
      <w:pPr>
        <w:pStyle w:val="ListBullet"/>
        <w:numPr>
          <w:ilvl w:val="0"/>
          <w:numId w:val="0"/>
        </w:numPr>
        <w:ind w:left="284" w:hanging="284"/>
      </w:pPr>
    </w:p>
    <w:p w14:paraId="62803443" w14:textId="6E70BEA8" w:rsidR="0089258D" w:rsidRDefault="0089258D" w:rsidP="00AF4C3B">
      <w:pPr>
        <w:pStyle w:val="ListBullet"/>
        <w:numPr>
          <w:ilvl w:val="0"/>
          <w:numId w:val="0"/>
        </w:numPr>
        <w:ind w:left="284" w:hanging="284"/>
      </w:pPr>
    </w:p>
    <w:p w14:paraId="764F3375" w14:textId="47441934" w:rsidR="0089258D" w:rsidRDefault="0089258D" w:rsidP="00AF4C3B">
      <w:pPr>
        <w:pStyle w:val="ListBullet"/>
        <w:numPr>
          <w:ilvl w:val="0"/>
          <w:numId w:val="0"/>
        </w:numPr>
        <w:ind w:left="284" w:hanging="284"/>
      </w:pPr>
    </w:p>
    <w:p w14:paraId="1A87B8C2" w14:textId="6D63A6F2" w:rsidR="0089258D" w:rsidRDefault="0089258D" w:rsidP="00AF4C3B">
      <w:pPr>
        <w:pStyle w:val="ListBullet"/>
        <w:numPr>
          <w:ilvl w:val="0"/>
          <w:numId w:val="0"/>
        </w:numPr>
        <w:ind w:left="284" w:hanging="284"/>
      </w:pPr>
    </w:p>
    <w:p w14:paraId="23088707" w14:textId="6C998101" w:rsidR="0089258D" w:rsidRDefault="0089258D" w:rsidP="00AF4C3B">
      <w:pPr>
        <w:pStyle w:val="ListBullet"/>
        <w:numPr>
          <w:ilvl w:val="0"/>
          <w:numId w:val="0"/>
        </w:numPr>
        <w:ind w:left="284" w:hanging="284"/>
      </w:pPr>
    </w:p>
    <w:p w14:paraId="57F70763" w14:textId="4A0D638E" w:rsidR="0089258D" w:rsidRDefault="0089258D" w:rsidP="00AF4C3B">
      <w:pPr>
        <w:pStyle w:val="ListBullet"/>
        <w:numPr>
          <w:ilvl w:val="0"/>
          <w:numId w:val="0"/>
        </w:numPr>
        <w:ind w:left="284" w:hanging="284"/>
      </w:pPr>
    </w:p>
    <w:p w14:paraId="7EB1174C" w14:textId="37190AA2" w:rsidR="0089258D" w:rsidRDefault="0089258D" w:rsidP="00AF4C3B">
      <w:pPr>
        <w:pStyle w:val="ListBullet"/>
        <w:numPr>
          <w:ilvl w:val="0"/>
          <w:numId w:val="0"/>
        </w:numPr>
        <w:ind w:left="284" w:hanging="284"/>
      </w:pPr>
    </w:p>
    <w:p w14:paraId="56B9C5FD" w14:textId="18FF5E3F" w:rsidR="0089258D" w:rsidRDefault="0089258D" w:rsidP="00AF4C3B">
      <w:pPr>
        <w:pStyle w:val="ListBullet"/>
        <w:numPr>
          <w:ilvl w:val="0"/>
          <w:numId w:val="0"/>
        </w:numPr>
        <w:ind w:left="284" w:hanging="284"/>
      </w:pPr>
    </w:p>
    <w:p w14:paraId="17CF5C59" w14:textId="5B0F8D44" w:rsidR="00E0252B" w:rsidRDefault="00E0252B" w:rsidP="00AF4C3B">
      <w:pPr>
        <w:pStyle w:val="ListBullet"/>
        <w:numPr>
          <w:ilvl w:val="0"/>
          <w:numId w:val="0"/>
        </w:numPr>
        <w:ind w:left="284" w:hanging="284"/>
      </w:pPr>
    </w:p>
    <w:p w14:paraId="7EAB4F01" w14:textId="77777777" w:rsidR="00E0252B" w:rsidRDefault="00E0252B" w:rsidP="00AF4C3B">
      <w:pPr>
        <w:pStyle w:val="ListBullet"/>
        <w:numPr>
          <w:ilvl w:val="0"/>
          <w:numId w:val="0"/>
        </w:numPr>
        <w:ind w:left="284" w:hanging="284"/>
      </w:pPr>
    </w:p>
    <w:p w14:paraId="2939E23E" w14:textId="77777777" w:rsidR="0089258D" w:rsidRDefault="0089258D" w:rsidP="00AF4C3B">
      <w:pPr>
        <w:pStyle w:val="ListBullet"/>
        <w:numPr>
          <w:ilvl w:val="0"/>
          <w:numId w:val="0"/>
        </w:numPr>
        <w:ind w:left="284" w:hanging="284"/>
      </w:pPr>
    </w:p>
    <w:p w14:paraId="5B9CDD8A" w14:textId="77777777" w:rsidR="00C93EF5" w:rsidRDefault="00C93EF5" w:rsidP="00AF4C3B">
      <w:pPr>
        <w:pStyle w:val="ListBullet"/>
        <w:numPr>
          <w:ilvl w:val="0"/>
          <w:numId w:val="0"/>
        </w:numPr>
        <w:ind w:left="284" w:hanging="284"/>
      </w:pPr>
    </w:p>
    <w:p w14:paraId="2BEBE74D" w14:textId="77777777" w:rsidR="0051778F" w:rsidRPr="00FB54EC" w:rsidRDefault="00C93EF5" w:rsidP="00FB54EC">
      <w:pPr>
        <w:pStyle w:val="Heading2"/>
      </w:pPr>
      <w:r>
        <w:t xml:space="preserve">Version and </w:t>
      </w:r>
      <w:r w:rsidR="00532D28">
        <w:t>r</w:t>
      </w:r>
      <w:r w:rsidR="0051778F" w:rsidRPr="00FB54EC">
        <w:t xml:space="preserve">evision </w:t>
      </w:r>
      <w:r>
        <w:t xml:space="preserve">control </w:t>
      </w:r>
      <w:r w:rsidR="0051778F" w:rsidRPr="00FB54EC">
        <w:t>record</w:t>
      </w:r>
    </w:p>
    <w:tbl>
      <w:tblPr>
        <w:tblStyle w:val="TableGrid"/>
        <w:tblW w:w="0" w:type="auto"/>
        <w:tblLook w:val="04A0" w:firstRow="1" w:lastRow="0" w:firstColumn="1" w:lastColumn="0" w:noHBand="0" w:noVBand="1"/>
        <w:tblDescription w:val="version and revision control record"/>
      </w:tblPr>
      <w:tblGrid>
        <w:gridCol w:w="1318"/>
        <w:gridCol w:w="1132"/>
        <w:gridCol w:w="4915"/>
        <w:gridCol w:w="1689"/>
      </w:tblGrid>
      <w:tr w:rsidR="0051778F" w:rsidRPr="00FB54EC" w14:paraId="3D6B29A5" w14:textId="77777777" w:rsidTr="00570DB6">
        <w:trPr>
          <w:tblHeader/>
        </w:trPr>
        <w:tc>
          <w:tcPr>
            <w:tcW w:w="1318" w:type="dxa"/>
            <w:shd w:val="clear" w:color="auto" w:fill="F2F2F2" w:themeFill="background1" w:themeFillShade="F2"/>
          </w:tcPr>
          <w:p w14:paraId="14154B98" w14:textId="77777777" w:rsidR="0051778F" w:rsidRPr="009F6569" w:rsidRDefault="0051778F" w:rsidP="00FB54EC">
            <w:pPr>
              <w:rPr>
                <w:b/>
              </w:rPr>
            </w:pPr>
            <w:r w:rsidRPr="009F6569">
              <w:rPr>
                <w:b/>
              </w:rPr>
              <w:t>Date</w:t>
            </w:r>
          </w:p>
        </w:tc>
        <w:tc>
          <w:tcPr>
            <w:tcW w:w="1132" w:type="dxa"/>
            <w:shd w:val="clear" w:color="auto" w:fill="F2F2F2" w:themeFill="background1" w:themeFillShade="F2"/>
          </w:tcPr>
          <w:p w14:paraId="1001B8CC" w14:textId="77777777" w:rsidR="0051778F" w:rsidRPr="009F6569" w:rsidRDefault="0051778F" w:rsidP="00FB54EC">
            <w:pPr>
              <w:rPr>
                <w:b/>
              </w:rPr>
            </w:pPr>
            <w:r w:rsidRPr="009F6569">
              <w:rPr>
                <w:b/>
              </w:rPr>
              <w:t>Version</w:t>
            </w:r>
          </w:p>
        </w:tc>
        <w:tc>
          <w:tcPr>
            <w:tcW w:w="4915" w:type="dxa"/>
            <w:shd w:val="clear" w:color="auto" w:fill="F2F2F2" w:themeFill="background1" w:themeFillShade="F2"/>
          </w:tcPr>
          <w:p w14:paraId="2D1B34E4" w14:textId="77777777" w:rsidR="0051778F" w:rsidRPr="009F6569" w:rsidRDefault="0051778F" w:rsidP="00FB54EC">
            <w:pPr>
              <w:rPr>
                <w:b/>
              </w:rPr>
            </w:pPr>
            <w:r w:rsidRPr="009F6569">
              <w:rPr>
                <w:b/>
              </w:rPr>
              <w:t>Approver</w:t>
            </w:r>
          </w:p>
        </w:tc>
        <w:tc>
          <w:tcPr>
            <w:tcW w:w="1689" w:type="dxa"/>
            <w:shd w:val="clear" w:color="auto" w:fill="F2F2F2" w:themeFill="background1" w:themeFillShade="F2"/>
          </w:tcPr>
          <w:p w14:paraId="07C8CCF3" w14:textId="77777777" w:rsidR="0051778F" w:rsidRPr="009F6569" w:rsidRDefault="0051778F" w:rsidP="00FB54EC">
            <w:pPr>
              <w:rPr>
                <w:b/>
              </w:rPr>
            </w:pPr>
            <w:r w:rsidRPr="009F6569">
              <w:rPr>
                <w:b/>
              </w:rPr>
              <w:t>Next Review</w:t>
            </w:r>
          </w:p>
        </w:tc>
      </w:tr>
      <w:tr w:rsidR="0051778F" w:rsidRPr="00FB54EC" w14:paraId="6C58D7AA" w14:textId="77777777" w:rsidTr="002C05C1">
        <w:tc>
          <w:tcPr>
            <w:tcW w:w="1318" w:type="dxa"/>
          </w:tcPr>
          <w:p w14:paraId="53296E97" w14:textId="42E0F049" w:rsidR="0051778F" w:rsidRPr="00FB54EC" w:rsidRDefault="00E0252B" w:rsidP="004047F1">
            <w:r>
              <w:t>0</w:t>
            </w:r>
            <w:r w:rsidR="004047F1">
              <w:t>1</w:t>
            </w:r>
            <w:r w:rsidR="0013665E">
              <w:t>/</w:t>
            </w:r>
            <w:r w:rsidR="00B00DAC">
              <w:t>20</w:t>
            </w:r>
            <w:r w:rsidR="004047F1">
              <w:t>19</w:t>
            </w:r>
          </w:p>
        </w:tc>
        <w:tc>
          <w:tcPr>
            <w:tcW w:w="1132" w:type="dxa"/>
          </w:tcPr>
          <w:p w14:paraId="778473EA" w14:textId="7B7485DD" w:rsidR="0051778F" w:rsidRPr="00FB54EC" w:rsidRDefault="0084739A" w:rsidP="00FB54EC">
            <w:r>
              <w:t>1.2</w:t>
            </w:r>
          </w:p>
        </w:tc>
        <w:tc>
          <w:tcPr>
            <w:tcW w:w="4915" w:type="dxa"/>
          </w:tcPr>
          <w:p w14:paraId="2F5FC8C7" w14:textId="77777777" w:rsidR="0051778F" w:rsidRPr="00FB54EC" w:rsidRDefault="0051778F" w:rsidP="00FB54EC">
            <w:r w:rsidRPr="00FB54EC">
              <w:t>Chief Finance Officer -  Financial Services Division</w:t>
            </w:r>
          </w:p>
        </w:tc>
        <w:tc>
          <w:tcPr>
            <w:tcW w:w="1689" w:type="dxa"/>
          </w:tcPr>
          <w:p w14:paraId="08A63C02" w14:textId="63CDC4B4" w:rsidR="0051778F" w:rsidRPr="00FB54EC" w:rsidRDefault="00E0252B" w:rsidP="004047F1">
            <w:r>
              <w:t>0</w:t>
            </w:r>
            <w:r w:rsidR="004047F1">
              <w:t>1</w:t>
            </w:r>
            <w:r w:rsidR="00B00DAC">
              <w:t>/20</w:t>
            </w:r>
            <w:r w:rsidR="004047F1">
              <w:t>20</w:t>
            </w:r>
          </w:p>
        </w:tc>
      </w:tr>
    </w:tbl>
    <w:p w14:paraId="275684C7" w14:textId="77777777" w:rsidR="0051778F" w:rsidRDefault="0051778F" w:rsidP="00FA36DB"/>
    <w:sectPr w:rsidR="0051778F" w:rsidSect="00BA2A3B">
      <w:footerReference w:type="default" r:id="rId15"/>
      <w:pgSz w:w="11900" w:h="16840" w:code="9"/>
      <w:pgMar w:top="1418" w:right="1418" w:bottom="1418" w:left="1418" w:header="567" w:footer="851"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52A18" w14:textId="77777777" w:rsidR="004163B2" w:rsidRDefault="004163B2" w:rsidP="008766A4">
      <w:r>
        <w:separator/>
      </w:r>
    </w:p>
  </w:endnote>
  <w:endnote w:type="continuationSeparator" w:id="0">
    <w:p w14:paraId="0AB7AE2D" w14:textId="77777777" w:rsidR="004163B2" w:rsidRDefault="004163B2"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17FE9" w14:textId="15B0E6A1" w:rsidR="00BB7ADA" w:rsidRDefault="00FB54EC" w:rsidP="00BB7ADA">
    <w:pPr>
      <w:pStyle w:val="Footer"/>
    </w:pPr>
    <w:r w:rsidRPr="000759BF">
      <w:rPr>
        <w:noProof/>
        <w:lang w:eastAsia="en-AU"/>
      </w:rPr>
      <w:drawing>
        <wp:anchor distT="0" distB="0" distL="114300" distR="114300" simplePos="0" relativeHeight="251658752" behindDoc="1" locked="0" layoutInCell="1" allowOverlap="1" wp14:anchorId="4A5CAF82" wp14:editId="69C5474A">
          <wp:simplePos x="0" y="0"/>
          <wp:positionH relativeFrom="margin">
            <wp:posOffset>-82550</wp:posOffset>
          </wp:positionH>
          <wp:positionV relativeFrom="page">
            <wp:posOffset>9810750</wp:posOffset>
          </wp:positionV>
          <wp:extent cx="6666059" cy="721995"/>
          <wp:effectExtent l="0" t="0" r="1905" b="1905"/>
          <wp:wrapNone/>
          <wp:docPr id="3" name="Picture 3" descr="footer describing the document name and th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666059" cy="721995"/>
                  </a:xfrm>
                  <a:prstGeom prst="rect">
                    <a:avLst/>
                  </a:prstGeom>
                </pic:spPr>
              </pic:pic>
            </a:graphicData>
          </a:graphic>
        </wp:anchor>
      </w:drawing>
    </w:r>
    <w:r w:rsidR="001D4D2C">
      <w:t>Section 5</w:t>
    </w:r>
    <w:r w:rsidR="00520A6B">
      <w:t xml:space="preserve">: </w:t>
    </w:r>
    <w:r w:rsidR="001D4D2C">
      <w:t xml:space="preserve">School </w:t>
    </w:r>
    <w:r w:rsidR="00F65C31">
      <w:t xml:space="preserve">Council Financial Assurance </w:t>
    </w:r>
    <w:r w:rsidR="001D4D2C">
      <w:t>Program</w:t>
    </w:r>
    <w:r w:rsidR="00C93EF5">
      <w:t xml:space="preserve"> </w:t>
    </w:r>
    <w:r w:rsidR="000B20FF" w:rsidRPr="000B20FF">
      <w:t xml:space="preserve">| </w:t>
    </w:r>
    <w:r w:rsidR="004047F1">
      <w:t>January</w:t>
    </w:r>
    <w:r w:rsidR="008634DD">
      <w:t xml:space="preserve"> 201</w:t>
    </w:r>
    <w:r w:rsidR="004047F1">
      <w:t>9</w:t>
    </w:r>
    <w:r w:rsidRPr="000759BF">
      <w:tab/>
    </w:r>
    <w:sdt>
      <w:sdtPr>
        <w:id w:val="1822625101"/>
        <w:docPartObj>
          <w:docPartGallery w:val="Page Numbers (Bottom of Page)"/>
          <w:docPartUnique/>
        </w:docPartObj>
      </w:sdtPr>
      <w:sdtEndPr/>
      <w:sdtContent>
        <w:r w:rsidR="00BB7ADA" w:rsidRPr="008A1405">
          <w:tab/>
        </w:r>
        <w:r w:rsidR="00BB7ADA" w:rsidRPr="00E84D4A">
          <w:rPr>
            <w:szCs w:val="20"/>
          </w:rPr>
          <w:t xml:space="preserve">Page </w:t>
        </w:r>
        <w:r w:rsidR="00BB7ADA" w:rsidRPr="00E84D4A">
          <w:rPr>
            <w:szCs w:val="20"/>
          </w:rPr>
          <w:fldChar w:fldCharType="begin"/>
        </w:r>
        <w:r w:rsidR="00BB7ADA" w:rsidRPr="00E84D4A">
          <w:rPr>
            <w:szCs w:val="20"/>
          </w:rPr>
          <w:instrText xml:space="preserve"> PAGE   \* MERGEFORMAT </w:instrText>
        </w:r>
        <w:r w:rsidR="00BB7ADA" w:rsidRPr="00E84D4A">
          <w:rPr>
            <w:szCs w:val="20"/>
          </w:rPr>
          <w:fldChar w:fldCharType="separate"/>
        </w:r>
        <w:r w:rsidR="00A55B90">
          <w:rPr>
            <w:noProof/>
            <w:szCs w:val="20"/>
          </w:rPr>
          <w:t>8</w:t>
        </w:r>
        <w:r w:rsidR="00BB7ADA" w:rsidRPr="00E84D4A">
          <w:rPr>
            <w:szCs w:val="20"/>
          </w:rPr>
          <w:fldChar w:fldCharType="end"/>
        </w:r>
      </w:sdtContent>
    </w:sdt>
  </w:p>
  <w:p w14:paraId="7064C95C" w14:textId="77777777" w:rsidR="000F4C22" w:rsidRPr="000759BF" w:rsidRDefault="000F4C22" w:rsidP="00075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9F962" w14:textId="77777777" w:rsidR="004163B2" w:rsidRDefault="004163B2" w:rsidP="008766A4">
      <w:r>
        <w:separator/>
      </w:r>
    </w:p>
  </w:footnote>
  <w:footnote w:type="continuationSeparator" w:id="0">
    <w:p w14:paraId="7A3DFC51" w14:textId="77777777" w:rsidR="004163B2" w:rsidRDefault="004163B2" w:rsidP="0087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E42A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CCCF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174A3"/>
    <w:multiLevelType w:val="hybridMultilevel"/>
    <w:tmpl w:val="B9300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4A0610"/>
    <w:multiLevelType w:val="hybridMultilevel"/>
    <w:tmpl w:val="7714C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CB35AB"/>
    <w:multiLevelType w:val="hybridMultilevel"/>
    <w:tmpl w:val="2E7EE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67406E"/>
    <w:multiLevelType w:val="hybridMultilevel"/>
    <w:tmpl w:val="D4CE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164D5B"/>
    <w:multiLevelType w:val="hybridMultilevel"/>
    <w:tmpl w:val="60E837CE"/>
    <w:lvl w:ilvl="0" w:tplc="F3189634">
      <w:numFmt w:val="bullet"/>
      <w:lvlText w:val="•"/>
      <w:lvlJc w:val="left"/>
      <w:pPr>
        <w:ind w:left="720" w:hanging="360"/>
      </w:pPr>
      <w:rPr>
        <w:rFonts w:ascii="Times New Roman" w:eastAsia="Times New Roman" w:hAnsi="Times New Roman" w:hint="default"/>
        <w:color w:val="7A7B7D"/>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5F38D6"/>
    <w:multiLevelType w:val="hybridMultilevel"/>
    <w:tmpl w:val="32F65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15:restartNumberingAfterBreak="0">
    <w:nsid w:val="32617FD5"/>
    <w:multiLevelType w:val="hybridMultilevel"/>
    <w:tmpl w:val="A992B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130530"/>
    <w:multiLevelType w:val="hybridMultilevel"/>
    <w:tmpl w:val="4950F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64CAE"/>
    <w:multiLevelType w:val="hybridMultilevel"/>
    <w:tmpl w:val="3662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4E2F49"/>
    <w:multiLevelType w:val="hybridMultilevel"/>
    <w:tmpl w:val="96106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5C1796"/>
    <w:multiLevelType w:val="hybridMultilevel"/>
    <w:tmpl w:val="1D58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E16FF7"/>
    <w:multiLevelType w:val="hybridMultilevel"/>
    <w:tmpl w:val="3D126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C81BCA"/>
    <w:multiLevelType w:val="hybridMultilevel"/>
    <w:tmpl w:val="83E677EC"/>
    <w:lvl w:ilvl="0" w:tplc="04B610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EA1E96"/>
    <w:multiLevelType w:val="hybridMultilevel"/>
    <w:tmpl w:val="36A84644"/>
    <w:lvl w:ilvl="0" w:tplc="A7C00100">
      <w:start w:val="1"/>
      <w:numFmt w:val="bullet"/>
      <w:pStyle w:val="ListBullet2"/>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552D749D"/>
    <w:multiLevelType w:val="hybridMultilevel"/>
    <w:tmpl w:val="ED64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0" w15:restartNumberingAfterBreak="0">
    <w:nsid w:val="62AE6FEA"/>
    <w:multiLevelType w:val="hybridMultilevel"/>
    <w:tmpl w:val="5302001C"/>
    <w:lvl w:ilvl="0" w:tplc="F3189634">
      <w:numFmt w:val="bullet"/>
      <w:lvlText w:val="•"/>
      <w:lvlJc w:val="left"/>
      <w:pPr>
        <w:ind w:left="720" w:hanging="360"/>
      </w:pPr>
      <w:rPr>
        <w:rFonts w:ascii="Times New Roman" w:eastAsia="Times New Roman" w:hAnsi="Times New Roman" w:hint="default"/>
        <w:color w:val="7A7B7D"/>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84301"/>
    <w:multiLevelType w:val="hybridMultilevel"/>
    <w:tmpl w:val="6006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242558"/>
    <w:multiLevelType w:val="hybridMultilevel"/>
    <w:tmpl w:val="CDACCCB0"/>
    <w:lvl w:ilvl="0" w:tplc="3412EE76">
      <w:start w:val="1"/>
      <w:numFmt w:val="bullet"/>
      <w:pStyle w:val="ListBullet"/>
      <w:lvlText w:val=""/>
      <w:lvlJc w:val="left"/>
      <w:pPr>
        <w:ind w:left="644"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F606B6"/>
    <w:multiLevelType w:val="hybridMultilevel"/>
    <w:tmpl w:val="A080C0F0"/>
    <w:lvl w:ilvl="0" w:tplc="F8D0CD40">
      <w:numFmt w:val="bullet"/>
      <w:lvlText w:val="•"/>
      <w:lvlJc w:val="left"/>
      <w:pPr>
        <w:ind w:left="930" w:hanging="57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15170F"/>
    <w:multiLevelType w:val="hybridMultilevel"/>
    <w:tmpl w:val="1742A6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6" w15:restartNumberingAfterBreak="0">
    <w:nsid w:val="7D5A340B"/>
    <w:multiLevelType w:val="hybridMultilevel"/>
    <w:tmpl w:val="7FF66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6218B"/>
    <w:multiLevelType w:val="hybridMultilevel"/>
    <w:tmpl w:val="F120EB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38"/>
  </w:num>
  <w:num w:numId="14">
    <w:abstractNumId w:val="29"/>
  </w:num>
  <w:num w:numId="15">
    <w:abstractNumId w:val="35"/>
  </w:num>
  <w:num w:numId="16">
    <w:abstractNumId w:val="18"/>
  </w:num>
  <w:num w:numId="17">
    <w:abstractNumId w:val="21"/>
  </w:num>
  <w:num w:numId="18">
    <w:abstractNumId w:val="22"/>
  </w:num>
  <w:num w:numId="19">
    <w:abstractNumId w:val="37"/>
  </w:num>
  <w:num w:numId="20">
    <w:abstractNumId w:val="16"/>
  </w:num>
  <w:num w:numId="21">
    <w:abstractNumId w:val="15"/>
  </w:num>
  <w:num w:numId="22">
    <w:abstractNumId w:val="19"/>
  </w:num>
  <w:num w:numId="23">
    <w:abstractNumId w:val="24"/>
  </w:num>
  <w:num w:numId="24">
    <w:abstractNumId w:val="23"/>
  </w:num>
  <w:num w:numId="25">
    <w:abstractNumId w:val="28"/>
  </w:num>
  <w:num w:numId="26">
    <w:abstractNumId w:val="31"/>
  </w:num>
  <w:num w:numId="27">
    <w:abstractNumId w:val="30"/>
  </w:num>
  <w:num w:numId="28">
    <w:abstractNumId w:val="25"/>
  </w:num>
  <w:num w:numId="29">
    <w:abstractNumId w:val="32"/>
  </w:num>
  <w:num w:numId="30">
    <w:abstractNumId w:val="27"/>
  </w:num>
  <w:num w:numId="31">
    <w:abstractNumId w:val="32"/>
  </w:num>
  <w:num w:numId="32">
    <w:abstractNumId w:val="17"/>
  </w:num>
  <w:num w:numId="33">
    <w:abstractNumId w:val="14"/>
  </w:num>
  <w:num w:numId="34">
    <w:abstractNumId w:val="33"/>
  </w:num>
  <w:num w:numId="35">
    <w:abstractNumId w:val="34"/>
  </w:num>
  <w:num w:numId="36">
    <w:abstractNumId w:val="36"/>
  </w:num>
  <w:num w:numId="37">
    <w:abstractNumId w:val="13"/>
  </w:num>
  <w:num w:numId="38">
    <w:abstractNumId w:val="11"/>
  </w:num>
  <w:num w:numId="39">
    <w:abstractNumId w:val="2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AU"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SortMethod w:val="0000"/>
  <w:defaultTabStop w:val="567"/>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38D4"/>
    <w:rsid w:val="0002019B"/>
    <w:rsid w:val="000221E8"/>
    <w:rsid w:val="00031350"/>
    <w:rsid w:val="0003247C"/>
    <w:rsid w:val="00035071"/>
    <w:rsid w:val="000624A0"/>
    <w:rsid w:val="000759BF"/>
    <w:rsid w:val="00084314"/>
    <w:rsid w:val="000852D5"/>
    <w:rsid w:val="0008558F"/>
    <w:rsid w:val="00096CA9"/>
    <w:rsid w:val="00096EC6"/>
    <w:rsid w:val="000A1C9A"/>
    <w:rsid w:val="000A3DD3"/>
    <w:rsid w:val="000B0506"/>
    <w:rsid w:val="000B114D"/>
    <w:rsid w:val="000B20FF"/>
    <w:rsid w:val="000B6F69"/>
    <w:rsid w:val="000C01B4"/>
    <w:rsid w:val="000C16BA"/>
    <w:rsid w:val="000C499D"/>
    <w:rsid w:val="000C5885"/>
    <w:rsid w:val="000D71AB"/>
    <w:rsid w:val="000D73A3"/>
    <w:rsid w:val="000E4ACB"/>
    <w:rsid w:val="000F155E"/>
    <w:rsid w:val="000F4C22"/>
    <w:rsid w:val="00104432"/>
    <w:rsid w:val="00105B4D"/>
    <w:rsid w:val="00114F00"/>
    <w:rsid w:val="001226DC"/>
    <w:rsid w:val="00124DC1"/>
    <w:rsid w:val="00127682"/>
    <w:rsid w:val="00132ACE"/>
    <w:rsid w:val="0013665E"/>
    <w:rsid w:val="0013716D"/>
    <w:rsid w:val="00137E84"/>
    <w:rsid w:val="0014310A"/>
    <w:rsid w:val="001574A3"/>
    <w:rsid w:val="00164592"/>
    <w:rsid w:val="00170377"/>
    <w:rsid w:val="00170699"/>
    <w:rsid w:val="00187894"/>
    <w:rsid w:val="00193A4B"/>
    <w:rsid w:val="0019637D"/>
    <w:rsid w:val="001A6947"/>
    <w:rsid w:val="001B3161"/>
    <w:rsid w:val="001B71E2"/>
    <w:rsid w:val="001C5C38"/>
    <w:rsid w:val="001D4D2C"/>
    <w:rsid w:val="001F639F"/>
    <w:rsid w:val="00202056"/>
    <w:rsid w:val="00203A64"/>
    <w:rsid w:val="0022212D"/>
    <w:rsid w:val="00222729"/>
    <w:rsid w:val="00226B71"/>
    <w:rsid w:val="00231D0D"/>
    <w:rsid w:val="00232805"/>
    <w:rsid w:val="002525C5"/>
    <w:rsid w:val="00255E0C"/>
    <w:rsid w:val="00271AB6"/>
    <w:rsid w:val="00271F77"/>
    <w:rsid w:val="002805FD"/>
    <w:rsid w:val="00297A1E"/>
    <w:rsid w:val="002A494D"/>
    <w:rsid w:val="002B2D6F"/>
    <w:rsid w:val="002B37D8"/>
    <w:rsid w:val="002C05C1"/>
    <w:rsid w:val="002C63E7"/>
    <w:rsid w:val="002C66C6"/>
    <w:rsid w:val="002F304C"/>
    <w:rsid w:val="002F4E54"/>
    <w:rsid w:val="00313358"/>
    <w:rsid w:val="0031450F"/>
    <w:rsid w:val="00320E5E"/>
    <w:rsid w:val="00324CF6"/>
    <w:rsid w:val="00326F48"/>
    <w:rsid w:val="0033762E"/>
    <w:rsid w:val="003377FE"/>
    <w:rsid w:val="0034674E"/>
    <w:rsid w:val="00347714"/>
    <w:rsid w:val="003514AD"/>
    <w:rsid w:val="00360649"/>
    <w:rsid w:val="00366BF2"/>
    <w:rsid w:val="00366C4B"/>
    <w:rsid w:val="003701E4"/>
    <w:rsid w:val="00373637"/>
    <w:rsid w:val="00382340"/>
    <w:rsid w:val="00386C99"/>
    <w:rsid w:val="00397D44"/>
    <w:rsid w:val="003A4545"/>
    <w:rsid w:val="003B01B0"/>
    <w:rsid w:val="003B43EC"/>
    <w:rsid w:val="003C2CD4"/>
    <w:rsid w:val="003E29B5"/>
    <w:rsid w:val="003E51EB"/>
    <w:rsid w:val="003E68A5"/>
    <w:rsid w:val="003E7FAC"/>
    <w:rsid w:val="003F3C92"/>
    <w:rsid w:val="003F5E75"/>
    <w:rsid w:val="004047F1"/>
    <w:rsid w:val="004163B2"/>
    <w:rsid w:val="004177BE"/>
    <w:rsid w:val="0042385D"/>
    <w:rsid w:val="004439BA"/>
    <w:rsid w:val="00443FF4"/>
    <w:rsid w:val="00444E8D"/>
    <w:rsid w:val="00445866"/>
    <w:rsid w:val="004615C4"/>
    <w:rsid w:val="00466D72"/>
    <w:rsid w:val="004702FB"/>
    <w:rsid w:val="004801D1"/>
    <w:rsid w:val="00482766"/>
    <w:rsid w:val="0048402B"/>
    <w:rsid w:val="00494BC1"/>
    <w:rsid w:val="00494EB8"/>
    <w:rsid w:val="004B24FF"/>
    <w:rsid w:val="004D6461"/>
    <w:rsid w:val="0051171A"/>
    <w:rsid w:val="0051778F"/>
    <w:rsid w:val="00520A6B"/>
    <w:rsid w:val="00532D28"/>
    <w:rsid w:val="00542B32"/>
    <w:rsid w:val="00544F79"/>
    <w:rsid w:val="00570DB6"/>
    <w:rsid w:val="005711D2"/>
    <w:rsid w:val="0057654B"/>
    <w:rsid w:val="005832B7"/>
    <w:rsid w:val="0058443C"/>
    <w:rsid w:val="0058731A"/>
    <w:rsid w:val="00587DD7"/>
    <w:rsid w:val="00595200"/>
    <w:rsid w:val="00596923"/>
    <w:rsid w:val="005A0B5B"/>
    <w:rsid w:val="005A0C09"/>
    <w:rsid w:val="005A1BE0"/>
    <w:rsid w:val="005A23F9"/>
    <w:rsid w:val="005B3B56"/>
    <w:rsid w:val="005B54E3"/>
    <w:rsid w:val="005B774C"/>
    <w:rsid w:val="005D1E06"/>
    <w:rsid w:val="005D23B8"/>
    <w:rsid w:val="005D7C85"/>
    <w:rsid w:val="005E218A"/>
    <w:rsid w:val="00600EB1"/>
    <w:rsid w:val="00610D70"/>
    <w:rsid w:val="006143AF"/>
    <w:rsid w:val="00635443"/>
    <w:rsid w:val="00651C93"/>
    <w:rsid w:val="00667DE0"/>
    <w:rsid w:val="006724C4"/>
    <w:rsid w:val="00675AB7"/>
    <w:rsid w:val="00681347"/>
    <w:rsid w:val="006935C9"/>
    <w:rsid w:val="00694524"/>
    <w:rsid w:val="00694796"/>
    <w:rsid w:val="00696261"/>
    <w:rsid w:val="006A1F81"/>
    <w:rsid w:val="006A4F51"/>
    <w:rsid w:val="006B7939"/>
    <w:rsid w:val="006C0108"/>
    <w:rsid w:val="006E2451"/>
    <w:rsid w:val="006F674D"/>
    <w:rsid w:val="0071225A"/>
    <w:rsid w:val="007178F0"/>
    <w:rsid w:val="00725687"/>
    <w:rsid w:val="0073072D"/>
    <w:rsid w:val="00751081"/>
    <w:rsid w:val="0076326D"/>
    <w:rsid w:val="00784798"/>
    <w:rsid w:val="00784A1A"/>
    <w:rsid w:val="007E2162"/>
    <w:rsid w:val="007E3340"/>
    <w:rsid w:val="007E628A"/>
    <w:rsid w:val="007F4A35"/>
    <w:rsid w:val="00804E24"/>
    <w:rsid w:val="00816ED5"/>
    <w:rsid w:val="00831BB4"/>
    <w:rsid w:val="008362BC"/>
    <w:rsid w:val="00841F2A"/>
    <w:rsid w:val="0084739A"/>
    <w:rsid w:val="008634DD"/>
    <w:rsid w:val="00871EC0"/>
    <w:rsid w:val="008766A4"/>
    <w:rsid w:val="00877262"/>
    <w:rsid w:val="00877863"/>
    <w:rsid w:val="00887E2D"/>
    <w:rsid w:val="008919D9"/>
    <w:rsid w:val="0089258D"/>
    <w:rsid w:val="00892D36"/>
    <w:rsid w:val="00895870"/>
    <w:rsid w:val="00896FF2"/>
    <w:rsid w:val="008A5234"/>
    <w:rsid w:val="008C0B02"/>
    <w:rsid w:val="008C6FA8"/>
    <w:rsid w:val="008D2D16"/>
    <w:rsid w:val="008D31A9"/>
    <w:rsid w:val="008D3BDE"/>
    <w:rsid w:val="008D3F1E"/>
    <w:rsid w:val="008F185F"/>
    <w:rsid w:val="008F3046"/>
    <w:rsid w:val="008F7030"/>
    <w:rsid w:val="009030AA"/>
    <w:rsid w:val="00906C25"/>
    <w:rsid w:val="0091673C"/>
    <w:rsid w:val="00917F2A"/>
    <w:rsid w:val="00920CB7"/>
    <w:rsid w:val="009269FD"/>
    <w:rsid w:val="00927DEE"/>
    <w:rsid w:val="00933910"/>
    <w:rsid w:val="00935161"/>
    <w:rsid w:val="00945D0E"/>
    <w:rsid w:val="009478ED"/>
    <w:rsid w:val="009652F7"/>
    <w:rsid w:val="00967755"/>
    <w:rsid w:val="009731D8"/>
    <w:rsid w:val="0097421F"/>
    <w:rsid w:val="00980015"/>
    <w:rsid w:val="009A25B7"/>
    <w:rsid w:val="009A58A8"/>
    <w:rsid w:val="009E3CC1"/>
    <w:rsid w:val="009E4078"/>
    <w:rsid w:val="009F2302"/>
    <w:rsid w:val="009F6569"/>
    <w:rsid w:val="00A121F9"/>
    <w:rsid w:val="00A140E9"/>
    <w:rsid w:val="00A17226"/>
    <w:rsid w:val="00A24325"/>
    <w:rsid w:val="00A33C93"/>
    <w:rsid w:val="00A55B90"/>
    <w:rsid w:val="00A62D1A"/>
    <w:rsid w:val="00A74400"/>
    <w:rsid w:val="00A75120"/>
    <w:rsid w:val="00A8302C"/>
    <w:rsid w:val="00AA6481"/>
    <w:rsid w:val="00AA6941"/>
    <w:rsid w:val="00AB0594"/>
    <w:rsid w:val="00AC39FB"/>
    <w:rsid w:val="00AD4561"/>
    <w:rsid w:val="00AF4C3B"/>
    <w:rsid w:val="00AF733D"/>
    <w:rsid w:val="00B00DAC"/>
    <w:rsid w:val="00B06DA3"/>
    <w:rsid w:val="00B134F9"/>
    <w:rsid w:val="00B17AF7"/>
    <w:rsid w:val="00B230DB"/>
    <w:rsid w:val="00B239F0"/>
    <w:rsid w:val="00B31802"/>
    <w:rsid w:val="00B40154"/>
    <w:rsid w:val="00B42217"/>
    <w:rsid w:val="00B46FDB"/>
    <w:rsid w:val="00B54E92"/>
    <w:rsid w:val="00B5537C"/>
    <w:rsid w:val="00B56A86"/>
    <w:rsid w:val="00B63F55"/>
    <w:rsid w:val="00B76E92"/>
    <w:rsid w:val="00BA2A3B"/>
    <w:rsid w:val="00BA616A"/>
    <w:rsid w:val="00BA645B"/>
    <w:rsid w:val="00BB5F6F"/>
    <w:rsid w:val="00BB652D"/>
    <w:rsid w:val="00BB7ADA"/>
    <w:rsid w:val="00BC296E"/>
    <w:rsid w:val="00BC3DEC"/>
    <w:rsid w:val="00BE395C"/>
    <w:rsid w:val="00BF14B4"/>
    <w:rsid w:val="00C044FE"/>
    <w:rsid w:val="00C052CB"/>
    <w:rsid w:val="00C1688C"/>
    <w:rsid w:val="00C3116F"/>
    <w:rsid w:val="00C32422"/>
    <w:rsid w:val="00C412C9"/>
    <w:rsid w:val="00C471CD"/>
    <w:rsid w:val="00C711E7"/>
    <w:rsid w:val="00C71604"/>
    <w:rsid w:val="00C75380"/>
    <w:rsid w:val="00C91AC2"/>
    <w:rsid w:val="00C93EF5"/>
    <w:rsid w:val="00C95A64"/>
    <w:rsid w:val="00C96775"/>
    <w:rsid w:val="00C97522"/>
    <w:rsid w:val="00CC5736"/>
    <w:rsid w:val="00CC7F0A"/>
    <w:rsid w:val="00CE1579"/>
    <w:rsid w:val="00CE6B2B"/>
    <w:rsid w:val="00D049D0"/>
    <w:rsid w:val="00D1684D"/>
    <w:rsid w:val="00D17A1A"/>
    <w:rsid w:val="00D22F54"/>
    <w:rsid w:val="00D25EED"/>
    <w:rsid w:val="00D31299"/>
    <w:rsid w:val="00D32511"/>
    <w:rsid w:val="00D524A9"/>
    <w:rsid w:val="00D73757"/>
    <w:rsid w:val="00D84C0F"/>
    <w:rsid w:val="00DA020D"/>
    <w:rsid w:val="00DB7AE5"/>
    <w:rsid w:val="00DC426F"/>
    <w:rsid w:val="00DC4AC1"/>
    <w:rsid w:val="00DD3E5E"/>
    <w:rsid w:val="00DD4387"/>
    <w:rsid w:val="00DD7D45"/>
    <w:rsid w:val="00DE0F00"/>
    <w:rsid w:val="00DE24F9"/>
    <w:rsid w:val="00DE643D"/>
    <w:rsid w:val="00DF1C42"/>
    <w:rsid w:val="00E0252B"/>
    <w:rsid w:val="00E05E2D"/>
    <w:rsid w:val="00E23F0F"/>
    <w:rsid w:val="00E276AC"/>
    <w:rsid w:val="00E42E39"/>
    <w:rsid w:val="00E538C4"/>
    <w:rsid w:val="00E64136"/>
    <w:rsid w:val="00E84D4A"/>
    <w:rsid w:val="00E97212"/>
    <w:rsid w:val="00EA20C8"/>
    <w:rsid w:val="00EA5A82"/>
    <w:rsid w:val="00EC718D"/>
    <w:rsid w:val="00ED1024"/>
    <w:rsid w:val="00EF04D3"/>
    <w:rsid w:val="00EF1BC2"/>
    <w:rsid w:val="00F01426"/>
    <w:rsid w:val="00F16129"/>
    <w:rsid w:val="00F218A4"/>
    <w:rsid w:val="00F27799"/>
    <w:rsid w:val="00F27BEB"/>
    <w:rsid w:val="00F33045"/>
    <w:rsid w:val="00F36897"/>
    <w:rsid w:val="00F37E0C"/>
    <w:rsid w:val="00F42F71"/>
    <w:rsid w:val="00F512FA"/>
    <w:rsid w:val="00F534C5"/>
    <w:rsid w:val="00F546B5"/>
    <w:rsid w:val="00F65C31"/>
    <w:rsid w:val="00F70172"/>
    <w:rsid w:val="00F70CB4"/>
    <w:rsid w:val="00F7204D"/>
    <w:rsid w:val="00F73595"/>
    <w:rsid w:val="00F77B42"/>
    <w:rsid w:val="00F821E6"/>
    <w:rsid w:val="00F84D08"/>
    <w:rsid w:val="00F85A04"/>
    <w:rsid w:val="00F85A39"/>
    <w:rsid w:val="00F91A79"/>
    <w:rsid w:val="00F94481"/>
    <w:rsid w:val="00F97B56"/>
    <w:rsid w:val="00FA36DB"/>
    <w:rsid w:val="00FA47F9"/>
    <w:rsid w:val="00FA6B94"/>
    <w:rsid w:val="00FB1204"/>
    <w:rsid w:val="00FB54EC"/>
    <w:rsid w:val="00FB5C2D"/>
    <w:rsid w:val="00FD51B9"/>
    <w:rsid w:val="00FD7308"/>
    <w:rsid w:val="00FE27F1"/>
    <w:rsid w:val="00FE5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E98A543"/>
  <w15:docId w15:val="{D6F72021-1510-43DC-88C4-369FC500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BA2A3B"/>
    <w:pPr>
      <w:spacing w:before="120" w:line="280" w:lineRule="atLeast"/>
    </w:pPr>
    <w:rPr>
      <w:rFonts w:ascii="Arial" w:hAnsi="Arial" w:cs="Arial"/>
      <w:sz w:val="22"/>
      <w:szCs w:val="18"/>
      <w:lang w:val="en-AU"/>
    </w:rPr>
  </w:style>
  <w:style w:type="paragraph" w:styleId="Heading1">
    <w:name w:val="heading 1"/>
    <w:basedOn w:val="Normal"/>
    <w:next w:val="Normal"/>
    <w:link w:val="Heading1Char"/>
    <w:uiPriority w:val="9"/>
    <w:qFormat/>
    <w:locked/>
    <w:rsid w:val="00105B4D"/>
    <w:pPr>
      <w:keepNext/>
      <w:keepLines/>
      <w:spacing w:before="240" w:after="120"/>
      <w:outlineLvl w:val="0"/>
    </w:pPr>
    <w:rPr>
      <w:rFonts w:eastAsiaTheme="majorEastAsia" w:cstheme="majorBidi"/>
      <w:b/>
      <w:bCs/>
      <w:color w:val="AF272F"/>
      <w:sz w:val="44"/>
      <w:szCs w:val="20"/>
    </w:rPr>
  </w:style>
  <w:style w:type="paragraph" w:styleId="Heading2">
    <w:name w:val="heading 2"/>
    <w:basedOn w:val="Heading1"/>
    <w:next w:val="Normal"/>
    <w:link w:val="Heading2Char"/>
    <w:uiPriority w:val="9"/>
    <w:qFormat/>
    <w:locked/>
    <w:rsid w:val="00105B4D"/>
    <w:pPr>
      <w:pBdr>
        <w:top w:val="single" w:sz="8" w:space="3" w:color="AF272F"/>
      </w:pBdr>
      <w:ind w:left="851" w:hanging="851"/>
      <w:outlineLvl w:val="1"/>
    </w:pPr>
    <w:rPr>
      <w:bCs w:val="0"/>
      <w:sz w:val="36"/>
    </w:rPr>
  </w:style>
  <w:style w:type="paragraph" w:styleId="Heading3">
    <w:name w:val="heading 3"/>
    <w:basedOn w:val="Normal"/>
    <w:next w:val="Normal"/>
    <w:link w:val="Heading3Char"/>
    <w:uiPriority w:val="9"/>
    <w:qFormat/>
    <w:locked/>
    <w:rsid w:val="00105B4D"/>
    <w:pPr>
      <w:tabs>
        <w:tab w:val="left" w:pos="851"/>
      </w:tabs>
      <w:spacing w:before="240" w:after="240"/>
      <w:outlineLvl w:val="2"/>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tion1">
    <w:name w:val="Mention1"/>
    <w:basedOn w:val="DefaultParagraphFont"/>
    <w:uiPriority w:val="99"/>
    <w:semiHidden/>
    <w:unhideWhenUsed/>
    <w:rsid w:val="00FB54EC"/>
    <w:rPr>
      <w:color w:val="2B579A"/>
      <w:shd w:val="clear" w:color="auto" w:fill="E6E6E6"/>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0759BF"/>
    <w:pPr>
      <w:tabs>
        <w:tab w:val="right" w:pos="6804"/>
      </w:tabs>
      <w:spacing w:before="0" w:line="240" w:lineRule="auto"/>
    </w:pPr>
    <w:rPr>
      <w:sz w:val="20"/>
    </w:rPr>
  </w:style>
  <w:style w:type="character" w:customStyle="1" w:styleId="FooterChar">
    <w:name w:val="Footer Char"/>
    <w:basedOn w:val="DefaultParagraphFont"/>
    <w:link w:val="Footer"/>
    <w:uiPriority w:val="99"/>
    <w:rsid w:val="000759BF"/>
    <w:rPr>
      <w:rFonts w:ascii="Arial" w:hAnsi="Arial" w:cs="Arial"/>
      <w:sz w:val="20"/>
      <w:szCs w:val="18"/>
      <w:lang w:val="en-AU"/>
    </w:rPr>
  </w:style>
  <w:style w:type="paragraph" w:styleId="Subtitle">
    <w:name w:val="Subtitle"/>
    <w:basedOn w:val="Normal"/>
    <w:next w:val="Normal"/>
    <w:link w:val="SubtitleChar"/>
    <w:uiPriority w:val="11"/>
    <w:semiHidden/>
    <w:qFormat/>
    <w:locked/>
    <w:rsid w:val="00980015"/>
    <w:pPr>
      <w:numPr>
        <w:ilvl w:val="1"/>
      </w:numPr>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qFormat/>
    <w:locked/>
    <w:rsid w:val="00326F48"/>
    <w:rPr>
      <w:i/>
      <w:iCs/>
    </w:rPr>
  </w:style>
  <w:style w:type="character" w:customStyle="1" w:styleId="Heading1Char">
    <w:name w:val="Heading 1 Char"/>
    <w:basedOn w:val="DefaultParagraphFont"/>
    <w:link w:val="Heading1"/>
    <w:uiPriority w:val="9"/>
    <w:rsid w:val="00105B4D"/>
    <w:rPr>
      <w:rFonts w:ascii="Arial" w:eastAsiaTheme="majorEastAsia" w:hAnsi="Arial" w:cstheme="majorBidi"/>
      <w:b/>
      <w:bCs/>
      <w:color w:val="AF272F"/>
      <w:sz w:val="44"/>
      <w:szCs w:val="20"/>
      <w:lang w:val="en-AU"/>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rsid w:val="00105B4D"/>
    <w:rPr>
      <w:rFonts w:ascii="Arial" w:eastAsiaTheme="majorEastAsia" w:hAnsi="Arial" w:cstheme="majorBidi"/>
      <w:b/>
      <w:color w:val="AF272F"/>
      <w:sz w:val="36"/>
      <w:szCs w:val="20"/>
      <w:lang w:val="en-AU"/>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rsid w:val="00105B4D"/>
    <w:rPr>
      <w:rFonts w:ascii="Arial" w:hAnsi="Arial" w:cs="Arial"/>
      <w:b/>
      <w:color w:val="000000" w:themeColor="text1"/>
      <w:szCs w:val="18"/>
      <w:lang w:val="en-AU"/>
    </w:rPr>
  </w:style>
  <w:style w:type="paragraph" w:styleId="TOAHeading">
    <w:name w:val="toa heading"/>
    <w:basedOn w:val="Normal"/>
    <w:next w:val="Normal"/>
    <w:uiPriority w:val="99"/>
    <w:semiHidden/>
    <w:locked/>
    <w:rsid w:val="00751081"/>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after="0"/>
      <w:outlineLvl w:val="9"/>
    </w:pPr>
    <w:rPr>
      <w:rFonts w:asciiTheme="majorHAnsi" w:hAnsiTheme="majorHAnsi"/>
      <w:b w:val="0"/>
      <w:bCs w:val="0"/>
      <w:caps/>
      <w:color w:val="365F91" w:themeColor="accent1" w:themeShade="BF"/>
      <w:sz w:val="32"/>
      <w:szCs w:val="32"/>
    </w:rPr>
  </w:style>
  <w:style w:type="paragraph" w:customStyle="1" w:styleId="NoteLevel2">
    <w:name w:val="Note Level 2"/>
    <w:basedOn w:val="Normal"/>
    <w:uiPriority w:val="99"/>
    <w:semiHidden/>
    <w:locked/>
    <w:rsid w:val="00D84C0F"/>
    <w:pPr>
      <w:keepNext/>
      <w:numPr>
        <w:ilvl w:val="1"/>
        <w:numId w:val="11"/>
      </w:numPr>
      <w:ind w:firstLine="164"/>
      <w:contextualSpacing/>
      <w:outlineLvl w:val="1"/>
    </w:pPr>
  </w:style>
  <w:style w:type="paragraph" w:customStyle="1" w:styleId="NoteLevel3">
    <w:name w:val="Note Level 3"/>
    <w:basedOn w:val="Normal"/>
    <w:uiPriority w:val="99"/>
    <w:semiHidden/>
    <w:locked/>
    <w:rsid w:val="00D84C0F"/>
    <w:pPr>
      <w:keepNext/>
      <w:numPr>
        <w:ilvl w:val="2"/>
        <w:numId w:val="11"/>
      </w:numPr>
      <w:ind w:firstLine="164"/>
      <w:contextualSpacing/>
      <w:outlineLvl w:val="2"/>
    </w:pPr>
  </w:style>
  <w:style w:type="paragraph" w:customStyle="1" w:styleId="NoteLevel4">
    <w:name w:val="Note Level 4"/>
    <w:basedOn w:val="Normal"/>
    <w:uiPriority w:val="99"/>
    <w:semiHidden/>
    <w:locked/>
    <w:rsid w:val="00D84C0F"/>
    <w:pPr>
      <w:keepNext/>
      <w:numPr>
        <w:ilvl w:val="3"/>
        <w:numId w:val="11"/>
      </w:numPr>
      <w:ind w:firstLine="164"/>
      <w:contextualSpacing/>
      <w:outlineLvl w:val="3"/>
    </w:pPr>
  </w:style>
  <w:style w:type="paragraph" w:customStyle="1" w:styleId="NoteLevel5">
    <w:name w:val="Note Level 5"/>
    <w:basedOn w:val="Normal"/>
    <w:uiPriority w:val="99"/>
    <w:semiHidden/>
    <w:locked/>
    <w:rsid w:val="00D84C0F"/>
    <w:pPr>
      <w:keepNext/>
      <w:numPr>
        <w:ilvl w:val="4"/>
        <w:numId w:val="11"/>
      </w:numPr>
      <w:ind w:left="1985" w:firstLine="164"/>
      <w:contextualSpacing/>
      <w:outlineLvl w:val="4"/>
    </w:pPr>
  </w:style>
  <w:style w:type="paragraph" w:customStyle="1" w:styleId="NoteLevel6">
    <w:name w:val="Note Level 6"/>
    <w:basedOn w:val="Normal"/>
    <w:uiPriority w:val="99"/>
    <w:semiHidden/>
    <w:locked/>
    <w:rsid w:val="00D84C0F"/>
    <w:pPr>
      <w:keepNext/>
      <w:numPr>
        <w:ilvl w:val="5"/>
        <w:numId w:val="11"/>
      </w:numPr>
      <w:ind w:firstLine="164"/>
      <w:contextualSpacing/>
      <w:outlineLvl w:val="5"/>
    </w:pPr>
  </w:style>
  <w:style w:type="paragraph" w:customStyle="1" w:styleId="NoteLevel7">
    <w:name w:val="Note Level 7"/>
    <w:basedOn w:val="NoteLevel5"/>
    <w:uiPriority w:val="99"/>
    <w:semiHidden/>
    <w:locked/>
    <w:rsid w:val="00D84C0F"/>
    <w:pPr>
      <w:ind w:left="3402" w:firstLine="0"/>
    </w:pPr>
  </w:style>
  <w:style w:type="paragraph" w:customStyle="1" w:styleId="NoteLevel8">
    <w:name w:val="Note Level 8"/>
    <w:basedOn w:val="Normal"/>
    <w:uiPriority w:val="99"/>
    <w:semiHidden/>
    <w:locked/>
    <w:rsid w:val="00D84C0F"/>
    <w:pPr>
      <w:keepNext/>
      <w:numPr>
        <w:ilvl w:val="7"/>
        <w:numId w:val="11"/>
      </w:numPr>
      <w:contextualSpacing/>
      <w:outlineLvl w:val="7"/>
    </w:p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NoteLevel9">
    <w:name w:val="Note Level 9"/>
    <w:basedOn w:val="Normal"/>
    <w:uiPriority w:val="99"/>
    <w:semiHidden/>
    <w:locked/>
    <w:rsid w:val="00D84C0F"/>
    <w:pPr>
      <w:keepNext/>
      <w:numPr>
        <w:ilvl w:val="8"/>
        <w:numId w:val="11"/>
      </w:numPr>
      <w:contextualSpacing/>
      <w:outlineLvl w:val="8"/>
    </w:pPr>
  </w:style>
  <w:style w:type="paragraph" w:styleId="TOC3">
    <w:name w:val="toc 3"/>
    <w:basedOn w:val="Normal"/>
    <w:next w:val="Normal"/>
    <w:autoRedefine/>
    <w:uiPriority w:val="39"/>
    <w:semiHidden/>
    <w:locked/>
    <w:rsid w:val="00895870"/>
    <w:pPr>
      <w:ind w:left="360"/>
    </w:pPr>
  </w:style>
  <w:style w:type="paragraph" w:styleId="TOC1">
    <w:name w:val="toc 1"/>
    <w:basedOn w:val="Normal"/>
    <w:next w:val="Normal"/>
    <w:autoRedefine/>
    <w:uiPriority w:val="39"/>
    <w:semiHidden/>
    <w:locked/>
    <w:rsid w:val="00895870"/>
    <w:pPr>
      <w:tabs>
        <w:tab w:val="right" w:leader="dot" w:pos="9346"/>
      </w:tabs>
      <w:spacing w:after="100"/>
    </w:pPr>
    <w:rPr>
      <w:b/>
      <w:color w:val="AF272F"/>
    </w:rPr>
  </w:style>
  <w:style w:type="paragraph" w:styleId="TOC2">
    <w:name w:val="toc 2"/>
    <w:basedOn w:val="Normal"/>
    <w:next w:val="Normal"/>
    <w:autoRedefine/>
    <w:uiPriority w:val="39"/>
    <w:semiHidden/>
    <w:locked/>
    <w:rsid w:val="00895870"/>
    <w:pPr>
      <w:spacing w:after="100"/>
      <w:ind w:left="180"/>
    </w:pPr>
    <w:rPr>
      <w:color w:val="AF272F"/>
    </w:rPr>
  </w:style>
  <w:style w:type="paragraph" w:styleId="TOC4">
    <w:name w:val="toc 4"/>
    <w:basedOn w:val="Normal"/>
    <w:next w:val="Normal"/>
    <w:autoRedefine/>
    <w:uiPriority w:val="39"/>
    <w:semiHidden/>
    <w:locked/>
    <w:rsid w:val="00895870"/>
    <w:pPr>
      <w:ind w:left="540"/>
    </w:pPr>
  </w:style>
  <w:style w:type="paragraph" w:styleId="TOC5">
    <w:name w:val="toc 5"/>
    <w:basedOn w:val="Normal"/>
    <w:next w:val="Normal"/>
    <w:autoRedefine/>
    <w:uiPriority w:val="39"/>
    <w:semiHidden/>
    <w:locked/>
    <w:rsid w:val="00895870"/>
    <w:pPr>
      <w:ind w:left="720"/>
    </w:pPr>
  </w:style>
  <w:style w:type="paragraph" w:styleId="TOC6">
    <w:name w:val="toc 6"/>
    <w:basedOn w:val="Normal"/>
    <w:next w:val="Normal"/>
    <w:autoRedefine/>
    <w:uiPriority w:val="39"/>
    <w:semiHidden/>
    <w:locked/>
    <w:rsid w:val="00895870"/>
    <w:pPr>
      <w:ind w:left="900"/>
    </w:pPr>
  </w:style>
  <w:style w:type="paragraph" w:styleId="TOC7">
    <w:name w:val="toc 7"/>
    <w:basedOn w:val="Normal"/>
    <w:next w:val="Normal"/>
    <w:autoRedefine/>
    <w:uiPriority w:val="39"/>
    <w:semiHidden/>
    <w:locked/>
    <w:rsid w:val="00895870"/>
    <w:pPr>
      <w:ind w:left="1080"/>
    </w:pPr>
  </w:style>
  <w:style w:type="paragraph" w:styleId="TOC8">
    <w:name w:val="toc 8"/>
    <w:basedOn w:val="Normal"/>
    <w:next w:val="Normal"/>
    <w:autoRedefine/>
    <w:uiPriority w:val="39"/>
    <w:semiHidden/>
    <w:locked/>
    <w:rsid w:val="00895870"/>
    <w:pPr>
      <w:ind w:left="1260"/>
    </w:pPr>
  </w:style>
  <w:style w:type="character" w:styleId="EndnoteReference">
    <w:name w:val="endnote reference"/>
    <w:uiPriority w:val="99"/>
    <w:unhideWhenUsed/>
    <w:locked/>
    <w:rsid w:val="00271F77"/>
    <w:rPr>
      <w:b w:val="0"/>
      <w:i w:val="0"/>
      <w:sz w:val="15"/>
      <w:szCs w:val="15"/>
      <w:lang w:val="en-AU"/>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B56A86"/>
    <w:rPr>
      <w:rFonts w:ascii="Arial" w:hAnsi="Arial"/>
      <w:b w:val="0"/>
      <w:i w:val="0"/>
      <w:color w:val="0000FF"/>
      <w:sz w:val="22"/>
      <w:u w:val="single"/>
    </w:rPr>
  </w:style>
  <w:style w:type="paragraph" w:styleId="ListBullet">
    <w:name w:val="List Bullet"/>
    <w:basedOn w:val="Normal"/>
    <w:uiPriority w:val="99"/>
    <w:locked/>
    <w:rsid w:val="00BB652D"/>
    <w:pPr>
      <w:numPr>
        <w:numId w:val="29"/>
      </w:numPr>
      <w:ind w:left="284" w:hanging="284"/>
    </w:pPr>
    <w:rPr>
      <w:rFonts w:eastAsiaTheme="minorHAnsi" w:cstheme="minorBidi"/>
      <w:szCs w:val="22"/>
    </w:rPr>
  </w:style>
  <w:style w:type="paragraph" w:styleId="ListBullet2">
    <w:name w:val="List Bullet 2"/>
    <w:basedOn w:val="Normal"/>
    <w:uiPriority w:val="99"/>
    <w:locked/>
    <w:rsid w:val="00FB54EC"/>
    <w:pPr>
      <w:numPr>
        <w:numId w:val="30"/>
      </w:numPr>
      <w:spacing w:before="60"/>
      <w:ind w:left="851" w:hanging="284"/>
    </w:pPr>
    <w:rPr>
      <w:rFonts w:eastAsiaTheme="minorHAnsi" w:cstheme="minorBidi"/>
      <w:szCs w:val="22"/>
    </w:rPr>
  </w:style>
  <w:style w:type="table" w:styleId="LightList-Accent3">
    <w:name w:val="Light List Accent 3"/>
    <w:basedOn w:val="TableNormal"/>
    <w:uiPriority w:val="61"/>
    <w:locked/>
    <w:rsid w:val="00927DEE"/>
    <w:rPr>
      <w:rFonts w:eastAsiaTheme="minorHAnsi"/>
      <w:sz w:val="22"/>
      <w:szCs w:val="22"/>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Continue">
    <w:name w:val="List Continue"/>
    <w:basedOn w:val="Normal"/>
    <w:uiPriority w:val="99"/>
    <w:unhideWhenUsed/>
    <w:locked/>
    <w:rsid w:val="0051778F"/>
    <w:pPr>
      <w:ind w:left="284"/>
    </w:pPr>
    <w:rPr>
      <w:rFonts w:ascii="Candara" w:eastAsiaTheme="minorHAnsi" w:hAnsi="Candara" w:cstheme="minorBidi"/>
      <w:szCs w:val="22"/>
    </w:rPr>
  </w:style>
  <w:style w:type="paragraph" w:styleId="BodyText">
    <w:name w:val="Body Text"/>
    <w:basedOn w:val="Normal"/>
    <w:link w:val="BodyText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ascii="Candara" w:eastAsiaTheme="minorHAnsi" w:hAnsi="Candara" w:cstheme="minorBidi"/>
      <w:b/>
      <w:color w:val="F79646" w:themeColor="accent6"/>
      <w:sz w:val="24"/>
      <w:szCs w:val="22"/>
    </w:rPr>
  </w:style>
  <w:style w:type="character" w:customStyle="1" w:styleId="BodyTextChar">
    <w:name w:val="Body Text Char"/>
    <w:basedOn w:val="DefaultParagraphFont"/>
    <w:link w:val="BodyText"/>
    <w:uiPriority w:val="99"/>
    <w:rsid w:val="0051778F"/>
    <w:rPr>
      <w:rFonts w:ascii="Candara" w:eastAsiaTheme="minorHAnsi" w:hAnsi="Candara"/>
      <w:b/>
      <w:color w:val="F79646" w:themeColor="accent6"/>
      <w:szCs w:val="22"/>
      <w:lang w:val="en-AU"/>
    </w:rPr>
  </w:style>
  <w:style w:type="paragraph" w:styleId="BodyText2">
    <w:name w:val="Body Text 2"/>
    <w:basedOn w:val="Normal"/>
    <w:link w:val="BodyText2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ascii="Candara" w:eastAsiaTheme="minorHAnsi" w:hAnsi="Candara" w:cstheme="minorBidi"/>
      <w:szCs w:val="22"/>
    </w:rPr>
  </w:style>
  <w:style w:type="character" w:customStyle="1" w:styleId="BodyText2Char">
    <w:name w:val="Body Text 2 Char"/>
    <w:basedOn w:val="DefaultParagraphFont"/>
    <w:link w:val="BodyText2"/>
    <w:uiPriority w:val="99"/>
    <w:rsid w:val="0051778F"/>
    <w:rPr>
      <w:rFonts w:ascii="Candara" w:eastAsiaTheme="minorHAnsi" w:hAnsi="Candara"/>
      <w:sz w:val="22"/>
      <w:szCs w:val="22"/>
      <w:lang w:val="en-AU"/>
    </w:rPr>
  </w:style>
  <w:style w:type="paragraph" w:styleId="NoSpacing">
    <w:name w:val="No Spacing"/>
    <w:uiPriority w:val="1"/>
    <w:qFormat/>
    <w:locked/>
    <w:rsid w:val="0051778F"/>
    <w:rPr>
      <w:rFonts w:ascii="Candara" w:eastAsiaTheme="minorHAnsi" w:hAnsi="Candara"/>
      <w:sz w:val="22"/>
      <w:szCs w:val="22"/>
      <w:lang w:val="en-AU"/>
    </w:rPr>
  </w:style>
  <w:style w:type="table" w:customStyle="1" w:styleId="GridTable6Colorful1">
    <w:name w:val="Grid Table 6 Colorful1"/>
    <w:basedOn w:val="TableNormal"/>
    <w:uiPriority w:val="51"/>
    <w:locked/>
    <w:rsid w:val="0051778F"/>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locked/>
    <w:rsid w:val="00443FF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43FF4"/>
    <w:rPr>
      <w:rFonts w:ascii="Segoe UI" w:hAnsi="Segoe UI" w:cs="Segoe UI"/>
      <w:sz w:val="18"/>
      <w:szCs w:val="18"/>
    </w:rPr>
  </w:style>
  <w:style w:type="paragraph" w:customStyle="1" w:styleId="Default">
    <w:name w:val="Default"/>
    <w:rsid w:val="00232805"/>
    <w:pPr>
      <w:autoSpaceDE w:val="0"/>
      <w:autoSpaceDN w:val="0"/>
      <w:adjustRightInd w:val="0"/>
    </w:pPr>
    <w:rPr>
      <w:rFonts w:ascii="Times New Roman" w:hAnsi="Times New Roman" w:cs="Times New Roman"/>
      <w:color w:val="000000"/>
      <w:lang w:val="en-AU"/>
    </w:rPr>
  </w:style>
  <w:style w:type="paragraph" w:styleId="NormalWeb">
    <w:name w:val="Normal (Web)"/>
    <w:basedOn w:val="Normal"/>
    <w:uiPriority w:val="99"/>
    <w:semiHidden/>
    <w:unhideWhenUsed/>
    <w:locked/>
    <w:rsid w:val="00170699"/>
    <w:pPr>
      <w:spacing w:after="15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locked/>
    <w:rsid w:val="003E68A5"/>
    <w:rPr>
      <w:sz w:val="16"/>
      <w:szCs w:val="16"/>
    </w:rPr>
  </w:style>
  <w:style w:type="paragraph" w:styleId="CommentText">
    <w:name w:val="annotation text"/>
    <w:basedOn w:val="Normal"/>
    <w:link w:val="CommentTextChar"/>
    <w:uiPriority w:val="99"/>
    <w:semiHidden/>
    <w:unhideWhenUsed/>
    <w:locked/>
    <w:rsid w:val="003E68A5"/>
    <w:pPr>
      <w:spacing w:line="240" w:lineRule="auto"/>
    </w:pPr>
    <w:rPr>
      <w:sz w:val="20"/>
      <w:szCs w:val="20"/>
    </w:rPr>
  </w:style>
  <w:style w:type="character" w:customStyle="1" w:styleId="CommentTextChar">
    <w:name w:val="Comment Text Char"/>
    <w:basedOn w:val="DefaultParagraphFont"/>
    <w:link w:val="CommentText"/>
    <w:uiPriority w:val="99"/>
    <w:semiHidden/>
    <w:rsid w:val="003E68A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3E68A5"/>
    <w:rPr>
      <w:b/>
      <w:bCs/>
    </w:rPr>
  </w:style>
  <w:style w:type="character" w:customStyle="1" w:styleId="CommentSubjectChar">
    <w:name w:val="Comment Subject Char"/>
    <w:basedOn w:val="CommentTextChar"/>
    <w:link w:val="CommentSubject"/>
    <w:uiPriority w:val="99"/>
    <w:semiHidden/>
    <w:rsid w:val="003E68A5"/>
    <w:rPr>
      <w:rFonts w:ascii="Arial" w:hAnsi="Arial" w:cs="Arial"/>
      <w:b/>
      <w:bCs/>
      <w:sz w:val="20"/>
      <w:szCs w:val="20"/>
    </w:rPr>
  </w:style>
  <w:style w:type="paragraph" w:styleId="ListParagraph">
    <w:name w:val="List Paragraph"/>
    <w:basedOn w:val="Normal"/>
    <w:uiPriority w:val="34"/>
    <w:semiHidden/>
    <w:qFormat/>
    <w:locked/>
    <w:rsid w:val="008F7030"/>
    <w:pPr>
      <w:ind w:left="720"/>
      <w:contextualSpacing/>
    </w:pPr>
  </w:style>
  <w:style w:type="paragraph" w:styleId="Revision">
    <w:name w:val="Revision"/>
    <w:hidden/>
    <w:uiPriority w:val="99"/>
    <w:semiHidden/>
    <w:rsid w:val="000B114D"/>
    <w:rPr>
      <w:rFonts w:ascii="Arial" w:hAnsi="Arial" w:cs="Arial"/>
      <w:sz w:val="22"/>
      <w:szCs w:val="18"/>
      <w:lang w:val="en-AU"/>
    </w:rPr>
  </w:style>
  <w:style w:type="character" w:styleId="FollowedHyperlink">
    <w:name w:val="FollowedHyperlink"/>
    <w:basedOn w:val="DefaultParagraphFont"/>
    <w:semiHidden/>
    <w:unhideWhenUsed/>
    <w:locked/>
    <w:rsid w:val="00203A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997">
      <w:bodyDiv w:val="1"/>
      <w:marLeft w:val="0"/>
      <w:marRight w:val="0"/>
      <w:marTop w:val="0"/>
      <w:marBottom w:val="0"/>
      <w:divBdr>
        <w:top w:val="none" w:sz="0" w:space="0" w:color="auto"/>
        <w:left w:val="none" w:sz="0" w:space="0" w:color="auto"/>
        <w:bottom w:val="none" w:sz="0" w:space="0" w:color="auto"/>
        <w:right w:val="none" w:sz="0" w:space="0" w:color="auto"/>
      </w:divBdr>
      <w:divsChild>
        <w:div w:id="1477643401">
          <w:marLeft w:val="0"/>
          <w:marRight w:val="0"/>
          <w:marTop w:val="0"/>
          <w:marBottom w:val="0"/>
          <w:divBdr>
            <w:top w:val="none" w:sz="0" w:space="0" w:color="auto"/>
            <w:left w:val="none" w:sz="0" w:space="0" w:color="auto"/>
            <w:bottom w:val="none" w:sz="0" w:space="0" w:color="auto"/>
            <w:right w:val="none" w:sz="0" w:space="0" w:color="auto"/>
          </w:divBdr>
          <w:divsChild>
            <w:div w:id="1404137642">
              <w:marLeft w:val="0"/>
              <w:marRight w:val="0"/>
              <w:marTop w:val="0"/>
              <w:marBottom w:val="0"/>
              <w:divBdr>
                <w:top w:val="none" w:sz="0" w:space="0" w:color="auto"/>
                <w:left w:val="none" w:sz="0" w:space="0" w:color="auto"/>
                <w:bottom w:val="none" w:sz="0" w:space="0" w:color="auto"/>
                <w:right w:val="none" w:sz="0" w:space="0" w:color="auto"/>
              </w:divBdr>
              <w:divsChild>
                <w:div w:id="557671680">
                  <w:marLeft w:val="0"/>
                  <w:marRight w:val="0"/>
                  <w:marTop w:val="0"/>
                  <w:marBottom w:val="0"/>
                  <w:divBdr>
                    <w:top w:val="none" w:sz="0" w:space="0" w:color="auto"/>
                    <w:left w:val="none" w:sz="0" w:space="0" w:color="auto"/>
                    <w:bottom w:val="none" w:sz="0" w:space="0" w:color="auto"/>
                    <w:right w:val="none" w:sz="0" w:space="0" w:color="auto"/>
                  </w:divBdr>
                  <w:divsChild>
                    <w:div w:id="1135827441">
                      <w:marLeft w:val="0"/>
                      <w:marRight w:val="0"/>
                      <w:marTop w:val="0"/>
                      <w:marBottom w:val="0"/>
                      <w:divBdr>
                        <w:top w:val="none" w:sz="0" w:space="0" w:color="auto"/>
                        <w:left w:val="none" w:sz="0" w:space="0" w:color="auto"/>
                        <w:bottom w:val="none" w:sz="0" w:space="0" w:color="auto"/>
                        <w:right w:val="none" w:sz="0" w:space="0" w:color="auto"/>
                      </w:divBdr>
                      <w:divsChild>
                        <w:div w:id="2045863027">
                          <w:marLeft w:val="0"/>
                          <w:marRight w:val="0"/>
                          <w:marTop w:val="0"/>
                          <w:marBottom w:val="0"/>
                          <w:divBdr>
                            <w:top w:val="none" w:sz="0" w:space="0" w:color="auto"/>
                            <w:left w:val="none" w:sz="0" w:space="0" w:color="auto"/>
                            <w:bottom w:val="none" w:sz="0" w:space="0" w:color="auto"/>
                            <w:right w:val="none" w:sz="0" w:space="0" w:color="auto"/>
                          </w:divBdr>
                          <w:divsChild>
                            <w:div w:id="1721241791">
                              <w:marLeft w:val="0"/>
                              <w:marRight w:val="0"/>
                              <w:marTop w:val="0"/>
                              <w:marBottom w:val="0"/>
                              <w:divBdr>
                                <w:top w:val="none" w:sz="0" w:space="0" w:color="auto"/>
                                <w:left w:val="none" w:sz="0" w:space="0" w:color="auto"/>
                                <w:bottom w:val="none" w:sz="0" w:space="0" w:color="auto"/>
                                <w:right w:val="none" w:sz="0" w:space="0" w:color="auto"/>
                              </w:divBdr>
                              <w:divsChild>
                                <w:div w:id="362246848">
                                  <w:marLeft w:val="0"/>
                                  <w:marRight w:val="0"/>
                                  <w:marTop w:val="0"/>
                                  <w:marBottom w:val="0"/>
                                  <w:divBdr>
                                    <w:top w:val="none" w:sz="0" w:space="0" w:color="auto"/>
                                    <w:left w:val="none" w:sz="0" w:space="0" w:color="auto"/>
                                    <w:bottom w:val="none" w:sz="0" w:space="0" w:color="auto"/>
                                    <w:right w:val="none" w:sz="0" w:space="0" w:color="auto"/>
                                  </w:divBdr>
                                  <w:divsChild>
                                    <w:div w:id="740522974">
                                      <w:marLeft w:val="0"/>
                                      <w:marRight w:val="0"/>
                                      <w:marTop w:val="0"/>
                                      <w:marBottom w:val="0"/>
                                      <w:divBdr>
                                        <w:top w:val="none" w:sz="0" w:space="0" w:color="auto"/>
                                        <w:left w:val="none" w:sz="0" w:space="0" w:color="auto"/>
                                        <w:bottom w:val="none" w:sz="0" w:space="0" w:color="auto"/>
                                        <w:right w:val="none" w:sz="0" w:space="0" w:color="auto"/>
                                      </w:divBdr>
                                      <w:divsChild>
                                        <w:div w:id="2115131065">
                                          <w:marLeft w:val="0"/>
                                          <w:marRight w:val="0"/>
                                          <w:marTop w:val="0"/>
                                          <w:marBottom w:val="0"/>
                                          <w:divBdr>
                                            <w:top w:val="none" w:sz="0" w:space="0" w:color="auto"/>
                                            <w:left w:val="none" w:sz="0" w:space="0" w:color="auto"/>
                                            <w:bottom w:val="none" w:sz="0" w:space="0" w:color="auto"/>
                                            <w:right w:val="none" w:sz="0" w:space="0" w:color="auto"/>
                                          </w:divBdr>
                                          <w:divsChild>
                                            <w:div w:id="545678713">
                                              <w:marLeft w:val="0"/>
                                              <w:marRight w:val="0"/>
                                              <w:marTop w:val="0"/>
                                              <w:marBottom w:val="0"/>
                                              <w:divBdr>
                                                <w:top w:val="none" w:sz="0" w:space="0" w:color="auto"/>
                                                <w:left w:val="none" w:sz="0" w:space="0" w:color="auto"/>
                                                <w:bottom w:val="none" w:sz="0" w:space="0" w:color="auto"/>
                                                <w:right w:val="none" w:sz="0" w:space="0" w:color="auto"/>
                                              </w:divBdr>
                                              <w:divsChild>
                                                <w:div w:id="1556162597">
                                                  <w:marLeft w:val="0"/>
                                                  <w:marRight w:val="0"/>
                                                  <w:marTop w:val="0"/>
                                                  <w:marBottom w:val="0"/>
                                                  <w:divBdr>
                                                    <w:top w:val="none" w:sz="0" w:space="0" w:color="auto"/>
                                                    <w:left w:val="none" w:sz="0" w:space="0" w:color="auto"/>
                                                    <w:bottom w:val="none" w:sz="0" w:space="0" w:color="auto"/>
                                                    <w:right w:val="none" w:sz="0" w:space="0" w:color="auto"/>
                                                  </w:divBdr>
                                                  <w:divsChild>
                                                    <w:div w:id="1743025670">
                                                      <w:marLeft w:val="0"/>
                                                      <w:marRight w:val="0"/>
                                                      <w:marTop w:val="300"/>
                                                      <w:marBottom w:val="0"/>
                                                      <w:divBdr>
                                                        <w:top w:val="none" w:sz="0" w:space="0" w:color="auto"/>
                                                        <w:left w:val="none" w:sz="0" w:space="0" w:color="auto"/>
                                                        <w:bottom w:val="none" w:sz="0" w:space="0" w:color="auto"/>
                                                        <w:right w:val="none" w:sz="0" w:space="0" w:color="auto"/>
                                                      </w:divBdr>
                                                      <w:divsChild>
                                                        <w:div w:id="10654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737867">
      <w:bodyDiv w:val="1"/>
      <w:marLeft w:val="0"/>
      <w:marRight w:val="0"/>
      <w:marTop w:val="0"/>
      <w:marBottom w:val="0"/>
      <w:divBdr>
        <w:top w:val="none" w:sz="0" w:space="0" w:color="auto"/>
        <w:left w:val="none" w:sz="0" w:space="0" w:color="auto"/>
        <w:bottom w:val="none" w:sz="0" w:space="0" w:color="auto"/>
        <w:right w:val="none" w:sz="0" w:space="0" w:color="auto"/>
      </w:divBdr>
      <w:divsChild>
        <w:div w:id="1565263327">
          <w:marLeft w:val="0"/>
          <w:marRight w:val="0"/>
          <w:marTop w:val="0"/>
          <w:marBottom w:val="0"/>
          <w:divBdr>
            <w:top w:val="none" w:sz="0" w:space="0" w:color="auto"/>
            <w:left w:val="none" w:sz="0" w:space="0" w:color="auto"/>
            <w:bottom w:val="none" w:sz="0" w:space="0" w:color="auto"/>
            <w:right w:val="none" w:sz="0" w:space="0" w:color="auto"/>
          </w:divBdr>
          <w:divsChild>
            <w:div w:id="711730751">
              <w:marLeft w:val="0"/>
              <w:marRight w:val="0"/>
              <w:marTop w:val="0"/>
              <w:marBottom w:val="0"/>
              <w:divBdr>
                <w:top w:val="none" w:sz="0" w:space="0" w:color="auto"/>
                <w:left w:val="none" w:sz="0" w:space="0" w:color="auto"/>
                <w:bottom w:val="none" w:sz="0" w:space="0" w:color="auto"/>
                <w:right w:val="none" w:sz="0" w:space="0" w:color="auto"/>
              </w:divBdr>
              <w:divsChild>
                <w:div w:id="2105614202">
                  <w:marLeft w:val="0"/>
                  <w:marRight w:val="0"/>
                  <w:marTop w:val="0"/>
                  <w:marBottom w:val="0"/>
                  <w:divBdr>
                    <w:top w:val="none" w:sz="0" w:space="0" w:color="auto"/>
                    <w:left w:val="none" w:sz="0" w:space="0" w:color="auto"/>
                    <w:bottom w:val="none" w:sz="0" w:space="0" w:color="auto"/>
                    <w:right w:val="none" w:sz="0" w:space="0" w:color="auto"/>
                  </w:divBdr>
                  <w:divsChild>
                    <w:div w:id="878668073">
                      <w:marLeft w:val="0"/>
                      <w:marRight w:val="0"/>
                      <w:marTop w:val="0"/>
                      <w:marBottom w:val="0"/>
                      <w:divBdr>
                        <w:top w:val="none" w:sz="0" w:space="0" w:color="auto"/>
                        <w:left w:val="none" w:sz="0" w:space="0" w:color="auto"/>
                        <w:bottom w:val="none" w:sz="0" w:space="0" w:color="auto"/>
                        <w:right w:val="none" w:sz="0" w:space="0" w:color="auto"/>
                      </w:divBdr>
                      <w:divsChild>
                        <w:div w:id="579019079">
                          <w:marLeft w:val="0"/>
                          <w:marRight w:val="0"/>
                          <w:marTop w:val="1050"/>
                          <w:marBottom w:val="0"/>
                          <w:divBdr>
                            <w:top w:val="none" w:sz="0" w:space="0" w:color="auto"/>
                            <w:left w:val="none" w:sz="0" w:space="0" w:color="auto"/>
                            <w:bottom w:val="none" w:sz="0" w:space="0" w:color="auto"/>
                            <w:right w:val="none" w:sz="0" w:space="0" w:color="auto"/>
                          </w:divBdr>
                          <w:divsChild>
                            <w:div w:id="1804537110">
                              <w:marLeft w:val="-225"/>
                              <w:marRight w:val="-225"/>
                              <w:marTop w:val="0"/>
                              <w:marBottom w:val="0"/>
                              <w:divBdr>
                                <w:top w:val="none" w:sz="0" w:space="0" w:color="auto"/>
                                <w:left w:val="none" w:sz="0" w:space="0" w:color="auto"/>
                                <w:bottom w:val="none" w:sz="0" w:space="0" w:color="auto"/>
                                <w:right w:val="none" w:sz="0" w:space="0" w:color="auto"/>
                              </w:divBdr>
                              <w:divsChild>
                                <w:div w:id="2029794153">
                                  <w:marLeft w:val="0"/>
                                  <w:marRight w:val="0"/>
                                  <w:marTop w:val="0"/>
                                  <w:marBottom w:val="0"/>
                                  <w:divBdr>
                                    <w:top w:val="none" w:sz="0" w:space="0" w:color="auto"/>
                                    <w:left w:val="none" w:sz="0" w:space="0" w:color="auto"/>
                                    <w:bottom w:val="none" w:sz="0" w:space="0" w:color="auto"/>
                                    <w:right w:val="none" w:sz="0" w:space="0" w:color="auto"/>
                                  </w:divBdr>
                                  <w:divsChild>
                                    <w:div w:id="1190216819">
                                      <w:marLeft w:val="0"/>
                                      <w:marRight w:val="0"/>
                                      <w:marTop w:val="0"/>
                                      <w:marBottom w:val="3000"/>
                                      <w:divBdr>
                                        <w:top w:val="single" w:sz="24" w:space="0" w:color="FFFFFF"/>
                                        <w:left w:val="none" w:sz="0" w:space="0" w:color="auto"/>
                                        <w:bottom w:val="none" w:sz="0" w:space="0" w:color="auto"/>
                                        <w:right w:val="none" w:sz="0" w:space="0" w:color="auto"/>
                                      </w:divBdr>
                                      <w:divsChild>
                                        <w:div w:id="10644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fa@edumail.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s.transactions@edumail.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principals/spag/Pages/spag.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Finance manual for Victorian Government Schools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2FDD2-09D2-4CBD-B00A-E61CC151F302}"/>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080E017D-789A-4C52-9582-796A3DD56723}"/>
</file>

<file path=docProps/app.xml><?xml version="1.0" encoding="utf-8"?>
<Properties xmlns="http://schemas.openxmlformats.org/officeDocument/2006/extended-properties" xmlns:vt="http://schemas.openxmlformats.org/officeDocument/2006/docPropsVTypes">
  <Template>Normal</Template>
  <TotalTime>39</TotalTime>
  <Pages>8</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Sutherland, Lisa J</cp:lastModifiedBy>
  <cp:revision>5</cp:revision>
  <cp:lastPrinted>2017-06-15T01:31:00Z</cp:lastPrinted>
  <dcterms:created xsi:type="dcterms:W3CDTF">2019-01-25T05:38:00Z</dcterms:created>
  <dcterms:modified xsi:type="dcterms:W3CDTF">2019-02-01T00:54:00Z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