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5947" w14:textId="77777777" w:rsidR="006554DD" w:rsidRPr="0034630B" w:rsidRDefault="00300397" w:rsidP="006554DD">
      <w:pPr>
        <w:pStyle w:val="Heading1"/>
        <w:rPr>
          <w:rFonts w:cs="Arial"/>
          <w:b w:val="0"/>
          <w:szCs w:val="44"/>
        </w:rPr>
      </w:pPr>
      <w:bookmarkStart w:id="0" w:name="_Toc455499267"/>
      <w:bookmarkStart w:id="1" w:name="_Toc455499461"/>
      <w:bookmarkStart w:id="2" w:name="_Toc455501167"/>
      <w:bookmarkStart w:id="3" w:name="_GoBack"/>
      <w:bookmarkEnd w:id="3"/>
      <w:r w:rsidRPr="0034630B">
        <w:rPr>
          <w:rFonts w:cs="Arial"/>
          <w:szCs w:val="44"/>
        </w:rPr>
        <w:t xml:space="preserve">Section </w:t>
      </w:r>
      <w:r w:rsidR="00967210" w:rsidRPr="0034630B">
        <w:rPr>
          <w:rFonts w:cs="Arial"/>
          <w:szCs w:val="44"/>
        </w:rPr>
        <w:t>4</w:t>
      </w:r>
      <w:r w:rsidR="006554DD" w:rsidRPr="0034630B">
        <w:rPr>
          <w:rFonts w:cs="Arial"/>
          <w:szCs w:val="44"/>
        </w:rPr>
        <w:t xml:space="preserve">: </w:t>
      </w:r>
      <w:r w:rsidR="00967210" w:rsidRPr="0034630B">
        <w:rPr>
          <w:rFonts w:cs="Arial"/>
          <w:szCs w:val="44"/>
        </w:rPr>
        <w:t>Internal Controls</w:t>
      </w:r>
    </w:p>
    <w:p w14:paraId="0957CC1E" w14:textId="77777777" w:rsidR="006554DD" w:rsidRPr="009F57A3" w:rsidRDefault="00967210" w:rsidP="006554DD">
      <w:pPr>
        <w:pStyle w:val="Heading2"/>
      </w:pPr>
      <w:r>
        <w:t>4</w:t>
      </w:r>
      <w:r w:rsidR="006554DD" w:rsidRPr="009F57A3">
        <w:t>.1</w:t>
      </w:r>
      <w:r w:rsidR="007D2940">
        <w:tab/>
      </w:r>
      <w:r w:rsidR="006554DD" w:rsidRPr="006554DD">
        <w:t>Overview</w:t>
      </w:r>
    </w:p>
    <w:p w14:paraId="083E4DC7" w14:textId="77777777" w:rsidR="007B452A" w:rsidRPr="00AC1541" w:rsidRDefault="002743F7" w:rsidP="00AC1541">
      <w:r w:rsidRPr="00AC1541">
        <w:t xml:space="preserve">Internal </w:t>
      </w:r>
      <w:r w:rsidR="00240A8B" w:rsidRPr="00AC1541">
        <w:t>control</w:t>
      </w:r>
      <w:r w:rsidRPr="00AC1541">
        <w:t>s</w:t>
      </w:r>
      <w:r w:rsidR="00240A8B" w:rsidRPr="00AC1541">
        <w:t xml:space="preserve"> </w:t>
      </w:r>
      <w:r w:rsidRPr="00AC1541">
        <w:t xml:space="preserve">are </w:t>
      </w:r>
      <w:r w:rsidR="00240A8B" w:rsidRPr="00AC1541">
        <w:t xml:space="preserve">a combination of measures put in place to ensure that the </w:t>
      </w:r>
      <w:r w:rsidR="007B452A" w:rsidRPr="00AC1541">
        <w:t xml:space="preserve">financial and physical </w:t>
      </w:r>
      <w:r w:rsidR="00240A8B" w:rsidRPr="00AC1541">
        <w:t>assets of the school are safeguarded</w:t>
      </w:r>
      <w:r w:rsidR="000D522C" w:rsidRPr="00AC1541">
        <w:t xml:space="preserve"> (the risk of theft and fraud is minimised)</w:t>
      </w:r>
      <w:r w:rsidRPr="00AC1541">
        <w:t xml:space="preserve">. </w:t>
      </w:r>
      <w:r w:rsidR="007B452A" w:rsidRPr="00AC1541">
        <w:t>This section provides an overview of internal controls and some general examples.</w:t>
      </w:r>
      <w:r w:rsidR="00947AE6" w:rsidRPr="00AC1541">
        <w:t xml:space="preserve"> </w:t>
      </w:r>
      <w:r w:rsidR="00B459CE" w:rsidRPr="00AC1541">
        <w:t>E</w:t>
      </w:r>
      <w:r w:rsidR="00947AE6" w:rsidRPr="00AC1541">
        <w:t xml:space="preserve">ach section of this manual </w:t>
      </w:r>
      <w:r w:rsidR="00B459CE" w:rsidRPr="00AC1541">
        <w:t xml:space="preserve">also </w:t>
      </w:r>
      <w:r w:rsidR="00947AE6" w:rsidRPr="00AC1541">
        <w:t xml:space="preserve">includes internal control measures specific to </w:t>
      </w:r>
      <w:r w:rsidR="00B459CE" w:rsidRPr="00AC1541">
        <w:t>that item</w:t>
      </w:r>
      <w:r w:rsidR="00947AE6" w:rsidRPr="00AC1541">
        <w:t>.</w:t>
      </w:r>
    </w:p>
    <w:p w14:paraId="593A8B95" w14:textId="77777777" w:rsidR="00C84D64" w:rsidRDefault="002743F7" w:rsidP="00F2068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This </w:t>
      </w:r>
      <w:r w:rsidR="00E90281">
        <w:t xml:space="preserve">is to ensure that the </w:t>
      </w:r>
      <w:r w:rsidR="00240A8B" w:rsidRPr="00240A8B">
        <w:t>accounting information produced is accurate and complete, and the</w:t>
      </w:r>
      <w:r w:rsidR="00E90281">
        <w:t xml:space="preserve"> financial </w:t>
      </w:r>
      <w:r w:rsidR="00240A8B" w:rsidRPr="00240A8B">
        <w:t xml:space="preserve">information obtained from the schools accounting system can be relied upon and used with confidence by all people involved in financial </w:t>
      </w:r>
      <w:r w:rsidR="00ED4C57" w:rsidRPr="00240A8B">
        <w:t>decision-making</w:t>
      </w:r>
      <w:r w:rsidR="00240A8B" w:rsidRPr="00240A8B">
        <w:t xml:space="preserve">. Good internal control </w:t>
      </w:r>
      <w:r w:rsidR="0050700F">
        <w:t>protects</w:t>
      </w:r>
      <w:r w:rsidR="00240A8B" w:rsidRPr="00240A8B">
        <w:t xml:space="preserve"> staff and </w:t>
      </w:r>
      <w:r w:rsidR="007B452A">
        <w:t xml:space="preserve">school </w:t>
      </w:r>
      <w:r w:rsidR="00240A8B" w:rsidRPr="00240A8B">
        <w:t>resources</w:t>
      </w:r>
      <w:r w:rsidR="00C84D64">
        <w:t>.</w:t>
      </w:r>
    </w:p>
    <w:p w14:paraId="3609A720" w14:textId="77777777" w:rsidR="00B25D05" w:rsidRDefault="00B25D05" w:rsidP="002434E4"/>
    <w:p w14:paraId="2B5D41DB" w14:textId="77777777" w:rsidR="006554DD" w:rsidRDefault="00177C3A" w:rsidP="006554DD">
      <w:pPr>
        <w:pStyle w:val="Heading2"/>
      </w:pPr>
      <w:r>
        <w:t>4</w:t>
      </w:r>
      <w:r w:rsidR="006554DD" w:rsidRPr="009F57A3">
        <w:t>.2</w:t>
      </w:r>
      <w:r w:rsidR="007D2940">
        <w:tab/>
      </w:r>
      <w:r>
        <w:t xml:space="preserve">Preventative </w:t>
      </w:r>
      <w:r w:rsidR="00C06A7D">
        <w:t>controls</w:t>
      </w:r>
    </w:p>
    <w:p w14:paraId="33B4301F" w14:textId="77777777" w:rsidR="00C06A7D" w:rsidRPr="00C06A7D" w:rsidRDefault="00603BCA" w:rsidP="002434E4">
      <w:r>
        <w:t xml:space="preserve">These controls are designed to discourage errors or irregularities from occurring. They are proactive </w:t>
      </w:r>
      <w:r w:rsidR="00B459CE">
        <w:t xml:space="preserve">actions </w:t>
      </w:r>
      <w:r>
        <w:t>that help ensure objectives are being met.</w:t>
      </w:r>
    </w:p>
    <w:p w14:paraId="22A6ECA1" w14:textId="77777777" w:rsidR="006554DD" w:rsidRPr="009F57A3" w:rsidRDefault="00C06A7D" w:rsidP="006554DD">
      <w:pPr>
        <w:pStyle w:val="Heading3"/>
      </w:pPr>
      <w:r>
        <w:t>4</w:t>
      </w:r>
      <w:r w:rsidR="006554DD" w:rsidRPr="009F57A3">
        <w:t xml:space="preserve">.2.1 </w:t>
      </w:r>
      <w:r w:rsidR="007D2940">
        <w:tab/>
      </w:r>
      <w:r w:rsidR="007B452A">
        <w:t>P</w:t>
      </w:r>
      <w:r w:rsidR="00AC5561">
        <w:t xml:space="preserve">reventative controls </w:t>
      </w:r>
      <w:r w:rsidR="007B452A">
        <w:t xml:space="preserve">including: </w:t>
      </w:r>
      <w:r w:rsidR="00AC5561">
        <w:t>(this is not an exhaustive list)</w:t>
      </w:r>
    </w:p>
    <w:tbl>
      <w:tblPr>
        <w:tblW w:w="9294" w:type="dxa"/>
        <w:tblInd w:w="57" w:type="dxa"/>
        <w:tblLayout w:type="fixed"/>
        <w:tblLook w:val="04A0" w:firstRow="1" w:lastRow="0" w:firstColumn="1" w:lastColumn="0" w:noHBand="0" w:noVBand="1"/>
        <w:tblDescription w:val="Table descibes the policy number and mandatory policy information"/>
      </w:tblPr>
      <w:tblGrid>
        <w:gridCol w:w="1214"/>
        <w:gridCol w:w="7229"/>
        <w:gridCol w:w="851"/>
      </w:tblGrid>
      <w:tr w:rsidR="008E0BBC" w:rsidRPr="002F1526" w14:paraId="33FDA869" w14:textId="77777777" w:rsidTr="008E0BBC">
        <w:trPr>
          <w:trHeight w:val="737"/>
          <w:tblHeader/>
        </w:trPr>
        <w:tc>
          <w:tcPr>
            <w:tcW w:w="1214" w:type="dxa"/>
            <w:tcBorders>
              <w:top w:val="single" w:sz="4" w:space="0" w:color="auto"/>
              <w:left w:val="single" w:sz="4" w:space="0" w:color="auto"/>
              <w:bottom w:val="single" w:sz="4" w:space="0" w:color="auto"/>
              <w:right w:val="single" w:sz="4" w:space="0" w:color="auto"/>
            </w:tcBorders>
          </w:tcPr>
          <w:p w14:paraId="0501EF61" w14:textId="77777777" w:rsidR="008E0BBC" w:rsidRPr="008E0BBC" w:rsidRDefault="008E0BBC" w:rsidP="008E0BBC">
            <w:pPr>
              <w:rPr>
                <w:b/>
                <w:sz w:val="18"/>
              </w:rPr>
            </w:pPr>
            <w:r w:rsidRPr="008E0BBC">
              <w:rPr>
                <w:b/>
                <w:sz w:val="18"/>
              </w:rPr>
              <w:t>Sequence Number</w:t>
            </w:r>
          </w:p>
        </w:tc>
        <w:tc>
          <w:tcPr>
            <w:tcW w:w="7229" w:type="dxa"/>
            <w:tcBorders>
              <w:top w:val="single" w:sz="4" w:space="0" w:color="auto"/>
              <w:left w:val="single" w:sz="4" w:space="0" w:color="auto"/>
              <w:bottom w:val="single" w:sz="4" w:space="0" w:color="auto"/>
              <w:right w:val="single" w:sz="4" w:space="0" w:color="auto"/>
            </w:tcBorders>
          </w:tcPr>
          <w:p w14:paraId="36491C27" w14:textId="77777777" w:rsidR="008E0BBC" w:rsidRPr="008E0BBC" w:rsidRDefault="008E0BBC" w:rsidP="008E0BBC">
            <w:pPr>
              <w:rPr>
                <w:b/>
                <w:sz w:val="18"/>
              </w:rPr>
            </w:pPr>
            <w:r w:rsidRPr="008E0BBC">
              <w:rPr>
                <w:b/>
                <w:sz w:val="18"/>
              </w:rPr>
              <w:t>Information</w:t>
            </w:r>
          </w:p>
        </w:tc>
        <w:tc>
          <w:tcPr>
            <w:tcW w:w="851" w:type="dxa"/>
            <w:tcBorders>
              <w:left w:val="single" w:sz="4" w:space="0" w:color="auto"/>
              <w:bottom w:val="single" w:sz="4" w:space="0" w:color="auto"/>
            </w:tcBorders>
          </w:tcPr>
          <w:p w14:paraId="2DC9DBB0" w14:textId="77777777" w:rsidR="008E0BBC" w:rsidRPr="008E0BBC" w:rsidRDefault="008E0BBC" w:rsidP="008E0BBC">
            <w:pPr>
              <w:rPr>
                <w:b/>
                <w:i/>
              </w:rPr>
            </w:pPr>
          </w:p>
        </w:tc>
      </w:tr>
      <w:tr w:rsidR="008E0BBC" w:rsidRPr="0091756B" w14:paraId="44476B97" w14:textId="7D8B586A"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8"/>
        </w:trPr>
        <w:tc>
          <w:tcPr>
            <w:tcW w:w="1214" w:type="dxa"/>
            <w:tcBorders>
              <w:bottom w:val="single" w:sz="4" w:space="0" w:color="auto"/>
            </w:tcBorders>
            <w:shd w:val="clear" w:color="auto" w:fill="FFFFFF" w:themeFill="background1"/>
          </w:tcPr>
          <w:p w14:paraId="78D0AE62" w14:textId="77777777" w:rsidR="008E0BBC" w:rsidRPr="0091756B" w:rsidRDefault="008E0BBC" w:rsidP="002434E4">
            <w:r>
              <w:t>4</w:t>
            </w:r>
            <w:r w:rsidRPr="0091756B">
              <w:t>.2.1.1</w:t>
            </w:r>
          </w:p>
        </w:tc>
        <w:tc>
          <w:tcPr>
            <w:tcW w:w="7229" w:type="dxa"/>
            <w:tcBorders>
              <w:bottom w:val="single" w:sz="4" w:space="0" w:color="auto"/>
            </w:tcBorders>
            <w:shd w:val="clear" w:color="auto" w:fill="auto"/>
          </w:tcPr>
          <w:p w14:paraId="78BED3E5" w14:textId="77777777" w:rsidR="008E0BBC" w:rsidRDefault="008E0BBC" w:rsidP="002434E4">
            <w:r w:rsidRPr="00FA002F">
              <w:rPr>
                <w:b/>
                <w:i/>
              </w:rPr>
              <w:t>Segregation of duties</w:t>
            </w:r>
            <w:r>
              <w:t xml:space="preserve"> – this means that no one person is responsible for doing everything. For example, the person who enters the invoice into CASES21 is different from the person who approves the payment of the invoice.</w:t>
            </w:r>
          </w:p>
          <w:p w14:paraId="4BD3E06B" w14:textId="77777777" w:rsidR="008E0BBC" w:rsidRDefault="008E0BBC" w:rsidP="002434E4">
            <w:r>
              <w:t>This type of control serves two purposes. It ensures there is oversight and review to detect errors; and it helps prevent fraud because it requires at least two people to collude in order to hide a transaction.</w:t>
            </w:r>
          </w:p>
          <w:p w14:paraId="1A5535D3" w14:textId="77777777" w:rsidR="008E0BBC" w:rsidRDefault="008E0BBC" w:rsidP="002434E4">
            <w:r>
              <w:t>In the case of single operator schools where segregation of duties is not practicable, compensating safeguards must be established to manage potential risk.</w:t>
            </w:r>
          </w:p>
          <w:p w14:paraId="51FEA808" w14:textId="77777777" w:rsidR="008E0BBC" w:rsidRDefault="008E0BBC" w:rsidP="002434E4">
            <w:r>
              <w:t>In very small schools, principals (or nominees) are advised to randomly (minimum of 2 checks a term) verify the cash handling and the recording process has been correctly undertaken. Please keep a signed record of these random checks for audit purposes.</w:t>
            </w:r>
          </w:p>
          <w:p w14:paraId="31812694" w14:textId="77777777" w:rsidR="008E0BBC" w:rsidRDefault="008E0BBC" w:rsidP="00A612EB">
            <w:r>
              <w:t>A proforma is available on the</w:t>
            </w:r>
            <w:r>
              <w:rPr>
                <w:rFonts w:ascii="Verdana" w:hAnsi="Verdana"/>
                <w:color w:val="676767"/>
                <w:lang w:eastAsia="en-AU"/>
              </w:rPr>
              <w:t xml:space="preserve"> </w:t>
            </w:r>
            <w:hyperlink r:id="rId11" w:tgtFrame="_blank" w:tooltip="Segregation of Duties" w:history="1">
              <w:r w:rsidRPr="00947AE6">
                <w:rPr>
                  <w:rStyle w:val="Hyperlink"/>
                  <w:lang w:eastAsia="en-AU"/>
                </w:rPr>
                <w:t xml:space="preserve">Finance website </w:t>
              </w:r>
            </w:hyperlink>
            <w:r w:rsidRPr="00A612EB">
              <w:rPr>
                <w:rStyle w:val="Hyperlink"/>
                <w:color w:val="000000" w:themeColor="text1"/>
                <w:u w:val="none"/>
                <w:lang w:eastAsia="en-AU"/>
              </w:rPr>
              <w:t xml:space="preserve"> </w:t>
            </w:r>
            <w:r>
              <w:rPr>
                <w:rStyle w:val="Hyperlink"/>
                <w:color w:val="000000" w:themeColor="text1"/>
                <w:lang w:eastAsia="en-AU"/>
              </w:rPr>
              <w:t xml:space="preserve"> </w:t>
            </w:r>
            <w:r w:rsidRPr="00947AE6">
              <w:t>tha</w:t>
            </w:r>
            <w:r>
              <w:t>t can be used to conduct the random check for cash handling and retained for audit.</w:t>
            </w:r>
          </w:p>
          <w:p w14:paraId="42B1D647" w14:textId="77777777" w:rsidR="008E0BBC" w:rsidRPr="00274529" w:rsidRDefault="008E0BBC" w:rsidP="00A612EB">
            <w:pPr>
              <w:rPr>
                <w:b/>
                <w:i/>
                <w:sz w:val="20"/>
                <w:szCs w:val="20"/>
              </w:rPr>
            </w:pPr>
            <w:r w:rsidRPr="00274529">
              <w:rPr>
                <w:rStyle w:val="Hyperlink"/>
                <w:b/>
                <w:i/>
                <w:color w:val="000000" w:themeColor="text1"/>
                <w:sz w:val="20"/>
                <w:szCs w:val="20"/>
                <w:u w:val="none"/>
                <w:lang w:eastAsia="en-AU"/>
              </w:rPr>
              <w:t>Look under - Proformas and worksheets – Segregation of duties – cash checklist</w:t>
            </w:r>
          </w:p>
        </w:tc>
        <w:tc>
          <w:tcPr>
            <w:tcW w:w="851" w:type="dxa"/>
            <w:tcBorders>
              <w:bottom w:val="single" w:sz="4" w:space="0" w:color="auto"/>
            </w:tcBorders>
          </w:tcPr>
          <w:p w14:paraId="65CBC74D" w14:textId="77777777" w:rsidR="008E0BBC" w:rsidRPr="00FA002F" w:rsidRDefault="008E0BBC" w:rsidP="002434E4">
            <w:pPr>
              <w:rPr>
                <w:b/>
                <w:i/>
              </w:rPr>
            </w:pPr>
          </w:p>
        </w:tc>
      </w:tr>
      <w:tr w:rsidR="008E0BBC" w:rsidRPr="0091756B" w14:paraId="7E00ACC6" w14:textId="55A9CB49"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4" w:type="dxa"/>
            <w:tcBorders>
              <w:top w:val="single" w:sz="4" w:space="0" w:color="auto"/>
              <w:left w:val="single" w:sz="4" w:space="0" w:color="auto"/>
              <w:bottom w:val="single" w:sz="4" w:space="0" w:color="auto"/>
            </w:tcBorders>
            <w:shd w:val="clear" w:color="auto" w:fill="FFFFFF" w:themeFill="background1"/>
          </w:tcPr>
          <w:p w14:paraId="02F75175" w14:textId="77777777" w:rsidR="008E0BBC" w:rsidRPr="0091756B" w:rsidRDefault="008E0BBC" w:rsidP="002434E4">
            <w:r>
              <w:lastRenderedPageBreak/>
              <w:t>4</w:t>
            </w:r>
            <w:r w:rsidRPr="0091756B">
              <w:t>.2.1.2</w:t>
            </w:r>
          </w:p>
        </w:tc>
        <w:tc>
          <w:tcPr>
            <w:tcW w:w="7229" w:type="dxa"/>
            <w:tcBorders>
              <w:top w:val="single" w:sz="4" w:space="0" w:color="auto"/>
              <w:bottom w:val="single" w:sz="4" w:space="0" w:color="auto"/>
            </w:tcBorders>
            <w:shd w:val="clear" w:color="auto" w:fill="auto"/>
          </w:tcPr>
          <w:p w14:paraId="64FCA18F" w14:textId="77777777" w:rsidR="008E0BBC" w:rsidRPr="0091756B" w:rsidRDefault="008E0BBC" w:rsidP="002434E4">
            <w:r w:rsidRPr="002E2E84">
              <w:rPr>
                <w:b/>
                <w:i/>
              </w:rPr>
              <w:t>Authorisations</w:t>
            </w:r>
            <w:r>
              <w:t xml:space="preserve"> - Authoris</w:t>
            </w:r>
            <w:r w:rsidRPr="002E2E84">
              <w:t xml:space="preserve">ations may be specific or general. </w:t>
            </w:r>
            <w:r>
              <w:t>Specific authoris</w:t>
            </w:r>
            <w:r w:rsidRPr="002E2E84">
              <w:t xml:space="preserve">ations relate to individual transactions and require formal approval by </w:t>
            </w:r>
            <w:r>
              <w:t>school</w:t>
            </w:r>
            <w:r w:rsidRPr="002E2E84">
              <w:t xml:space="preserve"> personnel </w:t>
            </w:r>
            <w:r>
              <w:t xml:space="preserve">who </w:t>
            </w:r>
            <w:r w:rsidRPr="002E2E84">
              <w:t>hav</w:t>
            </w:r>
            <w:r>
              <w:t>e</w:t>
            </w:r>
            <w:r w:rsidRPr="002E2E84">
              <w:t xml:space="preserve"> proper approval authority. A purchase </w:t>
            </w:r>
            <w:r>
              <w:t>order</w:t>
            </w:r>
            <w:r w:rsidRPr="002E2E84">
              <w:t xml:space="preserve"> approval is an example of a “specific” authori</w:t>
            </w:r>
            <w:r>
              <w:t xml:space="preserve">sation. </w:t>
            </w:r>
            <w:r w:rsidRPr="002E2E84">
              <w:t>It is important to remember that approving a transaction is assuming responsibility for the authenticity of that transaction or verifying it. An example of a general authori</w:t>
            </w:r>
            <w:r>
              <w:t>s</w:t>
            </w:r>
            <w:r w:rsidRPr="002E2E84">
              <w:t xml:space="preserve">ation is matching of vendor invoices to </w:t>
            </w:r>
            <w:r>
              <w:t xml:space="preserve">delivery </w:t>
            </w:r>
            <w:r w:rsidRPr="002E2E84">
              <w:t xml:space="preserve">reports and purchase orders prior to payment to ensure that the </w:t>
            </w:r>
            <w:r>
              <w:t>school</w:t>
            </w:r>
            <w:r w:rsidRPr="002E2E84">
              <w:t xml:space="preserve"> is only paying for items actually received and in accordance with negotiated terms and prices</w:t>
            </w:r>
            <w:r>
              <w:t>.</w:t>
            </w:r>
          </w:p>
        </w:tc>
        <w:tc>
          <w:tcPr>
            <w:tcW w:w="851" w:type="dxa"/>
            <w:tcBorders>
              <w:top w:val="single" w:sz="4" w:space="0" w:color="auto"/>
              <w:bottom w:val="single" w:sz="4" w:space="0" w:color="auto"/>
            </w:tcBorders>
          </w:tcPr>
          <w:p w14:paraId="6DE88217" w14:textId="77777777" w:rsidR="008E0BBC" w:rsidRPr="002E2E84" w:rsidRDefault="008E0BBC" w:rsidP="002434E4">
            <w:pPr>
              <w:rPr>
                <w:b/>
                <w:i/>
              </w:rPr>
            </w:pPr>
          </w:p>
        </w:tc>
      </w:tr>
      <w:tr w:rsidR="008E0BBC" w:rsidRPr="0091756B" w14:paraId="7A114F9D" w14:textId="0BD38CA4"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4" w:type="dxa"/>
            <w:tcBorders>
              <w:top w:val="single" w:sz="4" w:space="0" w:color="auto"/>
              <w:left w:val="single" w:sz="4" w:space="0" w:color="auto"/>
              <w:bottom w:val="single" w:sz="4" w:space="0" w:color="auto"/>
            </w:tcBorders>
            <w:shd w:val="clear" w:color="auto" w:fill="FFFFFF" w:themeFill="background1"/>
          </w:tcPr>
          <w:p w14:paraId="7AF114B9" w14:textId="77777777" w:rsidR="008E0BBC" w:rsidRDefault="008E0BBC" w:rsidP="002434E4">
            <w:r>
              <w:t>4.2.1.3</w:t>
            </w:r>
          </w:p>
        </w:tc>
        <w:tc>
          <w:tcPr>
            <w:tcW w:w="7229" w:type="dxa"/>
            <w:tcBorders>
              <w:top w:val="single" w:sz="4" w:space="0" w:color="auto"/>
              <w:bottom w:val="single" w:sz="4" w:space="0" w:color="auto"/>
            </w:tcBorders>
            <w:shd w:val="clear" w:color="auto" w:fill="auto"/>
          </w:tcPr>
          <w:p w14:paraId="0DB4F386" w14:textId="77777777" w:rsidR="008E0BBC" w:rsidRDefault="008E0BBC" w:rsidP="002434E4">
            <w:r w:rsidRPr="00CB6830">
              <w:rPr>
                <w:b/>
                <w:i/>
              </w:rPr>
              <w:t>Electronic security</w:t>
            </w:r>
            <w:r>
              <w:t xml:space="preserve"> – Electronic security must be designed to prevent unauthorised access to systems, software and data. Secure passwords, security tokens and access roles limit access to transactions and data to those required by individuals and authorised for their use. Schools are to have procedures in place to ensure that passwords and tokens are secure and that access roles are regularly reviewed.</w:t>
            </w:r>
          </w:p>
        </w:tc>
        <w:tc>
          <w:tcPr>
            <w:tcW w:w="851" w:type="dxa"/>
            <w:tcBorders>
              <w:top w:val="single" w:sz="4" w:space="0" w:color="auto"/>
              <w:bottom w:val="single" w:sz="4" w:space="0" w:color="auto"/>
            </w:tcBorders>
          </w:tcPr>
          <w:p w14:paraId="4DC732CA" w14:textId="77777777" w:rsidR="008E0BBC" w:rsidRPr="00CB6830" w:rsidRDefault="008E0BBC" w:rsidP="002434E4">
            <w:pPr>
              <w:rPr>
                <w:b/>
                <w:i/>
              </w:rPr>
            </w:pPr>
          </w:p>
        </w:tc>
      </w:tr>
      <w:tr w:rsidR="008E0BBC" w:rsidRPr="0091756B" w14:paraId="2A845077" w14:textId="6DF44699"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4" w:type="dxa"/>
            <w:tcBorders>
              <w:top w:val="single" w:sz="4" w:space="0" w:color="auto"/>
              <w:left w:val="single" w:sz="4" w:space="0" w:color="auto"/>
              <w:bottom w:val="single" w:sz="4" w:space="0" w:color="auto"/>
            </w:tcBorders>
            <w:shd w:val="clear" w:color="auto" w:fill="FFFFFF" w:themeFill="background1"/>
          </w:tcPr>
          <w:p w14:paraId="052845EE" w14:textId="77777777" w:rsidR="008E0BBC" w:rsidRDefault="008E0BBC" w:rsidP="002434E4">
            <w:r>
              <w:t>4.2.1.4</w:t>
            </w:r>
          </w:p>
        </w:tc>
        <w:tc>
          <w:tcPr>
            <w:tcW w:w="7229" w:type="dxa"/>
            <w:tcBorders>
              <w:top w:val="single" w:sz="4" w:space="0" w:color="auto"/>
              <w:bottom w:val="single" w:sz="4" w:space="0" w:color="auto"/>
            </w:tcBorders>
            <w:shd w:val="clear" w:color="auto" w:fill="auto"/>
          </w:tcPr>
          <w:p w14:paraId="750F73BB" w14:textId="77777777" w:rsidR="008E0BBC" w:rsidRDefault="008E0BBC" w:rsidP="002434E4">
            <w:r w:rsidRPr="002E2E84">
              <w:rPr>
                <w:b/>
                <w:i/>
              </w:rPr>
              <w:t>Physical security</w:t>
            </w:r>
            <w:r>
              <w:t xml:space="preserve"> - </w:t>
            </w:r>
            <w:r w:rsidRPr="002E2E84">
              <w:t xml:space="preserve">Physical </w:t>
            </w:r>
            <w:r>
              <w:t>security</w:t>
            </w:r>
            <w:r w:rsidRPr="002E2E84">
              <w:t xml:space="preserve"> </w:t>
            </w:r>
            <w:r>
              <w:t xml:space="preserve">must </w:t>
            </w:r>
            <w:r w:rsidRPr="002E2E84">
              <w:t>be designed to p</w:t>
            </w:r>
            <w:r>
              <w:t>revent unauthoris</w:t>
            </w:r>
            <w:r w:rsidRPr="002E2E84">
              <w:t xml:space="preserve">ed access to </w:t>
            </w:r>
            <w:r>
              <w:t>school</w:t>
            </w:r>
            <w:r w:rsidRPr="002E2E84">
              <w:t xml:space="preserve"> assets and accounting records. Examples of physical security include a safe, vault, locked doors/desk drawers, and card key systems</w:t>
            </w:r>
            <w:r>
              <w:t>.</w:t>
            </w:r>
          </w:p>
        </w:tc>
        <w:tc>
          <w:tcPr>
            <w:tcW w:w="851" w:type="dxa"/>
            <w:tcBorders>
              <w:top w:val="single" w:sz="4" w:space="0" w:color="auto"/>
              <w:bottom w:val="single" w:sz="4" w:space="0" w:color="auto"/>
            </w:tcBorders>
          </w:tcPr>
          <w:p w14:paraId="4F4545E8" w14:textId="77777777" w:rsidR="008E0BBC" w:rsidRPr="002E2E84" w:rsidRDefault="008E0BBC" w:rsidP="002434E4">
            <w:pPr>
              <w:rPr>
                <w:b/>
                <w:i/>
              </w:rPr>
            </w:pPr>
          </w:p>
        </w:tc>
      </w:tr>
      <w:tr w:rsidR="008E0BBC" w:rsidRPr="0091756B" w14:paraId="5CE5E682" w14:textId="2F97A588"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4" w:type="dxa"/>
            <w:tcBorders>
              <w:top w:val="single" w:sz="4" w:space="0" w:color="auto"/>
              <w:left w:val="single" w:sz="4" w:space="0" w:color="auto"/>
              <w:bottom w:val="single" w:sz="4" w:space="0" w:color="auto"/>
            </w:tcBorders>
            <w:shd w:val="clear" w:color="auto" w:fill="FFFFFF" w:themeFill="background1"/>
          </w:tcPr>
          <w:p w14:paraId="310FB315" w14:textId="77777777" w:rsidR="008E0BBC" w:rsidRDefault="008E0BBC" w:rsidP="002434E4">
            <w:r>
              <w:t>4.2.1.5</w:t>
            </w:r>
          </w:p>
        </w:tc>
        <w:tc>
          <w:tcPr>
            <w:tcW w:w="7229" w:type="dxa"/>
            <w:tcBorders>
              <w:top w:val="single" w:sz="4" w:space="0" w:color="auto"/>
              <w:bottom w:val="single" w:sz="4" w:space="0" w:color="auto"/>
            </w:tcBorders>
            <w:shd w:val="clear" w:color="auto" w:fill="auto"/>
          </w:tcPr>
          <w:p w14:paraId="4255FBE7" w14:textId="77777777" w:rsidR="008E0BBC" w:rsidRDefault="008E0BBC" w:rsidP="002434E4">
            <w:r w:rsidRPr="00311F45">
              <w:rPr>
                <w:b/>
                <w:i/>
              </w:rPr>
              <w:t>Employee background checks</w:t>
            </w:r>
            <w:r>
              <w:t xml:space="preserve"> – this includes the Department’s recruitment checks as well as requiring all teaching staff (including CRTs) to have a current Victorian Institute of Teaching (VIT) registration, all non-teaching staff to have a current Working with Children Check and all employees who handle cash to have undertaken a criminal record check.</w:t>
            </w:r>
          </w:p>
        </w:tc>
        <w:tc>
          <w:tcPr>
            <w:tcW w:w="851" w:type="dxa"/>
            <w:tcBorders>
              <w:top w:val="single" w:sz="4" w:space="0" w:color="auto"/>
              <w:bottom w:val="single" w:sz="4" w:space="0" w:color="auto"/>
            </w:tcBorders>
          </w:tcPr>
          <w:p w14:paraId="67B61A7C" w14:textId="77777777" w:rsidR="008E0BBC" w:rsidRPr="00311F45" w:rsidRDefault="008E0BBC" w:rsidP="002434E4">
            <w:pPr>
              <w:rPr>
                <w:b/>
                <w:i/>
              </w:rPr>
            </w:pPr>
          </w:p>
        </w:tc>
      </w:tr>
      <w:tr w:rsidR="008E0BBC" w:rsidRPr="0091756B" w14:paraId="3D6B13ED" w14:textId="5022FD35" w:rsidTr="008E0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14" w:type="dxa"/>
            <w:tcBorders>
              <w:top w:val="single" w:sz="4" w:space="0" w:color="auto"/>
              <w:left w:val="single" w:sz="4" w:space="0" w:color="auto"/>
              <w:bottom w:val="single" w:sz="4" w:space="0" w:color="auto"/>
            </w:tcBorders>
            <w:shd w:val="clear" w:color="auto" w:fill="FFFFFF" w:themeFill="background1"/>
          </w:tcPr>
          <w:p w14:paraId="7AC8EF5A" w14:textId="77777777" w:rsidR="008E0BBC" w:rsidRDefault="008E0BBC" w:rsidP="002434E4">
            <w:r>
              <w:t>4.2.1.6</w:t>
            </w:r>
          </w:p>
        </w:tc>
        <w:tc>
          <w:tcPr>
            <w:tcW w:w="7229" w:type="dxa"/>
            <w:tcBorders>
              <w:top w:val="single" w:sz="4" w:space="0" w:color="auto"/>
              <w:bottom w:val="single" w:sz="4" w:space="0" w:color="auto"/>
            </w:tcBorders>
            <w:shd w:val="clear" w:color="auto" w:fill="auto"/>
          </w:tcPr>
          <w:p w14:paraId="09933FA4" w14:textId="77777777" w:rsidR="008E0BBC" w:rsidRDefault="008E0BBC" w:rsidP="002E640B">
            <w:r w:rsidRPr="004730E8">
              <w:rPr>
                <w:b/>
                <w:i/>
              </w:rPr>
              <w:t>Employee training and professional development</w:t>
            </w:r>
            <w:r>
              <w:t xml:space="preserve"> – having a well-trained, competent workforce that allows role rotation of staff will provide opportunities for multiskilling and will enhance the internal control system of the school. For example, specific “how to” training will support hard controls such as processing accuracy and information quality while values and induction type training will support soft controls as they will set out desirable behaviours and reinforce morale.</w:t>
            </w:r>
          </w:p>
        </w:tc>
        <w:tc>
          <w:tcPr>
            <w:tcW w:w="851" w:type="dxa"/>
            <w:tcBorders>
              <w:top w:val="single" w:sz="4" w:space="0" w:color="auto"/>
              <w:bottom w:val="single" w:sz="4" w:space="0" w:color="auto"/>
            </w:tcBorders>
          </w:tcPr>
          <w:p w14:paraId="6958C540" w14:textId="77777777" w:rsidR="008E0BBC" w:rsidRPr="004730E8" w:rsidRDefault="008E0BBC" w:rsidP="002E640B">
            <w:pPr>
              <w:rPr>
                <w:b/>
                <w:i/>
              </w:rPr>
            </w:pPr>
          </w:p>
        </w:tc>
      </w:tr>
      <w:bookmarkEnd w:id="0"/>
      <w:bookmarkEnd w:id="1"/>
      <w:bookmarkEnd w:id="2"/>
    </w:tbl>
    <w:p w14:paraId="4FE85306" w14:textId="758DAD94" w:rsidR="0051778F" w:rsidRDefault="0051778F" w:rsidP="002434E4"/>
    <w:p w14:paraId="57490F35" w14:textId="0FA7124C" w:rsidR="00F2068D" w:rsidRDefault="00F2068D" w:rsidP="002434E4"/>
    <w:p w14:paraId="1775A283" w14:textId="088D9BA1" w:rsidR="00F2068D" w:rsidRDefault="00F2068D" w:rsidP="002434E4"/>
    <w:p w14:paraId="3B9829C8" w14:textId="728D2BE5" w:rsidR="00F2068D" w:rsidRDefault="00F2068D" w:rsidP="002434E4"/>
    <w:p w14:paraId="2CD9D964" w14:textId="77777777" w:rsidR="00F2068D" w:rsidRDefault="00F2068D" w:rsidP="002434E4"/>
    <w:p w14:paraId="1EC5E48C" w14:textId="77777777" w:rsidR="00C06A7D" w:rsidRDefault="00C06A7D" w:rsidP="00C06A7D">
      <w:pPr>
        <w:pStyle w:val="Heading2"/>
      </w:pPr>
      <w:r>
        <w:lastRenderedPageBreak/>
        <w:t>4.3</w:t>
      </w:r>
      <w:r w:rsidR="007D2940">
        <w:tab/>
      </w:r>
      <w:r>
        <w:t>Detective controls</w:t>
      </w:r>
    </w:p>
    <w:p w14:paraId="28DDA0C2" w14:textId="77777777" w:rsidR="00C06A7D" w:rsidRPr="00C06A7D" w:rsidRDefault="00603BCA" w:rsidP="002434E4">
      <w:r>
        <w:t>These are designed to find errors or irregularities after they have occurred.</w:t>
      </w:r>
    </w:p>
    <w:p w14:paraId="596CFA68" w14:textId="77777777" w:rsidR="00C06A7D" w:rsidRPr="009F57A3" w:rsidRDefault="00C06A7D" w:rsidP="00C06A7D">
      <w:pPr>
        <w:pStyle w:val="Heading3"/>
      </w:pPr>
      <w:r>
        <w:t>4</w:t>
      </w:r>
      <w:r w:rsidR="00AC5561">
        <w:t>.3</w:t>
      </w:r>
      <w:r w:rsidRPr="009F57A3">
        <w:t>.1</w:t>
      </w:r>
      <w:r w:rsidR="007D2940">
        <w:tab/>
      </w:r>
      <w:r w:rsidR="00AC5561">
        <w:t>Examples of detective controls (this is not an exhaustive list)</w:t>
      </w:r>
    </w:p>
    <w:tbl>
      <w:tblPr>
        <w:tblStyle w:val="LightList-Accent3"/>
        <w:tblW w:w="84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descibes the policy number and mandatory policy information"/>
      </w:tblPr>
      <w:tblGrid>
        <w:gridCol w:w="1214"/>
        <w:gridCol w:w="7229"/>
      </w:tblGrid>
      <w:tr w:rsidR="008E0BBC" w:rsidRPr="002F1526" w14:paraId="560428CB" w14:textId="77777777" w:rsidTr="00506D4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14" w:type="dxa"/>
            <w:tcBorders>
              <w:bottom w:val="single" w:sz="4" w:space="0" w:color="auto"/>
            </w:tcBorders>
            <w:shd w:val="clear" w:color="auto" w:fill="FFFFFF" w:themeFill="background1"/>
          </w:tcPr>
          <w:p w14:paraId="1C5659ED" w14:textId="77777777" w:rsidR="008E0BBC" w:rsidRPr="008E0BBC" w:rsidRDefault="008E0BBC" w:rsidP="007B3C3A">
            <w:pPr>
              <w:rPr>
                <w:color w:val="auto"/>
                <w:sz w:val="18"/>
              </w:rPr>
            </w:pPr>
            <w:r w:rsidRPr="008E0BBC">
              <w:rPr>
                <w:color w:val="auto"/>
                <w:sz w:val="18"/>
              </w:rPr>
              <w:t>Sequence Number</w:t>
            </w:r>
          </w:p>
        </w:tc>
        <w:tc>
          <w:tcPr>
            <w:tcW w:w="7229" w:type="dxa"/>
            <w:tcBorders>
              <w:bottom w:val="single" w:sz="4" w:space="0" w:color="auto"/>
              <w:right w:val="single" w:sz="12" w:space="0" w:color="auto"/>
            </w:tcBorders>
            <w:shd w:val="clear" w:color="auto" w:fill="auto"/>
          </w:tcPr>
          <w:p w14:paraId="37C493C4" w14:textId="77777777" w:rsidR="008E0BBC" w:rsidRPr="008E0BBC" w:rsidRDefault="008E0BBC" w:rsidP="007B3C3A">
            <w:pPr>
              <w:cnfStyle w:val="100000000000" w:firstRow="1" w:lastRow="0" w:firstColumn="0" w:lastColumn="0" w:oddVBand="0" w:evenVBand="0" w:oddHBand="0" w:evenHBand="0" w:firstRowFirstColumn="0" w:firstRowLastColumn="0" w:lastRowFirstColumn="0" w:lastRowLastColumn="0"/>
              <w:rPr>
                <w:color w:val="auto"/>
              </w:rPr>
            </w:pPr>
            <w:r w:rsidRPr="008E0BBC">
              <w:rPr>
                <w:color w:val="auto"/>
              </w:rPr>
              <w:t>Information</w:t>
            </w:r>
          </w:p>
        </w:tc>
      </w:tr>
    </w:tbl>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descibes the policy number and mandatory policy information"/>
      </w:tblPr>
      <w:tblGrid>
        <w:gridCol w:w="1214"/>
        <w:gridCol w:w="7229"/>
        <w:gridCol w:w="851"/>
      </w:tblGrid>
      <w:tr w:rsidR="008E0BBC" w:rsidRPr="0091756B" w14:paraId="1CC6E2A4" w14:textId="4CE083C9" w:rsidTr="008E0BBC">
        <w:trPr>
          <w:trHeight w:val="567"/>
        </w:trPr>
        <w:tc>
          <w:tcPr>
            <w:tcW w:w="1214" w:type="dxa"/>
            <w:shd w:val="clear" w:color="auto" w:fill="FFFFFF" w:themeFill="background1"/>
          </w:tcPr>
          <w:p w14:paraId="44CF5002" w14:textId="77777777" w:rsidR="008E0BBC" w:rsidRPr="0091756B" w:rsidRDefault="008E0BBC" w:rsidP="002434E4">
            <w:r>
              <w:t>4.3</w:t>
            </w:r>
            <w:r w:rsidRPr="0091756B">
              <w:t>.1.1</w:t>
            </w:r>
          </w:p>
        </w:tc>
        <w:tc>
          <w:tcPr>
            <w:tcW w:w="7229" w:type="dxa"/>
            <w:shd w:val="clear" w:color="auto" w:fill="auto"/>
          </w:tcPr>
          <w:p w14:paraId="603D299A" w14:textId="77777777" w:rsidR="008E0BBC" w:rsidRPr="0091756B" w:rsidRDefault="008E0BBC" w:rsidP="002434E4">
            <w:r w:rsidRPr="009D6D3D">
              <w:rPr>
                <w:b/>
                <w:i/>
              </w:rPr>
              <w:t xml:space="preserve">Reconciliations </w:t>
            </w:r>
            <w:r>
              <w:t>– A reconciliation is the process of comparing transactions and activity to supporting documentation to ensure accuracy and validity. It also involves resolving any discrepancies that may be identified and undertaking corrective action within the month that the anomaly or anomalies are discovered. For example, conducting a bank reconciliation at the end of the month to match or explain the difference between the cash at bank figure on CASES21 and the balance shown on the bank statement.</w:t>
            </w:r>
          </w:p>
        </w:tc>
        <w:tc>
          <w:tcPr>
            <w:tcW w:w="851" w:type="dxa"/>
          </w:tcPr>
          <w:p w14:paraId="5C2C8AC3" w14:textId="77777777" w:rsidR="008E0BBC" w:rsidRPr="009D6D3D" w:rsidRDefault="008E0BBC" w:rsidP="002434E4">
            <w:pPr>
              <w:rPr>
                <w:b/>
                <w:i/>
              </w:rPr>
            </w:pPr>
          </w:p>
        </w:tc>
      </w:tr>
      <w:tr w:rsidR="008E0BBC" w:rsidRPr="0091756B" w14:paraId="067251B0" w14:textId="33D44564" w:rsidTr="008E0BBC">
        <w:trPr>
          <w:trHeight w:val="567"/>
        </w:trPr>
        <w:tc>
          <w:tcPr>
            <w:tcW w:w="1214" w:type="dxa"/>
            <w:shd w:val="clear" w:color="auto" w:fill="FFFFFF" w:themeFill="background1"/>
          </w:tcPr>
          <w:p w14:paraId="14F1615B" w14:textId="77777777" w:rsidR="008E0BBC" w:rsidRDefault="008E0BBC" w:rsidP="002434E4">
            <w:r>
              <w:t>4.3.1.2</w:t>
            </w:r>
          </w:p>
        </w:tc>
        <w:tc>
          <w:tcPr>
            <w:tcW w:w="7229" w:type="dxa"/>
            <w:shd w:val="clear" w:color="auto" w:fill="auto"/>
          </w:tcPr>
          <w:p w14:paraId="0B30A73E" w14:textId="77777777" w:rsidR="008E0BBC" w:rsidRDefault="008E0BBC" w:rsidP="002434E4">
            <w:r w:rsidRPr="009D6D3D">
              <w:rPr>
                <w:b/>
                <w:i/>
              </w:rPr>
              <w:t>Review of financial statements for irregularities</w:t>
            </w:r>
            <w:r>
              <w:t xml:space="preserve"> – this may identify errors in transaction processing. For example, reviewing the figures on the operating statement to identify any negative year to date balances that may indicate the incorrect posting of a journal.</w:t>
            </w:r>
          </w:p>
        </w:tc>
        <w:tc>
          <w:tcPr>
            <w:tcW w:w="851" w:type="dxa"/>
          </w:tcPr>
          <w:p w14:paraId="7176CC0A" w14:textId="77777777" w:rsidR="008E0BBC" w:rsidRPr="009D6D3D" w:rsidRDefault="008E0BBC" w:rsidP="002434E4">
            <w:pPr>
              <w:rPr>
                <w:b/>
                <w:i/>
              </w:rPr>
            </w:pPr>
          </w:p>
        </w:tc>
      </w:tr>
      <w:tr w:rsidR="008E0BBC" w:rsidRPr="0091756B" w14:paraId="7FEF293E" w14:textId="757E9D1B" w:rsidTr="008E0BBC">
        <w:trPr>
          <w:trHeight w:val="567"/>
        </w:trPr>
        <w:tc>
          <w:tcPr>
            <w:tcW w:w="1214" w:type="dxa"/>
            <w:shd w:val="clear" w:color="auto" w:fill="FFFFFF" w:themeFill="background1"/>
          </w:tcPr>
          <w:p w14:paraId="6AB48A9A" w14:textId="77777777" w:rsidR="008E0BBC" w:rsidRDefault="008E0BBC" w:rsidP="002434E4">
            <w:r>
              <w:t>4.3.1.3</w:t>
            </w:r>
          </w:p>
        </w:tc>
        <w:tc>
          <w:tcPr>
            <w:tcW w:w="7229" w:type="dxa"/>
            <w:shd w:val="clear" w:color="auto" w:fill="auto"/>
          </w:tcPr>
          <w:p w14:paraId="2B362298" w14:textId="77777777" w:rsidR="008E0BBC" w:rsidRDefault="008E0BBC" w:rsidP="002434E4">
            <w:r w:rsidRPr="004425C6">
              <w:rPr>
                <w:b/>
                <w:i/>
              </w:rPr>
              <w:t>Review of actuals to budget</w:t>
            </w:r>
            <w:r>
              <w:t xml:space="preserve"> – this allows for the identification of variances between actual performance and what was projected or expected. Variances can be analysed and corrective action taken.</w:t>
            </w:r>
          </w:p>
        </w:tc>
        <w:tc>
          <w:tcPr>
            <w:tcW w:w="851" w:type="dxa"/>
          </w:tcPr>
          <w:p w14:paraId="155E1038" w14:textId="77777777" w:rsidR="008E0BBC" w:rsidRPr="004425C6" w:rsidRDefault="008E0BBC" w:rsidP="002434E4">
            <w:pPr>
              <w:rPr>
                <w:b/>
                <w:i/>
              </w:rPr>
            </w:pPr>
          </w:p>
        </w:tc>
      </w:tr>
      <w:tr w:rsidR="008E0BBC" w:rsidRPr="0091756B" w14:paraId="4BF9B389" w14:textId="54A0EE1D" w:rsidTr="008E0BBC">
        <w:trPr>
          <w:trHeight w:val="567"/>
        </w:trPr>
        <w:tc>
          <w:tcPr>
            <w:tcW w:w="1214" w:type="dxa"/>
            <w:shd w:val="clear" w:color="auto" w:fill="FFFFFF" w:themeFill="background1"/>
          </w:tcPr>
          <w:p w14:paraId="150E356C" w14:textId="77777777" w:rsidR="008E0BBC" w:rsidRDefault="008E0BBC" w:rsidP="002434E4">
            <w:r>
              <w:t>4.3.1.4</w:t>
            </w:r>
          </w:p>
        </w:tc>
        <w:tc>
          <w:tcPr>
            <w:tcW w:w="7229" w:type="dxa"/>
            <w:shd w:val="clear" w:color="auto" w:fill="auto"/>
          </w:tcPr>
          <w:p w14:paraId="5D243A7D" w14:textId="77777777" w:rsidR="008E0BBC" w:rsidRDefault="008E0BBC" w:rsidP="002434E4">
            <w:r w:rsidRPr="004425C6">
              <w:rPr>
                <w:b/>
                <w:i/>
              </w:rPr>
              <w:t>Audits</w:t>
            </w:r>
            <w:r>
              <w:t xml:space="preserve"> – Audits can be formal or informal. Formal audits can provide an objective independent examination of the financial statements, procedures and controls. This can increase the value and credibility of the financial statements and increase user confidence. It can also identify weaknesses that may require attention. Informal audits may include ‘spot checks’ such as an independent person counting the daily banking to verify processes.</w:t>
            </w:r>
          </w:p>
        </w:tc>
        <w:tc>
          <w:tcPr>
            <w:tcW w:w="851" w:type="dxa"/>
          </w:tcPr>
          <w:p w14:paraId="3CDBAA19" w14:textId="77777777" w:rsidR="008E0BBC" w:rsidRPr="004425C6" w:rsidRDefault="008E0BBC" w:rsidP="002434E4">
            <w:pPr>
              <w:rPr>
                <w:b/>
                <w:i/>
              </w:rPr>
            </w:pPr>
          </w:p>
        </w:tc>
      </w:tr>
      <w:tr w:rsidR="008E0BBC" w:rsidRPr="0091756B" w14:paraId="5F90941F" w14:textId="52195992" w:rsidTr="008E0BBC">
        <w:trPr>
          <w:trHeight w:hRule="exact" w:val="737"/>
        </w:trPr>
        <w:tc>
          <w:tcPr>
            <w:tcW w:w="1214" w:type="dxa"/>
            <w:shd w:val="clear" w:color="auto" w:fill="FFFFFF" w:themeFill="background1"/>
          </w:tcPr>
          <w:p w14:paraId="45695BCC" w14:textId="77777777" w:rsidR="008E0BBC" w:rsidRDefault="008E0BBC" w:rsidP="002434E4">
            <w:r>
              <w:t>4.3.1.5</w:t>
            </w:r>
          </w:p>
        </w:tc>
        <w:tc>
          <w:tcPr>
            <w:tcW w:w="7229" w:type="dxa"/>
            <w:shd w:val="clear" w:color="auto" w:fill="auto"/>
          </w:tcPr>
          <w:p w14:paraId="75F37075" w14:textId="77777777" w:rsidR="008E0BBC" w:rsidRDefault="008E0BBC" w:rsidP="002434E4">
            <w:r w:rsidRPr="004425C6">
              <w:rPr>
                <w:b/>
                <w:i/>
              </w:rPr>
              <w:t>Stocktakes</w:t>
            </w:r>
            <w:r>
              <w:t xml:space="preserve"> – Stocktakes must be used to verify the existence of assets and identify any losses that may have occurred.</w:t>
            </w:r>
          </w:p>
        </w:tc>
        <w:tc>
          <w:tcPr>
            <w:tcW w:w="851" w:type="dxa"/>
          </w:tcPr>
          <w:p w14:paraId="318E23BC" w14:textId="77777777" w:rsidR="008E0BBC" w:rsidRPr="004425C6" w:rsidRDefault="008E0BBC" w:rsidP="002434E4">
            <w:pPr>
              <w:rPr>
                <w:b/>
                <w:i/>
              </w:rPr>
            </w:pPr>
          </w:p>
        </w:tc>
      </w:tr>
      <w:tr w:rsidR="008E0BBC" w:rsidRPr="0091756B" w14:paraId="46A71317" w14:textId="34FDBA24" w:rsidTr="008E0BBC">
        <w:trPr>
          <w:trHeight w:val="567"/>
        </w:trPr>
        <w:tc>
          <w:tcPr>
            <w:tcW w:w="1214" w:type="dxa"/>
            <w:tcBorders>
              <w:bottom w:val="single" w:sz="4" w:space="0" w:color="auto"/>
            </w:tcBorders>
            <w:shd w:val="clear" w:color="auto" w:fill="FFFFFF" w:themeFill="background1"/>
          </w:tcPr>
          <w:p w14:paraId="488F5DB3" w14:textId="77777777" w:rsidR="008E0BBC" w:rsidRDefault="008E0BBC" w:rsidP="002434E4">
            <w:r>
              <w:t>4.3.1.6</w:t>
            </w:r>
          </w:p>
        </w:tc>
        <w:tc>
          <w:tcPr>
            <w:tcW w:w="7229" w:type="dxa"/>
            <w:tcBorders>
              <w:bottom w:val="single" w:sz="4" w:space="0" w:color="auto"/>
            </w:tcBorders>
            <w:shd w:val="clear" w:color="auto" w:fill="auto"/>
          </w:tcPr>
          <w:p w14:paraId="3F0A8035" w14:textId="77777777" w:rsidR="008E0BBC" w:rsidRDefault="008E0BBC" w:rsidP="002434E4">
            <w:r w:rsidRPr="00BD5DD9">
              <w:rPr>
                <w:b/>
                <w:i/>
              </w:rPr>
              <w:t>Employee monitoring</w:t>
            </w:r>
            <w:r>
              <w:t xml:space="preserve"> – this must involve activities such as performance reviews, role rotations, multi-skilling, checking hours of work (employees working outside normal hours when there is less supervision), checking when and if annual leave is taken (reluctance to take leave may indicate some inappropriate activity that an employee does not want discovered), etc.</w:t>
            </w:r>
          </w:p>
        </w:tc>
        <w:tc>
          <w:tcPr>
            <w:tcW w:w="851" w:type="dxa"/>
            <w:tcBorders>
              <w:bottom w:val="single" w:sz="4" w:space="0" w:color="auto"/>
            </w:tcBorders>
          </w:tcPr>
          <w:p w14:paraId="04DABE90" w14:textId="77777777" w:rsidR="008E0BBC" w:rsidRPr="00BD5DD9" w:rsidRDefault="008E0BBC" w:rsidP="002434E4">
            <w:pPr>
              <w:rPr>
                <w:b/>
                <w:i/>
              </w:rPr>
            </w:pPr>
          </w:p>
        </w:tc>
      </w:tr>
    </w:tbl>
    <w:p w14:paraId="129434EC" w14:textId="5187C126" w:rsidR="00C06A7D" w:rsidRDefault="00C06A7D" w:rsidP="002434E4"/>
    <w:p w14:paraId="6009A86B" w14:textId="6E168091" w:rsidR="00F2068D" w:rsidRDefault="00F2068D" w:rsidP="002434E4"/>
    <w:p w14:paraId="704F1EED" w14:textId="77777777" w:rsidR="00F2068D" w:rsidRDefault="00F2068D" w:rsidP="002434E4"/>
    <w:p w14:paraId="5ABEF3DC" w14:textId="77777777" w:rsidR="00C06A7D" w:rsidRDefault="00C06A7D" w:rsidP="00C06A7D">
      <w:pPr>
        <w:pStyle w:val="Heading2"/>
      </w:pPr>
      <w:r>
        <w:lastRenderedPageBreak/>
        <w:t>4.4</w:t>
      </w:r>
      <w:r w:rsidR="007D2940">
        <w:tab/>
      </w:r>
      <w:r>
        <w:t xml:space="preserve">Corrective </w:t>
      </w:r>
      <w:r w:rsidRPr="0034630B">
        <w:t>controls</w:t>
      </w:r>
    </w:p>
    <w:p w14:paraId="6A9E2C9D" w14:textId="77777777" w:rsidR="00C06A7D" w:rsidRPr="00C06A7D" w:rsidRDefault="0007553B" w:rsidP="002434E4">
      <w:r>
        <w:t>These are designed to correct errors or irregularities that have been detected.</w:t>
      </w:r>
    </w:p>
    <w:p w14:paraId="5122803D" w14:textId="77777777" w:rsidR="00C06A7D" w:rsidRPr="009F57A3" w:rsidRDefault="00C06A7D" w:rsidP="00C06A7D">
      <w:pPr>
        <w:pStyle w:val="Heading3"/>
      </w:pPr>
      <w:r>
        <w:t>4</w:t>
      </w:r>
      <w:r w:rsidR="000D56F9">
        <w:t>.4</w:t>
      </w:r>
      <w:r w:rsidRPr="009F57A3">
        <w:t>.1</w:t>
      </w:r>
      <w:r w:rsidR="007D2940">
        <w:tab/>
      </w:r>
      <w:r w:rsidR="002F5B02">
        <w:t>An e</w:t>
      </w:r>
      <w:r w:rsidR="0007553B">
        <w:t>xample of corrective controls</w:t>
      </w:r>
    </w:p>
    <w:tbl>
      <w:tblPr>
        <w:tblStyle w:val="TableGrid"/>
        <w:tblW w:w="0" w:type="auto"/>
        <w:tblInd w:w="57" w:type="dxa"/>
        <w:tblLayout w:type="fixed"/>
        <w:tblLook w:val="04A0" w:firstRow="1" w:lastRow="0" w:firstColumn="1" w:lastColumn="0" w:noHBand="0" w:noVBand="1"/>
        <w:tblDescription w:val="table containing sequence number and policy information"/>
      </w:tblPr>
      <w:tblGrid>
        <w:gridCol w:w="1214"/>
        <w:gridCol w:w="7229"/>
      </w:tblGrid>
      <w:tr w:rsidR="00F2068D" w:rsidRPr="00070DAC" w14:paraId="33C56665" w14:textId="77777777" w:rsidTr="008E0BBC">
        <w:trPr>
          <w:trHeight w:val="513"/>
          <w:tblHeader/>
        </w:trPr>
        <w:tc>
          <w:tcPr>
            <w:tcW w:w="1214" w:type="dxa"/>
          </w:tcPr>
          <w:p w14:paraId="7C6097A6" w14:textId="77777777" w:rsidR="00F2068D" w:rsidRPr="008614F7" w:rsidRDefault="00F2068D" w:rsidP="004D4480">
            <w:pPr>
              <w:rPr>
                <w:b/>
                <w:sz w:val="18"/>
              </w:rPr>
            </w:pPr>
            <w:r w:rsidRPr="008614F7">
              <w:rPr>
                <w:b/>
                <w:sz w:val="18"/>
              </w:rPr>
              <w:t>Sequence Number</w:t>
            </w:r>
          </w:p>
        </w:tc>
        <w:tc>
          <w:tcPr>
            <w:tcW w:w="7229" w:type="dxa"/>
          </w:tcPr>
          <w:p w14:paraId="20A6A2EF" w14:textId="77777777" w:rsidR="00F2068D" w:rsidRPr="008614F7" w:rsidRDefault="00F2068D" w:rsidP="004D4480">
            <w:pPr>
              <w:rPr>
                <w:b/>
                <w:sz w:val="18"/>
              </w:rPr>
            </w:pPr>
            <w:r w:rsidRPr="008614F7">
              <w:rPr>
                <w:b/>
                <w:sz w:val="18"/>
              </w:rPr>
              <w:t>Information</w:t>
            </w:r>
          </w:p>
        </w:tc>
      </w:tr>
    </w:tbl>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214"/>
        <w:gridCol w:w="7229"/>
        <w:gridCol w:w="851"/>
      </w:tblGrid>
      <w:tr w:rsidR="008E0BBC" w:rsidRPr="0091756B" w14:paraId="754D57BC" w14:textId="605FF91C" w:rsidTr="008E0BBC">
        <w:trPr>
          <w:trHeight w:val="567"/>
        </w:trPr>
        <w:tc>
          <w:tcPr>
            <w:tcW w:w="1214" w:type="dxa"/>
            <w:tcBorders>
              <w:bottom w:val="single" w:sz="4" w:space="0" w:color="auto"/>
            </w:tcBorders>
            <w:shd w:val="clear" w:color="auto" w:fill="FFFFFF" w:themeFill="background1"/>
          </w:tcPr>
          <w:p w14:paraId="339E9202" w14:textId="77777777" w:rsidR="008E0BBC" w:rsidRPr="0091756B" w:rsidRDefault="008E0BBC" w:rsidP="002434E4">
            <w:r>
              <w:t>4.4</w:t>
            </w:r>
            <w:r w:rsidRPr="0091756B">
              <w:t>.1.1</w:t>
            </w:r>
          </w:p>
        </w:tc>
        <w:tc>
          <w:tcPr>
            <w:tcW w:w="7229" w:type="dxa"/>
            <w:tcBorders>
              <w:bottom w:val="single" w:sz="4" w:space="0" w:color="auto"/>
            </w:tcBorders>
            <w:shd w:val="clear" w:color="auto" w:fill="auto"/>
          </w:tcPr>
          <w:p w14:paraId="65541524" w14:textId="77777777" w:rsidR="008E0BBC" w:rsidRPr="0091756B" w:rsidRDefault="008E0BBC" w:rsidP="002434E4">
            <w:r w:rsidRPr="00AF0667">
              <w:rPr>
                <w:b/>
                <w:i/>
              </w:rPr>
              <w:t>Data backups</w:t>
            </w:r>
            <w:r>
              <w:rPr>
                <w:b/>
                <w:i/>
              </w:rPr>
              <w:t xml:space="preserve"> on U drive</w:t>
            </w:r>
            <w:r>
              <w:t xml:space="preserve"> – A functioning system can be restored from data backups in the event of a crash or if corrupted or invalid data is identified. As U drive is automatically backed up on a daily basis, schools must ensure they keep all relevant information on this drive.</w:t>
            </w:r>
          </w:p>
        </w:tc>
        <w:tc>
          <w:tcPr>
            <w:tcW w:w="851" w:type="dxa"/>
            <w:tcBorders>
              <w:bottom w:val="single" w:sz="4" w:space="0" w:color="auto"/>
            </w:tcBorders>
          </w:tcPr>
          <w:p w14:paraId="5CE4A3C7" w14:textId="77777777" w:rsidR="008E0BBC" w:rsidRPr="00AF0667" w:rsidRDefault="008E0BBC" w:rsidP="002434E4">
            <w:pPr>
              <w:rPr>
                <w:b/>
                <w:i/>
              </w:rPr>
            </w:pPr>
          </w:p>
        </w:tc>
      </w:tr>
    </w:tbl>
    <w:p w14:paraId="24B8B1A8" w14:textId="77777777" w:rsidR="0051778F" w:rsidRPr="00AD3210" w:rsidRDefault="0051778F" w:rsidP="003D4CFE">
      <w:pPr>
        <w:pStyle w:val="Heading2"/>
      </w:pPr>
      <w:r w:rsidRPr="00AD3210">
        <w:t>Legislative</w:t>
      </w:r>
      <w:r w:rsidR="003D4CFE">
        <w:t xml:space="preserve"> </w:t>
      </w:r>
      <w:r w:rsidRPr="00AD3210">
        <w:t>requirements</w:t>
      </w:r>
    </w:p>
    <w:p w14:paraId="5C844ED9" w14:textId="77777777" w:rsidR="0051778F" w:rsidRPr="00AD3210" w:rsidRDefault="0051778F" w:rsidP="003D4CFE">
      <w:pPr>
        <w:pStyle w:val="Heading3"/>
      </w:pPr>
      <w:r w:rsidRPr="00AD3210">
        <w:t>Legislation</w:t>
      </w:r>
    </w:p>
    <w:p w14:paraId="5AD1CC59" w14:textId="77777777" w:rsidR="0051778F" w:rsidRPr="00AD3210" w:rsidRDefault="0051778F" w:rsidP="002434E4">
      <w:r w:rsidRPr="00AD3210">
        <w:t>The</w:t>
      </w:r>
      <w:r w:rsidR="003D4CFE">
        <w:t xml:space="preserve"> </w:t>
      </w:r>
      <w:r w:rsidRPr="00AD3210">
        <w:t>advice</w:t>
      </w:r>
      <w:r w:rsidR="003D4CFE">
        <w:t xml:space="preserve"> </w:t>
      </w:r>
      <w:r w:rsidRPr="00AD3210">
        <w:t>in</w:t>
      </w:r>
      <w:r w:rsidR="003D4CFE">
        <w:t xml:space="preserve"> </w:t>
      </w:r>
      <w:r w:rsidRPr="00AD3210">
        <w:t>this</w:t>
      </w:r>
      <w:r w:rsidR="003D4CFE">
        <w:t xml:space="preserve"> </w:t>
      </w:r>
      <w:r w:rsidRPr="00AD3210">
        <w:t>section</w:t>
      </w:r>
      <w:r w:rsidR="003D4CFE">
        <w:t xml:space="preserve"> </w:t>
      </w:r>
      <w:r w:rsidRPr="00AD3210">
        <w:t>was</w:t>
      </w:r>
      <w:r w:rsidR="003D4CFE">
        <w:t xml:space="preserve"> </w:t>
      </w:r>
      <w:r w:rsidRPr="00AD3210">
        <w:t>based</w:t>
      </w:r>
      <w:r w:rsidR="003D4CFE">
        <w:t xml:space="preserve"> </w:t>
      </w:r>
      <w:r w:rsidRPr="00AD3210">
        <w:t>on</w:t>
      </w:r>
      <w:r w:rsidR="003D4CFE">
        <w:t xml:space="preserve"> </w:t>
      </w:r>
      <w:r w:rsidRPr="00AD3210">
        <w:t>requirements</w:t>
      </w:r>
      <w:r w:rsidR="003D4CFE">
        <w:t xml:space="preserve"> </w:t>
      </w:r>
      <w:r w:rsidRPr="00AD3210">
        <w:t>outlined</w:t>
      </w:r>
      <w:r w:rsidR="003D4CFE">
        <w:t xml:space="preserve"> </w:t>
      </w:r>
      <w:r w:rsidRPr="00AD3210">
        <w:t>in</w:t>
      </w:r>
      <w:r w:rsidR="003D4CFE">
        <w:t xml:space="preserve"> </w:t>
      </w:r>
      <w:r w:rsidRPr="00AD3210">
        <w:t>the</w:t>
      </w:r>
      <w:r w:rsidR="003D4CFE">
        <w:t xml:space="preserve"> </w:t>
      </w:r>
      <w:r w:rsidRPr="00AD3210">
        <w:t>following</w:t>
      </w:r>
      <w:r w:rsidR="003D4CFE">
        <w:t xml:space="preserve"> </w:t>
      </w:r>
      <w:r w:rsidRPr="00AD3210">
        <w:t>legislation:</w:t>
      </w:r>
    </w:p>
    <w:p w14:paraId="3D99534A" w14:textId="77777777" w:rsidR="007D2940" w:rsidRPr="00AD3210" w:rsidRDefault="007D2940" w:rsidP="007D2940">
      <w:pPr>
        <w:pStyle w:val="ListBullet"/>
      </w:pPr>
      <w:r>
        <w:t>Constituting Order of School Council.</w:t>
      </w:r>
    </w:p>
    <w:p w14:paraId="3E1D195F" w14:textId="77777777" w:rsidR="0051778F" w:rsidRPr="00AD3210" w:rsidRDefault="0051778F" w:rsidP="003D4CFE">
      <w:pPr>
        <w:pStyle w:val="ListBullet"/>
      </w:pPr>
      <w:r w:rsidRPr="0034630B">
        <w:rPr>
          <w:i/>
        </w:rPr>
        <w:t>Education</w:t>
      </w:r>
      <w:r w:rsidR="003D4CFE" w:rsidRPr="0034630B">
        <w:rPr>
          <w:i/>
        </w:rPr>
        <w:t xml:space="preserve"> </w:t>
      </w:r>
      <w:r w:rsidRPr="0034630B">
        <w:rPr>
          <w:i/>
        </w:rPr>
        <w:t>and</w:t>
      </w:r>
      <w:r w:rsidR="003D4CFE" w:rsidRPr="0034630B">
        <w:rPr>
          <w:i/>
        </w:rPr>
        <w:t xml:space="preserve"> </w:t>
      </w:r>
      <w:r w:rsidRPr="0034630B">
        <w:rPr>
          <w:i/>
        </w:rPr>
        <w:t>Training</w:t>
      </w:r>
      <w:r w:rsidR="003D4CFE" w:rsidRPr="0034630B">
        <w:rPr>
          <w:i/>
        </w:rPr>
        <w:t xml:space="preserve"> </w:t>
      </w:r>
      <w:r w:rsidRPr="0034630B">
        <w:rPr>
          <w:i/>
        </w:rPr>
        <w:t>Reform</w:t>
      </w:r>
      <w:r w:rsidR="003D4CFE" w:rsidRPr="0034630B">
        <w:rPr>
          <w:i/>
        </w:rPr>
        <w:t xml:space="preserve"> </w:t>
      </w:r>
      <w:r w:rsidRPr="0034630B">
        <w:rPr>
          <w:i/>
        </w:rPr>
        <w:t>Act</w:t>
      </w:r>
      <w:r w:rsidR="003D4CFE" w:rsidRPr="0034630B">
        <w:rPr>
          <w:i/>
        </w:rPr>
        <w:t xml:space="preserve"> </w:t>
      </w:r>
      <w:r w:rsidRPr="0034630B">
        <w:rPr>
          <w:i/>
        </w:rPr>
        <w:t>2006</w:t>
      </w:r>
      <w:r w:rsidR="003D4CFE">
        <w:t xml:space="preserve"> </w:t>
      </w:r>
      <w:r w:rsidRPr="00AD3210">
        <w:t>–</w:t>
      </w:r>
      <w:r w:rsidR="003D4CFE">
        <w:t xml:space="preserve"> </w:t>
      </w:r>
      <w:r w:rsidR="00CE1579" w:rsidRPr="00AD3210">
        <w:t>Part</w:t>
      </w:r>
      <w:r w:rsidR="003D4CFE">
        <w:t xml:space="preserve"> </w:t>
      </w:r>
      <w:r w:rsidR="00CE1579" w:rsidRPr="00AD3210">
        <w:t>2.3</w:t>
      </w:r>
      <w:r w:rsidR="003D4CFE">
        <w:t xml:space="preserve"> </w:t>
      </w:r>
      <w:r w:rsidR="00CE1579" w:rsidRPr="00AD3210">
        <w:t>–</w:t>
      </w:r>
      <w:r w:rsidR="003D4CFE">
        <w:t xml:space="preserve"> </w:t>
      </w:r>
      <w:r w:rsidR="00CE1579" w:rsidRPr="00AD3210">
        <w:t>Government</w:t>
      </w:r>
      <w:r w:rsidR="003D4CFE">
        <w:t xml:space="preserve"> </w:t>
      </w:r>
      <w:r w:rsidR="00CE1579" w:rsidRPr="00AD3210">
        <w:t>School</w:t>
      </w:r>
      <w:r w:rsidR="003D4CFE">
        <w:t xml:space="preserve"> </w:t>
      </w:r>
      <w:r w:rsidR="00CE1579" w:rsidRPr="00AD3210">
        <w:t>Councils</w:t>
      </w:r>
      <w:r w:rsidR="002F5B02">
        <w:t>.</w:t>
      </w:r>
      <w:r w:rsidR="003D4CFE">
        <w:t xml:space="preserve"> </w:t>
      </w:r>
    </w:p>
    <w:p w14:paraId="7D632308" w14:textId="77777777" w:rsidR="0051778F" w:rsidRPr="00AD3210" w:rsidRDefault="00697E89" w:rsidP="00697E89">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r w:rsidR="002F5B02">
        <w:t>.</w:t>
      </w:r>
    </w:p>
    <w:p w14:paraId="5F43DBB9" w14:textId="4D4739D8" w:rsidR="0051778F" w:rsidRPr="00AD3210" w:rsidRDefault="0051778F" w:rsidP="003D4CFE">
      <w:pPr>
        <w:pStyle w:val="ListBullet"/>
      </w:pPr>
      <w:r w:rsidRPr="00AD3210">
        <w:t>Standing</w:t>
      </w:r>
      <w:r w:rsidR="003D4CFE">
        <w:t xml:space="preserve"> </w:t>
      </w:r>
      <w:r w:rsidRPr="00AD3210">
        <w:t>Directions</w:t>
      </w:r>
      <w:r w:rsidR="003D4CFE">
        <w:t xml:space="preserve"> </w:t>
      </w:r>
      <w:r w:rsidRPr="00AD3210">
        <w:t>of</w:t>
      </w:r>
      <w:r w:rsidR="003D4CFE">
        <w:t xml:space="preserve"> </w:t>
      </w:r>
      <w:r w:rsidRPr="00AD3210">
        <w:t>the</w:t>
      </w:r>
      <w:r w:rsidR="003D4CFE">
        <w:t xml:space="preserve"> </w:t>
      </w:r>
      <w:r w:rsidRPr="00AD3210">
        <w:t>Minister</w:t>
      </w:r>
      <w:r w:rsidR="003D4CFE">
        <w:t xml:space="preserve"> </w:t>
      </w:r>
      <w:r w:rsidRPr="00AD3210">
        <w:t>of</w:t>
      </w:r>
      <w:r w:rsidR="003D4CFE">
        <w:t xml:space="preserve"> </w:t>
      </w:r>
      <w:r w:rsidRPr="00AD3210">
        <w:t>Finance</w:t>
      </w:r>
      <w:r w:rsidR="003D4CFE">
        <w:t xml:space="preserve"> </w:t>
      </w:r>
      <w:r w:rsidR="00C01384">
        <w:t>2018</w:t>
      </w:r>
      <w:r w:rsidR="003D4CFE">
        <w:t xml:space="preserve"> </w:t>
      </w:r>
      <w:r w:rsidR="00853971">
        <w:t xml:space="preserve">under the </w:t>
      </w:r>
      <w:r w:rsidR="00853971" w:rsidRPr="00853971">
        <w:rPr>
          <w:i/>
        </w:rPr>
        <w:t xml:space="preserve">Financial Management Act 1994 </w:t>
      </w:r>
      <w:r w:rsidR="00096CA9" w:rsidRPr="00AD3210">
        <w:t>–</w:t>
      </w:r>
      <w:r w:rsidR="003D4CFE">
        <w:t xml:space="preserve"> </w:t>
      </w:r>
      <w:r w:rsidR="00096CA9" w:rsidRPr="00AD3210">
        <w:t>Section</w:t>
      </w:r>
      <w:r w:rsidR="003D4CFE">
        <w:t xml:space="preserve"> </w:t>
      </w:r>
      <w:r w:rsidR="008E21FC">
        <w:t>3.4 Internal Control Systems</w:t>
      </w:r>
      <w:r w:rsidR="002F5B02">
        <w:t>.</w:t>
      </w:r>
    </w:p>
    <w:p w14:paraId="49511EC0" w14:textId="77777777" w:rsidR="0058443C" w:rsidRPr="00AD3210" w:rsidRDefault="0058443C" w:rsidP="002434E4"/>
    <w:p w14:paraId="48157DB9" w14:textId="77777777" w:rsidR="0051778F" w:rsidRPr="00AD3210" w:rsidRDefault="0051778F" w:rsidP="003D4CFE">
      <w:pPr>
        <w:pStyle w:val="Heading2"/>
      </w:pPr>
      <w:r w:rsidRPr="00AD3210">
        <w:t>Definitions</w:t>
      </w:r>
      <w:r w:rsidR="003D4CFE">
        <w:t xml:space="preserve"> </w:t>
      </w:r>
    </w:p>
    <w:tbl>
      <w:tblPr>
        <w:tblW w:w="0" w:type="auto"/>
        <w:tblInd w:w="57" w:type="dxa"/>
        <w:tblLook w:val="04A0" w:firstRow="1" w:lastRow="0" w:firstColumn="1" w:lastColumn="0" w:noHBand="0" w:noVBand="1"/>
      </w:tblPr>
      <w:tblGrid>
        <w:gridCol w:w="1981"/>
        <w:gridCol w:w="7026"/>
      </w:tblGrid>
      <w:tr w:rsidR="0051778F" w:rsidRPr="003D4CFE" w14:paraId="641EEA42" w14:textId="77777777" w:rsidTr="002E640B">
        <w:trPr>
          <w:trHeight w:val="609"/>
        </w:trPr>
        <w:tc>
          <w:tcPr>
            <w:tcW w:w="1981" w:type="dxa"/>
            <w:shd w:val="clear" w:color="auto" w:fill="auto"/>
          </w:tcPr>
          <w:p w14:paraId="7B84F11A" w14:textId="77777777" w:rsidR="0051778F" w:rsidRPr="002E640B" w:rsidRDefault="005A1BE0" w:rsidP="002434E4">
            <w:pPr>
              <w:rPr>
                <w:b/>
              </w:rPr>
            </w:pPr>
            <w:r w:rsidRPr="002E640B">
              <w:rPr>
                <w:b/>
              </w:rPr>
              <w:t>Bank</w:t>
            </w:r>
            <w:r w:rsidR="003D4CFE" w:rsidRPr="002E640B">
              <w:rPr>
                <w:b/>
              </w:rPr>
              <w:t xml:space="preserve"> </w:t>
            </w:r>
            <w:r w:rsidRPr="002E640B">
              <w:rPr>
                <w:b/>
              </w:rPr>
              <w:t>reconciliation</w:t>
            </w:r>
          </w:p>
        </w:tc>
        <w:tc>
          <w:tcPr>
            <w:tcW w:w="7026" w:type="dxa"/>
            <w:shd w:val="clear" w:color="auto" w:fill="auto"/>
          </w:tcPr>
          <w:p w14:paraId="36227CEA" w14:textId="77777777" w:rsidR="0051778F" w:rsidRPr="003D4CFE" w:rsidRDefault="005A1BE0" w:rsidP="00853971">
            <w:r w:rsidRPr="003D4CFE">
              <w:t>Process</w:t>
            </w:r>
            <w:r w:rsidR="003D4CFE" w:rsidRPr="003D4CFE">
              <w:t xml:space="preserve"> </w:t>
            </w:r>
            <w:r w:rsidRPr="003D4CFE">
              <w:t>whereby</w:t>
            </w:r>
            <w:r w:rsidR="003D4CFE" w:rsidRPr="003D4CFE">
              <w:t xml:space="preserve"> </w:t>
            </w:r>
            <w:r w:rsidRPr="003D4CFE">
              <w:t>differences</w:t>
            </w:r>
            <w:r w:rsidR="003D4CFE" w:rsidRPr="003D4CFE">
              <w:t xml:space="preserve"> </w:t>
            </w:r>
            <w:r w:rsidRPr="003D4CFE">
              <w:t>between</w:t>
            </w:r>
            <w:r w:rsidR="003D4CFE" w:rsidRPr="003D4CFE">
              <w:t xml:space="preserve"> </w:t>
            </w:r>
            <w:r w:rsidRPr="003D4CFE">
              <w:t>bank</w:t>
            </w:r>
            <w:r w:rsidR="003D4CFE" w:rsidRPr="003D4CFE">
              <w:t xml:space="preserve"> </w:t>
            </w:r>
            <w:r w:rsidRPr="003D4CFE">
              <w:t>account</w:t>
            </w:r>
            <w:r w:rsidR="003D4CFE" w:rsidRPr="003D4CFE">
              <w:t xml:space="preserve"> </w:t>
            </w:r>
            <w:r w:rsidRPr="003D4CFE">
              <w:t>balances</w:t>
            </w:r>
            <w:r w:rsidR="003D4CFE" w:rsidRPr="003D4CFE">
              <w:t xml:space="preserve"> </w:t>
            </w:r>
            <w:r w:rsidRPr="003D4CFE">
              <w:t>reported</w:t>
            </w:r>
            <w:r w:rsidR="003D4CFE" w:rsidRPr="003D4CFE">
              <w:t xml:space="preserve"> </w:t>
            </w:r>
            <w:r w:rsidRPr="003D4CFE">
              <w:t>on</w:t>
            </w:r>
            <w:r w:rsidR="003D4CFE" w:rsidRPr="003D4CFE">
              <w:t xml:space="preserve"> </w:t>
            </w:r>
            <w:r w:rsidRPr="003D4CFE">
              <w:t>the</w:t>
            </w:r>
            <w:r w:rsidR="003D4CFE" w:rsidRPr="003D4CFE">
              <w:t xml:space="preserve"> </w:t>
            </w:r>
            <w:r w:rsidRPr="003D4CFE">
              <w:t>bank</w:t>
            </w:r>
            <w:r w:rsidR="003D4CFE" w:rsidRPr="003D4CFE">
              <w:t xml:space="preserve"> </w:t>
            </w:r>
            <w:r w:rsidRPr="003D4CFE">
              <w:t>statement</w:t>
            </w:r>
            <w:r w:rsidR="003D4CFE" w:rsidRPr="003D4CFE">
              <w:t xml:space="preserve"> </w:t>
            </w:r>
            <w:r w:rsidRPr="003D4CFE">
              <w:t>and</w:t>
            </w:r>
            <w:r w:rsidR="003D4CFE" w:rsidRPr="003D4CFE">
              <w:t xml:space="preserve"> </w:t>
            </w:r>
            <w:r w:rsidRPr="003D4CFE">
              <w:t>bank</w:t>
            </w:r>
            <w:r w:rsidR="003D4CFE" w:rsidRPr="003D4CFE">
              <w:t xml:space="preserve"> </w:t>
            </w:r>
            <w:r w:rsidRPr="003D4CFE">
              <w:t>account</w:t>
            </w:r>
            <w:r w:rsidR="003D4CFE" w:rsidRPr="003D4CFE">
              <w:t xml:space="preserve"> </w:t>
            </w:r>
            <w:r w:rsidRPr="003D4CFE">
              <w:t>balances</w:t>
            </w:r>
            <w:r w:rsidR="003D4CFE" w:rsidRPr="003D4CFE">
              <w:t xml:space="preserve"> </w:t>
            </w:r>
            <w:r w:rsidRPr="003D4CFE">
              <w:t>reported</w:t>
            </w:r>
            <w:r w:rsidR="003D4CFE" w:rsidRPr="003D4CFE">
              <w:t xml:space="preserve"> </w:t>
            </w:r>
            <w:r w:rsidR="00853971">
              <w:t>in</w:t>
            </w:r>
            <w:r w:rsidR="003D4CFE" w:rsidRPr="003D4CFE">
              <w:t xml:space="preserve"> </w:t>
            </w:r>
            <w:r w:rsidRPr="003D4CFE">
              <w:t>CASES21</w:t>
            </w:r>
            <w:r w:rsidR="003D4CFE" w:rsidRPr="003D4CFE">
              <w:t xml:space="preserve"> </w:t>
            </w:r>
            <w:r w:rsidRPr="003D4CFE">
              <w:t>are</w:t>
            </w:r>
            <w:r w:rsidR="003D4CFE" w:rsidRPr="003D4CFE">
              <w:t xml:space="preserve"> </w:t>
            </w:r>
            <w:r w:rsidRPr="003D4CFE">
              <w:t>identified</w:t>
            </w:r>
            <w:r w:rsidR="003D4CFE" w:rsidRPr="003D4CFE">
              <w:t xml:space="preserve"> </w:t>
            </w:r>
            <w:r w:rsidRPr="003D4CFE">
              <w:t>and</w:t>
            </w:r>
            <w:r w:rsidR="003D4CFE" w:rsidRPr="003D4CFE">
              <w:t xml:space="preserve"> </w:t>
            </w:r>
            <w:r w:rsidRPr="003D4CFE">
              <w:t>explained.</w:t>
            </w:r>
          </w:p>
        </w:tc>
      </w:tr>
      <w:tr w:rsidR="0051778F" w:rsidRPr="003D4CFE" w14:paraId="7267F3C5" w14:textId="77777777" w:rsidTr="00C53F6E">
        <w:trPr>
          <w:trHeight w:val="785"/>
        </w:trPr>
        <w:tc>
          <w:tcPr>
            <w:tcW w:w="1981" w:type="dxa"/>
            <w:shd w:val="clear" w:color="auto" w:fill="F2F2F2" w:themeFill="background1" w:themeFillShade="F2"/>
          </w:tcPr>
          <w:p w14:paraId="110DCA3C" w14:textId="77777777" w:rsidR="0051778F" w:rsidRPr="002E640B" w:rsidRDefault="00FD7308" w:rsidP="002434E4">
            <w:pPr>
              <w:rPr>
                <w:b/>
              </w:rPr>
            </w:pPr>
            <w:r w:rsidRPr="002E640B">
              <w:rPr>
                <w:b/>
              </w:rPr>
              <w:t>CASES21</w:t>
            </w:r>
          </w:p>
        </w:tc>
        <w:tc>
          <w:tcPr>
            <w:tcW w:w="7026" w:type="dxa"/>
            <w:shd w:val="clear" w:color="auto" w:fill="F2F2F2" w:themeFill="background1" w:themeFillShade="F2"/>
          </w:tcPr>
          <w:p w14:paraId="5914149F" w14:textId="77777777" w:rsidR="0051778F" w:rsidRPr="003D4CFE" w:rsidRDefault="00285C5D" w:rsidP="00C53F6E">
            <w:r w:rsidRPr="00E77398">
              <w:t>CASES21 (Computerised Administrative System Environment in Schools</w:t>
            </w:r>
            <w:r>
              <w:t>)</w:t>
            </w:r>
            <w:r w:rsidRPr="00E77398">
              <w:t xml:space="preserve"> is the </w:t>
            </w:r>
            <w:r>
              <w:t xml:space="preserve">software </w:t>
            </w:r>
            <w:r w:rsidRPr="00E77398">
              <w:t>package provided to Victorian Government Schools to support school administration, finance and central reporting.</w:t>
            </w:r>
          </w:p>
        </w:tc>
      </w:tr>
      <w:tr w:rsidR="0051778F" w:rsidRPr="003D4CFE" w14:paraId="008B395D" w14:textId="77777777" w:rsidTr="002E640B">
        <w:tc>
          <w:tcPr>
            <w:tcW w:w="1981" w:type="dxa"/>
            <w:shd w:val="clear" w:color="auto" w:fill="auto"/>
          </w:tcPr>
          <w:p w14:paraId="18FFCEDF" w14:textId="77777777" w:rsidR="0051778F" w:rsidRPr="002E640B" w:rsidRDefault="00742628" w:rsidP="002434E4">
            <w:pPr>
              <w:rPr>
                <w:b/>
              </w:rPr>
            </w:pPr>
            <w:r w:rsidRPr="002E640B">
              <w:rPr>
                <w:b/>
              </w:rPr>
              <w:t>Negotiated terms</w:t>
            </w:r>
          </w:p>
        </w:tc>
        <w:tc>
          <w:tcPr>
            <w:tcW w:w="7026" w:type="dxa"/>
            <w:shd w:val="clear" w:color="auto" w:fill="auto"/>
          </w:tcPr>
          <w:p w14:paraId="28AFEFB2" w14:textId="77777777" w:rsidR="0051778F" w:rsidRPr="003D4CFE" w:rsidRDefault="00742628" w:rsidP="002434E4">
            <w:r>
              <w:t>Terms of payment negotiated with suppliers.</w:t>
            </w:r>
          </w:p>
        </w:tc>
      </w:tr>
      <w:tr w:rsidR="002E640B" w:rsidRPr="003D4CFE" w14:paraId="014367AD" w14:textId="77777777" w:rsidTr="00C53F6E">
        <w:tc>
          <w:tcPr>
            <w:tcW w:w="1981" w:type="dxa"/>
            <w:shd w:val="clear" w:color="auto" w:fill="F2F2F2" w:themeFill="background1" w:themeFillShade="F2"/>
          </w:tcPr>
          <w:p w14:paraId="78245303" w14:textId="77777777" w:rsidR="002E640B" w:rsidRPr="002E640B" w:rsidRDefault="002E640B" w:rsidP="002E640B">
            <w:pPr>
              <w:rPr>
                <w:b/>
              </w:rPr>
            </w:pPr>
            <w:r w:rsidRPr="002E640B">
              <w:rPr>
                <w:b/>
              </w:rPr>
              <w:t>School assets</w:t>
            </w:r>
          </w:p>
        </w:tc>
        <w:tc>
          <w:tcPr>
            <w:tcW w:w="7026" w:type="dxa"/>
            <w:shd w:val="clear" w:color="auto" w:fill="F2F2F2" w:themeFill="background1" w:themeFillShade="F2"/>
          </w:tcPr>
          <w:p w14:paraId="24919D11" w14:textId="77777777" w:rsidR="002E640B" w:rsidRDefault="002E640B" w:rsidP="002E640B">
            <w:r w:rsidRPr="007B7235">
              <w:t>Resources available to the school including equipment, data and cash.</w:t>
            </w:r>
          </w:p>
        </w:tc>
      </w:tr>
      <w:tr w:rsidR="00742628" w:rsidRPr="003D4CFE" w14:paraId="784EDE4E" w14:textId="77777777" w:rsidTr="002E640B">
        <w:tc>
          <w:tcPr>
            <w:tcW w:w="1981" w:type="dxa"/>
            <w:shd w:val="clear" w:color="auto" w:fill="auto"/>
          </w:tcPr>
          <w:p w14:paraId="11ED0ACD" w14:textId="77777777" w:rsidR="00742628" w:rsidRPr="002E640B" w:rsidRDefault="00742628" w:rsidP="002434E4">
            <w:pPr>
              <w:rPr>
                <w:b/>
              </w:rPr>
            </w:pPr>
            <w:r w:rsidRPr="002E640B">
              <w:rPr>
                <w:b/>
              </w:rPr>
              <w:t>Security tokens</w:t>
            </w:r>
          </w:p>
        </w:tc>
        <w:tc>
          <w:tcPr>
            <w:tcW w:w="7026" w:type="dxa"/>
            <w:shd w:val="clear" w:color="auto" w:fill="auto"/>
          </w:tcPr>
          <w:p w14:paraId="4DC421BB" w14:textId="77777777" w:rsidR="00742628" w:rsidRDefault="00742628" w:rsidP="002434E4">
            <w:r>
              <w:t>Device that works in conjunction with a password to provide an additional level of security. Often used with online banking packages.</w:t>
            </w:r>
          </w:p>
        </w:tc>
      </w:tr>
    </w:tbl>
    <w:p w14:paraId="6F1A1D28" w14:textId="77777777" w:rsidR="0051778F" w:rsidRPr="00AD3210" w:rsidRDefault="0051778F" w:rsidP="0091756B">
      <w:pPr>
        <w:pStyle w:val="Heading2"/>
      </w:pPr>
      <w:r w:rsidRPr="00AD3210">
        <w:lastRenderedPageBreak/>
        <w:t>Additional</w:t>
      </w:r>
      <w:r w:rsidR="003D4CFE">
        <w:t xml:space="preserve"> </w:t>
      </w:r>
      <w:r w:rsidR="00DA4683">
        <w:t>r</w:t>
      </w:r>
      <w:r w:rsidRPr="00AD3210">
        <w:t>esources</w:t>
      </w:r>
    </w:p>
    <w:p w14:paraId="36933D46" w14:textId="2BD4915C" w:rsidR="0040276E" w:rsidRDefault="00817539" w:rsidP="00611B42">
      <w:pPr>
        <w:pStyle w:val="ListBullet"/>
        <w:numPr>
          <w:ilvl w:val="0"/>
          <w:numId w:val="28"/>
        </w:numPr>
        <w:ind w:left="284"/>
      </w:pPr>
      <w:hyperlink r:id="rId12" w:history="1">
        <w:r w:rsidR="00727502" w:rsidRPr="0040276E">
          <w:rPr>
            <w:rStyle w:val="Hyperlink"/>
          </w:rPr>
          <w:t>Internal Controls for Victorian Government Schools</w:t>
        </w:r>
      </w:hyperlink>
    </w:p>
    <w:p w14:paraId="45F96FF3" w14:textId="261FBD02" w:rsidR="002743F7" w:rsidRDefault="00817539" w:rsidP="00611B42">
      <w:pPr>
        <w:pStyle w:val="ListBullet"/>
        <w:numPr>
          <w:ilvl w:val="0"/>
          <w:numId w:val="28"/>
        </w:numPr>
        <w:ind w:left="284"/>
      </w:pPr>
      <w:hyperlink r:id="rId13" w:history="1">
        <w:r w:rsidR="005243D3" w:rsidRPr="0040276E">
          <w:rPr>
            <w:rStyle w:val="Hyperlink"/>
          </w:rPr>
          <w:t>School Policy and Advisory Guide</w:t>
        </w:r>
      </w:hyperlink>
      <w:r w:rsidR="005243D3" w:rsidRPr="0040276E">
        <w:t xml:space="preserve"> </w:t>
      </w:r>
      <w:r w:rsidR="005243D3" w:rsidRPr="0040276E">
        <w:br/>
      </w:r>
    </w:p>
    <w:p w14:paraId="77EAEC14" w14:textId="17992CB7" w:rsidR="00853971" w:rsidRDefault="00853971" w:rsidP="002434E4"/>
    <w:p w14:paraId="0A6FA405" w14:textId="77777777" w:rsidR="00853971" w:rsidRDefault="00853971" w:rsidP="002434E4"/>
    <w:p w14:paraId="77F404E4" w14:textId="77777777" w:rsidR="00853971" w:rsidRDefault="00853971" w:rsidP="002434E4"/>
    <w:p w14:paraId="676C9E0E" w14:textId="77777777" w:rsidR="00853971" w:rsidRDefault="00853971" w:rsidP="002434E4"/>
    <w:p w14:paraId="4CF86969" w14:textId="77777777" w:rsidR="00853971" w:rsidRDefault="00853971" w:rsidP="002434E4"/>
    <w:p w14:paraId="70F0B151" w14:textId="77777777" w:rsidR="00853971" w:rsidRDefault="00853971" w:rsidP="002434E4"/>
    <w:p w14:paraId="5CCF57E6" w14:textId="77777777" w:rsidR="00853971" w:rsidRDefault="00853971" w:rsidP="002434E4"/>
    <w:p w14:paraId="196C0CEA" w14:textId="77777777" w:rsidR="00853971" w:rsidRDefault="00853971" w:rsidP="002434E4"/>
    <w:p w14:paraId="6138383C" w14:textId="77777777" w:rsidR="00853971" w:rsidRDefault="00853971" w:rsidP="002434E4"/>
    <w:p w14:paraId="44D23DB9" w14:textId="77777777" w:rsidR="00853971" w:rsidRDefault="00853971" w:rsidP="002434E4"/>
    <w:p w14:paraId="5096B993" w14:textId="77777777" w:rsidR="00853971" w:rsidRDefault="00853971" w:rsidP="002434E4"/>
    <w:p w14:paraId="415A0E4D" w14:textId="77777777" w:rsidR="00853971" w:rsidRDefault="00853971" w:rsidP="002434E4"/>
    <w:p w14:paraId="36E367E8" w14:textId="77777777" w:rsidR="00853971" w:rsidRDefault="00853971" w:rsidP="002434E4"/>
    <w:p w14:paraId="4D15F125" w14:textId="77777777" w:rsidR="00853971" w:rsidRDefault="00853971" w:rsidP="002434E4"/>
    <w:p w14:paraId="5DD0E551" w14:textId="56C4480A" w:rsidR="00853971" w:rsidRDefault="00853971" w:rsidP="002434E4"/>
    <w:p w14:paraId="430C854B" w14:textId="44A20267" w:rsidR="007F2163" w:rsidRDefault="007F2163" w:rsidP="002434E4"/>
    <w:p w14:paraId="164304C2" w14:textId="47883AB2" w:rsidR="007F2163" w:rsidRDefault="007F2163" w:rsidP="002434E4"/>
    <w:p w14:paraId="50408FD0" w14:textId="77777777" w:rsidR="007F2163" w:rsidRDefault="007F2163" w:rsidP="002434E4"/>
    <w:p w14:paraId="06206F89" w14:textId="52631549" w:rsidR="00B7227D" w:rsidRDefault="00B7227D" w:rsidP="002434E4"/>
    <w:p w14:paraId="3E3482F6" w14:textId="66405166" w:rsidR="00B7227D" w:rsidRDefault="00B7227D" w:rsidP="002434E4"/>
    <w:p w14:paraId="5BB676FD" w14:textId="77777777" w:rsidR="00B7227D" w:rsidRDefault="00B7227D" w:rsidP="002434E4"/>
    <w:p w14:paraId="1C8628D2" w14:textId="77777777" w:rsidR="00853971" w:rsidRDefault="00853971" w:rsidP="002434E4"/>
    <w:p w14:paraId="518956F8" w14:textId="77777777" w:rsidR="00853971" w:rsidRDefault="00853971" w:rsidP="002434E4"/>
    <w:p w14:paraId="1CDA4B00" w14:textId="77777777" w:rsidR="00B44818" w:rsidRPr="00B44818" w:rsidRDefault="00C53F6E" w:rsidP="00B44818">
      <w:pPr>
        <w:pStyle w:val="Heading2"/>
      </w:pPr>
      <w:r>
        <w:t xml:space="preserve">Version and </w:t>
      </w:r>
      <w:r w:rsidR="00DA4683">
        <w:t>r</w:t>
      </w:r>
      <w:r w:rsidR="00B44818" w:rsidRPr="00B44818">
        <w:t xml:space="preserve">evision </w:t>
      </w:r>
      <w:r>
        <w:t xml:space="preserve">control </w:t>
      </w:r>
      <w:r w:rsidR="00B44818" w:rsidRPr="00B44818">
        <w:t>record</w:t>
      </w:r>
    </w:p>
    <w:tbl>
      <w:tblPr>
        <w:tblStyle w:val="GridTable6Colorful1"/>
        <w:tblW w:w="0" w:type="auto"/>
        <w:tblLook w:val="04A0" w:firstRow="1" w:lastRow="0" w:firstColumn="1" w:lastColumn="0" w:noHBand="0" w:noVBand="1"/>
        <w:tblDescription w:val="Version and revision control"/>
      </w:tblPr>
      <w:tblGrid>
        <w:gridCol w:w="1318"/>
        <w:gridCol w:w="1133"/>
        <w:gridCol w:w="4914"/>
        <w:gridCol w:w="1689"/>
      </w:tblGrid>
      <w:tr w:rsidR="0051778F" w:rsidRPr="00AD3210" w14:paraId="702AF6B9" w14:textId="77777777" w:rsidTr="006426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shd w:val="clear" w:color="auto" w:fill="F2F2F2" w:themeFill="background1" w:themeFillShade="F2"/>
          </w:tcPr>
          <w:p w14:paraId="7D7C0FD8" w14:textId="77777777" w:rsidR="0051778F" w:rsidRPr="00AD3210" w:rsidRDefault="0051778F" w:rsidP="002434E4">
            <w:r w:rsidRPr="00AD3210">
              <w:t>Date</w:t>
            </w:r>
          </w:p>
        </w:tc>
        <w:tc>
          <w:tcPr>
            <w:tcW w:w="1133" w:type="dxa"/>
            <w:tcBorders>
              <w:bottom w:val="single" w:sz="4" w:space="0" w:color="auto"/>
            </w:tcBorders>
            <w:shd w:val="clear" w:color="auto" w:fill="F2F2F2" w:themeFill="background1" w:themeFillShade="F2"/>
          </w:tcPr>
          <w:p w14:paraId="1B78D14D" w14:textId="77777777" w:rsidR="0051778F" w:rsidRPr="00AD3210" w:rsidRDefault="0051778F" w:rsidP="002434E4">
            <w:pPr>
              <w:cnfStyle w:val="100000000000" w:firstRow="1" w:lastRow="0" w:firstColumn="0" w:lastColumn="0" w:oddVBand="0" w:evenVBand="0" w:oddHBand="0" w:evenHBand="0" w:firstRowFirstColumn="0" w:firstRowLastColumn="0" w:lastRowFirstColumn="0" w:lastRowLastColumn="0"/>
            </w:pPr>
            <w:r w:rsidRPr="00AD3210">
              <w:t>Version</w:t>
            </w:r>
          </w:p>
        </w:tc>
        <w:tc>
          <w:tcPr>
            <w:tcW w:w="4914" w:type="dxa"/>
            <w:tcBorders>
              <w:bottom w:val="single" w:sz="4" w:space="0" w:color="auto"/>
            </w:tcBorders>
            <w:shd w:val="clear" w:color="auto" w:fill="F2F2F2" w:themeFill="background1" w:themeFillShade="F2"/>
          </w:tcPr>
          <w:p w14:paraId="050225F5" w14:textId="77777777" w:rsidR="0051778F" w:rsidRPr="00AD3210" w:rsidRDefault="0051778F" w:rsidP="002434E4">
            <w:pPr>
              <w:cnfStyle w:val="100000000000" w:firstRow="1" w:lastRow="0" w:firstColumn="0" w:lastColumn="0" w:oddVBand="0" w:evenVBand="0" w:oddHBand="0" w:evenHBand="0" w:firstRowFirstColumn="0" w:firstRowLastColumn="0" w:lastRowFirstColumn="0" w:lastRowLastColumn="0"/>
            </w:pPr>
            <w:r w:rsidRPr="00AD3210">
              <w:t>Approver</w:t>
            </w:r>
          </w:p>
        </w:tc>
        <w:tc>
          <w:tcPr>
            <w:tcW w:w="1689" w:type="dxa"/>
            <w:tcBorders>
              <w:bottom w:val="single" w:sz="4" w:space="0" w:color="auto"/>
            </w:tcBorders>
            <w:shd w:val="clear" w:color="auto" w:fill="F2F2F2" w:themeFill="background1" w:themeFillShade="F2"/>
          </w:tcPr>
          <w:p w14:paraId="3E76D736" w14:textId="77777777" w:rsidR="0051778F" w:rsidRPr="00AD3210" w:rsidRDefault="0051778F" w:rsidP="002434E4">
            <w:pPr>
              <w:cnfStyle w:val="100000000000" w:firstRow="1" w:lastRow="0" w:firstColumn="0" w:lastColumn="0" w:oddVBand="0" w:evenVBand="0" w:oddHBand="0" w:evenHBand="0" w:firstRowFirstColumn="0" w:firstRowLastColumn="0" w:lastRowFirstColumn="0" w:lastRowLastColumn="0"/>
            </w:pPr>
            <w:r w:rsidRPr="00AD3210">
              <w:t>Next</w:t>
            </w:r>
            <w:r w:rsidR="003D4CFE">
              <w:t xml:space="preserve"> </w:t>
            </w:r>
            <w:r w:rsidRPr="00AD3210">
              <w:t>Review</w:t>
            </w:r>
          </w:p>
        </w:tc>
      </w:tr>
      <w:tr w:rsidR="0051778F" w:rsidRPr="00AD3210" w14:paraId="7B0A9E73" w14:textId="77777777" w:rsidTr="00E40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auto"/>
          </w:tcPr>
          <w:p w14:paraId="3B481BAE" w14:textId="299BC2F3" w:rsidR="006B5AAD" w:rsidRPr="0034630B" w:rsidRDefault="00CB7219" w:rsidP="0072084B">
            <w:pPr>
              <w:rPr>
                <w:b w:val="0"/>
              </w:rPr>
            </w:pPr>
            <w:r>
              <w:rPr>
                <w:b w:val="0"/>
              </w:rPr>
              <w:t>0</w:t>
            </w:r>
            <w:r w:rsidR="0072084B">
              <w:rPr>
                <w:b w:val="0"/>
              </w:rPr>
              <w:t>1</w:t>
            </w:r>
            <w:r w:rsidR="00E56549">
              <w:rPr>
                <w:b w:val="0"/>
              </w:rPr>
              <w:t>/201</w:t>
            </w:r>
            <w:r w:rsidR="0072084B">
              <w:rPr>
                <w:b w:val="0"/>
              </w:rPr>
              <w:t>9</w:t>
            </w:r>
          </w:p>
        </w:tc>
        <w:tc>
          <w:tcPr>
            <w:tcW w:w="1133" w:type="dxa"/>
            <w:tcBorders>
              <w:top w:val="single" w:sz="4" w:space="0" w:color="auto"/>
              <w:bottom w:val="single" w:sz="4" w:space="0" w:color="auto"/>
            </w:tcBorders>
            <w:shd w:val="clear" w:color="auto" w:fill="auto"/>
          </w:tcPr>
          <w:p w14:paraId="585AC172" w14:textId="2E0D8ED5" w:rsidR="0051778F" w:rsidRPr="00AD3210" w:rsidRDefault="002A17DE" w:rsidP="002434E4">
            <w:pPr>
              <w:cnfStyle w:val="000000100000" w:firstRow="0" w:lastRow="0" w:firstColumn="0" w:lastColumn="0" w:oddVBand="0" w:evenVBand="0" w:oddHBand="1" w:evenHBand="0" w:firstRowFirstColumn="0" w:firstRowLastColumn="0" w:lastRowFirstColumn="0" w:lastRowLastColumn="0"/>
            </w:pPr>
            <w:r>
              <w:t>1.2</w:t>
            </w:r>
          </w:p>
        </w:tc>
        <w:tc>
          <w:tcPr>
            <w:tcW w:w="4914" w:type="dxa"/>
            <w:tcBorders>
              <w:top w:val="single" w:sz="4" w:space="0" w:color="auto"/>
              <w:bottom w:val="single" w:sz="4" w:space="0" w:color="auto"/>
            </w:tcBorders>
            <w:shd w:val="clear" w:color="auto" w:fill="auto"/>
          </w:tcPr>
          <w:p w14:paraId="2CBC0716" w14:textId="77777777" w:rsidR="0051778F" w:rsidRPr="00AD3210" w:rsidRDefault="0051778F" w:rsidP="002434E4">
            <w:pPr>
              <w:cnfStyle w:val="000000100000" w:firstRow="0" w:lastRow="0" w:firstColumn="0" w:lastColumn="0" w:oddVBand="0" w:evenVBand="0" w:oddHBand="1" w:evenHBand="0" w:firstRowFirstColumn="0" w:firstRowLastColumn="0" w:lastRowFirstColumn="0" w:lastRowLastColumn="0"/>
            </w:pPr>
            <w:r w:rsidRPr="00AD3210">
              <w:t>Chief</w:t>
            </w:r>
            <w:r w:rsidR="003D4CFE">
              <w:t xml:space="preserve"> </w:t>
            </w:r>
            <w:r w:rsidRPr="00AD3210">
              <w:t>Finance</w:t>
            </w:r>
            <w:r w:rsidR="003D4CFE">
              <w:t xml:space="preserve"> </w:t>
            </w:r>
            <w:r w:rsidRPr="00AD3210">
              <w:t>Officer</w:t>
            </w:r>
            <w:r w:rsidR="003D4CFE">
              <w:t xml:space="preserve"> </w:t>
            </w:r>
            <w:r w:rsidRPr="00AD3210">
              <w:t>-</w:t>
            </w:r>
            <w:r w:rsidR="003D4CFE">
              <w:t xml:space="preserve">  </w:t>
            </w:r>
            <w:r w:rsidRPr="00AD3210">
              <w:t>Financial</w:t>
            </w:r>
            <w:r w:rsidR="003D4CFE">
              <w:t xml:space="preserve"> </w:t>
            </w:r>
            <w:r w:rsidRPr="00AD3210">
              <w:t>Services</w:t>
            </w:r>
            <w:r w:rsidR="003D4CFE">
              <w:t xml:space="preserve"> </w:t>
            </w:r>
            <w:r w:rsidRPr="00AD3210">
              <w:t>Division</w:t>
            </w:r>
          </w:p>
        </w:tc>
        <w:tc>
          <w:tcPr>
            <w:tcW w:w="1689" w:type="dxa"/>
            <w:tcBorders>
              <w:top w:val="single" w:sz="4" w:space="0" w:color="auto"/>
              <w:bottom w:val="single" w:sz="4" w:space="0" w:color="auto"/>
              <w:right w:val="single" w:sz="4" w:space="0" w:color="auto"/>
            </w:tcBorders>
            <w:shd w:val="clear" w:color="auto" w:fill="auto"/>
          </w:tcPr>
          <w:p w14:paraId="44689435" w14:textId="6B042B88" w:rsidR="0051778F" w:rsidRPr="00AD3210" w:rsidRDefault="0072084B" w:rsidP="0072084B">
            <w:pPr>
              <w:cnfStyle w:val="000000100000" w:firstRow="0" w:lastRow="0" w:firstColumn="0" w:lastColumn="0" w:oddVBand="0" w:evenVBand="0" w:oddHBand="1" w:evenHBand="0" w:firstRowFirstColumn="0" w:firstRowLastColumn="0" w:lastRowFirstColumn="0" w:lastRowLastColumn="0"/>
            </w:pPr>
            <w:r>
              <w:t>01</w:t>
            </w:r>
            <w:r w:rsidR="00CB7219">
              <w:t>/</w:t>
            </w:r>
            <w:r w:rsidR="00E56549">
              <w:t>20</w:t>
            </w:r>
            <w:r>
              <w:t>20</w:t>
            </w:r>
          </w:p>
        </w:tc>
      </w:tr>
    </w:tbl>
    <w:p w14:paraId="616DA2E1" w14:textId="77777777" w:rsidR="0051778F" w:rsidRPr="00AD3210" w:rsidRDefault="0051778F" w:rsidP="00C41C36"/>
    <w:sectPr w:rsidR="0051778F" w:rsidRPr="00AD3210" w:rsidSect="00AD3210">
      <w:footerReference w:type="default" r:id="rId14"/>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5E39" w14:textId="77777777" w:rsidR="00F111D0" w:rsidRDefault="00F111D0" w:rsidP="008766A4">
      <w:r>
        <w:separator/>
      </w:r>
    </w:p>
  </w:endnote>
  <w:endnote w:type="continuationSeparator" w:id="0">
    <w:p w14:paraId="4885BDE8" w14:textId="77777777" w:rsidR="00F111D0" w:rsidRDefault="00F111D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6DCB" w14:textId="278EA959" w:rsidR="001E127D" w:rsidRDefault="001E127D">
    <w:pPr>
      <w:pStyle w:val="Footer"/>
    </w:pPr>
    <w:r w:rsidRPr="008A1405">
      <w:rPr>
        <w:noProof/>
        <w:lang w:eastAsia="en-AU"/>
      </w:rPr>
      <w:drawing>
        <wp:anchor distT="0" distB="0" distL="114300" distR="114300" simplePos="0" relativeHeight="251658240" behindDoc="1" locked="0" layoutInCell="1" allowOverlap="1" wp14:anchorId="4885DEC5" wp14:editId="72654A1E">
          <wp:simplePos x="0" y="0"/>
          <wp:positionH relativeFrom="margin">
            <wp:posOffset>0</wp:posOffset>
          </wp:positionH>
          <wp:positionV relativeFrom="page">
            <wp:posOffset>9847476</wp:posOffset>
          </wp:positionV>
          <wp:extent cx="6632496" cy="657225"/>
          <wp:effectExtent l="0" t="0" r="0" b="0"/>
          <wp:wrapNone/>
          <wp:docPr id="23" name="Picture 23" descr="Footer describing the document and th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32496" cy="657225"/>
                  </a:xfrm>
                  <a:prstGeom prst="rect">
                    <a:avLst/>
                  </a:prstGeom>
                </pic:spPr>
              </pic:pic>
            </a:graphicData>
          </a:graphic>
        </wp:anchor>
      </w:drawing>
    </w:r>
    <w:r w:rsidRPr="008A1405">
      <w:t xml:space="preserve">Section </w:t>
    </w:r>
    <w:r>
      <w:t>4</w:t>
    </w:r>
    <w:r w:rsidR="00663ED2">
      <w:t>:</w:t>
    </w:r>
    <w:r w:rsidRPr="008A1405">
      <w:t xml:space="preserve"> </w:t>
    </w:r>
    <w:r>
      <w:t>Internal Controls</w:t>
    </w:r>
    <w:r w:rsidRPr="008A1405">
      <w:t xml:space="preserve"> | </w:t>
    </w:r>
    <w:r w:rsidR="0072084B">
      <w:t>January</w:t>
    </w:r>
    <w:r w:rsidR="007F2163">
      <w:t xml:space="preserve"> </w:t>
    </w:r>
    <w:r w:rsidR="0072084B">
      <w:t>2019</w:t>
    </w:r>
    <w:r w:rsidRPr="008A1405">
      <w:t xml:space="preserve"> </w:t>
    </w:r>
    <w:sdt>
      <w:sdtPr>
        <w:id w:val="1822625101"/>
        <w:docPartObj>
          <w:docPartGallery w:val="Page Numbers (Bottom of Page)"/>
          <w:docPartUnique/>
        </w:docPartObj>
      </w:sdtPr>
      <w:sdtEndPr/>
      <w:sdtContent>
        <w:r w:rsidRPr="008A1405">
          <w:tab/>
        </w:r>
        <w:r w:rsidR="000E5C70">
          <w:t>P</w:t>
        </w:r>
        <w:r w:rsidRPr="008A1405">
          <w:t xml:space="preserve">age </w:t>
        </w:r>
        <w:r w:rsidR="006A62AD" w:rsidRPr="008A1405">
          <w:fldChar w:fldCharType="begin"/>
        </w:r>
        <w:r w:rsidRPr="008A1405">
          <w:instrText xml:space="preserve"> PAGE   \* MERGEFORMAT </w:instrText>
        </w:r>
        <w:r w:rsidR="006A62AD" w:rsidRPr="008A1405">
          <w:fldChar w:fldCharType="separate"/>
        </w:r>
        <w:r w:rsidR="00817539">
          <w:rPr>
            <w:noProof/>
          </w:rPr>
          <w:t>1</w:t>
        </w:r>
        <w:r w:rsidR="006A62AD" w:rsidRPr="008A14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0E84" w14:textId="77777777" w:rsidR="00F111D0" w:rsidRDefault="00F111D0" w:rsidP="008766A4">
      <w:r>
        <w:separator/>
      </w:r>
    </w:p>
  </w:footnote>
  <w:footnote w:type="continuationSeparator" w:id="0">
    <w:p w14:paraId="5956DDDA" w14:textId="77777777" w:rsidR="00F111D0" w:rsidRDefault="00F111D0"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B78D0"/>
    <w:multiLevelType w:val="hybridMultilevel"/>
    <w:tmpl w:val="C2886DC8"/>
    <w:lvl w:ilvl="0" w:tplc="D0F02E0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B3C2D"/>
    <w:multiLevelType w:val="hybridMultilevel"/>
    <w:tmpl w:val="B1AA3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3"/>
  </w:num>
  <w:num w:numId="15">
    <w:abstractNumId w:val="25"/>
  </w:num>
  <w:num w:numId="16">
    <w:abstractNumId w:val="16"/>
  </w:num>
  <w:num w:numId="17">
    <w:abstractNumId w:val="18"/>
  </w:num>
  <w:num w:numId="18">
    <w:abstractNumId w:val="19"/>
  </w:num>
  <w:num w:numId="19">
    <w:abstractNumId w:val="26"/>
  </w:num>
  <w:num w:numId="20">
    <w:abstractNumId w:val="15"/>
  </w:num>
  <w:num w:numId="21">
    <w:abstractNumId w:val="13"/>
  </w:num>
  <w:num w:numId="22">
    <w:abstractNumId w:val="17"/>
  </w:num>
  <w:num w:numId="23">
    <w:abstractNumId w:val="21"/>
  </w:num>
  <w:num w:numId="24">
    <w:abstractNumId w:val="20"/>
  </w:num>
  <w:num w:numId="25">
    <w:abstractNumId w:val="22"/>
  </w:num>
  <w:num w:numId="26">
    <w:abstractNumId w:val="24"/>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proofState w:spelling="clean" w:grammar="clean"/>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03F9C"/>
    <w:rsid w:val="0003247C"/>
    <w:rsid w:val="00035071"/>
    <w:rsid w:val="00060ACD"/>
    <w:rsid w:val="0007553B"/>
    <w:rsid w:val="000852D5"/>
    <w:rsid w:val="00094E2C"/>
    <w:rsid w:val="00096CA9"/>
    <w:rsid w:val="000A1C9A"/>
    <w:rsid w:val="000B0506"/>
    <w:rsid w:val="000B3FF9"/>
    <w:rsid w:val="000B6F69"/>
    <w:rsid w:val="000C01B4"/>
    <w:rsid w:val="000C499D"/>
    <w:rsid w:val="000C5885"/>
    <w:rsid w:val="000C68BB"/>
    <w:rsid w:val="000D522C"/>
    <w:rsid w:val="000D56F9"/>
    <w:rsid w:val="000E4ACB"/>
    <w:rsid w:val="000E5C70"/>
    <w:rsid w:val="000F155E"/>
    <w:rsid w:val="000F47AB"/>
    <w:rsid w:val="000F4C22"/>
    <w:rsid w:val="00104432"/>
    <w:rsid w:val="00114F00"/>
    <w:rsid w:val="00124DC1"/>
    <w:rsid w:val="00127682"/>
    <w:rsid w:val="00130301"/>
    <w:rsid w:val="0013716D"/>
    <w:rsid w:val="0014310A"/>
    <w:rsid w:val="001534D7"/>
    <w:rsid w:val="001574A3"/>
    <w:rsid w:val="00170377"/>
    <w:rsid w:val="00171CC3"/>
    <w:rsid w:val="00172A3D"/>
    <w:rsid w:val="00177C3A"/>
    <w:rsid w:val="00187894"/>
    <w:rsid w:val="00193A4B"/>
    <w:rsid w:val="001A6947"/>
    <w:rsid w:val="001B76D9"/>
    <w:rsid w:val="001C5C38"/>
    <w:rsid w:val="001D505A"/>
    <w:rsid w:val="001E127D"/>
    <w:rsid w:val="001E7A1B"/>
    <w:rsid w:val="001F639F"/>
    <w:rsid w:val="001F63D0"/>
    <w:rsid w:val="0022212D"/>
    <w:rsid w:val="00226B71"/>
    <w:rsid w:val="00230EF6"/>
    <w:rsid w:val="00231D0D"/>
    <w:rsid w:val="00232805"/>
    <w:rsid w:val="00234998"/>
    <w:rsid w:val="002409A0"/>
    <w:rsid w:val="00240A8B"/>
    <w:rsid w:val="002434E4"/>
    <w:rsid w:val="002525C5"/>
    <w:rsid w:val="00255E0C"/>
    <w:rsid w:val="00261E81"/>
    <w:rsid w:val="00271AB6"/>
    <w:rsid w:val="00271F77"/>
    <w:rsid w:val="002743F7"/>
    <w:rsid w:val="00274529"/>
    <w:rsid w:val="002839CA"/>
    <w:rsid w:val="00285C5D"/>
    <w:rsid w:val="002A17DE"/>
    <w:rsid w:val="002A494D"/>
    <w:rsid w:val="002B2D6F"/>
    <w:rsid w:val="002B37D8"/>
    <w:rsid w:val="002D0187"/>
    <w:rsid w:val="002E2E84"/>
    <w:rsid w:val="002E640B"/>
    <w:rsid w:val="002F304C"/>
    <w:rsid w:val="002F4E54"/>
    <w:rsid w:val="002F5B02"/>
    <w:rsid w:val="00300397"/>
    <w:rsid w:val="00311F45"/>
    <w:rsid w:val="00313358"/>
    <w:rsid w:val="00320E5E"/>
    <w:rsid w:val="00326F48"/>
    <w:rsid w:val="00331126"/>
    <w:rsid w:val="0034630B"/>
    <w:rsid w:val="00347714"/>
    <w:rsid w:val="003514AD"/>
    <w:rsid w:val="00365685"/>
    <w:rsid w:val="00366BF2"/>
    <w:rsid w:val="003706D1"/>
    <w:rsid w:val="00390A85"/>
    <w:rsid w:val="003A4545"/>
    <w:rsid w:val="003B01B0"/>
    <w:rsid w:val="003B43EC"/>
    <w:rsid w:val="003B6CD6"/>
    <w:rsid w:val="003C7FD3"/>
    <w:rsid w:val="003D4CFE"/>
    <w:rsid w:val="003D4D41"/>
    <w:rsid w:val="003D646A"/>
    <w:rsid w:val="003E29B5"/>
    <w:rsid w:val="003E51EB"/>
    <w:rsid w:val="003E7FAC"/>
    <w:rsid w:val="003F3C92"/>
    <w:rsid w:val="003F5E75"/>
    <w:rsid w:val="0040276E"/>
    <w:rsid w:val="004177BE"/>
    <w:rsid w:val="0042024A"/>
    <w:rsid w:val="0042385D"/>
    <w:rsid w:val="00434E35"/>
    <w:rsid w:val="004425C6"/>
    <w:rsid w:val="00443FF4"/>
    <w:rsid w:val="004615C4"/>
    <w:rsid w:val="004730E8"/>
    <w:rsid w:val="004801D1"/>
    <w:rsid w:val="0048402B"/>
    <w:rsid w:val="00494BC1"/>
    <w:rsid w:val="00494EB8"/>
    <w:rsid w:val="004B24FF"/>
    <w:rsid w:val="004C56B9"/>
    <w:rsid w:val="004C66DF"/>
    <w:rsid w:val="004D6461"/>
    <w:rsid w:val="004E6EF8"/>
    <w:rsid w:val="00506D46"/>
    <w:rsid w:val="0050700F"/>
    <w:rsid w:val="0051720F"/>
    <w:rsid w:val="0051778F"/>
    <w:rsid w:val="00520E55"/>
    <w:rsid w:val="005243D3"/>
    <w:rsid w:val="0052751A"/>
    <w:rsid w:val="00544F79"/>
    <w:rsid w:val="00553170"/>
    <w:rsid w:val="00566749"/>
    <w:rsid w:val="005711D2"/>
    <w:rsid w:val="0057654B"/>
    <w:rsid w:val="005832B7"/>
    <w:rsid w:val="0058443C"/>
    <w:rsid w:val="0058608F"/>
    <w:rsid w:val="00596923"/>
    <w:rsid w:val="005A0C09"/>
    <w:rsid w:val="005A1BE0"/>
    <w:rsid w:val="005A23F9"/>
    <w:rsid w:val="005B3B56"/>
    <w:rsid w:val="005D1E06"/>
    <w:rsid w:val="00600EB1"/>
    <w:rsid w:val="00603BCA"/>
    <w:rsid w:val="0061125D"/>
    <w:rsid w:val="006143AF"/>
    <w:rsid w:val="00623F69"/>
    <w:rsid w:val="00642651"/>
    <w:rsid w:val="00651C93"/>
    <w:rsid w:val="006554DD"/>
    <w:rsid w:val="00663ED2"/>
    <w:rsid w:val="006724C4"/>
    <w:rsid w:val="00675AB7"/>
    <w:rsid w:val="006935C9"/>
    <w:rsid w:val="00694524"/>
    <w:rsid w:val="00694796"/>
    <w:rsid w:val="00697E89"/>
    <w:rsid w:val="006A1254"/>
    <w:rsid w:val="006A4F51"/>
    <w:rsid w:val="006A62AD"/>
    <w:rsid w:val="006B5AAD"/>
    <w:rsid w:val="006B7939"/>
    <w:rsid w:val="006D7338"/>
    <w:rsid w:val="006E2451"/>
    <w:rsid w:val="00711670"/>
    <w:rsid w:val="0071225A"/>
    <w:rsid w:val="00714E93"/>
    <w:rsid w:val="007178F0"/>
    <w:rsid w:val="0072084B"/>
    <w:rsid w:val="00722DD0"/>
    <w:rsid w:val="00725687"/>
    <w:rsid w:val="00725D34"/>
    <w:rsid w:val="00727502"/>
    <w:rsid w:val="007276C8"/>
    <w:rsid w:val="0073072D"/>
    <w:rsid w:val="00742628"/>
    <w:rsid w:val="00751081"/>
    <w:rsid w:val="00760289"/>
    <w:rsid w:val="007640BE"/>
    <w:rsid w:val="00764E5F"/>
    <w:rsid w:val="00784798"/>
    <w:rsid w:val="007A7E2A"/>
    <w:rsid w:val="007B1754"/>
    <w:rsid w:val="007B452A"/>
    <w:rsid w:val="007D2940"/>
    <w:rsid w:val="007E2162"/>
    <w:rsid w:val="007F2163"/>
    <w:rsid w:val="007F4A35"/>
    <w:rsid w:val="00816ED5"/>
    <w:rsid w:val="00817539"/>
    <w:rsid w:val="00831BB4"/>
    <w:rsid w:val="00840F92"/>
    <w:rsid w:val="00841F2A"/>
    <w:rsid w:val="00852D31"/>
    <w:rsid w:val="00853971"/>
    <w:rsid w:val="00871EC0"/>
    <w:rsid w:val="00872E78"/>
    <w:rsid w:val="008766A4"/>
    <w:rsid w:val="00877262"/>
    <w:rsid w:val="00887E2D"/>
    <w:rsid w:val="008919D9"/>
    <w:rsid w:val="00895870"/>
    <w:rsid w:val="008965D9"/>
    <w:rsid w:val="00896FF2"/>
    <w:rsid w:val="008A240B"/>
    <w:rsid w:val="008A42EB"/>
    <w:rsid w:val="008A5234"/>
    <w:rsid w:val="008B7A74"/>
    <w:rsid w:val="008C0B02"/>
    <w:rsid w:val="008C6FA8"/>
    <w:rsid w:val="008D08E4"/>
    <w:rsid w:val="008D2D16"/>
    <w:rsid w:val="008D3BDE"/>
    <w:rsid w:val="008E0BBC"/>
    <w:rsid w:val="008E21FC"/>
    <w:rsid w:val="008F185F"/>
    <w:rsid w:val="008F3046"/>
    <w:rsid w:val="009030AA"/>
    <w:rsid w:val="0091756B"/>
    <w:rsid w:val="00917F2A"/>
    <w:rsid w:val="009269FD"/>
    <w:rsid w:val="009279EA"/>
    <w:rsid w:val="00927DEE"/>
    <w:rsid w:val="00933910"/>
    <w:rsid w:val="009478ED"/>
    <w:rsid w:val="00947AE6"/>
    <w:rsid w:val="00961B0A"/>
    <w:rsid w:val="009652F7"/>
    <w:rsid w:val="00967210"/>
    <w:rsid w:val="00967755"/>
    <w:rsid w:val="009731D8"/>
    <w:rsid w:val="0097421F"/>
    <w:rsid w:val="00980015"/>
    <w:rsid w:val="00983279"/>
    <w:rsid w:val="00993CB2"/>
    <w:rsid w:val="009A25B7"/>
    <w:rsid w:val="009A58A8"/>
    <w:rsid w:val="009D434A"/>
    <w:rsid w:val="009D6D3D"/>
    <w:rsid w:val="009E4078"/>
    <w:rsid w:val="009F2302"/>
    <w:rsid w:val="00A04E5A"/>
    <w:rsid w:val="00A140E9"/>
    <w:rsid w:val="00A24325"/>
    <w:rsid w:val="00A33C93"/>
    <w:rsid w:val="00A35727"/>
    <w:rsid w:val="00A50FEE"/>
    <w:rsid w:val="00A612EB"/>
    <w:rsid w:val="00A62D1A"/>
    <w:rsid w:val="00A74400"/>
    <w:rsid w:val="00A8302C"/>
    <w:rsid w:val="00A909BE"/>
    <w:rsid w:val="00A92450"/>
    <w:rsid w:val="00A94E33"/>
    <w:rsid w:val="00A969F9"/>
    <w:rsid w:val="00AA4009"/>
    <w:rsid w:val="00AC1541"/>
    <w:rsid w:val="00AC5561"/>
    <w:rsid w:val="00AD3210"/>
    <w:rsid w:val="00AD4561"/>
    <w:rsid w:val="00AD66F9"/>
    <w:rsid w:val="00AE44A6"/>
    <w:rsid w:val="00AF0667"/>
    <w:rsid w:val="00B00FEA"/>
    <w:rsid w:val="00B061F1"/>
    <w:rsid w:val="00B134F9"/>
    <w:rsid w:val="00B17AF7"/>
    <w:rsid w:val="00B230DB"/>
    <w:rsid w:val="00B239F0"/>
    <w:rsid w:val="00B25D05"/>
    <w:rsid w:val="00B40154"/>
    <w:rsid w:val="00B44818"/>
    <w:rsid w:val="00B459CE"/>
    <w:rsid w:val="00B5537C"/>
    <w:rsid w:val="00B578B2"/>
    <w:rsid w:val="00B7227D"/>
    <w:rsid w:val="00B94FE6"/>
    <w:rsid w:val="00BA7336"/>
    <w:rsid w:val="00BB0C3B"/>
    <w:rsid w:val="00BB3868"/>
    <w:rsid w:val="00BB5F6F"/>
    <w:rsid w:val="00BC3DEC"/>
    <w:rsid w:val="00BD5DD9"/>
    <w:rsid w:val="00C01384"/>
    <w:rsid w:val="00C052CB"/>
    <w:rsid w:val="00C06A7D"/>
    <w:rsid w:val="00C1688C"/>
    <w:rsid w:val="00C377BA"/>
    <w:rsid w:val="00C412C9"/>
    <w:rsid w:val="00C41C36"/>
    <w:rsid w:val="00C53F6E"/>
    <w:rsid w:val="00C75380"/>
    <w:rsid w:val="00C84D64"/>
    <w:rsid w:val="00C87FF8"/>
    <w:rsid w:val="00C91AC2"/>
    <w:rsid w:val="00C96775"/>
    <w:rsid w:val="00CA5081"/>
    <w:rsid w:val="00CA7DD8"/>
    <w:rsid w:val="00CB6830"/>
    <w:rsid w:val="00CB7219"/>
    <w:rsid w:val="00CC7F0A"/>
    <w:rsid w:val="00CD44D5"/>
    <w:rsid w:val="00CE1579"/>
    <w:rsid w:val="00CE6B2B"/>
    <w:rsid w:val="00CF11E9"/>
    <w:rsid w:val="00D03D2D"/>
    <w:rsid w:val="00D049D0"/>
    <w:rsid w:val="00D168F5"/>
    <w:rsid w:val="00D26CF0"/>
    <w:rsid w:val="00D31299"/>
    <w:rsid w:val="00D461F7"/>
    <w:rsid w:val="00D47214"/>
    <w:rsid w:val="00D84C0F"/>
    <w:rsid w:val="00D87555"/>
    <w:rsid w:val="00DA020D"/>
    <w:rsid w:val="00DA4683"/>
    <w:rsid w:val="00DB7AE5"/>
    <w:rsid w:val="00DC426F"/>
    <w:rsid w:val="00DD7D45"/>
    <w:rsid w:val="00DD7F99"/>
    <w:rsid w:val="00DE0F00"/>
    <w:rsid w:val="00DE643D"/>
    <w:rsid w:val="00DF1C42"/>
    <w:rsid w:val="00E40A79"/>
    <w:rsid w:val="00E42E39"/>
    <w:rsid w:val="00E56549"/>
    <w:rsid w:val="00E756D0"/>
    <w:rsid w:val="00E90281"/>
    <w:rsid w:val="00E91B91"/>
    <w:rsid w:val="00E97212"/>
    <w:rsid w:val="00EB6BC7"/>
    <w:rsid w:val="00EC5774"/>
    <w:rsid w:val="00EC718D"/>
    <w:rsid w:val="00ED2C8A"/>
    <w:rsid w:val="00ED4C57"/>
    <w:rsid w:val="00EE53FF"/>
    <w:rsid w:val="00EF04D3"/>
    <w:rsid w:val="00EF1BC2"/>
    <w:rsid w:val="00F111D0"/>
    <w:rsid w:val="00F16129"/>
    <w:rsid w:val="00F2068D"/>
    <w:rsid w:val="00F25394"/>
    <w:rsid w:val="00F27799"/>
    <w:rsid w:val="00F3226D"/>
    <w:rsid w:val="00F36897"/>
    <w:rsid w:val="00F37E0C"/>
    <w:rsid w:val="00F512FA"/>
    <w:rsid w:val="00F534C5"/>
    <w:rsid w:val="00F546B5"/>
    <w:rsid w:val="00F676E6"/>
    <w:rsid w:val="00F70CB4"/>
    <w:rsid w:val="00F7204D"/>
    <w:rsid w:val="00F84D08"/>
    <w:rsid w:val="00F84D64"/>
    <w:rsid w:val="00F85A04"/>
    <w:rsid w:val="00F85A39"/>
    <w:rsid w:val="00F91919"/>
    <w:rsid w:val="00F91A79"/>
    <w:rsid w:val="00F97B56"/>
    <w:rsid w:val="00FA002F"/>
    <w:rsid w:val="00FA6B94"/>
    <w:rsid w:val="00FB1204"/>
    <w:rsid w:val="00FB5C2D"/>
    <w:rsid w:val="00FD7308"/>
    <w:rsid w:val="00FE4191"/>
    <w:rsid w:val="00FF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AEB7BC7"/>
  <w15:docId w15:val="{A6DE7B1D-8ACB-49D4-9DCD-CC0C7381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434E4"/>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2D0187"/>
    <w:pPr>
      <w:tabs>
        <w:tab w:val="left" w:pos="851"/>
      </w:tabs>
      <w:spacing w:before="240" w:after="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2D0187"/>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714E93"/>
    <w:pPr>
      <w:tabs>
        <w:tab w:val="right" w:pos="6804"/>
      </w:tabs>
      <w:spacing w:before="0" w:line="240" w:lineRule="auto"/>
    </w:pPr>
    <w:rPr>
      <w:sz w:val="20"/>
    </w:rPr>
  </w:style>
  <w:style w:type="character" w:customStyle="1" w:styleId="FooterChar">
    <w:name w:val="Footer Char"/>
    <w:basedOn w:val="DefaultParagraphFont"/>
    <w:link w:val="Footer"/>
    <w:uiPriority w:val="99"/>
    <w:rsid w:val="00714E93"/>
    <w:rPr>
      <w:rFonts w:ascii="Arial" w:hAnsi="Arial" w:cs="Arial"/>
      <w:sz w:val="20"/>
      <w:szCs w:val="18"/>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AC1541"/>
    <w:pPr>
      <w:numPr>
        <w:numId w:val="27"/>
      </w:numPr>
      <w:ind w:left="284" w:hanging="284"/>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character" w:styleId="CommentReference">
    <w:name w:val="annotation reference"/>
    <w:basedOn w:val="DefaultParagraphFont"/>
    <w:uiPriority w:val="99"/>
    <w:semiHidden/>
    <w:unhideWhenUsed/>
    <w:locked/>
    <w:rsid w:val="00B00FEA"/>
    <w:rPr>
      <w:sz w:val="16"/>
      <w:szCs w:val="16"/>
    </w:rPr>
  </w:style>
  <w:style w:type="paragraph" w:styleId="CommentText">
    <w:name w:val="annotation text"/>
    <w:basedOn w:val="Normal"/>
    <w:link w:val="CommentTextChar"/>
    <w:uiPriority w:val="99"/>
    <w:semiHidden/>
    <w:unhideWhenUsed/>
    <w:locked/>
    <w:rsid w:val="00B00FEA"/>
    <w:pPr>
      <w:spacing w:line="240" w:lineRule="auto"/>
    </w:pPr>
    <w:rPr>
      <w:sz w:val="20"/>
      <w:szCs w:val="20"/>
    </w:rPr>
  </w:style>
  <w:style w:type="character" w:customStyle="1" w:styleId="CommentTextChar">
    <w:name w:val="Comment Text Char"/>
    <w:basedOn w:val="DefaultParagraphFont"/>
    <w:link w:val="CommentText"/>
    <w:uiPriority w:val="99"/>
    <w:semiHidden/>
    <w:rsid w:val="00B00FE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locked/>
    <w:rsid w:val="00B00FEA"/>
    <w:rPr>
      <w:b/>
      <w:bCs/>
    </w:rPr>
  </w:style>
  <w:style w:type="character" w:customStyle="1" w:styleId="CommentSubjectChar">
    <w:name w:val="Comment Subject Char"/>
    <w:basedOn w:val="CommentTextChar"/>
    <w:link w:val="CommentSubject"/>
    <w:uiPriority w:val="99"/>
    <w:semiHidden/>
    <w:rsid w:val="00B00FEA"/>
    <w:rPr>
      <w:rFonts w:ascii="Arial" w:hAnsi="Arial" w:cs="Arial"/>
      <w:b/>
      <w:bCs/>
      <w:sz w:val="20"/>
      <w:szCs w:val="20"/>
      <w:lang w:val="en-AU"/>
    </w:rPr>
  </w:style>
  <w:style w:type="paragraph" w:styleId="ListParagraph">
    <w:name w:val="List Paragraph"/>
    <w:basedOn w:val="Normal"/>
    <w:uiPriority w:val="34"/>
    <w:semiHidden/>
    <w:qFormat/>
    <w:locked/>
    <w:rsid w:val="0052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management/&#8226;%09http:/www.education.vic.gov.au/school/principals/spag/Pages/spa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teachers/management/&#8226;%09http:/www.education.vic.gov.au/school/teachers/management/finance/Pages/guidelin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finance/Pages/cases21.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94DC-6835-4F07-A417-8C2C4A4CF9F8}"/>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A8F3DFCA-0725-442C-AF26-42FECFF2FE44}"/>
</file>

<file path=docProps/app.xml><?xml version="1.0" encoding="utf-8"?>
<Properties xmlns="http://schemas.openxmlformats.org/officeDocument/2006/extended-properties" xmlns:vt="http://schemas.openxmlformats.org/officeDocument/2006/docPropsVTypes">
  <Template>Normal</Template>
  <TotalTime>14</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5</cp:revision>
  <cp:lastPrinted>2019-02-01T00:28:00Z</cp:lastPrinted>
  <dcterms:created xsi:type="dcterms:W3CDTF">2019-01-25T05:32:00Z</dcterms:created>
  <dcterms:modified xsi:type="dcterms:W3CDTF">2019-02-01T00:51:00Z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