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0A09A" w14:textId="77777777" w:rsidR="00927DEE" w:rsidRPr="006F7B96" w:rsidRDefault="00927DEE" w:rsidP="00DB6966">
      <w:pPr>
        <w:pStyle w:val="Heading1"/>
      </w:pPr>
      <w:bookmarkStart w:id="0" w:name="_Toc455499267"/>
      <w:bookmarkStart w:id="1" w:name="_Toc455499461"/>
      <w:bookmarkStart w:id="2" w:name="_Toc455501167"/>
      <w:r w:rsidRPr="006F7B96">
        <w:t xml:space="preserve">Section </w:t>
      </w:r>
      <w:r w:rsidR="006D6ECF" w:rsidRPr="006F7B96">
        <w:t>1</w:t>
      </w:r>
      <w:r w:rsidR="00551DCD">
        <w:t>7</w:t>
      </w:r>
      <w:r w:rsidRPr="006F7B96">
        <w:t xml:space="preserve">: </w:t>
      </w:r>
      <w:r w:rsidR="008A4AC9">
        <w:t xml:space="preserve">End of </w:t>
      </w:r>
      <w:r w:rsidR="00641616">
        <w:t>Y</w:t>
      </w:r>
      <w:r w:rsidR="008A4AC9">
        <w:t>ear (3</w:t>
      </w:r>
      <w:r w:rsidR="00551DCD">
        <w:t>1 December</w:t>
      </w:r>
      <w:r w:rsidR="008A4AC9">
        <w:t>)</w:t>
      </w:r>
    </w:p>
    <w:p w14:paraId="221E0A0A" w14:textId="77777777" w:rsidR="008A4AC9" w:rsidRPr="00EC4B15" w:rsidRDefault="008A4AC9" w:rsidP="008A4AC9">
      <w:pPr>
        <w:pStyle w:val="Heading2"/>
      </w:pPr>
      <w:r w:rsidRPr="00CA1867">
        <w:t>1</w:t>
      </w:r>
      <w:r w:rsidR="001C3FFB" w:rsidRPr="00CA1867">
        <w:t>7</w:t>
      </w:r>
      <w:r w:rsidRPr="00CA1867">
        <w:t>.1</w:t>
      </w:r>
      <w:r w:rsidR="00F70885">
        <w:tab/>
      </w:r>
      <w:r w:rsidRPr="00CA1867">
        <w:t>Overview</w:t>
      </w:r>
    </w:p>
    <w:p w14:paraId="7573F028" w14:textId="77777777" w:rsidR="006C3607" w:rsidRDefault="00A96303" w:rsidP="00A96303">
      <w:r>
        <w:t>The End of Year financial policy described in this section must be implemented to enable the completion of End of Year (31 December) and the start of the New Year in CASES21.</w:t>
      </w:r>
    </w:p>
    <w:p w14:paraId="7BD11627" w14:textId="77777777" w:rsidR="007E25F7" w:rsidRDefault="007E25F7" w:rsidP="00A96303"/>
    <w:p w14:paraId="1F4BDE77" w14:textId="77777777" w:rsidR="00384E90" w:rsidRPr="00EC4B15" w:rsidRDefault="00384E90" w:rsidP="00384E90">
      <w:pPr>
        <w:keepNext/>
        <w:keepLines/>
        <w:pBdr>
          <w:top w:val="single" w:sz="8" w:space="3" w:color="AF272F"/>
        </w:pBdr>
        <w:spacing w:before="360" w:after="120"/>
        <w:ind w:left="851" w:hanging="851"/>
        <w:outlineLvl w:val="1"/>
        <w:rPr>
          <w:rFonts w:eastAsiaTheme="majorEastAsia" w:cstheme="majorBidi"/>
          <w:b/>
          <w:color w:val="AF272F"/>
          <w:sz w:val="36"/>
          <w:szCs w:val="20"/>
        </w:rPr>
      </w:pPr>
      <w:r w:rsidRPr="00CA1867">
        <w:rPr>
          <w:rFonts w:eastAsiaTheme="majorEastAsia" w:cstheme="majorBidi"/>
          <w:b/>
          <w:color w:val="AF272F"/>
          <w:sz w:val="36"/>
          <w:szCs w:val="20"/>
        </w:rPr>
        <w:t>17.2</w:t>
      </w:r>
      <w:r w:rsidR="002166B7">
        <w:rPr>
          <w:rFonts w:eastAsiaTheme="majorEastAsia" w:cstheme="majorBidi"/>
          <w:b/>
          <w:color w:val="AF272F"/>
          <w:sz w:val="36"/>
          <w:szCs w:val="20"/>
        </w:rPr>
        <w:tab/>
      </w:r>
      <w:r w:rsidRPr="00CA1867">
        <w:rPr>
          <w:rFonts w:eastAsiaTheme="majorEastAsia" w:cstheme="majorBidi"/>
          <w:b/>
          <w:color w:val="AF272F"/>
          <w:sz w:val="36"/>
          <w:szCs w:val="20"/>
        </w:rPr>
        <w:t>Timing of CASES21 Finance End of Year (31 December)</w:t>
      </w:r>
    </w:p>
    <w:p w14:paraId="3CA23E4B" w14:textId="77777777" w:rsidR="00384E90" w:rsidRPr="00384E90" w:rsidRDefault="00384E90" w:rsidP="00384E90">
      <w:pPr>
        <w:tabs>
          <w:tab w:val="left" w:pos="851"/>
        </w:tabs>
        <w:spacing w:before="240" w:after="240"/>
        <w:outlineLvl w:val="2"/>
        <w:rPr>
          <w:b/>
          <w:color w:val="000000" w:themeColor="text1"/>
          <w:sz w:val="24"/>
        </w:rPr>
      </w:pPr>
      <w:r w:rsidRPr="00384E90">
        <w:rPr>
          <w:b/>
          <w:color w:val="000000" w:themeColor="text1"/>
          <w:sz w:val="24"/>
        </w:rPr>
        <w:t>1</w:t>
      </w:r>
      <w:r>
        <w:rPr>
          <w:b/>
          <w:color w:val="000000" w:themeColor="text1"/>
          <w:sz w:val="24"/>
        </w:rPr>
        <w:t>7</w:t>
      </w:r>
      <w:r w:rsidRPr="00384E90">
        <w:rPr>
          <w:b/>
          <w:color w:val="000000" w:themeColor="text1"/>
          <w:sz w:val="24"/>
        </w:rPr>
        <w:t>.2.1</w:t>
      </w:r>
      <w:r w:rsidRPr="00384E90">
        <w:rPr>
          <w:b/>
          <w:color w:val="000000" w:themeColor="text1"/>
          <w:sz w:val="24"/>
        </w:rPr>
        <w:tab/>
        <w:t>Mandatory policy (Must do):</w:t>
      </w:r>
    </w:p>
    <w:tbl>
      <w:tblPr>
        <w:tblW w:w="90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containing sequence numbers and policy information"/>
      </w:tblPr>
      <w:tblGrid>
        <w:gridCol w:w="1134"/>
        <w:gridCol w:w="7088"/>
        <w:gridCol w:w="788"/>
      </w:tblGrid>
      <w:tr w:rsidR="00DF168D" w:rsidRPr="0091756B" w14:paraId="7EB7F64D" w14:textId="150781DE" w:rsidTr="009B3C58">
        <w:trPr>
          <w:trHeight w:val="567"/>
          <w:tblHeader/>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53E0EE3" w14:textId="77777777" w:rsidR="00DF168D" w:rsidRPr="00D60EB6" w:rsidRDefault="00DF168D" w:rsidP="00CC1676">
            <w:pPr>
              <w:rPr>
                <w:b/>
                <w:sz w:val="18"/>
              </w:rPr>
            </w:pPr>
            <w:r w:rsidRPr="00D60EB6">
              <w:rPr>
                <w:b/>
                <w:sz w:val="18"/>
              </w:rPr>
              <w:t>Sequence Numbers</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28CDEADD" w14:textId="77777777" w:rsidR="00DF168D" w:rsidRPr="00E0071A" w:rsidRDefault="00DF168D" w:rsidP="00CC1676">
            <w:pPr>
              <w:rPr>
                <w:b/>
                <w:sz w:val="20"/>
                <w:szCs w:val="20"/>
              </w:rPr>
            </w:pPr>
            <w:r w:rsidRPr="00E0071A">
              <w:rPr>
                <w:b/>
                <w:sz w:val="20"/>
                <w:szCs w:val="20"/>
              </w:rPr>
              <w:t>Information</w:t>
            </w:r>
          </w:p>
        </w:tc>
        <w:tc>
          <w:tcPr>
            <w:tcW w:w="788" w:type="dxa"/>
            <w:tcBorders>
              <w:top w:val="nil"/>
              <w:left w:val="single" w:sz="4" w:space="0" w:color="auto"/>
              <w:bottom w:val="single" w:sz="4" w:space="0" w:color="auto"/>
              <w:right w:val="nil"/>
            </w:tcBorders>
          </w:tcPr>
          <w:p w14:paraId="5C0DE7DB" w14:textId="77777777" w:rsidR="00DF168D" w:rsidRPr="00D60EB6" w:rsidRDefault="00DF168D" w:rsidP="00CC1676">
            <w:pPr>
              <w:rPr>
                <w:b/>
              </w:rPr>
            </w:pPr>
          </w:p>
        </w:tc>
      </w:tr>
      <w:tr w:rsidR="00DF168D" w:rsidRPr="00384E90" w14:paraId="6D564037" w14:textId="1C849DF8" w:rsidTr="009B3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021"/>
        </w:trPr>
        <w:tc>
          <w:tcPr>
            <w:tcW w:w="1134" w:type="dxa"/>
            <w:tcBorders>
              <w:top w:val="single" w:sz="4" w:space="0" w:color="auto"/>
              <w:left w:val="single" w:sz="4" w:space="0" w:color="auto"/>
              <w:bottom w:val="single" w:sz="4" w:space="0" w:color="auto"/>
              <w:right w:val="single" w:sz="4" w:space="0" w:color="auto"/>
            </w:tcBorders>
          </w:tcPr>
          <w:p w14:paraId="373C8C87" w14:textId="77777777" w:rsidR="00DF168D" w:rsidRPr="00384E90" w:rsidRDefault="00DF168D" w:rsidP="00384E90">
            <w:r w:rsidRPr="00384E90">
              <w:t>1</w:t>
            </w:r>
            <w:r>
              <w:t>7</w:t>
            </w:r>
            <w:r w:rsidRPr="00384E90">
              <w:t>.2.1.1</w:t>
            </w:r>
          </w:p>
        </w:tc>
        <w:tc>
          <w:tcPr>
            <w:tcW w:w="7088" w:type="dxa"/>
            <w:tcBorders>
              <w:top w:val="single" w:sz="4" w:space="0" w:color="auto"/>
              <w:left w:val="single" w:sz="4" w:space="0" w:color="auto"/>
              <w:bottom w:val="single" w:sz="4" w:space="0" w:color="auto"/>
              <w:right w:val="single" w:sz="4" w:space="0" w:color="auto"/>
            </w:tcBorders>
          </w:tcPr>
          <w:p w14:paraId="28E7E33F" w14:textId="77777777" w:rsidR="00DF168D" w:rsidRPr="00384E90" w:rsidRDefault="00DF168D" w:rsidP="00A40AFB">
            <w:r w:rsidRPr="008104DB">
              <w:t>The review and clean-up of the Families (Receivables module) must be done for exiting students prior to running CASES21 Administration End of Year.</w:t>
            </w:r>
          </w:p>
        </w:tc>
        <w:tc>
          <w:tcPr>
            <w:tcW w:w="788" w:type="dxa"/>
            <w:tcBorders>
              <w:top w:val="single" w:sz="4" w:space="0" w:color="auto"/>
              <w:left w:val="single" w:sz="4" w:space="0" w:color="auto"/>
              <w:bottom w:val="single" w:sz="4" w:space="0" w:color="auto"/>
              <w:right w:val="single" w:sz="4" w:space="0" w:color="auto"/>
            </w:tcBorders>
          </w:tcPr>
          <w:p w14:paraId="26ACEBAB" w14:textId="77777777" w:rsidR="00DF168D" w:rsidRPr="008104DB" w:rsidRDefault="00DF168D" w:rsidP="00A40AFB"/>
        </w:tc>
      </w:tr>
    </w:tbl>
    <w:p w14:paraId="20EA7B1D" w14:textId="77777777" w:rsidR="00A40AFB" w:rsidRPr="00384E90" w:rsidRDefault="00A40AFB" w:rsidP="00A40AFB">
      <w:pPr>
        <w:tabs>
          <w:tab w:val="left" w:pos="851"/>
        </w:tabs>
        <w:spacing w:before="240" w:after="240"/>
        <w:outlineLvl w:val="2"/>
        <w:rPr>
          <w:b/>
          <w:color w:val="000000" w:themeColor="text1"/>
          <w:sz w:val="24"/>
        </w:rPr>
      </w:pPr>
      <w:r w:rsidRPr="00384E90">
        <w:rPr>
          <w:b/>
          <w:color w:val="000000" w:themeColor="text1"/>
          <w:sz w:val="24"/>
        </w:rPr>
        <w:t>1</w:t>
      </w:r>
      <w:r>
        <w:rPr>
          <w:b/>
          <w:color w:val="000000" w:themeColor="text1"/>
          <w:sz w:val="24"/>
        </w:rPr>
        <w:t>7</w:t>
      </w:r>
      <w:r w:rsidRPr="00384E90">
        <w:rPr>
          <w:b/>
          <w:color w:val="000000" w:themeColor="text1"/>
          <w:sz w:val="24"/>
        </w:rPr>
        <w:t>.2.</w:t>
      </w:r>
      <w:r w:rsidR="00BF60C2">
        <w:rPr>
          <w:b/>
          <w:color w:val="000000" w:themeColor="text1"/>
          <w:sz w:val="24"/>
        </w:rPr>
        <w:t>2</w:t>
      </w:r>
      <w:r w:rsidRPr="00384E90">
        <w:rPr>
          <w:b/>
          <w:color w:val="000000" w:themeColor="text1"/>
          <w:sz w:val="24"/>
        </w:rPr>
        <w:tab/>
      </w:r>
      <w:r>
        <w:rPr>
          <w:b/>
          <w:color w:val="000000" w:themeColor="text1"/>
          <w:sz w:val="24"/>
        </w:rPr>
        <w:t xml:space="preserve">Prohibited </w:t>
      </w:r>
      <w:r w:rsidR="004E0B7B">
        <w:rPr>
          <w:b/>
          <w:color w:val="000000" w:themeColor="text1"/>
          <w:sz w:val="24"/>
        </w:rPr>
        <w:t>policy</w:t>
      </w:r>
      <w:r w:rsidRPr="00384E90">
        <w:rPr>
          <w:b/>
          <w:color w:val="000000" w:themeColor="text1"/>
          <w:sz w:val="24"/>
        </w:rPr>
        <w:t xml:space="preserve"> (Must </w:t>
      </w:r>
      <w:r>
        <w:rPr>
          <w:b/>
          <w:color w:val="000000" w:themeColor="text1"/>
          <w:sz w:val="24"/>
        </w:rPr>
        <w:t xml:space="preserve">not </w:t>
      </w:r>
      <w:r w:rsidRPr="00384E90">
        <w:rPr>
          <w:b/>
          <w:color w:val="000000" w:themeColor="text1"/>
          <w:sz w:val="24"/>
        </w:rPr>
        <w:t>do):</w:t>
      </w:r>
    </w:p>
    <w:tbl>
      <w:tblPr>
        <w:tblW w:w="90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containing sequence numbers and policy information"/>
      </w:tblPr>
      <w:tblGrid>
        <w:gridCol w:w="1134"/>
        <w:gridCol w:w="7088"/>
        <w:gridCol w:w="788"/>
      </w:tblGrid>
      <w:tr w:rsidR="00DF168D" w:rsidRPr="0091756B" w14:paraId="1C8568F2" w14:textId="2654CD85" w:rsidTr="009B3C58">
        <w:trPr>
          <w:trHeight w:val="567"/>
          <w:tblHeader/>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6A335C1" w14:textId="77777777" w:rsidR="00DF168D" w:rsidRPr="00D60EB6" w:rsidRDefault="00DF168D" w:rsidP="00CC1676">
            <w:pPr>
              <w:rPr>
                <w:b/>
                <w:sz w:val="18"/>
              </w:rPr>
            </w:pPr>
            <w:r w:rsidRPr="00D60EB6">
              <w:rPr>
                <w:b/>
                <w:sz w:val="18"/>
              </w:rPr>
              <w:t>Sequence Numbers</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2E520B3A" w14:textId="77777777" w:rsidR="00DF168D" w:rsidRPr="00E0071A" w:rsidRDefault="00DF168D" w:rsidP="00CC1676">
            <w:pPr>
              <w:rPr>
                <w:b/>
                <w:sz w:val="20"/>
                <w:szCs w:val="20"/>
              </w:rPr>
            </w:pPr>
            <w:r w:rsidRPr="00E0071A">
              <w:rPr>
                <w:b/>
                <w:sz w:val="20"/>
                <w:szCs w:val="20"/>
              </w:rPr>
              <w:t>Information</w:t>
            </w:r>
          </w:p>
        </w:tc>
        <w:tc>
          <w:tcPr>
            <w:tcW w:w="788" w:type="dxa"/>
            <w:tcBorders>
              <w:top w:val="nil"/>
              <w:left w:val="single" w:sz="4" w:space="0" w:color="auto"/>
              <w:bottom w:val="single" w:sz="4" w:space="0" w:color="auto"/>
              <w:right w:val="nil"/>
            </w:tcBorders>
          </w:tcPr>
          <w:p w14:paraId="1E5D2BCE" w14:textId="77777777" w:rsidR="00DF168D" w:rsidRPr="00D60EB6" w:rsidRDefault="00DF168D" w:rsidP="00CC1676">
            <w:pPr>
              <w:rPr>
                <w:b/>
              </w:rPr>
            </w:pPr>
          </w:p>
        </w:tc>
      </w:tr>
      <w:tr w:rsidR="00DF168D" w:rsidRPr="00384E90" w14:paraId="14C05E59" w14:textId="7766320F" w:rsidTr="009B3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37"/>
        </w:trPr>
        <w:tc>
          <w:tcPr>
            <w:tcW w:w="1134" w:type="dxa"/>
            <w:tcBorders>
              <w:top w:val="single" w:sz="4" w:space="0" w:color="auto"/>
              <w:left w:val="single" w:sz="4" w:space="0" w:color="auto"/>
              <w:bottom w:val="single" w:sz="4" w:space="0" w:color="auto"/>
              <w:right w:val="single" w:sz="4" w:space="0" w:color="auto"/>
            </w:tcBorders>
          </w:tcPr>
          <w:p w14:paraId="5E81C832" w14:textId="77777777" w:rsidR="00DF168D" w:rsidRPr="00384E90" w:rsidRDefault="00DF168D" w:rsidP="00BF60C2">
            <w:r w:rsidRPr="00384E90">
              <w:t>1</w:t>
            </w:r>
            <w:r>
              <w:t>7</w:t>
            </w:r>
            <w:r w:rsidRPr="00384E90">
              <w:t>.2.</w:t>
            </w:r>
            <w:r>
              <w:t>2</w:t>
            </w:r>
            <w:r w:rsidRPr="00384E90">
              <w:t>.1</w:t>
            </w:r>
          </w:p>
        </w:tc>
        <w:tc>
          <w:tcPr>
            <w:tcW w:w="7088" w:type="dxa"/>
            <w:tcBorders>
              <w:top w:val="single" w:sz="4" w:space="0" w:color="auto"/>
              <w:left w:val="single" w:sz="4" w:space="0" w:color="auto"/>
              <w:bottom w:val="single" w:sz="4" w:space="0" w:color="auto"/>
              <w:right w:val="single" w:sz="4" w:space="0" w:color="auto"/>
            </w:tcBorders>
          </w:tcPr>
          <w:p w14:paraId="33EA1D00" w14:textId="77777777" w:rsidR="00DF168D" w:rsidRPr="00384E90" w:rsidRDefault="00DF168D" w:rsidP="000D5478">
            <w:r w:rsidRPr="003B12F3">
              <w:t xml:space="preserve">The End of Year </w:t>
            </w:r>
            <w:r>
              <w:t xml:space="preserve">(31 December) </w:t>
            </w:r>
            <w:r w:rsidRPr="003B12F3">
              <w:t xml:space="preserve">CASES21 Finance rollover must not be done until 1 January of the </w:t>
            </w:r>
            <w:r>
              <w:t>N</w:t>
            </w:r>
            <w:r w:rsidRPr="003B12F3">
              <w:t xml:space="preserve">ew </w:t>
            </w:r>
            <w:r>
              <w:t>Y</w:t>
            </w:r>
            <w:r w:rsidRPr="003B12F3">
              <w:t>ear.</w:t>
            </w:r>
            <w:r>
              <w:t xml:space="preserve"> </w:t>
            </w:r>
          </w:p>
        </w:tc>
        <w:tc>
          <w:tcPr>
            <w:tcW w:w="788" w:type="dxa"/>
            <w:tcBorders>
              <w:top w:val="single" w:sz="4" w:space="0" w:color="auto"/>
              <w:left w:val="single" w:sz="4" w:space="0" w:color="auto"/>
              <w:bottom w:val="single" w:sz="4" w:space="0" w:color="auto"/>
              <w:right w:val="single" w:sz="4" w:space="0" w:color="auto"/>
            </w:tcBorders>
          </w:tcPr>
          <w:p w14:paraId="269B5A71" w14:textId="77777777" w:rsidR="00DF168D" w:rsidRPr="003B12F3" w:rsidRDefault="00DF168D" w:rsidP="000D5478"/>
        </w:tc>
      </w:tr>
    </w:tbl>
    <w:p w14:paraId="32F04217" w14:textId="77777777" w:rsidR="00384E90" w:rsidRDefault="00384E90" w:rsidP="00CC6244">
      <w:pPr>
        <w:jc w:val="both"/>
      </w:pPr>
    </w:p>
    <w:p w14:paraId="46244A51" w14:textId="77777777" w:rsidR="001C3FFB" w:rsidRPr="006F7B96" w:rsidRDefault="001C3FFB" w:rsidP="001C3FFB">
      <w:pPr>
        <w:pStyle w:val="Heading2"/>
      </w:pPr>
      <w:r w:rsidRPr="00CA1867">
        <w:t>17.3</w:t>
      </w:r>
      <w:r w:rsidRPr="00CA1867">
        <w:tab/>
        <w:t xml:space="preserve">End of Year </w:t>
      </w:r>
      <w:r w:rsidR="00CA1867">
        <w:t xml:space="preserve">(31 December) </w:t>
      </w:r>
      <w:r w:rsidRPr="00CA1867">
        <w:t>process in CASES21</w:t>
      </w:r>
    </w:p>
    <w:p w14:paraId="7943D6B8" w14:textId="77777777" w:rsidR="001C3FFB" w:rsidRDefault="001C3FFB" w:rsidP="001C3FFB">
      <w:pPr>
        <w:pStyle w:val="Heading3"/>
      </w:pPr>
      <w:r w:rsidRPr="002A00EF">
        <w:t>1</w:t>
      </w:r>
      <w:r>
        <w:t>7.3.1</w:t>
      </w:r>
      <w:r>
        <w:tab/>
      </w:r>
      <w:r w:rsidRPr="002A00EF">
        <w:t>Mandatory policy (</w:t>
      </w:r>
      <w:r>
        <w:t>Must do</w:t>
      </w:r>
      <w:r w:rsidRPr="002A00EF">
        <w:t>)</w:t>
      </w:r>
      <w:r>
        <w:t>:</w:t>
      </w:r>
    </w:p>
    <w:tbl>
      <w:tblPr>
        <w:tblW w:w="90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containing sequence number and policy information"/>
      </w:tblPr>
      <w:tblGrid>
        <w:gridCol w:w="1134"/>
        <w:gridCol w:w="7088"/>
        <w:gridCol w:w="788"/>
      </w:tblGrid>
      <w:tr w:rsidR="00DF168D" w:rsidRPr="0091756B" w14:paraId="13C750BA" w14:textId="5A335FB1" w:rsidTr="009B3C58">
        <w:trPr>
          <w:trHeight w:val="567"/>
          <w:tblHeader/>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74532C07" w14:textId="77777777" w:rsidR="00DF168D" w:rsidRPr="00D60EB6" w:rsidRDefault="00DF168D" w:rsidP="00CC1676">
            <w:pPr>
              <w:rPr>
                <w:b/>
                <w:sz w:val="18"/>
              </w:rPr>
            </w:pPr>
            <w:r w:rsidRPr="00D60EB6">
              <w:rPr>
                <w:b/>
                <w:sz w:val="18"/>
              </w:rPr>
              <w:t>Sequence Numbers</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35CCFB09" w14:textId="77777777" w:rsidR="00DF168D" w:rsidRPr="00E0071A" w:rsidRDefault="00DF168D" w:rsidP="00CC1676">
            <w:pPr>
              <w:rPr>
                <w:b/>
                <w:sz w:val="20"/>
                <w:szCs w:val="20"/>
              </w:rPr>
            </w:pPr>
            <w:r w:rsidRPr="00E0071A">
              <w:rPr>
                <w:b/>
                <w:sz w:val="20"/>
                <w:szCs w:val="20"/>
              </w:rPr>
              <w:t>Information</w:t>
            </w:r>
          </w:p>
        </w:tc>
        <w:tc>
          <w:tcPr>
            <w:tcW w:w="788" w:type="dxa"/>
            <w:tcBorders>
              <w:top w:val="nil"/>
              <w:left w:val="single" w:sz="4" w:space="0" w:color="auto"/>
              <w:bottom w:val="single" w:sz="4" w:space="0" w:color="auto"/>
              <w:right w:val="nil"/>
            </w:tcBorders>
          </w:tcPr>
          <w:p w14:paraId="7FEB00A8" w14:textId="77777777" w:rsidR="00DF168D" w:rsidRPr="00D60EB6" w:rsidRDefault="00DF168D" w:rsidP="00CC1676">
            <w:pPr>
              <w:rPr>
                <w:b/>
              </w:rPr>
            </w:pPr>
          </w:p>
        </w:tc>
      </w:tr>
      <w:tr w:rsidR="00DF168D" w:rsidRPr="00F81106" w14:paraId="6672094C" w14:textId="75853ACB" w:rsidTr="009B3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021"/>
        </w:trPr>
        <w:tc>
          <w:tcPr>
            <w:tcW w:w="1134" w:type="dxa"/>
            <w:tcBorders>
              <w:top w:val="single" w:sz="4" w:space="0" w:color="auto"/>
              <w:left w:val="single" w:sz="4" w:space="0" w:color="auto"/>
              <w:bottom w:val="single" w:sz="4" w:space="0" w:color="auto"/>
              <w:right w:val="single" w:sz="4" w:space="0" w:color="auto"/>
            </w:tcBorders>
          </w:tcPr>
          <w:p w14:paraId="3A91541E" w14:textId="77777777" w:rsidR="00DF168D" w:rsidRPr="00F81106" w:rsidRDefault="00DF168D" w:rsidP="00047F36">
            <w:r w:rsidRPr="00F81106">
              <w:t>1</w:t>
            </w:r>
            <w:r>
              <w:t>7</w:t>
            </w:r>
            <w:r w:rsidRPr="00F81106">
              <w:t>.</w:t>
            </w:r>
            <w:r>
              <w:t>3.1.1</w:t>
            </w:r>
          </w:p>
        </w:tc>
        <w:tc>
          <w:tcPr>
            <w:tcW w:w="7088" w:type="dxa"/>
            <w:tcBorders>
              <w:top w:val="single" w:sz="4" w:space="0" w:color="auto"/>
              <w:left w:val="single" w:sz="4" w:space="0" w:color="auto"/>
              <w:bottom w:val="single" w:sz="4" w:space="0" w:color="auto"/>
              <w:right w:val="single" w:sz="4" w:space="0" w:color="auto"/>
            </w:tcBorders>
          </w:tcPr>
          <w:p w14:paraId="7454E5BA" w14:textId="77777777" w:rsidR="00DF168D" w:rsidRPr="00F81106" w:rsidRDefault="00DF168D" w:rsidP="005C757E">
            <w:r>
              <w:t>Schools must read</w:t>
            </w:r>
            <w:r w:rsidRPr="001C3FFB">
              <w:t xml:space="preserve"> </w:t>
            </w:r>
            <w:hyperlink r:id="rId12" w:history="1">
              <w:r>
                <w:rPr>
                  <w:color w:val="0000FF"/>
                  <w:u w:val="single"/>
                </w:rPr>
                <w:t>C</w:t>
              </w:r>
              <w:r w:rsidRPr="00551DCD">
                <w:rPr>
                  <w:color w:val="0000FF"/>
                  <w:u w:val="single"/>
                </w:rPr>
                <w:t>ASES21 Finance Business Process Guid</w:t>
              </w:r>
              <w:r>
                <w:rPr>
                  <w:color w:val="0000FF"/>
                  <w:u w:val="single"/>
                </w:rPr>
                <w:t>e Section 11 – End of Year</w:t>
              </w:r>
            </w:hyperlink>
            <w:r>
              <w:t xml:space="preserve"> to follow the correct </w:t>
            </w:r>
            <w:r w:rsidRPr="001C3FFB">
              <w:t xml:space="preserve">guidelines to complete the End of Year </w:t>
            </w:r>
            <w:r>
              <w:t xml:space="preserve">(31 December) </w:t>
            </w:r>
            <w:r w:rsidRPr="001C3FFB">
              <w:t>process</w:t>
            </w:r>
            <w:r>
              <w:t xml:space="preserve">. </w:t>
            </w:r>
          </w:p>
        </w:tc>
        <w:tc>
          <w:tcPr>
            <w:tcW w:w="788" w:type="dxa"/>
            <w:tcBorders>
              <w:top w:val="single" w:sz="4" w:space="0" w:color="auto"/>
              <w:left w:val="single" w:sz="4" w:space="0" w:color="auto"/>
              <w:bottom w:val="single" w:sz="4" w:space="0" w:color="auto"/>
              <w:right w:val="single" w:sz="4" w:space="0" w:color="auto"/>
            </w:tcBorders>
          </w:tcPr>
          <w:p w14:paraId="132D7110" w14:textId="77777777" w:rsidR="00DF168D" w:rsidRDefault="00DF168D" w:rsidP="005C757E"/>
        </w:tc>
      </w:tr>
    </w:tbl>
    <w:p w14:paraId="3FDB8B71" w14:textId="77777777" w:rsidR="002166B7" w:rsidRDefault="002166B7" w:rsidP="001C3FFB">
      <w:pPr>
        <w:jc w:val="both"/>
      </w:pPr>
    </w:p>
    <w:p w14:paraId="648137EE" w14:textId="77777777" w:rsidR="002166B7" w:rsidRDefault="002166B7" w:rsidP="002166B7">
      <w:r>
        <w:br w:type="page"/>
      </w:r>
    </w:p>
    <w:p w14:paraId="4C4B830C" w14:textId="77777777" w:rsidR="001C3FFB" w:rsidRPr="005C757E" w:rsidRDefault="00842B3B" w:rsidP="001C3FFB">
      <w:pPr>
        <w:pStyle w:val="Heading2"/>
      </w:pPr>
      <w:r w:rsidRPr="005C757E">
        <w:lastRenderedPageBreak/>
        <w:t>17.4</w:t>
      </w:r>
      <w:r w:rsidRPr="005C757E">
        <w:tab/>
        <w:t>Finalise Data Entry for End of Year (31 December)</w:t>
      </w:r>
    </w:p>
    <w:p w14:paraId="07EF382F" w14:textId="77777777" w:rsidR="001C3FFB" w:rsidRPr="005C757E" w:rsidRDefault="00842B3B" w:rsidP="001C3FFB">
      <w:pPr>
        <w:pStyle w:val="Heading3"/>
      </w:pPr>
      <w:r w:rsidRPr="005C757E">
        <w:t>17.4.1</w:t>
      </w:r>
      <w:r w:rsidRPr="005C757E">
        <w:tab/>
        <w:t>Mandatory policy (Must do):</w:t>
      </w:r>
    </w:p>
    <w:tbl>
      <w:tblPr>
        <w:tblW w:w="915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containing sequence numbers and policy information"/>
      </w:tblPr>
      <w:tblGrid>
        <w:gridCol w:w="1134"/>
        <w:gridCol w:w="7088"/>
        <w:gridCol w:w="930"/>
      </w:tblGrid>
      <w:tr w:rsidR="00DF168D" w:rsidRPr="0091756B" w14:paraId="22BB39DA" w14:textId="0302FDAA" w:rsidTr="009B3C58">
        <w:trPr>
          <w:trHeight w:val="567"/>
          <w:tblHeader/>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2B53DB42" w14:textId="77777777" w:rsidR="00DF168D" w:rsidRPr="00D60EB6" w:rsidRDefault="00DF168D" w:rsidP="00CC1676">
            <w:pPr>
              <w:rPr>
                <w:b/>
                <w:sz w:val="18"/>
              </w:rPr>
            </w:pPr>
            <w:r w:rsidRPr="00D60EB6">
              <w:rPr>
                <w:b/>
                <w:sz w:val="18"/>
              </w:rPr>
              <w:t>Sequence Numbers</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4B0F3D9B" w14:textId="77777777" w:rsidR="00DF168D" w:rsidRPr="00E0071A" w:rsidRDefault="00DF168D" w:rsidP="00CC1676">
            <w:pPr>
              <w:rPr>
                <w:b/>
                <w:sz w:val="20"/>
                <w:szCs w:val="20"/>
              </w:rPr>
            </w:pPr>
            <w:r w:rsidRPr="00E0071A">
              <w:rPr>
                <w:b/>
                <w:sz w:val="20"/>
                <w:szCs w:val="20"/>
              </w:rPr>
              <w:t>Information</w:t>
            </w:r>
          </w:p>
        </w:tc>
        <w:tc>
          <w:tcPr>
            <w:tcW w:w="930" w:type="dxa"/>
            <w:tcBorders>
              <w:top w:val="nil"/>
              <w:left w:val="single" w:sz="4" w:space="0" w:color="auto"/>
              <w:bottom w:val="single" w:sz="4" w:space="0" w:color="auto"/>
              <w:right w:val="nil"/>
            </w:tcBorders>
          </w:tcPr>
          <w:p w14:paraId="24CA1F4D" w14:textId="77777777" w:rsidR="00DF168D" w:rsidRPr="00D60EB6" w:rsidRDefault="00DF168D" w:rsidP="00CC1676">
            <w:pPr>
              <w:rPr>
                <w:b/>
              </w:rPr>
            </w:pPr>
          </w:p>
        </w:tc>
      </w:tr>
      <w:tr w:rsidR="00DF168D" w:rsidRPr="005C757E" w14:paraId="28122C6E" w14:textId="791F9DD2" w:rsidTr="009B3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2"/>
        </w:trPr>
        <w:tc>
          <w:tcPr>
            <w:tcW w:w="1134" w:type="dxa"/>
            <w:tcBorders>
              <w:top w:val="single" w:sz="4" w:space="0" w:color="auto"/>
              <w:left w:val="single" w:sz="4" w:space="0" w:color="auto"/>
              <w:bottom w:val="single" w:sz="4" w:space="0" w:color="auto"/>
              <w:right w:val="single" w:sz="4" w:space="0" w:color="auto"/>
            </w:tcBorders>
          </w:tcPr>
          <w:p w14:paraId="7F4B07DC" w14:textId="77777777" w:rsidR="00DF168D" w:rsidRPr="005C757E" w:rsidRDefault="00DF168D" w:rsidP="00047F36">
            <w:r w:rsidRPr="005C757E">
              <w:t>17.4.1.1</w:t>
            </w:r>
          </w:p>
        </w:tc>
        <w:tc>
          <w:tcPr>
            <w:tcW w:w="7088" w:type="dxa"/>
            <w:tcBorders>
              <w:top w:val="single" w:sz="4" w:space="0" w:color="auto"/>
              <w:left w:val="single" w:sz="4" w:space="0" w:color="auto"/>
              <w:bottom w:val="single" w:sz="4" w:space="0" w:color="auto"/>
              <w:right w:val="single" w:sz="4" w:space="0" w:color="auto"/>
            </w:tcBorders>
          </w:tcPr>
          <w:p w14:paraId="7C798A3D" w14:textId="77777777" w:rsidR="00DF168D" w:rsidRPr="005C757E" w:rsidRDefault="00DF168D" w:rsidP="00FC7AE7">
            <w:r w:rsidRPr="005C757E">
              <w:t>Data entry in CASES21 against the new period must not commence until the End of Year (EOY) processes for the current year are completed. Normal batches can continue to be created and updated in the current period even though the CASES21 system date may be in a future period.</w:t>
            </w:r>
          </w:p>
        </w:tc>
        <w:tc>
          <w:tcPr>
            <w:tcW w:w="930" w:type="dxa"/>
            <w:tcBorders>
              <w:top w:val="single" w:sz="4" w:space="0" w:color="auto"/>
              <w:left w:val="single" w:sz="4" w:space="0" w:color="auto"/>
              <w:bottom w:val="single" w:sz="4" w:space="0" w:color="auto"/>
              <w:right w:val="single" w:sz="4" w:space="0" w:color="auto"/>
            </w:tcBorders>
          </w:tcPr>
          <w:p w14:paraId="4CF671C2" w14:textId="77777777" w:rsidR="00DF168D" w:rsidRPr="005C757E" w:rsidRDefault="00DF168D" w:rsidP="00FC7AE7"/>
        </w:tc>
      </w:tr>
      <w:tr w:rsidR="00DF168D" w:rsidRPr="005C757E" w14:paraId="71FB823A" w14:textId="2576EBAE" w:rsidTr="009B3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37"/>
        </w:trPr>
        <w:tc>
          <w:tcPr>
            <w:tcW w:w="1134" w:type="dxa"/>
            <w:tcBorders>
              <w:top w:val="single" w:sz="4" w:space="0" w:color="auto"/>
              <w:left w:val="single" w:sz="4" w:space="0" w:color="auto"/>
              <w:bottom w:val="single" w:sz="4" w:space="0" w:color="auto"/>
              <w:right w:val="single" w:sz="4" w:space="0" w:color="auto"/>
            </w:tcBorders>
          </w:tcPr>
          <w:p w14:paraId="5C3F4223" w14:textId="77777777" w:rsidR="00DF168D" w:rsidRPr="005C757E" w:rsidRDefault="00DF168D" w:rsidP="00A40AFB">
            <w:r w:rsidRPr="005C757E">
              <w:t>17.4.1.2</w:t>
            </w:r>
          </w:p>
        </w:tc>
        <w:tc>
          <w:tcPr>
            <w:tcW w:w="7088" w:type="dxa"/>
            <w:tcBorders>
              <w:top w:val="single" w:sz="4" w:space="0" w:color="auto"/>
              <w:left w:val="single" w:sz="4" w:space="0" w:color="auto"/>
              <w:bottom w:val="single" w:sz="4" w:space="0" w:color="auto"/>
              <w:right w:val="single" w:sz="4" w:space="0" w:color="auto"/>
            </w:tcBorders>
          </w:tcPr>
          <w:p w14:paraId="01D9322D" w14:textId="6EF3BD0F" w:rsidR="00DF168D" w:rsidRPr="005C757E" w:rsidRDefault="00DF168D" w:rsidP="00A156FE">
            <w:r w:rsidRPr="005C757E">
              <w:t>Schools must create a folder to store CASES21 FINANCE EOY files. For example: Name of file CASES21 FINANCE EOY YYYY files.</w:t>
            </w:r>
          </w:p>
        </w:tc>
        <w:tc>
          <w:tcPr>
            <w:tcW w:w="930" w:type="dxa"/>
            <w:tcBorders>
              <w:top w:val="single" w:sz="4" w:space="0" w:color="auto"/>
              <w:left w:val="single" w:sz="4" w:space="0" w:color="auto"/>
              <w:bottom w:val="single" w:sz="4" w:space="0" w:color="auto"/>
              <w:right w:val="single" w:sz="4" w:space="0" w:color="auto"/>
            </w:tcBorders>
          </w:tcPr>
          <w:p w14:paraId="5E3C41A2" w14:textId="77777777" w:rsidR="00DF168D" w:rsidRPr="005C757E" w:rsidRDefault="00DF168D" w:rsidP="00A91DB7"/>
        </w:tc>
      </w:tr>
      <w:tr w:rsidR="00DF168D" w:rsidRPr="005C757E" w14:paraId="521A9FB3" w14:textId="48AED25F" w:rsidTr="009B3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9"/>
        </w:trPr>
        <w:tc>
          <w:tcPr>
            <w:tcW w:w="1134" w:type="dxa"/>
            <w:tcBorders>
              <w:top w:val="single" w:sz="4" w:space="0" w:color="auto"/>
              <w:left w:val="single" w:sz="4" w:space="0" w:color="auto"/>
              <w:bottom w:val="single" w:sz="4" w:space="0" w:color="auto"/>
              <w:right w:val="single" w:sz="4" w:space="0" w:color="auto"/>
            </w:tcBorders>
          </w:tcPr>
          <w:p w14:paraId="58BFD4EF" w14:textId="77777777" w:rsidR="00DF168D" w:rsidRPr="005C757E" w:rsidRDefault="00DF168D" w:rsidP="004B3D42">
            <w:r w:rsidRPr="005C757E">
              <w:t>17.4.1.3</w:t>
            </w:r>
          </w:p>
        </w:tc>
        <w:tc>
          <w:tcPr>
            <w:tcW w:w="7088" w:type="dxa"/>
            <w:tcBorders>
              <w:top w:val="single" w:sz="4" w:space="0" w:color="auto"/>
              <w:left w:val="single" w:sz="4" w:space="0" w:color="auto"/>
              <w:bottom w:val="single" w:sz="4" w:space="0" w:color="auto"/>
              <w:right w:val="single" w:sz="4" w:space="0" w:color="auto"/>
            </w:tcBorders>
          </w:tcPr>
          <w:p w14:paraId="5258B8B4" w14:textId="77777777" w:rsidR="00DF168D" w:rsidRPr="005C757E" w:rsidRDefault="00DF168D" w:rsidP="00084A35">
            <w:r w:rsidRPr="005C757E">
              <w:t xml:space="preserve">A folder must be created on the P:\ Drive to store the CASES21 reports as referred to in </w:t>
            </w:r>
            <w:hyperlink r:id="rId13" w:history="1">
              <w:r w:rsidRPr="00BC6B52">
                <w:rPr>
                  <w:rStyle w:val="Hyperlink"/>
                </w:rPr>
                <w:t>CASES21 Finance Business Process Guide Section 11 – End of Year</w:t>
              </w:r>
            </w:hyperlink>
            <w:r w:rsidRPr="005C757E">
              <w:t>. A copy of the whole folder must be made from P:\ drive back to the school’s U:\ drive.</w:t>
            </w:r>
          </w:p>
        </w:tc>
        <w:tc>
          <w:tcPr>
            <w:tcW w:w="930" w:type="dxa"/>
            <w:tcBorders>
              <w:top w:val="single" w:sz="4" w:space="0" w:color="auto"/>
              <w:left w:val="single" w:sz="4" w:space="0" w:color="auto"/>
              <w:bottom w:val="single" w:sz="4" w:space="0" w:color="auto"/>
              <w:right w:val="single" w:sz="4" w:space="0" w:color="auto"/>
            </w:tcBorders>
          </w:tcPr>
          <w:p w14:paraId="75C95D47" w14:textId="77777777" w:rsidR="00DF168D" w:rsidRPr="005C757E" w:rsidRDefault="00DF168D" w:rsidP="00084A35"/>
        </w:tc>
      </w:tr>
      <w:tr w:rsidR="00DF168D" w:rsidRPr="005C757E" w14:paraId="52517B0C" w14:textId="490C53AB" w:rsidTr="009B3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0"/>
        </w:trPr>
        <w:tc>
          <w:tcPr>
            <w:tcW w:w="1134" w:type="dxa"/>
            <w:tcBorders>
              <w:top w:val="single" w:sz="4" w:space="0" w:color="auto"/>
              <w:left w:val="single" w:sz="4" w:space="0" w:color="auto"/>
              <w:bottom w:val="single" w:sz="4" w:space="0" w:color="auto"/>
              <w:right w:val="single" w:sz="4" w:space="0" w:color="auto"/>
            </w:tcBorders>
          </w:tcPr>
          <w:p w14:paraId="626D7017" w14:textId="77777777" w:rsidR="00DF168D" w:rsidRPr="005C757E" w:rsidRDefault="00DF168D" w:rsidP="004B3D42">
            <w:r w:rsidRPr="005C757E">
              <w:t>17.4.1.4</w:t>
            </w:r>
          </w:p>
        </w:tc>
        <w:tc>
          <w:tcPr>
            <w:tcW w:w="7088" w:type="dxa"/>
            <w:tcBorders>
              <w:top w:val="single" w:sz="4" w:space="0" w:color="auto"/>
              <w:left w:val="single" w:sz="4" w:space="0" w:color="auto"/>
              <w:bottom w:val="single" w:sz="4" w:space="0" w:color="auto"/>
              <w:right w:val="single" w:sz="4" w:space="0" w:color="auto"/>
            </w:tcBorders>
          </w:tcPr>
          <w:p w14:paraId="1B7208EF" w14:textId="77777777" w:rsidR="00DF168D" w:rsidRPr="005C757E" w:rsidRDefault="00DF168D" w:rsidP="00FC7AE7">
            <w:r w:rsidRPr="005C757E">
              <w:t>Reports must be printed to file as part of the Finance End of Year process and must be stored in this folder. This means that all files will be in the same location. By saving the files on the P:\ drive means they will be included in the normal automated backup performed centrally overnight.</w:t>
            </w:r>
          </w:p>
          <w:p w14:paraId="00CD85DB" w14:textId="77777777" w:rsidR="00DF168D" w:rsidRPr="005C757E" w:rsidRDefault="00DF168D" w:rsidP="00A91DB7">
            <w:r w:rsidRPr="005C757E">
              <w:t xml:space="preserve">Refer to Appendix A: Saving CASES21 FINANCE EOY YYYY files in </w:t>
            </w:r>
            <w:hyperlink r:id="rId14" w:history="1">
              <w:r w:rsidRPr="00BC6B52">
                <w:rPr>
                  <w:rStyle w:val="Hyperlink"/>
                </w:rPr>
                <w:t>CASES21 Finance Business Process Guide Section 11 – End of Year</w:t>
              </w:r>
            </w:hyperlink>
            <w:r w:rsidRPr="005C757E">
              <w:t xml:space="preserve"> </w:t>
            </w:r>
            <w:hyperlink r:id="rId15" w:history="1"/>
            <w:r w:rsidRPr="005C757E">
              <w:t>for further guidance.</w:t>
            </w:r>
          </w:p>
        </w:tc>
        <w:tc>
          <w:tcPr>
            <w:tcW w:w="930" w:type="dxa"/>
            <w:tcBorders>
              <w:top w:val="single" w:sz="4" w:space="0" w:color="auto"/>
              <w:left w:val="single" w:sz="4" w:space="0" w:color="auto"/>
              <w:bottom w:val="single" w:sz="4" w:space="0" w:color="auto"/>
              <w:right w:val="single" w:sz="4" w:space="0" w:color="auto"/>
            </w:tcBorders>
          </w:tcPr>
          <w:p w14:paraId="78F2B018" w14:textId="77777777" w:rsidR="00DF168D" w:rsidRPr="005C757E" w:rsidRDefault="00DF168D" w:rsidP="00FC7AE7"/>
        </w:tc>
      </w:tr>
    </w:tbl>
    <w:p w14:paraId="1AEA61B7" w14:textId="77777777" w:rsidR="002E27CD" w:rsidRPr="005C757E" w:rsidRDefault="002E27CD" w:rsidP="0056601B">
      <w:pPr>
        <w:jc w:val="both"/>
      </w:pPr>
    </w:p>
    <w:p w14:paraId="2CB3619A" w14:textId="77777777" w:rsidR="00126A52" w:rsidRPr="005C757E" w:rsidRDefault="00842B3B" w:rsidP="00126A52">
      <w:pPr>
        <w:pStyle w:val="Heading2"/>
      </w:pPr>
      <w:r w:rsidRPr="005C757E">
        <w:t>17.5</w:t>
      </w:r>
      <w:r w:rsidRPr="005C757E">
        <w:tab/>
        <w:t xml:space="preserve">End of </w:t>
      </w:r>
      <w:r w:rsidR="00A61E6F" w:rsidRPr="005C757E">
        <w:t xml:space="preserve">Year </w:t>
      </w:r>
      <w:r w:rsidR="00A61E6F">
        <w:t>Process</w:t>
      </w:r>
    </w:p>
    <w:p w14:paraId="78B42CA8" w14:textId="77777777" w:rsidR="00126A52" w:rsidRPr="005C757E" w:rsidRDefault="00126A52" w:rsidP="00126A52">
      <w:pPr>
        <w:pStyle w:val="Heading3"/>
      </w:pPr>
      <w:r w:rsidRPr="005C757E">
        <w:t>Creditors</w:t>
      </w:r>
      <w:r w:rsidR="00616951" w:rsidRPr="005C757E">
        <w:t xml:space="preserve"> </w:t>
      </w:r>
      <w:r w:rsidR="002E27CD" w:rsidRPr="005C757E">
        <w:t>(Accounts Payable)</w:t>
      </w:r>
    </w:p>
    <w:p w14:paraId="33220F76" w14:textId="77777777" w:rsidR="002B6F0E" w:rsidRPr="005C757E" w:rsidRDefault="002B6F0E" w:rsidP="002E27CD">
      <w:r w:rsidRPr="005C757E">
        <w:t>As part of best practice financial managemen</w:t>
      </w:r>
      <w:r w:rsidR="002E27CD" w:rsidRPr="005C757E">
        <w:t xml:space="preserve">t, schools </w:t>
      </w:r>
      <w:r w:rsidR="00D641EA" w:rsidRPr="005C757E">
        <w:t>must r</w:t>
      </w:r>
      <w:r w:rsidR="002E27CD" w:rsidRPr="005C757E">
        <w:t>evie</w:t>
      </w:r>
      <w:r w:rsidRPr="005C757E">
        <w:t xml:space="preserve">w </w:t>
      </w:r>
      <w:r w:rsidR="00641616" w:rsidRPr="005C757E">
        <w:t xml:space="preserve">regularly (preferably monthly) </w:t>
      </w:r>
      <w:r w:rsidRPr="005C757E">
        <w:t xml:space="preserve">all </w:t>
      </w:r>
      <w:r w:rsidR="001064C7" w:rsidRPr="005C757E">
        <w:t>creditor balances</w:t>
      </w:r>
      <w:r w:rsidR="00641616" w:rsidRPr="005C757E">
        <w:t xml:space="preserve">. </w:t>
      </w:r>
      <w:r w:rsidRPr="005C757E">
        <w:t xml:space="preserve">This includes reviewing invoices processed in </w:t>
      </w:r>
      <w:r w:rsidR="00BF5866" w:rsidRPr="005C757E">
        <w:t>creditors (</w:t>
      </w:r>
      <w:r w:rsidRPr="005C757E">
        <w:t>accounts payable</w:t>
      </w:r>
      <w:r w:rsidR="00BF5866" w:rsidRPr="005C757E">
        <w:t xml:space="preserve">) </w:t>
      </w:r>
      <w:r w:rsidRPr="005C757E">
        <w:t>to ensure the most accurate and up-to-date information is available.</w:t>
      </w:r>
    </w:p>
    <w:p w14:paraId="6AC4916D" w14:textId="77777777" w:rsidR="00CC1676" w:rsidRDefault="00CC1676" w:rsidP="002B6F0E">
      <w:pPr>
        <w:pStyle w:val="Heading3"/>
      </w:pPr>
    </w:p>
    <w:p w14:paraId="59766E50" w14:textId="77777777" w:rsidR="00CC1676" w:rsidRDefault="00CC1676" w:rsidP="002B6F0E">
      <w:pPr>
        <w:pStyle w:val="Heading3"/>
      </w:pPr>
    </w:p>
    <w:p w14:paraId="0046FBC2" w14:textId="77777777" w:rsidR="00CC1676" w:rsidRDefault="00CC1676" w:rsidP="002B6F0E">
      <w:pPr>
        <w:pStyle w:val="Heading3"/>
      </w:pPr>
    </w:p>
    <w:p w14:paraId="478BD5C4" w14:textId="77777777" w:rsidR="00CC1676" w:rsidRDefault="00CC1676" w:rsidP="002B6F0E">
      <w:pPr>
        <w:pStyle w:val="Heading3"/>
      </w:pPr>
    </w:p>
    <w:p w14:paraId="3CB7E108" w14:textId="30E475E6" w:rsidR="002B6F0E" w:rsidRPr="005C757E" w:rsidRDefault="002B6F0E" w:rsidP="002B6F0E">
      <w:pPr>
        <w:pStyle w:val="Heading3"/>
      </w:pPr>
      <w:r w:rsidRPr="005C757E">
        <w:lastRenderedPageBreak/>
        <w:t>1</w:t>
      </w:r>
      <w:r w:rsidR="00CA3EFC" w:rsidRPr="005C757E">
        <w:t>7</w:t>
      </w:r>
      <w:r w:rsidRPr="005C757E">
        <w:t>.</w:t>
      </w:r>
      <w:r w:rsidR="002E27CD" w:rsidRPr="005C757E">
        <w:t>5</w:t>
      </w:r>
      <w:r w:rsidRPr="005C757E">
        <w:t>.</w:t>
      </w:r>
      <w:r w:rsidR="00FE3FA2" w:rsidRPr="005C757E">
        <w:t>1</w:t>
      </w:r>
      <w:r w:rsidRPr="005C757E">
        <w:tab/>
        <w:t>Mandatory policy (Must do):</w:t>
      </w:r>
    </w:p>
    <w:p w14:paraId="7540CE76" w14:textId="77777777" w:rsidR="002B6F0E" w:rsidRPr="005C757E" w:rsidRDefault="002E27CD" w:rsidP="002B6F0E">
      <w:pPr>
        <w:pStyle w:val="Heading3"/>
      </w:pPr>
      <w:r w:rsidRPr="005C757E">
        <w:t>Creditor balances (</w:t>
      </w:r>
      <w:r w:rsidR="002B6F0E" w:rsidRPr="005C757E">
        <w:t>Accounts Payable</w:t>
      </w:r>
      <w:r w:rsidRPr="005C757E">
        <w:t>)</w:t>
      </w:r>
    </w:p>
    <w:tbl>
      <w:tblPr>
        <w:tblW w:w="915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containing sequence numbers and policy informatin"/>
      </w:tblPr>
      <w:tblGrid>
        <w:gridCol w:w="1134"/>
        <w:gridCol w:w="7088"/>
        <w:gridCol w:w="930"/>
      </w:tblGrid>
      <w:tr w:rsidR="00DF168D" w:rsidRPr="0091756B" w14:paraId="4AF5D41D" w14:textId="1CB4ADEF" w:rsidTr="009B3C58">
        <w:trPr>
          <w:trHeight w:val="567"/>
          <w:tblHeader/>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3C2C2EC" w14:textId="77777777" w:rsidR="00DF168D" w:rsidRPr="00D60EB6" w:rsidRDefault="00DF168D" w:rsidP="00CC1676">
            <w:pPr>
              <w:rPr>
                <w:b/>
                <w:sz w:val="18"/>
              </w:rPr>
            </w:pPr>
            <w:r w:rsidRPr="00D60EB6">
              <w:rPr>
                <w:b/>
                <w:sz w:val="18"/>
              </w:rPr>
              <w:t>Sequence Numbers</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51BC96E6" w14:textId="77777777" w:rsidR="00DF168D" w:rsidRPr="00E0071A" w:rsidRDefault="00DF168D" w:rsidP="00CC1676">
            <w:pPr>
              <w:rPr>
                <w:b/>
                <w:sz w:val="20"/>
                <w:szCs w:val="20"/>
              </w:rPr>
            </w:pPr>
            <w:r w:rsidRPr="00E0071A">
              <w:rPr>
                <w:b/>
                <w:sz w:val="20"/>
                <w:szCs w:val="20"/>
              </w:rPr>
              <w:t>Information</w:t>
            </w:r>
          </w:p>
        </w:tc>
        <w:tc>
          <w:tcPr>
            <w:tcW w:w="930" w:type="dxa"/>
            <w:tcBorders>
              <w:top w:val="nil"/>
              <w:left w:val="single" w:sz="4" w:space="0" w:color="auto"/>
              <w:bottom w:val="single" w:sz="4" w:space="0" w:color="auto"/>
              <w:right w:val="nil"/>
            </w:tcBorders>
          </w:tcPr>
          <w:p w14:paraId="5A8167DD" w14:textId="77777777" w:rsidR="00DF168D" w:rsidRPr="00D60EB6" w:rsidRDefault="00DF168D" w:rsidP="00CC1676">
            <w:pPr>
              <w:rPr>
                <w:b/>
              </w:rPr>
            </w:pPr>
          </w:p>
        </w:tc>
      </w:tr>
      <w:tr w:rsidR="00DF168D" w:rsidRPr="005C757E" w14:paraId="7AA046C4" w14:textId="317A7269" w:rsidTr="009B3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1134" w:type="dxa"/>
            <w:tcBorders>
              <w:top w:val="single" w:sz="4" w:space="0" w:color="auto"/>
              <w:left w:val="single" w:sz="4" w:space="0" w:color="auto"/>
              <w:bottom w:val="single" w:sz="4" w:space="0" w:color="auto"/>
              <w:right w:val="single" w:sz="4" w:space="0" w:color="auto"/>
            </w:tcBorders>
          </w:tcPr>
          <w:p w14:paraId="523D8DE9" w14:textId="77777777" w:rsidR="00DF168D" w:rsidRPr="005C757E" w:rsidRDefault="00DF168D" w:rsidP="008A7B42">
            <w:r w:rsidRPr="005C757E">
              <w:t>17.5.1.1</w:t>
            </w:r>
          </w:p>
        </w:tc>
        <w:tc>
          <w:tcPr>
            <w:tcW w:w="7088" w:type="dxa"/>
            <w:tcBorders>
              <w:top w:val="single" w:sz="4" w:space="0" w:color="auto"/>
              <w:left w:val="single" w:sz="4" w:space="0" w:color="auto"/>
              <w:bottom w:val="single" w:sz="4" w:space="0" w:color="auto"/>
              <w:right w:val="single" w:sz="4" w:space="0" w:color="auto"/>
            </w:tcBorders>
          </w:tcPr>
          <w:p w14:paraId="1E7A0607" w14:textId="77777777" w:rsidR="00DF168D" w:rsidRPr="005C757E" w:rsidRDefault="00DF168D" w:rsidP="00FE6F46">
            <w:r w:rsidRPr="005C757E">
              <w:t>All unpaid invoices as at the 31 December must be entered into the month of December in CASES21 creditors (accounts payable module). This does not mean that the payment needs to be made from the bank, only that the invoices received are entered into CASES21. Payments against the bank are still made within the terms of the purchase.</w:t>
            </w:r>
          </w:p>
        </w:tc>
        <w:tc>
          <w:tcPr>
            <w:tcW w:w="930" w:type="dxa"/>
            <w:tcBorders>
              <w:top w:val="single" w:sz="4" w:space="0" w:color="auto"/>
              <w:left w:val="single" w:sz="4" w:space="0" w:color="auto"/>
              <w:bottom w:val="single" w:sz="4" w:space="0" w:color="auto"/>
              <w:right w:val="single" w:sz="4" w:space="0" w:color="auto"/>
            </w:tcBorders>
          </w:tcPr>
          <w:p w14:paraId="4183F9EA" w14:textId="77777777" w:rsidR="00DF168D" w:rsidRPr="005C757E" w:rsidRDefault="00DF168D" w:rsidP="00FE6F46"/>
        </w:tc>
      </w:tr>
      <w:tr w:rsidR="00DF168D" w:rsidRPr="0096332A" w14:paraId="70EACE9D" w14:textId="7F1762B1" w:rsidTr="009B3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64"/>
        </w:trPr>
        <w:tc>
          <w:tcPr>
            <w:tcW w:w="1134" w:type="dxa"/>
            <w:tcBorders>
              <w:top w:val="single" w:sz="4" w:space="0" w:color="auto"/>
              <w:left w:val="single" w:sz="4" w:space="0" w:color="auto"/>
              <w:bottom w:val="single" w:sz="4" w:space="0" w:color="auto"/>
              <w:right w:val="single" w:sz="4" w:space="0" w:color="auto"/>
            </w:tcBorders>
          </w:tcPr>
          <w:p w14:paraId="71C7C622" w14:textId="77777777" w:rsidR="00DF168D" w:rsidRPr="005C757E" w:rsidRDefault="00DF168D" w:rsidP="0004534D">
            <w:r w:rsidRPr="005C757E">
              <w:t>17.5.1.2</w:t>
            </w:r>
          </w:p>
        </w:tc>
        <w:tc>
          <w:tcPr>
            <w:tcW w:w="7088" w:type="dxa"/>
            <w:tcBorders>
              <w:top w:val="single" w:sz="4" w:space="0" w:color="auto"/>
              <w:left w:val="single" w:sz="4" w:space="0" w:color="auto"/>
              <w:bottom w:val="single" w:sz="4" w:space="0" w:color="auto"/>
              <w:right w:val="single" w:sz="4" w:space="0" w:color="auto"/>
            </w:tcBorders>
          </w:tcPr>
          <w:p w14:paraId="18090D26" w14:textId="77777777" w:rsidR="00DF168D" w:rsidRDefault="00DF168D" w:rsidP="0004534D">
            <w:r w:rsidRPr="005C757E">
              <w:t>Creditor invoices that relate to next year must be entered on the system prior to rollover into the New Year. This will ensure that the school reflects the current year’s expenditure in the correct year.</w:t>
            </w:r>
          </w:p>
        </w:tc>
        <w:tc>
          <w:tcPr>
            <w:tcW w:w="930" w:type="dxa"/>
            <w:tcBorders>
              <w:top w:val="single" w:sz="4" w:space="0" w:color="auto"/>
              <w:left w:val="single" w:sz="4" w:space="0" w:color="auto"/>
              <w:bottom w:val="single" w:sz="4" w:space="0" w:color="auto"/>
              <w:right w:val="single" w:sz="4" w:space="0" w:color="auto"/>
            </w:tcBorders>
          </w:tcPr>
          <w:p w14:paraId="3F321497" w14:textId="77777777" w:rsidR="00DF168D" w:rsidRPr="005C757E" w:rsidRDefault="00DF168D" w:rsidP="0004534D"/>
        </w:tc>
      </w:tr>
      <w:tr w:rsidR="00DF168D" w:rsidRPr="0096332A" w14:paraId="6F9FA65F" w14:textId="7F4CBB18" w:rsidTr="009B3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37"/>
        </w:trPr>
        <w:tc>
          <w:tcPr>
            <w:tcW w:w="1134" w:type="dxa"/>
            <w:tcBorders>
              <w:top w:val="single" w:sz="4" w:space="0" w:color="auto"/>
              <w:left w:val="single" w:sz="4" w:space="0" w:color="auto"/>
              <w:bottom w:val="single" w:sz="4" w:space="0" w:color="auto"/>
              <w:right w:val="single" w:sz="4" w:space="0" w:color="auto"/>
            </w:tcBorders>
          </w:tcPr>
          <w:p w14:paraId="7B05481B" w14:textId="77777777" w:rsidR="00DF168D" w:rsidRPr="00FE3FA2" w:rsidRDefault="00DF168D" w:rsidP="00D929AF">
            <w:r w:rsidRPr="00FE3FA2">
              <w:t>17.</w:t>
            </w:r>
            <w:r>
              <w:t>5</w:t>
            </w:r>
            <w:r w:rsidRPr="00FE3FA2">
              <w:t>.1.3</w:t>
            </w:r>
          </w:p>
        </w:tc>
        <w:tc>
          <w:tcPr>
            <w:tcW w:w="7088" w:type="dxa"/>
            <w:tcBorders>
              <w:top w:val="single" w:sz="4" w:space="0" w:color="auto"/>
              <w:left w:val="single" w:sz="4" w:space="0" w:color="auto"/>
              <w:bottom w:val="single" w:sz="4" w:space="0" w:color="auto"/>
              <w:right w:val="single" w:sz="4" w:space="0" w:color="auto"/>
            </w:tcBorders>
          </w:tcPr>
          <w:p w14:paraId="14AC2361" w14:textId="77777777" w:rsidR="00DF168D" w:rsidRPr="0096332A" w:rsidRDefault="00DF168D" w:rsidP="00AC3C1B">
            <w:r>
              <w:t>A</w:t>
            </w:r>
            <w:r w:rsidRPr="0096332A">
              <w:t xml:space="preserve">ll </w:t>
            </w:r>
            <w:r>
              <w:t xml:space="preserve">creditor balances must </w:t>
            </w:r>
            <w:r w:rsidRPr="0096332A">
              <w:t xml:space="preserve">be reviewed </w:t>
            </w:r>
            <w:r>
              <w:t xml:space="preserve">(preferably monthly) </w:t>
            </w:r>
            <w:r w:rsidRPr="0096332A">
              <w:t>to ensure only current balances are recogni</w:t>
            </w:r>
            <w:r>
              <w:t>s</w:t>
            </w:r>
            <w:r w:rsidRPr="0096332A">
              <w:t>ed in CASES21</w:t>
            </w:r>
            <w:r>
              <w:t xml:space="preserve">. </w:t>
            </w:r>
          </w:p>
        </w:tc>
        <w:tc>
          <w:tcPr>
            <w:tcW w:w="930" w:type="dxa"/>
            <w:tcBorders>
              <w:top w:val="single" w:sz="4" w:space="0" w:color="auto"/>
              <w:left w:val="single" w:sz="4" w:space="0" w:color="auto"/>
              <w:bottom w:val="single" w:sz="4" w:space="0" w:color="auto"/>
              <w:right w:val="single" w:sz="4" w:space="0" w:color="auto"/>
            </w:tcBorders>
          </w:tcPr>
          <w:p w14:paraId="3DB28A8B" w14:textId="77777777" w:rsidR="00DF168D" w:rsidRDefault="00DF168D" w:rsidP="00AC3C1B"/>
        </w:tc>
      </w:tr>
      <w:tr w:rsidR="00DF168D" w:rsidRPr="00D063A5" w14:paraId="7F23970B" w14:textId="0579D609" w:rsidTr="009B3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37"/>
        </w:trPr>
        <w:tc>
          <w:tcPr>
            <w:tcW w:w="1134" w:type="dxa"/>
            <w:tcBorders>
              <w:top w:val="single" w:sz="4" w:space="0" w:color="auto"/>
              <w:left w:val="single" w:sz="4" w:space="0" w:color="auto"/>
              <w:bottom w:val="single" w:sz="4" w:space="0" w:color="auto"/>
              <w:right w:val="single" w:sz="4" w:space="0" w:color="auto"/>
            </w:tcBorders>
          </w:tcPr>
          <w:p w14:paraId="5ABE7489" w14:textId="77777777" w:rsidR="00DF168D" w:rsidRPr="00FE3FA2" w:rsidRDefault="00DF168D" w:rsidP="00D929AF">
            <w:r w:rsidRPr="00FE3FA2">
              <w:t>17.</w:t>
            </w:r>
            <w:r>
              <w:t>5</w:t>
            </w:r>
            <w:r w:rsidRPr="00FE3FA2">
              <w:t>.1.4</w:t>
            </w:r>
          </w:p>
        </w:tc>
        <w:tc>
          <w:tcPr>
            <w:tcW w:w="7088" w:type="dxa"/>
            <w:tcBorders>
              <w:top w:val="single" w:sz="4" w:space="0" w:color="auto"/>
              <w:left w:val="single" w:sz="4" w:space="0" w:color="auto"/>
              <w:bottom w:val="single" w:sz="4" w:space="0" w:color="auto"/>
              <w:right w:val="single" w:sz="4" w:space="0" w:color="auto"/>
            </w:tcBorders>
          </w:tcPr>
          <w:p w14:paraId="57898682" w14:textId="77777777" w:rsidR="00DF168D" w:rsidRPr="00D063A5" w:rsidRDefault="00DF168D" w:rsidP="00B97D9F">
            <w:pPr>
              <w:rPr>
                <w:highlight w:val="yellow"/>
              </w:rPr>
            </w:pPr>
            <w:r>
              <w:t xml:space="preserve">The </w:t>
            </w:r>
            <w:r w:rsidRPr="00BF5866">
              <w:t xml:space="preserve">validity of </w:t>
            </w:r>
            <w:r>
              <w:t xml:space="preserve">orders, </w:t>
            </w:r>
            <w:r w:rsidRPr="00BF5866">
              <w:t xml:space="preserve">outstanding creditor invoices and creditor credit notes </w:t>
            </w:r>
            <w:r>
              <w:t xml:space="preserve">must be checked </w:t>
            </w:r>
            <w:r w:rsidRPr="00BF5866">
              <w:t xml:space="preserve">as these will transfer into the </w:t>
            </w:r>
            <w:r>
              <w:t>N</w:t>
            </w:r>
            <w:r w:rsidRPr="00BF5866">
              <w:t xml:space="preserve">ew </w:t>
            </w:r>
            <w:r>
              <w:t>Y</w:t>
            </w:r>
            <w:r w:rsidRPr="00BF5866">
              <w:t>ear.</w:t>
            </w:r>
          </w:p>
        </w:tc>
        <w:tc>
          <w:tcPr>
            <w:tcW w:w="930" w:type="dxa"/>
            <w:tcBorders>
              <w:top w:val="single" w:sz="4" w:space="0" w:color="auto"/>
              <w:left w:val="single" w:sz="4" w:space="0" w:color="auto"/>
              <w:bottom w:val="single" w:sz="4" w:space="0" w:color="auto"/>
              <w:right w:val="single" w:sz="4" w:space="0" w:color="auto"/>
            </w:tcBorders>
          </w:tcPr>
          <w:p w14:paraId="2E14BB16" w14:textId="77777777" w:rsidR="00DF168D" w:rsidRDefault="00DF168D" w:rsidP="00B97D9F"/>
        </w:tc>
      </w:tr>
      <w:tr w:rsidR="00DF168D" w:rsidRPr="00D063A5" w14:paraId="73D4D655" w14:textId="6C5A0E16" w:rsidTr="009B3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7"/>
        </w:trPr>
        <w:tc>
          <w:tcPr>
            <w:tcW w:w="1134" w:type="dxa"/>
            <w:tcBorders>
              <w:top w:val="single" w:sz="4" w:space="0" w:color="auto"/>
              <w:left w:val="single" w:sz="4" w:space="0" w:color="auto"/>
              <w:bottom w:val="single" w:sz="4" w:space="0" w:color="auto"/>
              <w:right w:val="single" w:sz="4" w:space="0" w:color="auto"/>
            </w:tcBorders>
          </w:tcPr>
          <w:p w14:paraId="13667A15" w14:textId="77777777" w:rsidR="00DF168D" w:rsidRDefault="00DF168D" w:rsidP="00D929AF">
            <w:r>
              <w:t>17.5.1.5</w:t>
            </w:r>
          </w:p>
        </w:tc>
        <w:tc>
          <w:tcPr>
            <w:tcW w:w="7088" w:type="dxa"/>
            <w:tcBorders>
              <w:top w:val="single" w:sz="4" w:space="0" w:color="auto"/>
              <w:left w:val="single" w:sz="4" w:space="0" w:color="auto"/>
              <w:bottom w:val="single" w:sz="4" w:space="0" w:color="auto"/>
              <w:right w:val="single" w:sz="4" w:space="0" w:color="auto"/>
            </w:tcBorders>
          </w:tcPr>
          <w:p w14:paraId="5D663F7C" w14:textId="77777777" w:rsidR="00DF168D" w:rsidRDefault="00DF168D" w:rsidP="004B3D42">
            <w:r w:rsidRPr="0096332A">
              <w:t xml:space="preserve">The review of </w:t>
            </w:r>
            <w:r>
              <w:t xml:space="preserve">invoices and </w:t>
            </w:r>
            <w:r w:rsidRPr="0096332A">
              <w:t>old orders must be undertaken to determine why they remain outstanding or have not been paid within payment terms. Review balances in the aged balances 30-60 days through to 120+ days</w:t>
            </w:r>
            <w:r>
              <w:t xml:space="preserve"> </w:t>
            </w:r>
            <w:r w:rsidRPr="0074726F">
              <w:t>and take appropriate action</w:t>
            </w:r>
            <w:r>
              <w:t>.</w:t>
            </w:r>
          </w:p>
        </w:tc>
        <w:tc>
          <w:tcPr>
            <w:tcW w:w="930" w:type="dxa"/>
            <w:tcBorders>
              <w:top w:val="single" w:sz="4" w:space="0" w:color="auto"/>
              <w:left w:val="single" w:sz="4" w:space="0" w:color="auto"/>
              <w:bottom w:val="single" w:sz="4" w:space="0" w:color="auto"/>
              <w:right w:val="single" w:sz="4" w:space="0" w:color="auto"/>
            </w:tcBorders>
          </w:tcPr>
          <w:p w14:paraId="55DB4CB0" w14:textId="77777777" w:rsidR="00DF168D" w:rsidRPr="0096332A" w:rsidRDefault="00DF168D" w:rsidP="004B3D42"/>
        </w:tc>
      </w:tr>
      <w:tr w:rsidR="00DF168D" w:rsidRPr="00D063A5" w14:paraId="7CE6580B" w14:textId="5919EEF4" w:rsidTr="009B3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37"/>
        </w:trPr>
        <w:tc>
          <w:tcPr>
            <w:tcW w:w="1134" w:type="dxa"/>
            <w:tcBorders>
              <w:top w:val="single" w:sz="4" w:space="0" w:color="auto"/>
              <w:left w:val="single" w:sz="4" w:space="0" w:color="auto"/>
              <w:bottom w:val="single" w:sz="4" w:space="0" w:color="auto"/>
              <w:right w:val="single" w:sz="4" w:space="0" w:color="auto"/>
            </w:tcBorders>
          </w:tcPr>
          <w:p w14:paraId="472F6248" w14:textId="77777777" w:rsidR="00DF168D" w:rsidRPr="00AB027E" w:rsidRDefault="00DF168D" w:rsidP="0074726F">
            <w:r w:rsidRPr="00AB027E">
              <w:t>17.</w:t>
            </w:r>
            <w:r>
              <w:t>5</w:t>
            </w:r>
            <w:r w:rsidRPr="00AB027E">
              <w:t>.1.</w:t>
            </w:r>
            <w:r>
              <w:t>6</w:t>
            </w:r>
          </w:p>
        </w:tc>
        <w:tc>
          <w:tcPr>
            <w:tcW w:w="7088" w:type="dxa"/>
            <w:tcBorders>
              <w:top w:val="single" w:sz="4" w:space="0" w:color="auto"/>
              <w:left w:val="single" w:sz="4" w:space="0" w:color="auto"/>
              <w:bottom w:val="single" w:sz="4" w:space="0" w:color="auto"/>
              <w:right w:val="single" w:sz="4" w:space="0" w:color="auto"/>
            </w:tcBorders>
          </w:tcPr>
          <w:p w14:paraId="7FDA311B" w14:textId="77777777" w:rsidR="00DF168D" w:rsidRPr="00CA3EFC" w:rsidRDefault="00DF168D" w:rsidP="00FE6F46">
            <w:r>
              <w:t>Any u</w:t>
            </w:r>
            <w:r w:rsidRPr="00CA3EFC">
              <w:t xml:space="preserve">nallocated </w:t>
            </w:r>
            <w:r>
              <w:t xml:space="preserve">creditor </w:t>
            </w:r>
            <w:r w:rsidRPr="00CA3EFC">
              <w:t>items</w:t>
            </w:r>
            <w:r>
              <w:t xml:space="preserve"> identified must be </w:t>
            </w:r>
            <w:r w:rsidRPr="00CA3EFC">
              <w:t>investigate</w:t>
            </w:r>
            <w:r>
              <w:t>d</w:t>
            </w:r>
            <w:r w:rsidRPr="00CA3EFC">
              <w:t xml:space="preserve"> and </w:t>
            </w:r>
            <w:r>
              <w:t>transactions allocated before the End of Year rollover is completed</w:t>
            </w:r>
            <w:r w:rsidRPr="00CA3EFC">
              <w:t>.</w:t>
            </w:r>
          </w:p>
        </w:tc>
        <w:tc>
          <w:tcPr>
            <w:tcW w:w="930" w:type="dxa"/>
            <w:tcBorders>
              <w:top w:val="single" w:sz="4" w:space="0" w:color="auto"/>
              <w:left w:val="single" w:sz="4" w:space="0" w:color="auto"/>
              <w:bottom w:val="single" w:sz="4" w:space="0" w:color="auto"/>
              <w:right w:val="single" w:sz="4" w:space="0" w:color="auto"/>
            </w:tcBorders>
          </w:tcPr>
          <w:p w14:paraId="52F0D983" w14:textId="77777777" w:rsidR="00DF168D" w:rsidRDefault="00DF168D" w:rsidP="00FE6F46"/>
        </w:tc>
      </w:tr>
      <w:tr w:rsidR="00DF168D" w:rsidRPr="00D063A5" w14:paraId="32AA72F0" w14:textId="7CD54C61" w:rsidTr="009B3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1134" w:type="dxa"/>
            <w:tcBorders>
              <w:top w:val="single" w:sz="4" w:space="0" w:color="auto"/>
              <w:left w:val="single" w:sz="4" w:space="0" w:color="auto"/>
              <w:bottom w:val="single" w:sz="4" w:space="0" w:color="auto"/>
              <w:right w:val="single" w:sz="4" w:space="0" w:color="auto"/>
            </w:tcBorders>
          </w:tcPr>
          <w:p w14:paraId="2BCC8686" w14:textId="77777777" w:rsidR="00DF168D" w:rsidRPr="00AB027E" w:rsidRDefault="00DF168D" w:rsidP="004162DF">
            <w:r>
              <w:t>17.5.1.7</w:t>
            </w:r>
          </w:p>
        </w:tc>
        <w:tc>
          <w:tcPr>
            <w:tcW w:w="7088" w:type="dxa"/>
            <w:tcBorders>
              <w:top w:val="single" w:sz="4" w:space="0" w:color="auto"/>
              <w:left w:val="single" w:sz="4" w:space="0" w:color="auto"/>
              <w:bottom w:val="single" w:sz="4" w:space="0" w:color="auto"/>
              <w:right w:val="single" w:sz="4" w:space="0" w:color="auto"/>
            </w:tcBorders>
          </w:tcPr>
          <w:p w14:paraId="60518524" w14:textId="77777777" w:rsidR="00DF168D" w:rsidRDefault="00DF168D" w:rsidP="00641616">
            <w:r w:rsidRPr="00BA50D2">
              <w:t xml:space="preserve">Invoices and credit notes </w:t>
            </w:r>
            <w:r>
              <w:t xml:space="preserve">that are </w:t>
            </w:r>
            <w:r w:rsidRPr="00BA50D2">
              <w:t xml:space="preserve">no longer required </w:t>
            </w:r>
            <w:r>
              <w:t xml:space="preserve">must </w:t>
            </w:r>
            <w:r w:rsidRPr="00BA50D2">
              <w:t>be cancelled</w:t>
            </w:r>
            <w:r>
              <w:t xml:space="preserve"> before the End of Year rollover is completed</w:t>
            </w:r>
            <w:r w:rsidRPr="00BA50D2">
              <w:t>.</w:t>
            </w:r>
          </w:p>
          <w:p w14:paraId="326D9457" w14:textId="77777777" w:rsidR="00DF168D" w:rsidRPr="00CA3EFC" w:rsidRDefault="00DF168D" w:rsidP="003B48DE">
            <w:r>
              <w:t>R</w:t>
            </w:r>
            <w:r w:rsidRPr="00BA50D2">
              <w:t>efer to</w:t>
            </w:r>
            <w:r>
              <w:t xml:space="preserve"> </w:t>
            </w:r>
            <w:hyperlink r:id="rId16" w:history="1">
              <w:r w:rsidRPr="00E06689">
                <w:rPr>
                  <w:rStyle w:val="Hyperlink"/>
                </w:rPr>
                <w:t>CASES21 Finance Business Process Guide Section 3 – Creditors</w:t>
              </w:r>
            </w:hyperlink>
            <w:r>
              <w:t xml:space="preserve"> for further guidance on c</w:t>
            </w:r>
            <w:r w:rsidRPr="00BA50D2">
              <w:t xml:space="preserve">ancelling an invoice after the batch has been updated and or </w:t>
            </w:r>
            <w:r>
              <w:t>d</w:t>
            </w:r>
            <w:r w:rsidRPr="00BA50D2">
              <w:t>elete/</w:t>
            </w:r>
            <w:r>
              <w:t>c</w:t>
            </w:r>
            <w:r w:rsidRPr="00BA50D2">
              <w:t xml:space="preserve">ancel a </w:t>
            </w:r>
            <w:r>
              <w:t>c</w:t>
            </w:r>
            <w:r w:rsidRPr="00BA50D2">
              <w:t xml:space="preserve">redit </w:t>
            </w:r>
            <w:r>
              <w:t>n</w:t>
            </w:r>
            <w:r w:rsidRPr="00BA50D2">
              <w:t>ote.</w:t>
            </w:r>
          </w:p>
        </w:tc>
        <w:tc>
          <w:tcPr>
            <w:tcW w:w="930" w:type="dxa"/>
            <w:tcBorders>
              <w:top w:val="single" w:sz="4" w:space="0" w:color="auto"/>
              <w:left w:val="single" w:sz="4" w:space="0" w:color="auto"/>
              <w:bottom w:val="single" w:sz="4" w:space="0" w:color="auto"/>
              <w:right w:val="single" w:sz="4" w:space="0" w:color="auto"/>
            </w:tcBorders>
          </w:tcPr>
          <w:p w14:paraId="1DE0249E" w14:textId="77777777" w:rsidR="00DF168D" w:rsidRPr="00BA50D2" w:rsidRDefault="00DF168D" w:rsidP="00641616"/>
        </w:tc>
      </w:tr>
      <w:tr w:rsidR="00DF168D" w:rsidRPr="00D063A5" w14:paraId="31735B26" w14:textId="3AE99325" w:rsidTr="009B3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9"/>
        </w:trPr>
        <w:tc>
          <w:tcPr>
            <w:tcW w:w="1134" w:type="dxa"/>
            <w:tcBorders>
              <w:top w:val="single" w:sz="4" w:space="0" w:color="auto"/>
              <w:left w:val="single" w:sz="4" w:space="0" w:color="auto"/>
              <w:bottom w:val="single" w:sz="4" w:space="0" w:color="auto"/>
              <w:right w:val="single" w:sz="4" w:space="0" w:color="auto"/>
            </w:tcBorders>
          </w:tcPr>
          <w:p w14:paraId="50081F27" w14:textId="77777777" w:rsidR="00DF168D" w:rsidRPr="00AB027E" w:rsidRDefault="00DF168D" w:rsidP="004162DF">
            <w:r w:rsidRPr="00AB027E">
              <w:t>17.</w:t>
            </w:r>
            <w:r>
              <w:t>5</w:t>
            </w:r>
            <w:r w:rsidRPr="00AB027E">
              <w:t>.1.</w:t>
            </w:r>
            <w:r>
              <w:t>8</w:t>
            </w:r>
          </w:p>
        </w:tc>
        <w:tc>
          <w:tcPr>
            <w:tcW w:w="7088" w:type="dxa"/>
            <w:tcBorders>
              <w:top w:val="single" w:sz="4" w:space="0" w:color="auto"/>
              <w:left w:val="single" w:sz="4" w:space="0" w:color="auto"/>
              <w:bottom w:val="single" w:sz="4" w:space="0" w:color="auto"/>
              <w:right w:val="single" w:sz="4" w:space="0" w:color="auto"/>
            </w:tcBorders>
          </w:tcPr>
          <w:p w14:paraId="629FFD52" w14:textId="77777777" w:rsidR="00DF168D" w:rsidRDefault="00DF168D" w:rsidP="002D1B00">
            <w:r>
              <w:t>All i</w:t>
            </w:r>
            <w:r w:rsidRPr="0096332A">
              <w:t xml:space="preserve">nvoices entered on CASES21 that relate to the </w:t>
            </w:r>
            <w:r>
              <w:t>new school y</w:t>
            </w:r>
            <w:r w:rsidRPr="0096332A">
              <w:t xml:space="preserve">ear </w:t>
            </w:r>
            <w:r>
              <w:t>must be adjusted with a b</w:t>
            </w:r>
            <w:r w:rsidRPr="0096332A">
              <w:t xml:space="preserve">alance </w:t>
            </w:r>
            <w:r>
              <w:t>d</w:t>
            </w:r>
            <w:r w:rsidRPr="0096332A">
              <w:t xml:space="preserve">ay </w:t>
            </w:r>
            <w:r>
              <w:t>a</w:t>
            </w:r>
            <w:r w:rsidRPr="0096332A">
              <w:t>djustment</w:t>
            </w:r>
            <w:r>
              <w:t>. Refer t</w:t>
            </w:r>
            <w:r w:rsidRPr="0096332A">
              <w:t>o</w:t>
            </w:r>
            <w:r>
              <w:t xml:space="preserve"> </w:t>
            </w:r>
            <w:hyperlink r:id="rId17" w:history="1">
              <w:r w:rsidRPr="00732356">
                <w:rPr>
                  <w:rStyle w:val="Hyperlink"/>
                </w:rPr>
                <w:t>CASES21 Finance Business Process Guide Section 10 – Balance Day Adjustments</w:t>
              </w:r>
            </w:hyperlink>
            <w:r>
              <w:t xml:space="preserve"> </w:t>
            </w:r>
            <w:r w:rsidRPr="0096332A">
              <w:t xml:space="preserve">for further </w:t>
            </w:r>
            <w:r>
              <w:t>guidance</w:t>
            </w:r>
            <w:r w:rsidRPr="0096332A">
              <w:t>.</w:t>
            </w:r>
          </w:p>
          <w:p w14:paraId="2EC6310B" w14:textId="77777777" w:rsidR="00DF168D" w:rsidRPr="0096332A" w:rsidRDefault="00DF168D" w:rsidP="0059422B">
            <w:r>
              <w:t>For example, revenue paid by a student for a camp being held in the new school year, but receipted in December of the previous school year, must be adjusted and recorded as Revenue in Advance. This revenue relates to a camp that is going to be conducted in the New Year.</w:t>
            </w:r>
          </w:p>
        </w:tc>
        <w:tc>
          <w:tcPr>
            <w:tcW w:w="930" w:type="dxa"/>
            <w:tcBorders>
              <w:top w:val="single" w:sz="4" w:space="0" w:color="auto"/>
              <w:left w:val="single" w:sz="4" w:space="0" w:color="auto"/>
              <w:bottom w:val="single" w:sz="4" w:space="0" w:color="auto"/>
              <w:right w:val="single" w:sz="4" w:space="0" w:color="auto"/>
            </w:tcBorders>
          </w:tcPr>
          <w:p w14:paraId="2DBED2CD" w14:textId="77777777" w:rsidR="00DF168D" w:rsidRDefault="00DF168D" w:rsidP="002D1B00"/>
        </w:tc>
      </w:tr>
      <w:tr w:rsidR="00DF168D" w:rsidRPr="00D063A5" w14:paraId="2C76DF09" w14:textId="0CA9CC95" w:rsidTr="009B3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37"/>
        </w:trPr>
        <w:tc>
          <w:tcPr>
            <w:tcW w:w="1134" w:type="dxa"/>
            <w:tcBorders>
              <w:top w:val="single" w:sz="4" w:space="0" w:color="auto"/>
              <w:left w:val="single" w:sz="4" w:space="0" w:color="auto"/>
              <w:bottom w:val="single" w:sz="4" w:space="0" w:color="auto"/>
              <w:right w:val="single" w:sz="4" w:space="0" w:color="auto"/>
            </w:tcBorders>
          </w:tcPr>
          <w:p w14:paraId="317C854A" w14:textId="77777777" w:rsidR="00DF168D" w:rsidRPr="00AB027E" w:rsidRDefault="00DF168D" w:rsidP="004B3D42">
            <w:r>
              <w:t>17.5.1.9</w:t>
            </w:r>
          </w:p>
        </w:tc>
        <w:tc>
          <w:tcPr>
            <w:tcW w:w="7088" w:type="dxa"/>
            <w:tcBorders>
              <w:top w:val="single" w:sz="4" w:space="0" w:color="auto"/>
              <w:left w:val="single" w:sz="4" w:space="0" w:color="auto"/>
              <w:bottom w:val="single" w:sz="4" w:space="0" w:color="auto"/>
              <w:right w:val="single" w:sz="4" w:space="0" w:color="auto"/>
            </w:tcBorders>
          </w:tcPr>
          <w:p w14:paraId="11124279" w14:textId="77777777" w:rsidR="00DF168D" w:rsidRPr="0096332A" w:rsidRDefault="00DF168D" w:rsidP="004162DF">
            <w:pPr>
              <w:jc w:val="both"/>
            </w:pPr>
            <w:r>
              <w:t>A</w:t>
            </w:r>
            <w:r w:rsidRPr="0096332A">
              <w:t xml:space="preserve">ll </w:t>
            </w:r>
            <w:r>
              <w:t>outstanding c</w:t>
            </w:r>
            <w:r w:rsidRPr="0096332A">
              <w:t xml:space="preserve">reditor </w:t>
            </w:r>
            <w:r>
              <w:t>p</w:t>
            </w:r>
            <w:r w:rsidRPr="0096332A">
              <w:t xml:space="preserve">ayment </w:t>
            </w:r>
            <w:r>
              <w:t>v</w:t>
            </w:r>
            <w:r w:rsidRPr="0096332A">
              <w:t xml:space="preserve">ouchers </w:t>
            </w:r>
            <w:r>
              <w:t xml:space="preserve">must be printed before the school rolls forward into the New Year. </w:t>
            </w:r>
          </w:p>
        </w:tc>
        <w:tc>
          <w:tcPr>
            <w:tcW w:w="930" w:type="dxa"/>
            <w:tcBorders>
              <w:top w:val="single" w:sz="4" w:space="0" w:color="auto"/>
              <w:left w:val="single" w:sz="4" w:space="0" w:color="auto"/>
              <w:bottom w:val="single" w:sz="4" w:space="0" w:color="auto"/>
              <w:right w:val="single" w:sz="4" w:space="0" w:color="auto"/>
            </w:tcBorders>
          </w:tcPr>
          <w:p w14:paraId="691A15E4" w14:textId="77777777" w:rsidR="00DF168D" w:rsidRDefault="00DF168D" w:rsidP="004162DF">
            <w:pPr>
              <w:jc w:val="both"/>
            </w:pPr>
          </w:p>
        </w:tc>
      </w:tr>
      <w:tr w:rsidR="00DF168D" w:rsidRPr="00D063A5" w14:paraId="0BEE44DC" w14:textId="28C6BAA6" w:rsidTr="009B3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37"/>
        </w:trPr>
        <w:tc>
          <w:tcPr>
            <w:tcW w:w="1134" w:type="dxa"/>
            <w:tcBorders>
              <w:top w:val="single" w:sz="4" w:space="0" w:color="auto"/>
              <w:left w:val="single" w:sz="4" w:space="0" w:color="auto"/>
              <w:bottom w:val="single" w:sz="4" w:space="0" w:color="auto"/>
              <w:right w:val="single" w:sz="4" w:space="0" w:color="auto"/>
            </w:tcBorders>
          </w:tcPr>
          <w:p w14:paraId="67572E3D" w14:textId="77777777" w:rsidR="00DF168D" w:rsidRPr="00AB027E" w:rsidRDefault="00DF168D" w:rsidP="004B3D42">
            <w:r>
              <w:lastRenderedPageBreak/>
              <w:t>17.5.1.10</w:t>
            </w:r>
          </w:p>
        </w:tc>
        <w:tc>
          <w:tcPr>
            <w:tcW w:w="7088" w:type="dxa"/>
            <w:tcBorders>
              <w:top w:val="single" w:sz="4" w:space="0" w:color="auto"/>
              <w:left w:val="single" w:sz="4" w:space="0" w:color="auto"/>
              <w:bottom w:val="single" w:sz="4" w:space="0" w:color="auto"/>
              <w:right w:val="single" w:sz="4" w:space="0" w:color="auto"/>
            </w:tcBorders>
          </w:tcPr>
          <w:p w14:paraId="1695CF6D" w14:textId="77777777" w:rsidR="00DF168D" w:rsidRDefault="00DF168D" w:rsidP="00B77D2D">
            <w:pPr>
              <w:jc w:val="both"/>
            </w:pPr>
            <w:r>
              <w:t>A</w:t>
            </w:r>
            <w:r w:rsidRPr="004162DF">
              <w:t xml:space="preserve"> record of completed Creditor invoices </w:t>
            </w:r>
            <w:r>
              <w:t xml:space="preserve">for the current school year must be retained </w:t>
            </w:r>
            <w:r w:rsidRPr="004162DF">
              <w:t>and save</w:t>
            </w:r>
            <w:r>
              <w:t xml:space="preserve">d </w:t>
            </w:r>
            <w:r w:rsidRPr="004162DF">
              <w:t xml:space="preserve">to </w:t>
            </w:r>
            <w:r>
              <w:t xml:space="preserve">the </w:t>
            </w:r>
            <w:r w:rsidRPr="004162DF">
              <w:t>E</w:t>
            </w:r>
            <w:r>
              <w:t>nd of Year (EOY)</w:t>
            </w:r>
            <w:r w:rsidRPr="004162DF">
              <w:t xml:space="preserve"> folder.</w:t>
            </w:r>
          </w:p>
        </w:tc>
        <w:tc>
          <w:tcPr>
            <w:tcW w:w="930" w:type="dxa"/>
            <w:tcBorders>
              <w:top w:val="single" w:sz="4" w:space="0" w:color="auto"/>
              <w:left w:val="single" w:sz="4" w:space="0" w:color="auto"/>
              <w:bottom w:val="single" w:sz="4" w:space="0" w:color="auto"/>
              <w:right w:val="single" w:sz="4" w:space="0" w:color="auto"/>
            </w:tcBorders>
          </w:tcPr>
          <w:p w14:paraId="6AF33E94" w14:textId="77777777" w:rsidR="00DF168D" w:rsidRDefault="00DF168D" w:rsidP="00B77D2D">
            <w:pPr>
              <w:jc w:val="both"/>
            </w:pPr>
          </w:p>
        </w:tc>
      </w:tr>
      <w:tr w:rsidR="00DF168D" w:rsidRPr="00D063A5" w14:paraId="7E5C54C6" w14:textId="10B4B086" w:rsidTr="009B3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37"/>
        </w:trPr>
        <w:tc>
          <w:tcPr>
            <w:tcW w:w="1134" w:type="dxa"/>
            <w:tcBorders>
              <w:top w:val="single" w:sz="4" w:space="0" w:color="auto"/>
              <w:left w:val="single" w:sz="4" w:space="0" w:color="auto"/>
              <w:bottom w:val="single" w:sz="4" w:space="0" w:color="auto"/>
              <w:right w:val="single" w:sz="4" w:space="0" w:color="auto"/>
            </w:tcBorders>
          </w:tcPr>
          <w:p w14:paraId="4ED469D0" w14:textId="77777777" w:rsidR="00DF168D" w:rsidRPr="00AB027E" w:rsidRDefault="00DF168D" w:rsidP="004B3D42">
            <w:r w:rsidRPr="0095588F">
              <w:t>17.5.1.1</w:t>
            </w:r>
            <w:r>
              <w:t>1</w:t>
            </w:r>
          </w:p>
        </w:tc>
        <w:tc>
          <w:tcPr>
            <w:tcW w:w="7088" w:type="dxa"/>
            <w:tcBorders>
              <w:top w:val="single" w:sz="4" w:space="0" w:color="auto"/>
              <w:left w:val="single" w:sz="4" w:space="0" w:color="auto"/>
              <w:bottom w:val="single" w:sz="4" w:space="0" w:color="auto"/>
              <w:right w:val="single" w:sz="4" w:space="0" w:color="auto"/>
            </w:tcBorders>
          </w:tcPr>
          <w:p w14:paraId="45EC2BC0" w14:textId="77777777" w:rsidR="00DF168D" w:rsidRDefault="00DF168D" w:rsidP="0059422B">
            <w:r>
              <w:t>C</w:t>
            </w:r>
            <w:r w:rsidRPr="0095588F">
              <w:t xml:space="preserve">reditor balances as at 31 December </w:t>
            </w:r>
            <w:r>
              <w:t xml:space="preserve">must reconcile </w:t>
            </w:r>
            <w:r w:rsidRPr="0095588F">
              <w:t xml:space="preserve">before rolling forward into the New Year 1 January. </w:t>
            </w:r>
          </w:p>
        </w:tc>
        <w:tc>
          <w:tcPr>
            <w:tcW w:w="930" w:type="dxa"/>
            <w:tcBorders>
              <w:top w:val="single" w:sz="4" w:space="0" w:color="auto"/>
              <w:left w:val="single" w:sz="4" w:space="0" w:color="auto"/>
              <w:bottom w:val="single" w:sz="4" w:space="0" w:color="auto"/>
              <w:right w:val="single" w:sz="4" w:space="0" w:color="auto"/>
            </w:tcBorders>
          </w:tcPr>
          <w:p w14:paraId="7EE4C8C9" w14:textId="77777777" w:rsidR="00DF168D" w:rsidRDefault="00DF168D" w:rsidP="0059422B"/>
        </w:tc>
      </w:tr>
      <w:tr w:rsidR="00DF168D" w:rsidRPr="00D063A5" w14:paraId="4020AECD" w14:textId="29F7CB7F" w:rsidTr="009B3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5"/>
        </w:trPr>
        <w:tc>
          <w:tcPr>
            <w:tcW w:w="1134" w:type="dxa"/>
            <w:tcBorders>
              <w:top w:val="single" w:sz="4" w:space="0" w:color="auto"/>
              <w:left w:val="single" w:sz="4" w:space="0" w:color="auto"/>
              <w:bottom w:val="single" w:sz="4" w:space="0" w:color="auto"/>
              <w:right w:val="single" w:sz="4" w:space="0" w:color="auto"/>
            </w:tcBorders>
          </w:tcPr>
          <w:p w14:paraId="372D2B43" w14:textId="77777777" w:rsidR="00DF168D" w:rsidRPr="00AB027E" w:rsidRDefault="00DF168D" w:rsidP="004B3D42">
            <w:r w:rsidRPr="00AB027E">
              <w:t>17.</w:t>
            </w:r>
            <w:r>
              <w:t>5</w:t>
            </w:r>
            <w:r w:rsidRPr="00AB027E">
              <w:t>.1.1</w:t>
            </w:r>
            <w:r>
              <w:t>2</w:t>
            </w:r>
          </w:p>
        </w:tc>
        <w:tc>
          <w:tcPr>
            <w:tcW w:w="7088" w:type="dxa"/>
            <w:tcBorders>
              <w:top w:val="single" w:sz="4" w:space="0" w:color="auto"/>
              <w:left w:val="single" w:sz="4" w:space="0" w:color="auto"/>
              <w:bottom w:val="single" w:sz="4" w:space="0" w:color="auto"/>
              <w:right w:val="single" w:sz="4" w:space="0" w:color="auto"/>
            </w:tcBorders>
          </w:tcPr>
          <w:p w14:paraId="5AE18294" w14:textId="77777777" w:rsidR="00DF168D" w:rsidRDefault="00DF168D" w:rsidP="00D929AF">
            <w:pPr>
              <w:jc w:val="both"/>
            </w:pPr>
            <w:r>
              <w:t xml:space="preserve">Schools must print (hardcopy) or save as a PDF to the EOY folder the following reports. </w:t>
            </w:r>
          </w:p>
          <w:p w14:paraId="185B4E6C" w14:textId="77777777" w:rsidR="00DF168D" w:rsidRDefault="00DF168D" w:rsidP="00D929AF">
            <w:pPr>
              <w:jc w:val="both"/>
            </w:pPr>
            <w:r>
              <w:t>These are:</w:t>
            </w:r>
          </w:p>
          <w:p w14:paraId="01DC32DF" w14:textId="77777777" w:rsidR="00DF168D" w:rsidRDefault="00DF168D" w:rsidP="00457E54">
            <w:pPr>
              <w:pStyle w:val="ListBullet"/>
            </w:pPr>
            <w:r>
              <w:t>Creditor Transaction History (CR21111) as at 31 December;</w:t>
            </w:r>
          </w:p>
          <w:p w14:paraId="779839E0" w14:textId="77777777" w:rsidR="00DF168D" w:rsidRDefault="00DF168D" w:rsidP="00457E54">
            <w:pPr>
              <w:pStyle w:val="ListBullet"/>
            </w:pPr>
            <w:r>
              <w:t>Trial Balance (CR21101) as at 31 December;</w:t>
            </w:r>
          </w:p>
          <w:p w14:paraId="25F12E4E" w14:textId="77777777" w:rsidR="00DF168D" w:rsidRDefault="00DF168D" w:rsidP="00457E54">
            <w:pPr>
              <w:pStyle w:val="ListBullet"/>
            </w:pPr>
            <w:r>
              <w:t>Completed Creditor Transactions (CR21119) as 31 December.</w:t>
            </w:r>
          </w:p>
        </w:tc>
        <w:tc>
          <w:tcPr>
            <w:tcW w:w="930" w:type="dxa"/>
            <w:tcBorders>
              <w:top w:val="single" w:sz="4" w:space="0" w:color="auto"/>
              <w:left w:val="single" w:sz="4" w:space="0" w:color="auto"/>
              <w:bottom w:val="single" w:sz="4" w:space="0" w:color="auto"/>
              <w:right w:val="single" w:sz="4" w:space="0" w:color="auto"/>
            </w:tcBorders>
          </w:tcPr>
          <w:p w14:paraId="22468002" w14:textId="77777777" w:rsidR="00DF168D" w:rsidRDefault="00DF168D" w:rsidP="00D929AF">
            <w:pPr>
              <w:jc w:val="both"/>
            </w:pPr>
          </w:p>
        </w:tc>
      </w:tr>
      <w:tr w:rsidR="00DF168D" w:rsidRPr="00D063A5" w14:paraId="645D1AAE" w14:textId="05A9A166" w:rsidTr="009B3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69"/>
        </w:trPr>
        <w:tc>
          <w:tcPr>
            <w:tcW w:w="1134" w:type="dxa"/>
            <w:tcBorders>
              <w:top w:val="single" w:sz="4" w:space="0" w:color="auto"/>
              <w:left w:val="single" w:sz="4" w:space="0" w:color="auto"/>
              <w:bottom w:val="single" w:sz="4" w:space="0" w:color="auto"/>
              <w:right w:val="single" w:sz="4" w:space="0" w:color="auto"/>
            </w:tcBorders>
          </w:tcPr>
          <w:p w14:paraId="40DEB73A" w14:textId="77777777" w:rsidR="00DF168D" w:rsidRPr="00AB027E" w:rsidRDefault="00DF168D" w:rsidP="004B3D42">
            <w:r w:rsidRPr="00AB027E">
              <w:t>1</w:t>
            </w:r>
            <w:r>
              <w:t>7.5.1.13</w:t>
            </w:r>
          </w:p>
        </w:tc>
        <w:tc>
          <w:tcPr>
            <w:tcW w:w="7088" w:type="dxa"/>
            <w:tcBorders>
              <w:top w:val="single" w:sz="4" w:space="0" w:color="auto"/>
              <w:left w:val="single" w:sz="4" w:space="0" w:color="auto"/>
              <w:bottom w:val="single" w:sz="4" w:space="0" w:color="auto"/>
              <w:right w:val="single" w:sz="4" w:space="0" w:color="auto"/>
            </w:tcBorders>
          </w:tcPr>
          <w:p w14:paraId="3B281439" w14:textId="77777777" w:rsidR="00DF168D" w:rsidRDefault="00DF168D" w:rsidP="0059422B">
            <w:r w:rsidRPr="0096332A">
              <w:t xml:space="preserve">Schools must </w:t>
            </w:r>
            <w:r>
              <w:t xml:space="preserve">print (hardcopy) or save as a PDF </w:t>
            </w:r>
            <w:r w:rsidRPr="0096332A">
              <w:t xml:space="preserve">the </w:t>
            </w:r>
            <w:r>
              <w:t xml:space="preserve">following </w:t>
            </w:r>
            <w:r w:rsidRPr="0096332A">
              <w:t xml:space="preserve">reports as listed below after the close off for </w:t>
            </w:r>
            <w:r>
              <w:t>Year End (31 December) is finalised</w:t>
            </w:r>
            <w:r w:rsidRPr="0096332A">
              <w:t xml:space="preserve">. </w:t>
            </w:r>
            <w:r>
              <w:t>These are the:</w:t>
            </w:r>
          </w:p>
          <w:p w14:paraId="0B9C949E" w14:textId="77777777" w:rsidR="00DF168D" w:rsidRPr="0096332A" w:rsidRDefault="00DF168D" w:rsidP="00457E54">
            <w:pPr>
              <w:pStyle w:val="ListBullet"/>
            </w:pPr>
            <w:r w:rsidRPr="0096332A">
              <w:t>CASE21 Accounts Payable Trial Balance (CR21101) as at 31 December</w:t>
            </w:r>
            <w:r>
              <w:t>;</w:t>
            </w:r>
          </w:p>
          <w:p w14:paraId="10FE36EF" w14:textId="77777777" w:rsidR="00DF168D" w:rsidRDefault="00DF168D" w:rsidP="00457E54">
            <w:pPr>
              <w:pStyle w:val="ListBullet"/>
            </w:pPr>
            <w:r w:rsidRPr="0096332A">
              <w:t>CASES21 Invoice awaiting payment – detailed report (CR21118) as at 31 December</w:t>
            </w:r>
            <w:r>
              <w:t>;</w:t>
            </w:r>
          </w:p>
          <w:p w14:paraId="038E37E2" w14:textId="77777777" w:rsidR="00DF168D" w:rsidRPr="00BA50D2" w:rsidRDefault="00DF168D" w:rsidP="00457E54">
            <w:pPr>
              <w:pStyle w:val="ListBullet"/>
            </w:pPr>
            <w:r w:rsidRPr="00BA50D2">
              <w:t>Balance Integrity Report (CR21902)</w:t>
            </w:r>
            <w:r>
              <w:t xml:space="preserve"> as at 31 December;</w:t>
            </w:r>
          </w:p>
          <w:p w14:paraId="02029067" w14:textId="77777777" w:rsidR="00DF168D" w:rsidRPr="00BA50D2" w:rsidRDefault="00DF168D" w:rsidP="00457E54">
            <w:pPr>
              <w:pStyle w:val="ListBullet"/>
            </w:pPr>
            <w:r w:rsidRPr="00BA50D2">
              <w:t>Trial Balance (CR21101)</w:t>
            </w:r>
            <w:r>
              <w:t xml:space="preserve"> as at 31 December;</w:t>
            </w:r>
          </w:p>
          <w:p w14:paraId="376A74D8" w14:textId="77777777" w:rsidR="00DF168D" w:rsidRDefault="00DF168D" w:rsidP="00457E54">
            <w:pPr>
              <w:pStyle w:val="ListBullet"/>
            </w:pPr>
            <w:r w:rsidRPr="00BA50D2">
              <w:t>Balance Sheet (GL21160)</w:t>
            </w:r>
            <w:r>
              <w:t xml:space="preserve"> as at 31 December.</w:t>
            </w:r>
          </w:p>
          <w:p w14:paraId="0A114982" w14:textId="77777777" w:rsidR="00DF168D" w:rsidRDefault="00DF168D" w:rsidP="00AB027E">
            <w:pPr>
              <w:jc w:val="both"/>
            </w:pPr>
            <w:r w:rsidRPr="0096332A">
              <w:t xml:space="preserve">Refer to </w:t>
            </w:r>
            <w:hyperlink r:id="rId18" w:history="1">
              <w:r w:rsidRPr="00251146">
                <w:rPr>
                  <w:rStyle w:val="Hyperlink"/>
                </w:rPr>
                <w:t>CASES21 Finance Business Process Guide Section 8 – End of Year</w:t>
              </w:r>
            </w:hyperlink>
            <w:r>
              <w:t xml:space="preserve"> for further guidance.</w:t>
            </w:r>
          </w:p>
          <w:p w14:paraId="543DABD5" w14:textId="77777777" w:rsidR="00DF168D" w:rsidRPr="0096332A" w:rsidRDefault="00DF168D" w:rsidP="003B48DE">
            <w:pPr>
              <w:jc w:val="both"/>
            </w:pPr>
            <w:r>
              <w:t xml:space="preserve">Refer to </w:t>
            </w:r>
            <w:hyperlink r:id="rId19" w:history="1">
              <w:r w:rsidRPr="00251146">
                <w:rPr>
                  <w:rStyle w:val="Hyperlink"/>
                </w:rPr>
                <w:t>CASES21 Finance Business Process Guide Section 10 – Balance Day Adjustments</w:t>
              </w:r>
            </w:hyperlink>
            <w:r>
              <w:t xml:space="preserve"> for further guidance.</w:t>
            </w:r>
          </w:p>
        </w:tc>
        <w:tc>
          <w:tcPr>
            <w:tcW w:w="930" w:type="dxa"/>
            <w:tcBorders>
              <w:top w:val="single" w:sz="4" w:space="0" w:color="auto"/>
              <w:left w:val="single" w:sz="4" w:space="0" w:color="auto"/>
              <w:bottom w:val="single" w:sz="4" w:space="0" w:color="auto"/>
              <w:right w:val="single" w:sz="4" w:space="0" w:color="auto"/>
            </w:tcBorders>
          </w:tcPr>
          <w:p w14:paraId="57A18345" w14:textId="77777777" w:rsidR="00DF168D" w:rsidRPr="0096332A" w:rsidRDefault="00DF168D" w:rsidP="0059422B"/>
        </w:tc>
      </w:tr>
      <w:tr w:rsidR="00DF168D" w:rsidRPr="00D063A5" w14:paraId="58DD049B" w14:textId="6A35D743" w:rsidTr="009B3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97"/>
        </w:trPr>
        <w:tc>
          <w:tcPr>
            <w:tcW w:w="1134" w:type="dxa"/>
            <w:tcBorders>
              <w:top w:val="single" w:sz="4" w:space="0" w:color="auto"/>
              <w:left w:val="single" w:sz="4" w:space="0" w:color="auto"/>
              <w:bottom w:val="single" w:sz="4" w:space="0" w:color="auto"/>
              <w:right w:val="single" w:sz="4" w:space="0" w:color="auto"/>
            </w:tcBorders>
          </w:tcPr>
          <w:p w14:paraId="62D578D3" w14:textId="77777777" w:rsidR="00DF168D" w:rsidRPr="00AB027E" w:rsidRDefault="00DF168D" w:rsidP="004B3D42">
            <w:r w:rsidRPr="00AB027E">
              <w:t>17.</w:t>
            </w:r>
            <w:r>
              <w:t>5</w:t>
            </w:r>
            <w:r w:rsidRPr="00AB027E">
              <w:t>.1.1</w:t>
            </w:r>
            <w:r>
              <w:t>4</w:t>
            </w:r>
          </w:p>
        </w:tc>
        <w:tc>
          <w:tcPr>
            <w:tcW w:w="7088" w:type="dxa"/>
            <w:tcBorders>
              <w:top w:val="single" w:sz="4" w:space="0" w:color="auto"/>
              <w:left w:val="single" w:sz="4" w:space="0" w:color="auto"/>
              <w:bottom w:val="single" w:sz="4" w:space="0" w:color="auto"/>
              <w:right w:val="single" w:sz="4" w:space="0" w:color="auto"/>
            </w:tcBorders>
          </w:tcPr>
          <w:p w14:paraId="32891AE8" w14:textId="77777777" w:rsidR="00DF168D" w:rsidRDefault="00DF168D" w:rsidP="0059422B">
            <w:r>
              <w:t>The total of the Trial Balance (CR21101) (Balance Column) must be compared with the figure for accounts payable control on the Balance Sheet (GL21160). Both these balances must be the same value. The accounts payable control file represents the total of all the individual creditor balances.</w:t>
            </w:r>
          </w:p>
        </w:tc>
        <w:tc>
          <w:tcPr>
            <w:tcW w:w="930" w:type="dxa"/>
            <w:tcBorders>
              <w:top w:val="single" w:sz="4" w:space="0" w:color="auto"/>
              <w:left w:val="single" w:sz="4" w:space="0" w:color="auto"/>
              <w:bottom w:val="single" w:sz="4" w:space="0" w:color="auto"/>
              <w:right w:val="single" w:sz="4" w:space="0" w:color="auto"/>
            </w:tcBorders>
          </w:tcPr>
          <w:p w14:paraId="2E902671" w14:textId="77777777" w:rsidR="00DF168D" w:rsidRDefault="00DF168D" w:rsidP="0059422B"/>
        </w:tc>
      </w:tr>
    </w:tbl>
    <w:p w14:paraId="32068A3F" w14:textId="535A41F9" w:rsidR="00806139" w:rsidRDefault="00806139" w:rsidP="00B97D9F"/>
    <w:p w14:paraId="48A1C3D9" w14:textId="4A0FC17E" w:rsidR="00CC1676" w:rsidRDefault="00CC1676" w:rsidP="00B97D9F"/>
    <w:p w14:paraId="597EED97" w14:textId="01DFDA94" w:rsidR="00CC1676" w:rsidRDefault="00CC1676" w:rsidP="00B97D9F"/>
    <w:p w14:paraId="03D10383" w14:textId="135935E6" w:rsidR="00CC1676" w:rsidRDefault="00CC1676" w:rsidP="00B97D9F"/>
    <w:p w14:paraId="60756FA0" w14:textId="77777777" w:rsidR="00CC1676" w:rsidRDefault="00CC1676" w:rsidP="00B97D9F"/>
    <w:p w14:paraId="3FF267DB" w14:textId="2AF10C8F" w:rsidR="008E22FE" w:rsidRPr="00126A52" w:rsidRDefault="0047153A" w:rsidP="008E22FE">
      <w:pPr>
        <w:pStyle w:val="Heading3"/>
      </w:pPr>
      <w:r>
        <w:lastRenderedPageBreak/>
        <w:t xml:space="preserve">Accounts </w:t>
      </w:r>
      <w:r w:rsidR="003A45E9">
        <w:t>Receivable</w:t>
      </w:r>
    </w:p>
    <w:p w14:paraId="518715A6" w14:textId="77777777" w:rsidR="001952A4" w:rsidRPr="00CA54BA" w:rsidRDefault="001952A4" w:rsidP="00D56068">
      <w:r w:rsidRPr="00CA54BA">
        <w:t xml:space="preserve">As part of best practice financial management, schools </w:t>
      </w:r>
      <w:r w:rsidR="00873E24">
        <w:t xml:space="preserve">must </w:t>
      </w:r>
      <w:r w:rsidR="003D1F4C">
        <w:t xml:space="preserve">regularly (preferably monthly) </w:t>
      </w:r>
      <w:r w:rsidR="00C60A8C">
        <w:t xml:space="preserve">review </w:t>
      </w:r>
      <w:r w:rsidRPr="00CA54BA">
        <w:t xml:space="preserve">all </w:t>
      </w:r>
      <w:r w:rsidR="00F15892">
        <w:t xml:space="preserve">accounts receivables (families and sundry debtors) </w:t>
      </w:r>
      <w:r w:rsidR="003D1F4C">
        <w:t>balances</w:t>
      </w:r>
      <w:r w:rsidRPr="00CA54BA">
        <w:t xml:space="preserve">. This includes reviewing invoices processed in </w:t>
      </w:r>
      <w:r w:rsidR="00F15892">
        <w:t xml:space="preserve">accounts receivables </w:t>
      </w:r>
      <w:r>
        <w:t>t</w:t>
      </w:r>
      <w:r w:rsidRPr="00CA54BA">
        <w:t xml:space="preserve">o ensure the most accurate and up-to-date information is available. This practice will ensure that financial reports do not include </w:t>
      </w:r>
      <w:r w:rsidR="00C8319B" w:rsidRPr="00CA54BA">
        <w:t xml:space="preserve">revenue </w:t>
      </w:r>
      <w:r w:rsidR="003D1F4C">
        <w:t xml:space="preserve">that </w:t>
      </w:r>
      <w:r w:rsidR="00C60A8C">
        <w:t xml:space="preserve">are unlikely to </w:t>
      </w:r>
      <w:r w:rsidRPr="00CA54BA">
        <w:t>be collected</w:t>
      </w:r>
      <w:r w:rsidR="00873E24">
        <w:t xml:space="preserve"> by the school</w:t>
      </w:r>
      <w:r w:rsidRPr="00CA54BA">
        <w:t>.</w:t>
      </w:r>
    </w:p>
    <w:p w14:paraId="46565A05" w14:textId="77777777" w:rsidR="008E22FE" w:rsidRDefault="008E22FE" w:rsidP="008E22FE">
      <w:pPr>
        <w:pStyle w:val="Heading3"/>
      </w:pPr>
      <w:r w:rsidRPr="002A00EF">
        <w:t>1</w:t>
      </w:r>
      <w:r w:rsidR="007E2D36">
        <w:t>7</w:t>
      </w:r>
      <w:r w:rsidRPr="002A00EF">
        <w:t>.</w:t>
      </w:r>
      <w:r w:rsidR="00D05EB7">
        <w:t>6</w:t>
      </w:r>
      <w:r>
        <w:t>.</w:t>
      </w:r>
      <w:r w:rsidR="00D05EB7">
        <w:t>1</w:t>
      </w:r>
      <w:r>
        <w:tab/>
      </w:r>
      <w:r w:rsidRPr="002A00EF">
        <w:t>Mandatory policy (</w:t>
      </w:r>
      <w:r>
        <w:t>Must do</w:t>
      </w:r>
      <w:r w:rsidRPr="002A00EF">
        <w:t>)</w:t>
      </w:r>
      <w:r>
        <w:t>:</w:t>
      </w:r>
    </w:p>
    <w:tbl>
      <w:tblPr>
        <w:tblW w:w="915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containing sequence numbers and policy information"/>
      </w:tblPr>
      <w:tblGrid>
        <w:gridCol w:w="1134"/>
        <w:gridCol w:w="7088"/>
        <w:gridCol w:w="930"/>
      </w:tblGrid>
      <w:tr w:rsidR="00EC247B" w:rsidRPr="0091756B" w14:paraId="69748965" w14:textId="320A1EED" w:rsidTr="009B3C58">
        <w:trPr>
          <w:trHeight w:val="567"/>
          <w:tblHeader/>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9E92586" w14:textId="77777777" w:rsidR="00EC247B" w:rsidRPr="00D60EB6" w:rsidRDefault="00EC247B" w:rsidP="00CC1676">
            <w:pPr>
              <w:rPr>
                <w:b/>
                <w:sz w:val="18"/>
              </w:rPr>
            </w:pPr>
            <w:r w:rsidRPr="00D60EB6">
              <w:rPr>
                <w:b/>
                <w:sz w:val="18"/>
              </w:rPr>
              <w:t>Sequence Numbers</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20514944" w14:textId="77777777" w:rsidR="00EC247B" w:rsidRPr="00E0071A" w:rsidRDefault="00EC247B" w:rsidP="00CC1676">
            <w:pPr>
              <w:rPr>
                <w:b/>
                <w:sz w:val="20"/>
                <w:szCs w:val="20"/>
              </w:rPr>
            </w:pPr>
            <w:r w:rsidRPr="00E0071A">
              <w:rPr>
                <w:b/>
                <w:sz w:val="20"/>
                <w:szCs w:val="20"/>
              </w:rPr>
              <w:t>Information</w:t>
            </w:r>
          </w:p>
        </w:tc>
        <w:tc>
          <w:tcPr>
            <w:tcW w:w="930" w:type="dxa"/>
            <w:tcBorders>
              <w:top w:val="nil"/>
              <w:left w:val="single" w:sz="4" w:space="0" w:color="auto"/>
              <w:bottom w:val="single" w:sz="4" w:space="0" w:color="auto"/>
              <w:right w:val="nil"/>
            </w:tcBorders>
          </w:tcPr>
          <w:p w14:paraId="49513DCB" w14:textId="77777777" w:rsidR="00EC247B" w:rsidRPr="00D60EB6" w:rsidRDefault="00EC247B" w:rsidP="00CC1676">
            <w:pPr>
              <w:rPr>
                <w:b/>
              </w:rPr>
            </w:pPr>
          </w:p>
        </w:tc>
      </w:tr>
      <w:tr w:rsidR="00EC247B" w:rsidRPr="00F81106" w14:paraId="5739BC1C" w14:textId="4CBC6A77" w:rsidTr="009B3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37"/>
        </w:trPr>
        <w:tc>
          <w:tcPr>
            <w:tcW w:w="1134" w:type="dxa"/>
            <w:tcBorders>
              <w:top w:val="single" w:sz="4" w:space="0" w:color="auto"/>
              <w:left w:val="single" w:sz="4" w:space="0" w:color="auto"/>
              <w:bottom w:val="single" w:sz="4" w:space="0" w:color="auto"/>
              <w:right w:val="single" w:sz="4" w:space="0" w:color="auto"/>
            </w:tcBorders>
          </w:tcPr>
          <w:p w14:paraId="79C84E0D" w14:textId="77777777" w:rsidR="00EC247B" w:rsidRPr="00F81106" w:rsidRDefault="00EC247B" w:rsidP="00D929AF">
            <w:r>
              <w:t>17.6.1.1</w:t>
            </w:r>
          </w:p>
        </w:tc>
        <w:tc>
          <w:tcPr>
            <w:tcW w:w="7088" w:type="dxa"/>
            <w:tcBorders>
              <w:top w:val="single" w:sz="4" w:space="0" w:color="auto"/>
              <w:left w:val="single" w:sz="4" w:space="0" w:color="auto"/>
              <w:bottom w:val="single" w:sz="4" w:space="0" w:color="auto"/>
              <w:right w:val="single" w:sz="4" w:space="0" w:color="auto"/>
            </w:tcBorders>
          </w:tcPr>
          <w:p w14:paraId="14673991" w14:textId="77777777" w:rsidR="00EC247B" w:rsidRDefault="00EC247B" w:rsidP="00F15892">
            <w:r>
              <w:t>E</w:t>
            </w:r>
            <w:r w:rsidRPr="001952A4">
              <w:t>nsure invoices relating to the month of December are entered by the 31 December into CASES21 Receivable</w:t>
            </w:r>
            <w:r>
              <w:t>s</w:t>
            </w:r>
            <w:r w:rsidRPr="001952A4">
              <w:t xml:space="preserve"> module.</w:t>
            </w:r>
          </w:p>
        </w:tc>
        <w:tc>
          <w:tcPr>
            <w:tcW w:w="930" w:type="dxa"/>
            <w:tcBorders>
              <w:top w:val="single" w:sz="4" w:space="0" w:color="auto"/>
              <w:left w:val="single" w:sz="4" w:space="0" w:color="auto"/>
              <w:bottom w:val="single" w:sz="4" w:space="0" w:color="auto"/>
              <w:right w:val="single" w:sz="4" w:space="0" w:color="auto"/>
            </w:tcBorders>
          </w:tcPr>
          <w:p w14:paraId="734D2946" w14:textId="77777777" w:rsidR="00EC247B" w:rsidRDefault="00EC247B" w:rsidP="00F15892"/>
        </w:tc>
      </w:tr>
      <w:tr w:rsidR="00EC247B" w:rsidRPr="00F81106" w14:paraId="55795D8A" w14:textId="72355EA8" w:rsidTr="009B3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7"/>
        </w:trPr>
        <w:tc>
          <w:tcPr>
            <w:tcW w:w="1134" w:type="dxa"/>
            <w:tcBorders>
              <w:top w:val="single" w:sz="4" w:space="0" w:color="auto"/>
              <w:left w:val="single" w:sz="4" w:space="0" w:color="auto"/>
              <w:bottom w:val="single" w:sz="4" w:space="0" w:color="auto"/>
              <w:right w:val="single" w:sz="4" w:space="0" w:color="auto"/>
            </w:tcBorders>
          </w:tcPr>
          <w:p w14:paraId="5CF26A71" w14:textId="77777777" w:rsidR="00EC247B" w:rsidRPr="00F81106" w:rsidRDefault="00EC247B" w:rsidP="003E100A">
            <w:r>
              <w:t>17.6.1.2</w:t>
            </w:r>
          </w:p>
        </w:tc>
        <w:tc>
          <w:tcPr>
            <w:tcW w:w="7088" w:type="dxa"/>
            <w:tcBorders>
              <w:top w:val="single" w:sz="4" w:space="0" w:color="auto"/>
              <w:left w:val="single" w:sz="4" w:space="0" w:color="auto"/>
              <w:bottom w:val="single" w:sz="4" w:space="0" w:color="auto"/>
              <w:right w:val="single" w:sz="4" w:space="0" w:color="auto"/>
            </w:tcBorders>
          </w:tcPr>
          <w:p w14:paraId="5AEA5CF2" w14:textId="77777777" w:rsidR="00EC247B" w:rsidRDefault="00EC247B" w:rsidP="00AC3C1B">
            <w:r>
              <w:t>A</w:t>
            </w:r>
            <w:r w:rsidRPr="001952A4">
              <w:t xml:space="preserve">ll account receivable balances </w:t>
            </w:r>
            <w:r>
              <w:t xml:space="preserve">must </w:t>
            </w:r>
            <w:r w:rsidRPr="001952A4">
              <w:t xml:space="preserve">be reviewed </w:t>
            </w:r>
            <w:r>
              <w:t xml:space="preserve">(preferably monthly) </w:t>
            </w:r>
            <w:r w:rsidRPr="001952A4">
              <w:t>to ensure only current balances are recogni</w:t>
            </w:r>
            <w:r>
              <w:t>s</w:t>
            </w:r>
            <w:r w:rsidRPr="001952A4">
              <w:t xml:space="preserve">ed in CASES21 </w:t>
            </w:r>
            <w:r>
              <w:t>Re</w:t>
            </w:r>
            <w:r w:rsidRPr="001952A4">
              <w:t>ceivable</w:t>
            </w:r>
            <w:r>
              <w:t>s</w:t>
            </w:r>
            <w:r w:rsidRPr="001952A4">
              <w:t xml:space="preserve"> module.</w:t>
            </w:r>
          </w:p>
        </w:tc>
        <w:tc>
          <w:tcPr>
            <w:tcW w:w="930" w:type="dxa"/>
            <w:tcBorders>
              <w:top w:val="single" w:sz="4" w:space="0" w:color="auto"/>
              <w:left w:val="single" w:sz="4" w:space="0" w:color="auto"/>
              <w:bottom w:val="single" w:sz="4" w:space="0" w:color="auto"/>
              <w:right w:val="single" w:sz="4" w:space="0" w:color="auto"/>
            </w:tcBorders>
          </w:tcPr>
          <w:p w14:paraId="047D5988" w14:textId="77777777" w:rsidR="00EC247B" w:rsidRDefault="00EC247B" w:rsidP="00AC3C1B"/>
        </w:tc>
      </w:tr>
      <w:tr w:rsidR="00EC247B" w:rsidRPr="00F81106" w14:paraId="67231E24" w14:textId="57E06BAE" w:rsidTr="009B3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8"/>
        </w:trPr>
        <w:tc>
          <w:tcPr>
            <w:tcW w:w="1134" w:type="dxa"/>
            <w:tcBorders>
              <w:top w:val="single" w:sz="4" w:space="0" w:color="auto"/>
              <w:left w:val="single" w:sz="4" w:space="0" w:color="auto"/>
              <w:bottom w:val="single" w:sz="4" w:space="0" w:color="auto"/>
              <w:right w:val="single" w:sz="4" w:space="0" w:color="auto"/>
            </w:tcBorders>
          </w:tcPr>
          <w:p w14:paraId="2C065312" w14:textId="77777777" w:rsidR="00EC247B" w:rsidRPr="00F81106" w:rsidRDefault="00EC247B" w:rsidP="003E100A">
            <w:r>
              <w:t>17.6.1.3</w:t>
            </w:r>
          </w:p>
        </w:tc>
        <w:tc>
          <w:tcPr>
            <w:tcW w:w="7088" w:type="dxa"/>
            <w:tcBorders>
              <w:top w:val="single" w:sz="4" w:space="0" w:color="auto"/>
              <w:left w:val="single" w:sz="4" w:space="0" w:color="auto"/>
              <w:bottom w:val="single" w:sz="4" w:space="0" w:color="auto"/>
              <w:right w:val="single" w:sz="4" w:space="0" w:color="auto"/>
            </w:tcBorders>
          </w:tcPr>
          <w:p w14:paraId="09ADAE83" w14:textId="77777777" w:rsidR="00EC247B" w:rsidRDefault="00EC247B" w:rsidP="00B97D9F">
            <w:r>
              <w:t xml:space="preserve">All </w:t>
            </w:r>
            <w:r w:rsidRPr="001952A4">
              <w:t>outstanding invoices</w:t>
            </w:r>
            <w:r>
              <w:t xml:space="preserve"> must be reviewed, in</w:t>
            </w:r>
            <w:r w:rsidRPr="001952A4">
              <w:t xml:space="preserve"> particular old invoices in families and sundry debtor charges (ageing balances)</w:t>
            </w:r>
            <w:r>
              <w:t xml:space="preserve"> to determine why they have not been collected and remain outstanding</w:t>
            </w:r>
            <w:r w:rsidRPr="001952A4">
              <w:t>.</w:t>
            </w:r>
          </w:p>
        </w:tc>
        <w:tc>
          <w:tcPr>
            <w:tcW w:w="930" w:type="dxa"/>
            <w:tcBorders>
              <w:top w:val="single" w:sz="4" w:space="0" w:color="auto"/>
              <w:left w:val="single" w:sz="4" w:space="0" w:color="auto"/>
              <w:bottom w:val="single" w:sz="4" w:space="0" w:color="auto"/>
              <w:right w:val="single" w:sz="4" w:space="0" w:color="auto"/>
            </w:tcBorders>
          </w:tcPr>
          <w:p w14:paraId="578FD1AB" w14:textId="77777777" w:rsidR="00EC247B" w:rsidRDefault="00EC247B" w:rsidP="00B97D9F"/>
        </w:tc>
      </w:tr>
      <w:tr w:rsidR="00EC247B" w:rsidRPr="00F81106" w14:paraId="7CA892C0" w14:textId="436B76B2" w:rsidTr="009B3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5"/>
        </w:trPr>
        <w:tc>
          <w:tcPr>
            <w:tcW w:w="1134" w:type="dxa"/>
            <w:tcBorders>
              <w:top w:val="single" w:sz="4" w:space="0" w:color="auto"/>
              <w:left w:val="single" w:sz="4" w:space="0" w:color="auto"/>
              <w:bottom w:val="single" w:sz="4" w:space="0" w:color="auto"/>
              <w:right w:val="single" w:sz="4" w:space="0" w:color="auto"/>
            </w:tcBorders>
          </w:tcPr>
          <w:p w14:paraId="49482751" w14:textId="77777777" w:rsidR="00EC247B" w:rsidRPr="00F81106" w:rsidRDefault="00EC247B" w:rsidP="00D929AF">
            <w:r>
              <w:t>17.6.1.4</w:t>
            </w:r>
          </w:p>
        </w:tc>
        <w:tc>
          <w:tcPr>
            <w:tcW w:w="7088" w:type="dxa"/>
            <w:tcBorders>
              <w:top w:val="single" w:sz="4" w:space="0" w:color="auto"/>
              <w:left w:val="single" w:sz="4" w:space="0" w:color="auto"/>
              <w:bottom w:val="single" w:sz="4" w:space="0" w:color="auto"/>
              <w:right w:val="single" w:sz="4" w:space="0" w:color="auto"/>
            </w:tcBorders>
          </w:tcPr>
          <w:p w14:paraId="701918E7" w14:textId="77777777" w:rsidR="00EC247B" w:rsidRDefault="00EC247B" w:rsidP="00F50411">
            <w:r>
              <w:t xml:space="preserve">Any invoices that are unlikely to be collected and deemed unrecoverable must be written off. </w:t>
            </w:r>
            <w:r w:rsidRPr="001952A4">
              <w:t xml:space="preserve">For example, </w:t>
            </w:r>
            <w:r>
              <w:t xml:space="preserve">a </w:t>
            </w:r>
            <w:r w:rsidRPr="001952A4">
              <w:t xml:space="preserve">student who did not attend a </w:t>
            </w:r>
            <w:r>
              <w:t xml:space="preserve">camp, the </w:t>
            </w:r>
            <w:r w:rsidRPr="001952A4">
              <w:t xml:space="preserve">outstanding invoice </w:t>
            </w:r>
            <w:r>
              <w:t>wi</w:t>
            </w:r>
            <w:r w:rsidRPr="001952A4">
              <w:t>ll not be paid by the famil</w:t>
            </w:r>
            <w:r>
              <w:t xml:space="preserve">y and therefore must be written off. </w:t>
            </w:r>
          </w:p>
        </w:tc>
        <w:tc>
          <w:tcPr>
            <w:tcW w:w="930" w:type="dxa"/>
            <w:tcBorders>
              <w:top w:val="single" w:sz="4" w:space="0" w:color="auto"/>
              <w:left w:val="single" w:sz="4" w:space="0" w:color="auto"/>
              <w:bottom w:val="single" w:sz="4" w:space="0" w:color="auto"/>
              <w:right w:val="single" w:sz="4" w:space="0" w:color="auto"/>
            </w:tcBorders>
          </w:tcPr>
          <w:p w14:paraId="0CB561E2" w14:textId="77777777" w:rsidR="00EC247B" w:rsidRDefault="00EC247B" w:rsidP="00F50411"/>
        </w:tc>
      </w:tr>
    </w:tbl>
    <w:p w14:paraId="6A12CB3B" w14:textId="77777777" w:rsidR="00E6379F" w:rsidRDefault="00E6379F" w:rsidP="00E6379F">
      <w:pPr>
        <w:pStyle w:val="Heading3"/>
      </w:pPr>
      <w:r>
        <w:t>Families</w:t>
      </w:r>
    </w:p>
    <w:p w14:paraId="6E0B7D75" w14:textId="77777777" w:rsidR="00E6379F" w:rsidRPr="00126A52" w:rsidRDefault="00E6379F" w:rsidP="00E6379F">
      <w:pPr>
        <w:pStyle w:val="Heading3"/>
      </w:pPr>
      <w:r w:rsidRPr="002A00EF">
        <w:t>1</w:t>
      </w:r>
      <w:r>
        <w:t>7</w:t>
      </w:r>
      <w:r w:rsidRPr="002A00EF">
        <w:t>.</w:t>
      </w:r>
      <w:r w:rsidR="00D05EB7">
        <w:t>6</w:t>
      </w:r>
      <w:r>
        <w:t>.</w:t>
      </w:r>
      <w:r w:rsidR="00D05EB7">
        <w:t>2</w:t>
      </w:r>
      <w:r>
        <w:tab/>
      </w:r>
      <w:r w:rsidRPr="002A00EF">
        <w:t>Mandatory policy (</w:t>
      </w:r>
      <w:r>
        <w:t>Must do</w:t>
      </w:r>
      <w:r w:rsidRPr="002A00EF">
        <w:t>)</w:t>
      </w:r>
      <w:r>
        <w:t>:</w:t>
      </w:r>
    </w:p>
    <w:tbl>
      <w:tblPr>
        <w:tblW w:w="915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containing sequence numbers and policy information"/>
      </w:tblPr>
      <w:tblGrid>
        <w:gridCol w:w="1134"/>
        <w:gridCol w:w="7088"/>
        <w:gridCol w:w="930"/>
      </w:tblGrid>
      <w:tr w:rsidR="00EC247B" w:rsidRPr="0091756B" w14:paraId="74D641A7" w14:textId="4C251BD8" w:rsidTr="009B3C58">
        <w:trPr>
          <w:trHeight w:val="567"/>
          <w:tblHeader/>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40009BB" w14:textId="77777777" w:rsidR="00EC247B" w:rsidRPr="00D60EB6" w:rsidRDefault="00EC247B" w:rsidP="00CC1676">
            <w:pPr>
              <w:rPr>
                <w:b/>
                <w:sz w:val="18"/>
              </w:rPr>
            </w:pPr>
            <w:r w:rsidRPr="00D60EB6">
              <w:rPr>
                <w:b/>
                <w:sz w:val="18"/>
              </w:rPr>
              <w:t>Sequence Numbers</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6081F664" w14:textId="77777777" w:rsidR="00EC247B" w:rsidRPr="00E0071A" w:rsidRDefault="00EC247B" w:rsidP="00CC1676">
            <w:pPr>
              <w:rPr>
                <w:b/>
                <w:sz w:val="20"/>
                <w:szCs w:val="20"/>
              </w:rPr>
            </w:pPr>
            <w:r w:rsidRPr="00E0071A">
              <w:rPr>
                <w:b/>
                <w:sz w:val="20"/>
                <w:szCs w:val="20"/>
              </w:rPr>
              <w:t>Information</w:t>
            </w:r>
          </w:p>
        </w:tc>
        <w:tc>
          <w:tcPr>
            <w:tcW w:w="930" w:type="dxa"/>
            <w:tcBorders>
              <w:top w:val="nil"/>
              <w:left w:val="single" w:sz="4" w:space="0" w:color="auto"/>
              <w:bottom w:val="single" w:sz="4" w:space="0" w:color="auto"/>
              <w:right w:val="nil"/>
            </w:tcBorders>
          </w:tcPr>
          <w:p w14:paraId="46AA019D" w14:textId="77777777" w:rsidR="00EC247B" w:rsidRPr="00D60EB6" w:rsidRDefault="00EC247B" w:rsidP="00CC1676">
            <w:pPr>
              <w:rPr>
                <w:b/>
              </w:rPr>
            </w:pPr>
          </w:p>
        </w:tc>
      </w:tr>
      <w:tr w:rsidR="00EC247B" w:rsidRPr="00F81106" w14:paraId="38B80692" w14:textId="030CBD34" w:rsidTr="009B3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37"/>
        </w:trPr>
        <w:tc>
          <w:tcPr>
            <w:tcW w:w="1134" w:type="dxa"/>
            <w:tcBorders>
              <w:top w:val="single" w:sz="4" w:space="0" w:color="auto"/>
              <w:left w:val="single" w:sz="4" w:space="0" w:color="auto"/>
              <w:bottom w:val="single" w:sz="4" w:space="0" w:color="auto"/>
              <w:right w:val="single" w:sz="4" w:space="0" w:color="auto"/>
            </w:tcBorders>
          </w:tcPr>
          <w:p w14:paraId="49D8E857" w14:textId="77777777" w:rsidR="00EC247B" w:rsidRPr="00F81106" w:rsidRDefault="00EC247B" w:rsidP="00392B93">
            <w:r>
              <w:t>17.6.2.1</w:t>
            </w:r>
          </w:p>
        </w:tc>
        <w:tc>
          <w:tcPr>
            <w:tcW w:w="7088" w:type="dxa"/>
            <w:tcBorders>
              <w:top w:val="single" w:sz="4" w:space="0" w:color="auto"/>
              <w:left w:val="single" w:sz="4" w:space="0" w:color="auto"/>
              <w:bottom w:val="single" w:sz="4" w:space="0" w:color="auto"/>
              <w:right w:val="single" w:sz="4" w:space="0" w:color="auto"/>
            </w:tcBorders>
          </w:tcPr>
          <w:p w14:paraId="21562EBE" w14:textId="77777777" w:rsidR="00EC247B" w:rsidRDefault="00EC247B" w:rsidP="00392B93">
            <w:r>
              <w:t>The validity of Family Invoices must be checked using the Charges By Charge Type (DF21113) report.</w:t>
            </w:r>
          </w:p>
        </w:tc>
        <w:tc>
          <w:tcPr>
            <w:tcW w:w="930" w:type="dxa"/>
            <w:tcBorders>
              <w:top w:val="single" w:sz="4" w:space="0" w:color="auto"/>
              <w:left w:val="single" w:sz="4" w:space="0" w:color="auto"/>
              <w:bottom w:val="single" w:sz="4" w:space="0" w:color="auto"/>
              <w:right w:val="single" w:sz="4" w:space="0" w:color="auto"/>
            </w:tcBorders>
          </w:tcPr>
          <w:p w14:paraId="1AC32D37" w14:textId="77777777" w:rsidR="00EC247B" w:rsidRDefault="00EC247B" w:rsidP="00392B93"/>
        </w:tc>
      </w:tr>
      <w:tr w:rsidR="00EC247B" w:rsidRPr="00F81106" w14:paraId="03A2B293" w14:textId="4CAA48BC" w:rsidTr="009B3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39"/>
        </w:trPr>
        <w:tc>
          <w:tcPr>
            <w:tcW w:w="1134" w:type="dxa"/>
            <w:tcBorders>
              <w:top w:val="single" w:sz="4" w:space="0" w:color="auto"/>
              <w:left w:val="single" w:sz="4" w:space="0" w:color="auto"/>
              <w:bottom w:val="single" w:sz="4" w:space="0" w:color="auto"/>
              <w:right w:val="single" w:sz="4" w:space="0" w:color="auto"/>
            </w:tcBorders>
          </w:tcPr>
          <w:p w14:paraId="06E0EDC1" w14:textId="77777777" w:rsidR="00EC247B" w:rsidRDefault="00EC247B" w:rsidP="00904A0D">
            <w:r>
              <w:t>17.6.2.2</w:t>
            </w:r>
          </w:p>
        </w:tc>
        <w:tc>
          <w:tcPr>
            <w:tcW w:w="7088" w:type="dxa"/>
            <w:tcBorders>
              <w:top w:val="single" w:sz="4" w:space="0" w:color="auto"/>
              <w:left w:val="single" w:sz="4" w:space="0" w:color="auto"/>
              <w:bottom w:val="single" w:sz="4" w:space="0" w:color="auto"/>
              <w:right w:val="single" w:sz="4" w:space="0" w:color="auto"/>
            </w:tcBorders>
          </w:tcPr>
          <w:p w14:paraId="7E0DC001" w14:textId="77777777" w:rsidR="00EC247B" w:rsidRDefault="00EC247B" w:rsidP="000C1080">
            <w:pPr>
              <w:jc w:val="both"/>
            </w:pPr>
            <w:r>
              <w:t xml:space="preserve">All Family Invoices must be reviewed prior to completing the End of Year process and only those that are collectable and align with the Parent Payment Policy must remain in CASES21. </w:t>
            </w:r>
          </w:p>
          <w:p w14:paraId="708BDDB9" w14:textId="77777777" w:rsidR="00EC247B" w:rsidRDefault="00EC247B" w:rsidP="00B85D39">
            <w:pPr>
              <w:jc w:val="both"/>
            </w:pPr>
            <w:r>
              <w:t xml:space="preserve">Refer to the </w:t>
            </w:r>
            <w:hyperlink r:id="rId20" w:history="1">
              <w:r w:rsidRPr="00424C26">
                <w:rPr>
                  <w:rStyle w:val="Hyperlink"/>
                </w:rPr>
                <w:t>Parent Payment policy</w:t>
              </w:r>
            </w:hyperlink>
            <w:r>
              <w:t xml:space="preserve"> for further guidance.</w:t>
            </w:r>
          </w:p>
        </w:tc>
        <w:tc>
          <w:tcPr>
            <w:tcW w:w="930" w:type="dxa"/>
            <w:tcBorders>
              <w:top w:val="single" w:sz="4" w:space="0" w:color="auto"/>
              <w:left w:val="single" w:sz="4" w:space="0" w:color="auto"/>
              <w:bottom w:val="single" w:sz="4" w:space="0" w:color="auto"/>
              <w:right w:val="single" w:sz="4" w:space="0" w:color="auto"/>
            </w:tcBorders>
          </w:tcPr>
          <w:p w14:paraId="3BB53627" w14:textId="77777777" w:rsidR="00EC247B" w:rsidRDefault="00EC247B" w:rsidP="000C1080">
            <w:pPr>
              <w:jc w:val="both"/>
            </w:pPr>
          </w:p>
        </w:tc>
      </w:tr>
      <w:tr w:rsidR="00EC247B" w:rsidRPr="00F81106" w14:paraId="3D9DE475" w14:textId="31EB588D" w:rsidTr="009B3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7"/>
        </w:trPr>
        <w:tc>
          <w:tcPr>
            <w:tcW w:w="1134" w:type="dxa"/>
            <w:tcBorders>
              <w:top w:val="single" w:sz="4" w:space="0" w:color="auto"/>
              <w:left w:val="single" w:sz="4" w:space="0" w:color="auto"/>
              <w:bottom w:val="single" w:sz="4" w:space="0" w:color="auto"/>
              <w:right w:val="single" w:sz="4" w:space="0" w:color="auto"/>
            </w:tcBorders>
          </w:tcPr>
          <w:p w14:paraId="13A95645" w14:textId="77777777" w:rsidR="00EC247B" w:rsidRDefault="00EC247B" w:rsidP="00C60A8C">
            <w:r>
              <w:t>17.6.2.3</w:t>
            </w:r>
          </w:p>
        </w:tc>
        <w:tc>
          <w:tcPr>
            <w:tcW w:w="7088" w:type="dxa"/>
            <w:tcBorders>
              <w:top w:val="single" w:sz="4" w:space="0" w:color="auto"/>
              <w:left w:val="single" w:sz="4" w:space="0" w:color="auto"/>
              <w:bottom w:val="single" w:sz="4" w:space="0" w:color="auto"/>
              <w:right w:val="single" w:sz="4" w:space="0" w:color="auto"/>
            </w:tcBorders>
          </w:tcPr>
          <w:p w14:paraId="625F56A0" w14:textId="77777777" w:rsidR="00EC247B" w:rsidRDefault="00EC247B" w:rsidP="00C60A8C">
            <w:r>
              <w:t>The validity of unallocated Family Receipts and Family Credit Notes must be checked. Any unallocated items identified must be investigated and transactions allocated before the End of Year rollover is completed. Only valid transactions must be transferred into the New Year.</w:t>
            </w:r>
          </w:p>
        </w:tc>
        <w:tc>
          <w:tcPr>
            <w:tcW w:w="930" w:type="dxa"/>
            <w:tcBorders>
              <w:top w:val="single" w:sz="4" w:space="0" w:color="auto"/>
              <w:left w:val="single" w:sz="4" w:space="0" w:color="auto"/>
              <w:bottom w:val="single" w:sz="4" w:space="0" w:color="auto"/>
              <w:right w:val="single" w:sz="4" w:space="0" w:color="auto"/>
            </w:tcBorders>
          </w:tcPr>
          <w:p w14:paraId="2CB0DFA8" w14:textId="77777777" w:rsidR="00EC247B" w:rsidRDefault="00EC247B" w:rsidP="00C60A8C"/>
        </w:tc>
      </w:tr>
      <w:tr w:rsidR="00EC247B" w:rsidRPr="00F81106" w14:paraId="0CD27B11" w14:textId="1880FFFC" w:rsidTr="009B3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37"/>
        </w:trPr>
        <w:tc>
          <w:tcPr>
            <w:tcW w:w="1134" w:type="dxa"/>
            <w:tcBorders>
              <w:top w:val="single" w:sz="4" w:space="0" w:color="auto"/>
              <w:left w:val="single" w:sz="4" w:space="0" w:color="auto"/>
              <w:bottom w:val="single" w:sz="4" w:space="0" w:color="auto"/>
              <w:right w:val="single" w:sz="4" w:space="0" w:color="auto"/>
            </w:tcBorders>
          </w:tcPr>
          <w:p w14:paraId="6D522482" w14:textId="77777777" w:rsidR="00EC247B" w:rsidRDefault="00EC247B" w:rsidP="00C60A8C">
            <w:r>
              <w:lastRenderedPageBreak/>
              <w:t>17.6.2.4</w:t>
            </w:r>
          </w:p>
        </w:tc>
        <w:tc>
          <w:tcPr>
            <w:tcW w:w="7088" w:type="dxa"/>
            <w:tcBorders>
              <w:top w:val="single" w:sz="4" w:space="0" w:color="auto"/>
              <w:left w:val="single" w:sz="4" w:space="0" w:color="auto"/>
              <w:bottom w:val="single" w:sz="4" w:space="0" w:color="auto"/>
              <w:right w:val="single" w:sz="4" w:space="0" w:color="auto"/>
            </w:tcBorders>
          </w:tcPr>
          <w:p w14:paraId="034F7E6D" w14:textId="77777777" w:rsidR="00EC247B" w:rsidRDefault="00EC247B" w:rsidP="00C60A8C">
            <w:r>
              <w:t>All CSEF allocations must be made to student invoices prior to completing the End of Year process.</w:t>
            </w:r>
          </w:p>
        </w:tc>
        <w:tc>
          <w:tcPr>
            <w:tcW w:w="930" w:type="dxa"/>
            <w:tcBorders>
              <w:top w:val="single" w:sz="4" w:space="0" w:color="auto"/>
              <w:left w:val="single" w:sz="4" w:space="0" w:color="auto"/>
              <w:bottom w:val="single" w:sz="4" w:space="0" w:color="auto"/>
              <w:right w:val="single" w:sz="4" w:space="0" w:color="auto"/>
            </w:tcBorders>
          </w:tcPr>
          <w:p w14:paraId="27E912C2" w14:textId="77777777" w:rsidR="00EC247B" w:rsidRDefault="00EC247B" w:rsidP="00C60A8C"/>
        </w:tc>
      </w:tr>
      <w:tr w:rsidR="00EC247B" w:rsidRPr="00F81106" w14:paraId="20654C41" w14:textId="33815666" w:rsidTr="009B3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37"/>
        </w:trPr>
        <w:tc>
          <w:tcPr>
            <w:tcW w:w="1134" w:type="dxa"/>
            <w:tcBorders>
              <w:top w:val="single" w:sz="4" w:space="0" w:color="auto"/>
              <w:left w:val="single" w:sz="4" w:space="0" w:color="auto"/>
              <w:bottom w:val="single" w:sz="4" w:space="0" w:color="auto"/>
              <w:right w:val="single" w:sz="4" w:space="0" w:color="auto"/>
            </w:tcBorders>
          </w:tcPr>
          <w:p w14:paraId="01C7F1BA" w14:textId="77777777" w:rsidR="00EC247B" w:rsidRDefault="00EC247B" w:rsidP="006C0E55">
            <w:r>
              <w:t>17.6.2.5</w:t>
            </w:r>
          </w:p>
        </w:tc>
        <w:tc>
          <w:tcPr>
            <w:tcW w:w="7088" w:type="dxa"/>
            <w:tcBorders>
              <w:top w:val="single" w:sz="4" w:space="0" w:color="auto"/>
              <w:left w:val="single" w:sz="4" w:space="0" w:color="auto"/>
              <w:bottom w:val="single" w:sz="4" w:space="0" w:color="auto"/>
              <w:right w:val="single" w:sz="4" w:space="0" w:color="auto"/>
            </w:tcBorders>
          </w:tcPr>
          <w:p w14:paraId="6E912909" w14:textId="77777777" w:rsidR="00EC247B" w:rsidRDefault="00EC247B" w:rsidP="008433FB">
            <w:r w:rsidRPr="0024400A">
              <w:t>All BPAY allocations must be made prior to completing the End of Year process.</w:t>
            </w:r>
          </w:p>
        </w:tc>
        <w:tc>
          <w:tcPr>
            <w:tcW w:w="930" w:type="dxa"/>
            <w:tcBorders>
              <w:top w:val="single" w:sz="4" w:space="0" w:color="auto"/>
              <w:left w:val="single" w:sz="4" w:space="0" w:color="auto"/>
              <w:bottom w:val="single" w:sz="4" w:space="0" w:color="auto"/>
              <w:right w:val="single" w:sz="4" w:space="0" w:color="auto"/>
            </w:tcBorders>
          </w:tcPr>
          <w:p w14:paraId="03DC4A32" w14:textId="77777777" w:rsidR="00EC247B" w:rsidRPr="0024400A" w:rsidRDefault="00EC247B" w:rsidP="008433FB"/>
        </w:tc>
      </w:tr>
      <w:tr w:rsidR="00EC247B" w:rsidRPr="00F81106" w14:paraId="711D1058" w14:textId="35170A0D" w:rsidTr="009B3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9"/>
        </w:trPr>
        <w:tc>
          <w:tcPr>
            <w:tcW w:w="1134" w:type="dxa"/>
            <w:tcBorders>
              <w:top w:val="single" w:sz="4" w:space="0" w:color="auto"/>
              <w:left w:val="single" w:sz="4" w:space="0" w:color="auto"/>
              <w:bottom w:val="single" w:sz="4" w:space="0" w:color="auto"/>
              <w:right w:val="single" w:sz="4" w:space="0" w:color="auto"/>
            </w:tcBorders>
          </w:tcPr>
          <w:p w14:paraId="692B2C55" w14:textId="77777777" w:rsidR="00EC247B" w:rsidRDefault="00EC247B" w:rsidP="000937AF">
            <w:r>
              <w:t>17.6.2.6</w:t>
            </w:r>
          </w:p>
        </w:tc>
        <w:tc>
          <w:tcPr>
            <w:tcW w:w="7088" w:type="dxa"/>
            <w:tcBorders>
              <w:top w:val="single" w:sz="4" w:space="0" w:color="auto"/>
              <w:left w:val="single" w:sz="4" w:space="0" w:color="auto"/>
              <w:bottom w:val="single" w:sz="4" w:space="0" w:color="auto"/>
              <w:right w:val="single" w:sz="4" w:space="0" w:color="auto"/>
            </w:tcBorders>
          </w:tcPr>
          <w:p w14:paraId="3850A719" w14:textId="77777777" w:rsidR="00EC247B" w:rsidRDefault="00EC247B" w:rsidP="00B97D9F">
            <w:r>
              <w:t xml:space="preserve">The write off Family Invoices that are no longer required by schools must have a credit note raised against the original invoice.  </w:t>
            </w:r>
          </w:p>
          <w:p w14:paraId="09274B58" w14:textId="77777777" w:rsidR="00EC247B" w:rsidRDefault="00EC247B" w:rsidP="003B48DE">
            <w:r>
              <w:t xml:space="preserve">Refer to </w:t>
            </w:r>
            <w:hyperlink r:id="rId21" w:history="1">
              <w:r w:rsidRPr="003372E8">
                <w:rPr>
                  <w:rStyle w:val="Hyperlink"/>
                </w:rPr>
                <w:t>CASES21 Finance Business Process Guide Section 1 – Families</w:t>
              </w:r>
            </w:hyperlink>
            <w:r>
              <w:t xml:space="preserve"> for further guidance on removing invoices.</w:t>
            </w:r>
          </w:p>
        </w:tc>
        <w:tc>
          <w:tcPr>
            <w:tcW w:w="930" w:type="dxa"/>
            <w:tcBorders>
              <w:top w:val="single" w:sz="4" w:space="0" w:color="auto"/>
              <w:left w:val="single" w:sz="4" w:space="0" w:color="auto"/>
              <w:bottom w:val="single" w:sz="4" w:space="0" w:color="auto"/>
              <w:right w:val="single" w:sz="4" w:space="0" w:color="auto"/>
            </w:tcBorders>
          </w:tcPr>
          <w:p w14:paraId="4FE95CCE" w14:textId="77777777" w:rsidR="00EC247B" w:rsidRDefault="00EC247B" w:rsidP="00B97D9F"/>
        </w:tc>
      </w:tr>
      <w:tr w:rsidR="00EC247B" w:rsidRPr="00F81106" w14:paraId="58C13A77" w14:textId="469A1AA2" w:rsidTr="009B3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71"/>
        </w:trPr>
        <w:tc>
          <w:tcPr>
            <w:tcW w:w="1134" w:type="dxa"/>
            <w:tcBorders>
              <w:top w:val="single" w:sz="4" w:space="0" w:color="auto"/>
              <w:left w:val="single" w:sz="4" w:space="0" w:color="auto"/>
              <w:bottom w:val="single" w:sz="4" w:space="0" w:color="auto"/>
              <w:right w:val="single" w:sz="4" w:space="0" w:color="auto"/>
            </w:tcBorders>
          </w:tcPr>
          <w:p w14:paraId="0308F34A" w14:textId="77777777" w:rsidR="00EC247B" w:rsidRDefault="00EC247B" w:rsidP="000937AF">
            <w:r>
              <w:t>17.6.2.7</w:t>
            </w:r>
          </w:p>
        </w:tc>
        <w:tc>
          <w:tcPr>
            <w:tcW w:w="7088" w:type="dxa"/>
            <w:tcBorders>
              <w:top w:val="single" w:sz="4" w:space="0" w:color="auto"/>
              <w:left w:val="single" w:sz="4" w:space="0" w:color="auto"/>
              <w:bottom w:val="single" w:sz="4" w:space="0" w:color="auto"/>
              <w:right w:val="single" w:sz="4" w:space="0" w:color="auto"/>
            </w:tcBorders>
          </w:tcPr>
          <w:p w14:paraId="0969FFFB" w14:textId="77777777" w:rsidR="00EC247B" w:rsidRDefault="00EC247B" w:rsidP="00AC3C1B">
            <w:r w:rsidRPr="0072695C">
              <w:t xml:space="preserve">If </w:t>
            </w:r>
            <w:r>
              <w:t>any</w:t>
            </w:r>
            <w:r w:rsidRPr="0072695C">
              <w:t xml:space="preserve"> invoices for the </w:t>
            </w:r>
            <w:r>
              <w:t>n</w:t>
            </w:r>
            <w:r w:rsidRPr="0072695C">
              <w:t xml:space="preserve">ew </w:t>
            </w:r>
            <w:r>
              <w:t>school y</w:t>
            </w:r>
            <w:r w:rsidRPr="0072695C">
              <w:t>ear are raised in the current school</w:t>
            </w:r>
            <w:r>
              <w:t xml:space="preserve"> year,</w:t>
            </w:r>
            <w:r w:rsidRPr="0072695C">
              <w:t xml:space="preserve"> </w:t>
            </w:r>
            <w:r>
              <w:t xml:space="preserve">the school must </w:t>
            </w:r>
            <w:r w:rsidRPr="0072695C">
              <w:t xml:space="preserve">perform a </w:t>
            </w:r>
            <w:r>
              <w:t>b</w:t>
            </w:r>
            <w:r w:rsidRPr="0072695C">
              <w:t xml:space="preserve">alance </w:t>
            </w:r>
            <w:r>
              <w:t>d</w:t>
            </w:r>
            <w:r w:rsidRPr="0072695C">
              <w:t xml:space="preserve">ay </w:t>
            </w:r>
            <w:r>
              <w:t>a</w:t>
            </w:r>
            <w:r w:rsidRPr="0072695C">
              <w:t>djustment</w:t>
            </w:r>
            <w:r>
              <w:t xml:space="preserve">. Refer </w:t>
            </w:r>
            <w:r w:rsidRPr="0072695C">
              <w:t xml:space="preserve">to </w:t>
            </w:r>
            <w:hyperlink r:id="rId22" w:history="1">
              <w:r w:rsidRPr="003372E8">
                <w:rPr>
                  <w:rStyle w:val="Hyperlink"/>
                </w:rPr>
                <w:t>CASES21 Finance Business Process Guide Section 10 – Balance Day Adjustments</w:t>
              </w:r>
            </w:hyperlink>
            <w:r>
              <w:t xml:space="preserve"> for further guidance</w:t>
            </w:r>
            <w:r w:rsidRPr="0072695C">
              <w:t>.</w:t>
            </w:r>
            <w:r>
              <w:t xml:space="preserve"> This is to ensure the correct revenue is recognised each year.</w:t>
            </w:r>
          </w:p>
        </w:tc>
        <w:tc>
          <w:tcPr>
            <w:tcW w:w="930" w:type="dxa"/>
            <w:tcBorders>
              <w:top w:val="single" w:sz="4" w:space="0" w:color="auto"/>
              <w:left w:val="single" w:sz="4" w:space="0" w:color="auto"/>
              <w:bottom w:val="single" w:sz="4" w:space="0" w:color="auto"/>
              <w:right w:val="single" w:sz="4" w:space="0" w:color="auto"/>
            </w:tcBorders>
          </w:tcPr>
          <w:p w14:paraId="20FCA3DA" w14:textId="77777777" w:rsidR="00EC247B" w:rsidRPr="0072695C" w:rsidRDefault="00EC247B" w:rsidP="00AC3C1B"/>
        </w:tc>
      </w:tr>
      <w:tr w:rsidR="00EC247B" w:rsidRPr="00F81106" w14:paraId="3018E3AF" w14:textId="1726A45C" w:rsidTr="009B3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7"/>
        </w:trPr>
        <w:tc>
          <w:tcPr>
            <w:tcW w:w="1134" w:type="dxa"/>
            <w:tcBorders>
              <w:top w:val="single" w:sz="4" w:space="0" w:color="auto"/>
              <w:left w:val="single" w:sz="4" w:space="0" w:color="auto"/>
              <w:bottom w:val="single" w:sz="4" w:space="0" w:color="auto"/>
              <w:right w:val="single" w:sz="4" w:space="0" w:color="auto"/>
            </w:tcBorders>
          </w:tcPr>
          <w:p w14:paraId="07ECDFA5" w14:textId="77777777" w:rsidR="00EC247B" w:rsidRPr="00F81106" w:rsidRDefault="00EC247B" w:rsidP="000937AF">
            <w:r>
              <w:t>17.6.2.8</w:t>
            </w:r>
          </w:p>
        </w:tc>
        <w:tc>
          <w:tcPr>
            <w:tcW w:w="7088" w:type="dxa"/>
            <w:tcBorders>
              <w:top w:val="single" w:sz="4" w:space="0" w:color="auto"/>
              <w:left w:val="single" w:sz="4" w:space="0" w:color="auto"/>
              <w:bottom w:val="single" w:sz="4" w:space="0" w:color="auto"/>
              <w:right w:val="single" w:sz="4" w:space="0" w:color="auto"/>
            </w:tcBorders>
          </w:tcPr>
          <w:p w14:paraId="254C6C73" w14:textId="77777777" w:rsidR="00EC247B" w:rsidRDefault="00EC247B" w:rsidP="003B48DE">
            <w:r>
              <w:t xml:space="preserve">Schools must check the Operating Statement for negative revenue and take </w:t>
            </w:r>
            <w:r w:rsidRPr="005D3366">
              <w:t>appropriate action</w:t>
            </w:r>
            <w:r>
              <w:t xml:space="preserve"> to rectify the negative balance</w:t>
            </w:r>
            <w:r w:rsidRPr="005D3366">
              <w:t>.</w:t>
            </w:r>
            <w:r>
              <w:t xml:space="preserve"> Refer to </w:t>
            </w:r>
            <w:hyperlink r:id="rId23" w:history="1">
              <w:r w:rsidRPr="003372E8">
                <w:rPr>
                  <w:rStyle w:val="Hyperlink"/>
                </w:rPr>
                <w:t>CASES21 Finance Business Process Guide Section 11 – End of Year</w:t>
              </w:r>
            </w:hyperlink>
            <w:r>
              <w:t xml:space="preserve"> for further guidance on correcting negative revenue showing on the operating statement report.</w:t>
            </w:r>
          </w:p>
        </w:tc>
        <w:tc>
          <w:tcPr>
            <w:tcW w:w="930" w:type="dxa"/>
            <w:tcBorders>
              <w:top w:val="single" w:sz="4" w:space="0" w:color="auto"/>
              <w:left w:val="single" w:sz="4" w:space="0" w:color="auto"/>
              <w:bottom w:val="single" w:sz="4" w:space="0" w:color="auto"/>
              <w:right w:val="single" w:sz="4" w:space="0" w:color="auto"/>
            </w:tcBorders>
          </w:tcPr>
          <w:p w14:paraId="407C1FCF" w14:textId="77777777" w:rsidR="00EC247B" w:rsidRDefault="00EC247B" w:rsidP="003B48DE"/>
        </w:tc>
      </w:tr>
      <w:tr w:rsidR="00EC247B" w:rsidRPr="00F81106" w14:paraId="1BEC2A83" w14:textId="74DD1F7D" w:rsidTr="009B3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1"/>
        </w:trPr>
        <w:tc>
          <w:tcPr>
            <w:tcW w:w="1134" w:type="dxa"/>
            <w:tcBorders>
              <w:top w:val="single" w:sz="4" w:space="0" w:color="auto"/>
              <w:left w:val="single" w:sz="4" w:space="0" w:color="auto"/>
              <w:bottom w:val="single" w:sz="4" w:space="0" w:color="auto"/>
              <w:right w:val="single" w:sz="4" w:space="0" w:color="auto"/>
            </w:tcBorders>
          </w:tcPr>
          <w:p w14:paraId="45E36AF1" w14:textId="77777777" w:rsidR="00EC247B" w:rsidRPr="00F81106" w:rsidRDefault="00EC247B" w:rsidP="00904A0D">
            <w:r>
              <w:t>17.6.2.9</w:t>
            </w:r>
          </w:p>
        </w:tc>
        <w:tc>
          <w:tcPr>
            <w:tcW w:w="7088" w:type="dxa"/>
            <w:tcBorders>
              <w:top w:val="single" w:sz="4" w:space="0" w:color="auto"/>
              <w:left w:val="single" w:sz="4" w:space="0" w:color="auto"/>
              <w:bottom w:val="single" w:sz="4" w:space="0" w:color="auto"/>
              <w:right w:val="single" w:sz="4" w:space="0" w:color="auto"/>
            </w:tcBorders>
          </w:tcPr>
          <w:p w14:paraId="408A8C7F" w14:textId="77777777" w:rsidR="00EC247B" w:rsidRDefault="00EC247B" w:rsidP="00780DF7">
            <w:r>
              <w:t>Family records must be printed for future reference.</w:t>
            </w:r>
          </w:p>
        </w:tc>
        <w:tc>
          <w:tcPr>
            <w:tcW w:w="930" w:type="dxa"/>
            <w:tcBorders>
              <w:top w:val="single" w:sz="4" w:space="0" w:color="auto"/>
              <w:left w:val="single" w:sz="4" w:space="0" w:color="auto"/>
              <w:bottom w:val="single" w:sz="4" w:space="0" w:color="auto"/>
              <w:right w:val="single" w:sz="4" w:space="0" w:color="auto"/>
            </w:tcBorders>
          </w:tcPr>
          <w:p w14:paraId="620DEFB3" w14:textId="77777777" w:rsidR="00EC247B" w:rsidRDefault="00EC247B" w:rsidP="00780DF7"/>
        </w:tc>
      </w:tr>
      <w:tr w:rsidR="00EC247B" w:rsidRPr="00F81106" w14:paraId="622EA97E" w14:textId="4BB19871" w:rsidTr="009B3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66"/>
        </w:trPr>
        <w:tc>
          <w:tcPr>
            <w:tcW w:w="1134" w:type="dxa"/>
            <w:tcBorders>
              <w:top w:val="single" w:sz="4" w:space="0" w:color="auto"/>
              <w:left w:val="single" w:sz="4" w:space="0" w:color="auto"/>
              <w:bottom w:val="single" w:sz="4" w:space="0" w:color="auto"/>
              <w:right w:val="single" w:sz="4" w:space="0" w:color="auto"/>
            </w:tcBorders>
          </w:tcPr>
          <w:p w14:paraId="4E279E42" w14:textId="77777777" w:rsidR="00EC247B" w:rsidRPr="00F81106" w:rsidRDefault="00EC247B" w:rsidP="00904A0D">
            <w:r>
              <w:t>17.6.2.10</w:t>
            </w:r>
          </w:p>
        </w:tc>
        <w:tc>
          <w:tcPr>
            <w:tcW w:w="7088" w:type="dxa"/>
            <w:tcBorders>
              <w:top w:val="single" w:sz="4" w:space="0" w:color="auto"/>
              <w:left w:val="single" w:sz="4" w:space="0" w:color="auto"/>
              <w:bottom w:val="single" w:sz="4" w:space="0" w:color="auto"/>
              <w:right w:val="single" w:sz="4" w:space="0" w:color="auto"/>
            </w:tcBorders>
          </w:tcPr>
          <w:p w14:paraId="60EF2C6E" w14:textId="77777777" w:rsidR="00EC247B" w:rsidRDefault="00EC247B" w:rsidP="008433FB">
            <w:r>
              <w:t>Schools must carefully check the family records of the students enrolled in the Families module in CASES21. All students who never attended the school must be removed.</w:t>
            </w:r>
          </w:p>
          <w:p w14:paraId="52886BB9" w14:textId="77777777" w:rsidR="00EC247B" w:rsidRDefault="00EC247B" w:rsidP="008433FB">
            <w:r>
              <w:t>Any outstanding invoices must have a credit note raised.</w:t>
            </w:r>
          </w:p>
          <w:p w14:paraId="56998A66" w14:textId="77777777" w:rsidR="00EC247B" w:rsidRDefault="00EC247B" w:rsidP="008433FB">
            <w:r>
              <w:t>Any outstanding unallocated receipts or unallocated credit notes must be carefully examined and either resolved with a refund through a Family Payment or allocated against an invoice.</w:t>
            </w:r>
          </w:p>
          <w:p w14:paraId="5B5F3E00" w14:textId="77777777" w:rsidR="00EC247B" w:rsidRDefault="00EC247B" w:rsidP="008433FB">
            <w:r>
              <w:t>If outstanding invoices, credit notes and unallocated receipts are not dealt with, the Family record will not be deleted after the financial history period.</w:t>
            </w:r>
          </w:p>
          <w:p w14:paraId="6FDA62C2" w14:textId="77777777" w:rsidR="00EC247B" w:rsidRDefault="00EC247B" w:rsidP="003B48DE">
            <w:r>
              <w:t xml:space="preserve">Refer to </w:t>
            </w:r>
            <w:hyperlink r:id="rId24" w:history="1">
              <w:r w:rsidRPr="003529AB">
                <w:rPr>
                  <w:rStyle w:val="Hyperlink"/>
                </w:rPr>
                <w:t>CASES21 Finance Business Process Guide Section 11 – End of Year</w:t>
              </w:r>
            </w:hyperlink>
            <w:r>
              <w:t xml:space="preserve"> for further guidance.</w:t>
            </w:r>
          </w:p>
        </w:tc>
        <w:tc>
          <w:tcPr>
            <w:tcW w:w="930" w:type="dxa"/>
            <w:tcBorders>
              <w:top w:val="single" w:sz="4" w:space="0" w:color="auto"/>
              <w:left w:val="single" w:sz="4" w:space="0" w:color="auto"/>
              <w:bottom w:val="single" w:sz="4" w:space="0" w:color="auto"/>
              <w:right w:val="single" w:sz="4" w:space="0" w:color="auto"/>
            </w:tcBorders>
          </w:tcPr>
          <w:p w14:paraId="77320EE6" w14:textId="77777777" w:rsidR="00EC247B" w:rsidRDefault="00EC247B" w:rsidP="008433FB"/>
        </w:tc>
      </w:tr>
      <w:tr w:rsidR="00EC247B" w:rsidRPr="00F81106" w14:paraId="133934E9" w14:textId="56728451" w:rsidTr="009B3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7"/>
        </w:trPr>
        <w:tc>
          <w:tcPr>
            <w:tcW w:w="1134" w:type="dxa"/>
            <w:tcBorders>
              <w:top w:val="single" w:sz="4" w:space="0" w:color="auto"/>
              <w:left w:val="single" w:sz="4" w:space="0" w:color="auto"/>
              <w:bottom w:val="single" w:sz="4" w:space="0" w:color="auto"/>
              <w:right w:val="single" w:sz="4" w:space="0" w:color="auto"/>
            </w:tcBorders>
          </w:tcPr>
          <w:p w14:paraId="33292A94" w14:textId="77777777" w:rsidR="00EC247B" w:rsidRPr="00F81106" w:rsidRDefault="00EC247B" w:rsidP="00392B93">
            <w:r>
              <w:t>17.6.2.11</w:t>
            </w:r>
          </w:p>
        </w:tc>
        <w:tc>
          <w:tcPr>
            <w:tcW w:w="7088" w:type="dxa"/>
            <w:tcBorders>
              <w:top w:val="single" w:sz="4" w:space="0" w:color="auto"/>
              <w:left w:val="single" w:sz="4" w:space="0" w:color="auto"/>
              <w:bottom w:val="single" w:sz="4" w:space="0" w:color="auto"/>
              <w:right w:val="single" w:sz="4" w:space="0" w:color="auto"/>
            </w:tcBorders>
          </w:tcPr>
          <w:p w14:paraId="4D534782" w14:textId="77777777" w:rsidR="00EC247B" w:rsidRDefault="00EC247B" w:rsidP="00392B93">
            <w:r>
              <w:t>Complete End of Year procedures for Non-Recoverable Subject Contribution (Essential Education Items).</w:t>
            </w:r>
          </w:p>
          <w:p w14:paraId="0EEB149B" w14:textId="77777777" w:rsidR="00EC247B" w:rsidRDefault="00EC247B" w:rsidP="00392B93">
            <w:r>
              <w:t xml:space="preserve">This process must be completed if you have created journal entries earlier in the year to adjust for non-recoverable Family Charges - Non-Recoverable (Essential Education Items). </w:t>
            </w:r>
          </w:p>
          <w:p w14:paraId="6B8231A2" w14:textId="77777777" w:rsidR="00EC247B" w:rsidRDefault="00EC247B" w:rsidP="00AC3C1B">
            <w:r>
              <w:lastRenderedPageBreak/>
              <w:t xml:space="preserve">If you have adjusted for Non-Recoverable Family Charges, you must read </w:t>
            </w:r>
            <w:hyperlink r:id="rId25" w:history="1">
              <w:r w:rsidRPr="00EA60E8">
                <w:rPr>
                  <w:rStyle w:val="Hyperlink"/>
                </w:rPr>
                <w:t>CASES21 Finance Business Process Guide Section 1 – Families</w:t>
              </w:r>
            </w:hyperlink>
            <w:r>
              <w:rPr>
                <w:color w:val="0000FF"/>
                <w:u w:val="single"/>
              </w:rPr>
              <w:t xml:space="preserve"> </w:t>
            </w:r>
            <w:r w:rsidRPr="00EA60E8">
              <w:t>to establish</w:t>
            </w:r>
            <w:r>
              <w:t xml:space="preserve"> what steps need to be taken to either recover the Essential Education Items (Essential Student Learning Items or write off the Non-Recoverable Family Charges.</w:t>
            </w:r>
          </w:p>
        </w:tc>
        <w:tc>
          <w:tcPr>
            <w:tcW w:w="930" w:type="dxa"/>
            <w:tcBorders>
              <w:top w:val="single" w:sz="4" w:space="0" w:color="auto"/>
              <w:left w:val="single" w:sz="4" w:space="0" w:color="auto"/>
              <w:bottom w:val="single" w:sz="4" w:space="0" w:color="auto"/>
              <w:right w:val="single" w:sz="4" w:space="0" w:color="auto"/>
            </w:tcBorders>
          </w:tcPr>
          <w:p w14:paraId="024AED86" w14:textId="77777777" w:rsidR="00EC247B" w:rsidRDefault="00EC247B" w:rsidP="00392B93"/>
        </w:tc>
      </w:tr>
      <w:tr w:rsidR="00EC247B" w:rsidRPr="00F81106" w14:paraId="0A8D04C6" w14:textId="0F86D5D8" w:rsidTr="009B3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37"/>
        </w:trPr>
        <w:tc>
          <w:tcPr>
            <w:tcW w:w="1134" w:type="dxa"/>
            <w:tcBorders>
              <w:top w:val="single" w:sz="4" w:space="0" w:color="auto"/>
              <w:left w:val="single" w:sz="4" w:space="0" w:color="auto"/>
              <w:bottom w:val="single" w:sz="4" w:space="0" w:color="auto"/>
              <w:right w:val="single" w:sz="4" w:space="0" w:color="auto"/>
            </w:tcBorders>
          </w:tcPr>
          <w:p w14:paraId="14AF9C33" w14:textId="77777777" w:rsidR="00EC247B" w:rsidRPr="00F81106" w:rsidRDefault="00EC247B" w:rsidP="00392B93">
            <w:r>
              <w:t>17.6.2.12</w:t>
            </w:r>
          </w:p>
        </w:tc>
        <w:tc>
          <w:tcPr>
            <w:tcW w:w="7088" w:type="dxa"/>
            <w:tcBorders>
              <w:top w:val="single" w:sz="4" w:space="0" w:color="auto"/>
              <w:left w:val="single" w:sz="4" w:space="0" w:color="auto"/>
              <w:bottom w:val="single" w:sz="4" w:space="0" w:color="auto"/>
              <w:right w:val="single" w:sz="4" w:space="0" w:color="auto"/>
            </w:tcBorders>
          </w:tcPr>
          <w:p w14:paraId="300803EE" w14:textId="77777777" w:rsidR="00EC247B" w:rsidRDefault="00EC247B" w:rsidP="00392B93">
            <w:r>
              <w:t>Families as at 31 December must reconcile before rolling forward into the New Year 1 January.</w:t>
            </w:r>
          </w:p>
        </w:tc>
        <w:tc>
          <w:tcPr>
            <w:tcW w:w="930" w:type="dxa"/>
            <w:tcBorders>
              <w:top w:val="single" w:sz="4" w:space="0" w:color="auto"/>
              <w:left w:val="single" w:sz="4" w:space="0" w:color="auto"/>
              <w:bottom w:val="single" w:sz="4" w:space="0" w:color="auto"/>
              <w:right w:val="single" w:sz="4" w:space="0" w:color="auto"/>
            </w:tcBorders>
          </w:tcPr>
          <w:p w14:paraId="42C680BC" w14:textId="77777777" w:rsidR="00EC247B" w:rsidRDefault="00EC247B" w:rsidP="00392B93"/>
        </w:tc>
      </w:tr>
      <w:tr w:rsidR="00EC247B" w:rsidRPr="00F81106" w14:paraId="22452391" w14:textId="54457ECB" w:rsidTr="009B3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7"/>
        </w:trPr>
        <w:tc>
          <w:tcPr>
            <w:tcW w:w="1134" w:type="dxa"/>
            <w:tcBorders>
              <w:top w:val="single" w:sz="4" w:space="0" w:color="auto"/>
              <w:left w:val="single" w:sz="4" w:space="0" w:color="auto"/>
              <w:bottom w:val="single" w:sz="4" w:space="0" w:color="auto"/>
              <w:right w:val="single" w:sz="4" w:space="0" w:color="auto"/>
            </w:tcBorders>
          </w:tcPr>
          <w:p w14:paraId="5EFCC76A" w14:textId="77777777" w:rsidR="00EC247B" w:rsidRPr="00F81106" w:rsidRDefault="00EC247B" w:rsidP="00392B93">
            <w:r>
              <w:t>17.6.2.13</w:t>
            </w:r>
          </w:p>
        </w:tc>
        <w:tc>
          <w:tcPr>
            <w:tcW w:w="7088" w:type="dxa"/>
            <w:tcBorders>
              <w:top w:val="single" w:sz="4" w:space="0" w:color="auto"/>
              <w:left w:val="single" w:sz="4" w:space="0" w:color="auto"/>
              <w:bottom w:val="single" w:sz="4" w:space="0" w:color="auto"/>
              <w:right w:val="single" w:sz="4" w:space="0" w:color="auto"/>
            </w:tcBorders>
          </w:tcPr>
          <w:p w14:paraId="227B2326" w14:textId="77777777" w:rsidR="00EC247B" w:rsidRDefault="00EC247B" w:rsidP="00392B93">
            <w:r>
              <w:t>The Family Trial Balance (DF21102) (Balance Column Total) must be compared with the Balance Sheet (GL21160) (Accounts Receivable Control figure). Both these balances must be the same value.</w:t>
            </w:r>
          </w:p>
          <w:p w14:paraId="69002306" w14:textId="77777777" w:rsidR="00EC247B" w:rsidRDefault="00EC247B" w:rsidP="00392B93">
            <w:r>
              <w:t xml:space="preserve">The Accounts Receivable Control file represents the total of all the individual family balances. Normally the Accounts Receivable has a DR balance, as the families owe the school more than the school owes the families. If there is a credit balance, it would be because the school has written off all or most of their family invoices in preparation for end of year and the prepayments now exceed the family invoices. A DR total in the Family Trial Balance must match a positive figure on the Balance Sheet. A CR total in the Family Trial Balance must match a negative figure on the Balance Sheet. </w:t>
            </w:r>
          </w:p>
        </w:tc>
        <w:tc>
          <w:tcPr>
            <w:tcW w:w="930" w:type="dxa"/>
            <w:tcBorders>
              <w:top w:val="single" w:sz="4" w:space="0" w:color="auto"/>
              <w:left w:val="single" w:sz="4" w:space="0" w:color="auto"/>
              <w:bottom w:val="single" w:sz="4" w:space="0" w:color="auto"/>
              <w:right w:val="single" w:sz="4" w:space="0" w:color="auto"/>
            </w:tcBorders>
          </w:tcPr>
          <w:p w14:paraId="091E0B10" w14:textId="77777777" w:rsidR="00EC247B" w:rsidRDefault="00EC247B" w:rsidP="00392B93"/>
        </w:tc>
      </w:tr>
      <w:tr w:rsidR="00EC247B" w:rsidRPr="00F81106" w14:paraId="5A83D92D" w14:textId="609B2C11" w:rsidTr="009B3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37"/>
        </w:trPr>
        <w:tc>
          <w:tcPr>
            <w:tcW w:w="1134" w:type="dxa"/>
            <w:tcBorders>
              <w:top w:val="single" w:sz="4" w:space="0" w:color="auto"/>
              <w:left w:val="single" w:sz="4" w:space="0" w:color="auto"/>
              <w:bottom w:val="single" w:sz="4" w:space="0" w:color="auto"/>
              <w:right w:val="single" w:sz="4" w:space="0" w:color="auto"/>
            </w:tcBorders>
          </w:tcPr>
          <w:p w14:paraId="51723B41" w14:textId="77777777" w:rsidR="00EC247B" w:rsidRPr="00F81106" w:rsidRDefault="00EC247B" w:rsidP="00392B93">
            <w:r>
              <w:t>17.6.2.14</w:t>
            </w:r>
          </w:p>
        </w:tc>
        <w:tc>
          <w:tcPr>
            <w:tcW w:w="7088" w:type="dxa"/>
            <w:tcBorders>
              <w:top w:val="single" w:sz="4" w:space="0" w:color="auto"/>
              <w:left w:val="single" w:sz="4" w:space="0" w:color="auto"/>
              <w:bottom w:val="single" w:sz="4" w:space="0" w:color="auto"/>
              <w:right w:val="single" w:sz="4" w:space="0" w:color="auto"/>
            </w:tcBorders>
          </w:tcPr>
          <w:p w14:paraId="265814B1" w14:textId="77777777" w:rsidR="00EC247B" w:rsidRDefault="00EC247B" w:rsidP="00CF70C8">
            <w:r>
              <w:t xml:space="preserve">A </w:t>
            </w:r>
            <w:r w:rsidRPr="008433FB">
              <w:t xml:space="preserve">record of </w:t>
            </w:r>
            <w:r>
              <w:t xml:space="preserve">all </w:t>
            </w:r>
            <w:r w:rsidRPr="008433FB">
              <w:t xml:space="preserve">completed Family Invoices </w:t>
            </w:r>
            <w:r>
              <w:t xml:space="preserve">for the year must be retained and </w:t>
            </w:r>
            <w:r w:rsidRPr="008433FB">
              <w:t>save</w:t>
            </w:r>
            <w:r>
              <w:t>d</w:t>
            </w:r>
            <w:r w:rsidRPr="008433FB">
              <w:t xml:space="preserve"> to the E</w:t>
            </w:r>
            <w:r>
              <w:t>OY</w:t>
            </w:r>
            <w:r w:rsidRPr="008433FB">
              <w:t xml:space="preserve"> folder.</w:t>
            </w:r>
          </w:p>
        </w:tc>
        <w:tc>
          <w:tcPr>
            <w:tcW w:w="930" w:type="dxa"/>
            <w:tcBorders>
              <w:top w:val="single" w:sz="4" w:space="0" w:color="auto"/>
              <w:left w:val="single" w:sz="4" w:space="0" w:color="auto"/>
              <w:bottom w:val="single" w:sz="4" w:space="0" w:color="auto"/>
              <w:right w:val="single" w:sz="4" w:space="0" w:color="auto"/>
            </w:tcBorders>
          </w:tcPr>
          <w:p w14:paraId="3BF67E6A" w14:textId="77777777" w:rsidR="00EC247B" w:rsidRDefault="00EC247B" w:rsidP="00CF70C8"/>
        </w:tc>
      </w:tr>
      <w:tr w:rsidR="00EC247B" w:rsidRPr="00F81106" w14:paraId="2A262FCE" w14:textId="7A5C741B" w:rsidTr="009B3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84"/>
        </w:trPr>
        <w:tc>
          <w:tcPr>
            <w:tcW w:w="1134" w:type="dxa"/>
            <w:tcBorders>
              <w:top w:val="single" w:sz="4" w:space="0" w:color="auto"/>
              <w:left w:val="single" w:sz="4" w:space="0" w:color="auto"/>
              <w:bottom w:val="single" w:sz="4" w:space="0" w:color="auto"/>
              <w:right w:val="single" w:sz="4" w:space="0" w:color="auto"/>
            </w:tcBorders>
          </w:tcPr>
          <w:p w14:paraId="0F2F8265" w14:textId="77777777" w:rsidR="00EC247B" w:rsidRPr="00F81106" w:rsidRDefault="00EC247B" w:rsidP="00904A0D">
            <w:r>
              <w:t>17.6.2.15</w:t>
            </w:r>
          </w:p>
        </w:tc>
        <w:tc>
          <w:tcPr>
            <w:tcW w:w="7088" w:type="dxa"/>
            <w:tcBorders>
              <w:top w:val="single" w:sz="4" w:space="0" w:color="auto"/>
              <w:left w:val="single" w:sz="4" w:space="0" w:color="auto"/>
              <w:bottom w:val="single" w:sz="4" w:space="0" w:color="auto"/>
              <w:right w:val="single" w:sz="4" w:space="0" w:color="auto"/>
            </w:tcBorders>
          </w:tcPr>
          <w:p w14:paraId="2CAA1783" w14:textId="77777777" w:rsidR="00EC247B" w:rsidRDefault="00EC247B" w:rsidP="00EE24DA">
            <w:pPr>
              <w:jc w:val="both"/>
            </w:pPr>
            <w:r>
              <w:t>Schools must print (hardcopy) or save as PDF to the EOY folder the following reports:</w:t>
            </w:r>
          </w:p>
          <w:p w14:paraId="1454C69F" w14:textId="77777777" w:rsidR="00EC247B" w:rsidRDefault="00EC247B" w:rsidP="00457E54">
            <w:pPr>
              <w:pStyle w:val="ListBullet"/>
            </w:pPr>
            <w:r>
              <w:t>Family Trial Balance (DF21102) as at 31 December;</w:t>
            </w:r>
          </w:p>
          <w:p w14:paraId="135486EC" w14:textId="77777777" w:rsidR="00EC247B" w:rsidRDefault="00EC247B" w:rsidP="00457E54">
            <w:pPr>
              <w:pStyle w:val="ListBullet"/>
            </w:pPr>
            <w:r>
              <w:t>Charges by Charge type (DF21113) as at 31 December;</w:t>
            </w:r>
          </w:p>
          <w:p w14:paraId="2CC8D850" w14:textId="77777777" w:rsidR="00EC247B" w:rsidRDefault="00EC247B" w:rsidP="00457E54">
            <w:pPr>
              <w:pStyle w:val="ListBullet"/>
            </w:pPr>
            <w:r>
              <w:t>Family Matching Transactions Report (DF21112) as 31 December;</w:t>
            </w:r>
          </w:p>
          <w:p w14:paraId="301F40F7" w14:textId="77777777" w:rsidR="00EC247B" w:rsidRDefault="00EC247B" w:rsidP="00457E54">
            <w:pPr>
              <w:pStyle w:val="ListBullet"/>
            </w:pPr>
            <w:r>
              <w:t>Family Transaction History (DF21110) as at 31 December;</w:t>
            </w:r>
          </w:p>
          <w:p w14:paraId="3A0C1DA5" w14:textId="77777777" w:rsidR="00EC247B" w:rsidRDefault="00EC247B" w:rsidP="00457E54">
            <w:pPr>
              <w:pStyle w:val="ListBullet"/>
            </w:pPr>
            <w:r>
              <w:t>Balance Integrity Report (DF21902) as at 31 December;</w:t>
            </w:r>
          </w:p>
          <w:p w14:paraId="7DDA1B94" w14:textId="77777777" w:rsidR="00EC247B" w:rsidRDefault="00EC247B" w:rsidP="00457E54">
            <w:pPr>
              <w:pStyle w:val="ListBullet"/>
            </w:pPr>
            <w:r>
              <w:t>Balance Sheet (GL21160) as at 31 December.</w:t>
            </w:r>
          </w:p>
        </w:tc>
        <w:tc>
          <w:tcPr>
            <w:tcW w:w="930" w:type="dxa"/>
            <w:tcBorders>
              <w:top w:val="single" w:sz="4" w:space="0" w:color="auto"/>
              <w:left w:val="single" w:sz="4" w:space="0" w:color="auto"/>
              <w:bottom w:val="single" w:sz="4" w:space="0" w:color="auto"/>
              <w:right w:val="single" w:sz="4" w:space="0" w:color="auto"/>
            </w:tcBorders>
          </w:tcPr>
          <w:p w14:paraId="47DF3A93" w14:textId="77777777" w:rsidR="00EC247B" w:rsidRDefault="00EC247B" w:rsidP="00EE24DA">
            <w:pPr>
              <w:jc w:val="both"/>
            </w:pPr>
          </w:p>
        </w:tc>
      </w:tr>
    </w:tbl>
    <w:p w14:paraId="1604C802" w14:textId="2900C153" w:rsidR="002A0178" w:rsidRDefault="002A0178" w:rsidP="0059422B"/>
    <w:p w14:paraId="1D055B88" w14:textId="701357AB" w:rsidR="008E32D9" w:rsidRDefault="008E32D9" w:rsidP="0059422B"/>
    <w:p w14:paraId="31173ACD" w14:textId="7749AF11" w:rsidR="008E32D9" w:rsidRDefault="008E32D9" w:rsidP="0059422B"/>
    <w:p w14:paraId="60CE1E7A" w14:textId="5C465611" w:rsidR="008E32D9" w:rsidRDefault="008E32D9" w:rsidP="0059422B"/>
    <w:p w14:paraId="1160A6DE" w14:textId="06843668" w:rsidR="008E32D9" w:rsidRDefault="008E32D9" w:rsidP="0059422B"/>
    <w:p w14:paraId="1927D953" w14:textId="4BB0E882" w:rsidR="008E32D9" w:rsidRDefault="008E32D9" w:rsidP="0059422B"/>
    <w:p w14:paraId="5CD4A0F6" w14:textId="77777777" w:rsidR="008E32D9" w:rsidRDefault="008E32D9" w:rsidP="0059422B"/>
    <w:p w14:paraId="5079A3DB" w14:textId="77777777" w:rsidR="001952A4" w:rsidRDefault="001952A4" w:rsidP="001952A4">
      <w:pPr>
        <w:tabs>
          <w:tab w:val="left" w:pos="851"/>
        </w:tabs>
        <w:spacing w:before="240" w:after="240"/>
        <w:outlineLvl w:val="2"/>
        <w:rPr>
          <w:b/>
          <w:color w:val="000000" w:themeColor="text1"/>
          <w:sz w:val="24"/>
        </w:rPr>
      </w:pPr>
      <w:r>
        <w:rPr>
          <w:b/>
          <w:color w:val="000000" w:themeColor="text1"/>
          <w:sz w:val="24"/>
        </w:rPr>
        <w:lastRenderedPageBreak/>
        <w:t>Sundry Debtors</w:t>
      </w:r>
    </w:p>
    <w:p w14:paraId="658FEC10" w14:textId="77777777" w:rsidR="001952A4" w:rsidRPr="001952A4" w:rsidRDefault="001952A4" w:rsidP="001952A4">
      <w:pPr>
        <w:tabs>
          <w:tab w:val="left" w:pos="851"/>
        </w:tabs>
        <w:spacing w:before="240" w:after="240"/>
        <w:outlineLvl w:val="2"/>
        <w:rPr>
          <w:b/>
          <w:color w:val="000000" w:themeColor="text1"/>
          <w:sz w:val="24"/>
        </w:rPr>
      </w:pPr>
      <w:r w:rsidRPr="001952A4">
        <w:rPr>
          <w:b/>
          <w:color w:val="000000" w:themeColor="text1"/>
          <w:sz w:val="24"/>
        </w:rPr>
        <w:t>17.</w:t>
      </w:r>
      <w:r w:rsidR="001D10A1">
        <w:rPr>
          <w:b/>
          <w:color w:val="000000" w:themeColor="text1"/>
          <w:sz w:val="24"/>
        </w:rPr>
        <w:t>6</w:t>
      </w:r>
      <w:r w:rsidR="008C61D5">
        <w:rPr>
          <w:b/>
          <w:color w:val="000000" w:themeColor="text1"/>
          <w:sz w:val="24"/>
        </w:rPr>
        <w:t>.3</w:t>
      </w:r>
      <w:r w:rsidR="008C61D5">
        <w:rPr>
          <w:b/>
          <w:color w:val="000000" w:themeColor="text1"/>
          <w:sz w:val="24"/>
        </w:rPr>
        <w:tab/>
      </w:r>
      <w:r w:rsidRPr="001952A4">
        <w:rPr>
          <w:b/>
          <w:color w:val="000000" w:themeColor="text1"/>
          <w:sz w:val="24"/>
        </w:rPr>
        <w:t>Mandatory policy (Must do):</w:t>
      </w:r>
    </w:p>
    <w:tbl>
      <w:tblPr>
        <w:tblW w:w="915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containing sequence numbers and policy information"/>
      </w:tblPr>
      <w:tblGrid>
        <w:gridCol w:w="1134"/>
        <w:gridCol w:w="7088"/>
        <w:gridCol w:w="930"/>
      </w:tblGrid>
      <w:tr w:rsidR="00EC247B" w:rsidRPr="0091756B" w14:paraId="3C2D08C3" w14:textId="54127B3D" w:rsidTr="009B3C58">
        <w:trPr>
          <w:trHeight w:val="567"/>
          <w:tblHeader/>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79DDFC50" w14:textId="77777777" w:rsidR="00EC247B" w:rsidRPr="00D60EB6" w:rsidRDefault="00EC247B" w:rsidP="00DF168D">
            <w:pPr>
              <w:rPr>
                <w:b/>
                <w:sz w:val="18"/>
              </w:rPr>
            </w:pPr>
            <w:r w:rsidRPr="00D60EB6">
              <w:rPr>
                <w:b/>
                <w:sz w:val="18"/>
              </w:rPr>
              <w:t>Sequence Numbers</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54257602" w14:textId="77777777" w:rsidR="00EC247B" w:rsidRPr="00E0071A" w:rsidRDefault="00EC247B" w:rsidP="00DF168D">
            <w:pPr>
              <w:rPr>
                <w:b/>
                <w:sz w:val="20"/>
                <w:szCs w:val="20"/>
              </w:rPr>
            </w:pPr>
            <w:r w:rsidRPr="00E0071A">
              <w:rPr>
                <w:b/>
                <w:sz w:val="20"/>
                <w:szCs w:val="20"/>
              </w:rPr>
              <w:t>Information</w:t>
            </w:r>
          </w:p>
        </w:tc>
        <w:tc>
          <w:tcPr>
            <w:tcW w:w="930" w:type="dxa"/>
            <w:tcBorders>
              <w:top w:val="nil"/>
              <w:left w:val="single" w:sz="4" w:space="0" w:color="auto"/>
              <w:bottom w:val="single" w:sz="4" w:space="0" w:color="auto"/>
              <w:right w:val="nil"/>
            </w:tcBorders>
          </w:tcPr>
          <w:p w14:paraId="640EA6E4" w14:textId="77777777" w:rsidR="00EC247B" w:rsidRPr="00D60EB6" w:rsidRDefault="00EC247B" w:rsidP="00DF168D">
            <w:pPr>
              <w:rPr>
                <w:b/>
              </w:rPr>
            </w:pPr>
          </w:p>
        </w:tc>
      </w:tr>
      <w:tr w:rsidR="00EC247B" w:rsidRPr="00F81106" w14:paraId="55AFB492" w14:textId="2125652D" w:rsidTr="009B3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046"/>
        </w:trPr>
        <w:tc>
          <w:tcPr>
            <w:tcW w:w="1134" w:type="dxa"/>
            <w:tcBorders>
              <w:top w:val="single" w:sz="4" w:space="0" w:color="auto"/>
              <w:left w:val="single" w:sz="4" w:space="0" w:color="auto"/>
              <w:bottom w:val="single" w:sz="4" w:space="0" w:color="auto"/>
              <w:right w:val="single" w:sz="4" w:space="0" w:color="auto"/>
            </w:tcBorders>
          </w:tcPr>
          <w:p w14:paraId="5D60040B" w14:textId="77777777" w:rsidR="00EC247B" w:rsidRPr="00F81106" w:rsidRDefault="00EC247B" w:rsidP="001D10A1">
            <w:r>
              <w:t>17.6.3.1</w:t>
            </w:r>
          </w:p>
        </w:tc>
        <w:tc>
          <w:tcPr>
            <w:tcW w:w="7088" w:type="dxa"/>
            <w:tcBorders>
              <w:top w:val="single" w:sz="4" w:space="0" w:color="auto"/>
              <w:left w:val="single" w:sz="4" w:space="0" w:color="auto"/>
              <w:bottom w:val="single" w:sz="4" w:space="0" w:color="auto"/>
              <w:right w:val="single" w:sz="4" w:space="0" w:color="auto"/>
            </w:tcBorders>
          </w:tcPr>
          <w:p w14:paraId="4787F8DB" w14:textId="77777777" w:rsidR="00EC247B" w:rsidRDefault="00EC247B" w:rsidP="00AC3C1B">
            <w:r>
              <w:t xml:space="preserve">The </w:t>
            </w:r>
            <w:r w:rsidRPr="001952A4">
              <w:t xml:space="preserve">validity of </w:t>
            </w:r>
            <w:r>
              <w:t>s</w:t>
            </w:r>
            <w:r w:rsidRPr="001952A4">
              <w:t xml:space="preserve">undry </w:t>
            </w:r>
            <w:r>
              <w:t>d</w:t>
            </w:r>
            <w:r w:rsidRPr="001952A4">
              <w:t xml:space="preserve">ebtor </w:t>
            </w:r>
            <w:r>
              <w:t>i</w:t>
            </w:r>
            <w:r w:rsidRPr="001952A4">
              <w:t>nvoices</w:t>
            </w:r>
            <w:r>
              <w:t xml:space="preserve"> must be reviewed.  A report to assist with this process is the </w:t>
            </w:r>
            <w:r w:rsidRPr="0095404D">
              <w:t>Sundry Debtors – Outstanding Invoices (DR21114) report</w:t>
            </w:r>
            <w:r>
              <w:t>.</w:t>
            </w:r>
          </w:p>
        </w:tc>
        <w:tc>
          <w:tcPr>
            <w:tcW w:w="930" w:type="dxa"/>
            <w:tcBorders>
              <w:top w:val="single" w:sz="4" w:space="0" w:color="auto"/>
              <w:left w:val="single" w:sz="4" w:space="0" w:color="auto"/>
              <w:bottom w:val="single" w:sz="4" w:space="0" w:color="auto"/>
              <w:right w:val="single" w:sz="4" w:space="0" w:color="auto"/>
            </w:tcBorders>
          </w:tcPr>
          <w:p w14:paraId="32A73BDA" w14:textId="77777777" w:rsidR="00EC247B" w:rsidRDefault="00EC247B" w:rsidP="00AC3C1B"/>
        </w:tc>
      </w:tr>
      <w:tr w:rsidR="00EC247B" w:rsidRPr="00F81106" w14:paraId="0AD40292" w14:textId="54AFDF21" w:rsidTr="009B3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37"/>
        </w:trPr>
        <w:tc>
          <w:tcPr>
            <w:tcW w:w="1134" w:type="dxa"/>
            <w:tcBorders>
              <w:top w:val="single" w:sz="4" w:space="0" w:color="auto"/>
              <w:left w:val="single" w:sz="4" w:space="0" w:color="auto"/>
              <w:bottom w:val="single" w:sz="4" w:space="0" w:color="auto"/>
              <w:right w:val="single" w:sz="4" w:space="0" w:color="auto"/>
            </w:tcBorders>
          </w:tcPr>
          <w:p w14:paraId="50AF2C5D" w14:textId="77777777" w:rsidR="00EC247B" w:rsidRPr="00F81106" w:rsidRDefault="00EC247B" w:rsidP="00FA7154">
            <w:r>
              <w:t>17.6.3.2</w:t>
            </w:r>
          </w:p>
        </w:tc>
        <w:tc>
          <w:tcPr>
            <w:tcW w:w="7088" w:type="dxa"/>
            <w:tcBorders>
              <w:top w:val="single" w:sz="4" w:space="0" w:color="auto"/>
              <w:left w:val="single" w:sz="4" w:space="0" w:color="auto"/>
              <w:bottom w:val="single" w:sz="4" w:space="0" w:color="auto"/>
              <w:right w:val="single" w:sz="4" w:space="0" w:color="auto"/>
            </w:tcBorders>
          </w:tcPr>
          <w:p w14:paraId="6B45D821" w14:textId="77777777" w:rsidR="00EC247B" w:rsidRDefault="00EC247B" w:rsidP="00E406FB">
            <w:r>
              <w:t>O</w:t>
            </w:r>
            <w:r w:rsidRPr="001952A4">
              <w:t xml:space="preserve">nly valid invoices </w:t>
            </w:r>
            <w:r>
              <w:t xml:space="preserve">must be </w:t>
            </w:r>
            <w:r w:rsidRPr="001952A4">
              <w:t xml:space="preserve">transferred to the </w:t>
            </w:r>
            <w:r>
              <w:t>N</w:t>
            </w:r>
            <w:r w:rsidRPr="001952A4">
              <w:t xml:space="preserve">ew </w:t>
            </w:r>
            <w:r>
              <w:t>Y</w:t>
            </w:r>
            <w:r w:rsidRPr="001952A4">
              <w:t>ear</w:t>
            </w:r>
            <w:r>
              <w:t>. (All o</w:t>
            </w:r>
            <w:r w:rsidRPr="001952A4">
              <w:t xml:space="preserve">utstanding </w:t>
            </w:r>
            <w:r>
              <w:t>s</w:t>
            </w:r>
            <w:r w:rsidRPr="001952A4">
              <w:t xml:space="preserve">undry </w:t>
            </w:r>
            <w:r>
              <w:t>d</w:t>
            </w:r>
            <w:r w:rsidRPr="001952A4">
              <w:t xml:space="preserve">ebtor </w:t>
            </w:r>
            <w:r>
              <w:t>i</w:t>
            </w:r>
            <w:r w:rsidRPr="001952A4">
              <w:t xml:space="preserve">nvoices will transfer to the </w:t>
            </w:r>
            <w:r>
              <w:t>N</w:t>
            </w:r>
            <w:r w:rsidRPr="001952A4">
              <w:t xml:space="preserve">ew </w:t>
            </w:r>
            <w:r>
              <w:t>Y</w:t>
            </w:r>
            <w:r w:rsidRPr="001952A4">
              <w:t>ear</w:t>
            </w:r>
            <w:r>
              <w:t>)</w:t>
            </w:r>
            <w:r w:rsidRPr="001952A4">
              <w:t>.</w:t>
            </w:r>
          </w:p>
        </w:tc>
        <w:tc>
          <w:tcPr>
            <w:tcW w:w="930" w:type="dxa"/>
            <w:tcBorders>
              <w:top w:val="single" w:sz="4" w:space="0" w:color="auto"/>
              <w:left w:val="single" w:sz="4" w:space="0" w:color="auto"/>
              <w:bottom w:val="single" w:sz="4" w:space="0" w:color="auto"/>
              <w:right w:val="single" w:sz="4" w:space="0" w:color="auto"/>
            </w:tcBorders>
          </w:tcPr>
          <w:p w14:paraId="7A0FD305" w14:textId="77777777" w:rsidR="00EC247B" w:rsidRDefault="00EC247B" w:rsidP="00E406FB"/>
        </w:tc>
      </w:tr>
      <w:tr w:rsidR="00EC247B" w:rsidRPr="00F81106" w14:paraId="4D47F999" w14:textId="4C1F6572" w:rsidTr="009B3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0"/>
        </w:trPr>
        <w:tc>
          <w:tcPr>
            <w:tcW w:w="1134" w:type="dxa"/>
            <w:tcBorders>
              <w:top w:val="single" w:sz="4" w:space="0" w:color="auto"/>
              <w:left w:val="single" w:sz="4" w:space="0" w:color="auto"/>
              <w:bottom w:val="single" w:sz="4" w:space="0" w:color="auto"/>
              <w:right w:val="single" w:sz="4" w:space="0" w:color="auto"/>
            </w:tcBorders>
          </w:tcPr>
          <w:p w14:paraId="027359C2" w14:textId="77777777" w:rsidR="00EC247B" w:rsidRDefault="00EC247B" w:rsidP="007E2D36">
            <w:r>
              <w:t>17.6.3.3</w:t>
            </w:r>
          </w:p>
        </w:tc>
        <w:tc>
          <w:tcPr>
            <w:tcW w:w="7088" w:type="dxa"/>
            <w:tcBorders>
              <w:top w:val="single" w:sz="4" w:space="0" w:color="auto"/>
              <w:left w:val="single" w:sz="4" w:space="0" w:color="auto"/>
              <w:bottom w:val="single" w:sz="4" w:space="0" w:color="auto"/>
              <w:right w:val="single" w:sz="4" w:space="0" w:color="auto"/>
            </w:tcBorders>
          </w:tcPr>
          <w:p w14:paraId="1E471C3A" w14:textId="77777777" w:rsidR="00EC247B" w:rsidRDefault="00EC247B" w:rsidP="00E406FB">
            <w:r>
              <w:t xml:space="preserve">All </w:t>
            </w:r>
            <w:r w:rsidRPr="0095404D">
              <w:t>outstanding invoices</w:t>
            </w:r>
            <w:r>
              <w:t xml:space="preserve"> must be reviewed, especially </w:t>
            </w:r>
            <w:r w:rsidRPr="0095404D">
              <w:t>old invoices in sundry debtor charges (ageing balances)</w:t>
            </w:r>
            <w:r>
              <w:t xml:space="preserve"> to </w:t>
            </w:r>
            <w:r w:rsidRPr="0095404D">
              <w:t>determine why they have not been collected and remain outstanding</w:t>
            </w:r>
            <w:r>
              <w:t>.</w:t>
            </w:r>
          </w:p>
        </w:tc>
        <w:tc>
          <w:tcPr>
            <w:tcW w:w="930" w:type="dxa"/>
            <w:tcBorders>
              <w:top w:val="single" w:sz="4" w:space="0" w:color="auto"/>
              <w:left w:val="single" w:sz="4" w:space="0" w:color="auto"/>
              <w:bottom w:val="single" w:sz="4" w:space="0" w:color="auto"/>
              <w:right w:val="single" w:sz="4" w:space="0" w:color="auto"/>
            </w:tcBorders>
          </w:tcPr>
          <w:p w14:paraId="6B839F5A" w14:textId="77777777" w:rsidR="00EC247B" w:rsidRDefault="00EC247B" w:rsidP="00E406FB"/>
        </w:tc>
      </w:tr>
      <w:tr w:rsidR="00EC247B" w:rsidRPr="00F81106" w14:paraId="76B1F2FA" w14:textId="338530D7" w:rsidTr="009B3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1"/>
        </w:trPr>
        <w:tc>
          <w:tcPr>
            <w:tcW w:w="1134" w:type="dxa"/>
            <w:tcBorders>
              <w:top w:val="single" w:sz="4" w:space="0" w:color="auto"/>
              <w:left w:val="single" w:sz="4" w:space="0" w:color="auto"/>
              <w:bottom w:val="single" w:sz="4" w:space="0" w:color="auto"/>
              <w:right w:val="single" w:sz="4" w:space="0" w:color="auto"/>
            </w:tcBorders>
          </w:tcPr>
          <w:p w14:paraId="5D3F2E1C" w14:textId="77777777" w:rsidR="00EC247B" w:rsidRPr="00F81106" w:rsidRDefault="00EC247B" w:rsidP="007E2D36">
            <w:r>
              <w:t>17.6.3.4</w:t>
            </w:r>
          </w:p>
        </w:tc>
        <w:tc>
          <w:tcPr>
            <w:tcW w:w="7088" w:type="dxa"/>
            <w:tcBorders>
              <w:top w:val="single" w:sz="4" w:space="0" w:color="auto"/>
              <w:left w:val="single" w:sz="4" w:space="0" w:color="auto"/>
              <w:bottom w:val="single" w:sz="4" w:space="0" w:color="auto"/>
              <w:right w:val="single" w:sz="4" w:space="0" w:color="auto"/>
            </w:tcBorders>
          </w:tcPr>
          <w:p w14:paraId="5BD8C59B" w14:textId="7EE33EBD" w:rsidR="00EC247B" w:rsidRDefault="00EC247B" w:rsidP="00E406FB">
            <w:r>
              <w:t xml:space="preserve">The </w:t>
            </w:r>
            <w:r w:rsidRPr="001952A4">
              <w:t xml:space="preserve">validity of unallocated </w:t>
            </w:r>
            <w:r>
              <w:t>s</w:t>
            </w:r>
            <w:r w:rsidRPr="001952A4">
              <w:t xml:space="preserve">undry </w:t>
            </w:r>
            <w:r>
              <w:t>d</w:t>
            </w:r>
            <w:r w:rsidRPr="001952A4">
              <w:t xml:space="preserve">ebtor </w:t>
            </w:r>
            <w:r>
              <w:t>r</w:t>
            </w:r>
            <w:r w:rsidRPr="001952A4">
              <w:t xml:space="preserve">eceipts and </w:t>
            </w:r>
            <w:r>
              <w:t>s</w:t>
            </w:r>
            <w:r w:rsidRPr="001952A4">
              <w:t xml:space="preserve">undry </w:t>
            </w:r>
            <w:r>
              <w:t>d</w:t>
            </w:r>
            <w:r w:rsidRPr="001952A4">
              <w:t xml:space="preserve">ebtor </w:t>
            </w:r>
            <w:r>
              <w:t>c</w:t>
            </w:r>
            <w:r w:rsidRPr="001952A4">
              <w:t xml:space="preserve">redit </w:t>
            </w:r>
            <w:r>
              <w:t>n</w:t>
            </w:r>
            <w:r w:rsidRPr="001952A4">
              <w:t>otes</w:t>
            </w:r>
            <w:r>
              <w:t xml:space="preserve"> must be </w:t>
            </w:r>
            <w:r w:rsidR="009312D5">
              <w:t>checked,</w:t>
            </w:r>
            <w:r>
              <w:t xml:space="preserve"> and appropriate action taken. Any unallocated items identified must be investigated and transactions allocated before the End of Year rollover is completed. Only valid transactions must be transferred into the New Year.</w:t>
            </w:r>
          </w:p>
        </w:tc>
        <w:tc>
          <w:tcPr>
            <w:tcW w:w="930" w:type="dxa"/>
            <w:tcBorders>
              <w:top w:val="single" w:sz="4" w:space="0" w:color="auto"/>
              <w:left w:val="single" w:sz="4" w:space="0" w:color="auto"/>
              <w:bottom w:val="single" w:sz="4" w:space="0" w:color="auto"/>
              <w:right w:val="single" w:sz="4" w:space="0" w:color="auto"/>
            </w:tcBorders>
          </w:tcPr>
          <w:p w14:paraId="17AF6660" w14:textId="77777777" w:rsidR="00EC247B" w:rsidRDefault="00EC247B" w:rsidP="00E406FB"/>
        </w:tc>
      </w:tr>
      <w:tr w:rsidR="00EC247B" w:rsidRPr="00F81106" w14:paraId="560770F6" w14:textId="3EF7222E" w:rsidTr="009B3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7"/>
        </w:trPr>
        <w:tc>
          <w:tcPr>
            <w:tcW w:w="1134" w:type="dxa"/>
            <w:tcBorders>
              <w:top w:val="single" w:sz="4" w:space="0" w:color="auto"/>
              <w:left w:val="single" w:sz="4" w:space="0" w:color="auto"/>
              <w:bottom w:val="single" w:sz="4" w:space="0" w:color="auto"/>
              <w:right w:val="single" w:sz="4" w:space="0" w:color="auto"/>
            </w:tcBorders>
          </w:tcPr>
          <w:p w14:paraId="23C36765" w14:textId="77777777" w:rsidR="00EC247B" w:rsidRDefault="00EC247B" w:rsidP="001F6F9D">
            <w:r>
              <w:t>17.6.3.6</w:t>
            </w:r>
          </w:p>
        </w:tc>
        <w:tc>
          <w:tcPr>
            <w:tcW w:w="7088" w:type="dxa"/>
            <w:tcBorders>
              <w:top w:val="single" w:sz="4" w:space="0" w:color="auto"/>
              <w:left w:val="single" w:sz="4" w:space="0" w:color="auto"/>
              <w:bottom w:val="single" w:sz="4" w:space="0" w:color="auto"/>
              <w:right w:val="single" w:sz="4" w:space="0" w:color="auto"/>
            </w:tcBorders>
          </w:tcPr>
          <w:p w14:paraId="1A6249DD" w14:textId="77777777" w:rsidR="00EC247B" w:rsidRDefault="00EC247B" w:rsidP="00991BAB">
            <w:r>
              <w:t>Sundry Debtor invoices and Credit Notes that are no longer required must be cancelled.</w:t>
            </w:r>
          </w:p>
          <w:p w14:paraId="47B8514A" w14:textId="77777777" w:rsidR="00EC247B" w:rsidRPr="002972E6" w:rsidRDefault="00EC247B" w:rsidP="007103FC">
            <w:r>
              <w:t xml:space="preserve">Refer to </w:t>
            </w:r>
            <w:hyperlink r:id="rId26" w:history="1">
              <w:r w:rsidRPr="00A528B0">
                <w:rPr>
                  <w:rStyle w:val="Hyperlink"/>
                </w:rPr>
                <w:t>CASES21 Finance Business Process Guide Section 2 – Sundry Debtors</w:t>
              </w:r>
            </w:hyperlink>
            <w:hyperlink r:id="rId27" w:history="1"/>
            <w:r>
              <w:t xml:space="preserve"> for further guidance.</w:t>
            </w:r>
            <w:r w:rsidRPr="002972E6">
              <w:t xml:space="preserve"> </w:t>
            </w:r>
          </w:p>
        </w:tc>
        <w:tc>
          <w:tcPr>
            <w:tcW w:w="930" w:type="dxa"/>
            <w:tcBorders>
              <w:top w:val="single" w:sz="4" w:space="0" w:color="auto"/>
              <w:left w:val="single" w:sz="4" w:space="0" w:color="auto"/>
              <w:bottom w:val="single" w:sz="4" w:space="0" w:color="auto"/>
              <w:right w:val="single" w:sz="4" w:space="0" w:color="auto"/>
            </w:tcBorders>
          </w:tcPr>
          <w:p w14:paraId="29E7061F" w14:textId="77777777" w:rsidR="00EC247B" w:rsidRDefault="00EC247B" w:rsidP="00991BAB"/>
        </w:tc>
      </w:tr>
      <w:tr w:rsidR="00EC247B" w:rsidRPr="00F81106" w14:paraId="306CDCBE" w14:textId="1EE28AB6" w:rsidTr="009B3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75"/>
        </w:trPr>
        <w:tc>
          <w:tcPr>
            <w:tcW w:w="1134" w:type="dxa"/>
            <w:tcBorders>
              <w:top w:val="single" w:sz="4" w:space="0" w:color="auto"/>
              <w:left w:val="single" w:sz="4" w:space="0" w:color="auto"/>
              <w:bottom w:val="single" w:sz="4" w:space="0" w:color="auto"/>
              <w:right w:val="single" w:sz="4" w:space="0" w:color="auto"/>
            </w:tcBorders>
          </w:tcPr>
          <w:p w14:paraId="7685669B" w14:textId="77777777" w:rsidR="00EC247B" w:rsidRPr="00F81106" w:rsidRDefault="00EC247B" w:rsidP="00120CC6">
            <w:r>
              <w:t>17.6.3.7</w:t>
            </w:r>
          </w:p>
        </w:tc>
        <w:tc>
          <w:tcPr>
            <w:tcW w:w="7088" w:type="dxa"/>
            <w:tcBorders>
              <w:top w:val="single" w:sz="4" w:space="0" w:color="auto"/>
              <w:left w:val="single" w:sz="4" w:space="0" w:color="auto"/>
              <w:bottom w:val="single" w:sz="4" w:space="0" w:color="auto"/>
              <w:right w:val="single" w:sz="4" w:space="0" w:color="auto"/>
            </w:tcBorders>
          </w:tcPr>
          <w:p w14:paraId="76BE2EF5" w14:textId="77777777" w:rsidR="00EC247B" w:rsidRDefault="00EC247B" w:rsidP="005D36E4">
            <w:r w:rsidRPr="002972E6">
              <w:t xml:space="preserve">Sundry Debtor invoices that relate to next year that are being transferred to the </w:t>
            </w:r>
            <w:r>
              <w:t>N</w:t>
            </w:r>
            <w:r w:rsidRPr="002972E6">
              <w:t xml:space="preserve">ew </w:t>
            </w:r>
            <w:r>
              <w:t>Y</w:t>
            </w:r>
            <w:r w:rsidRPr="002972E6">
              <w:t xml:space="preserve">ear </w:t>
            </w:r>
            <w:r>
              <w:t>must be adjusted with a b</w:t>
            </w:r>
            <w:r w:rsidRPr="002972E6">
              <w:t xml:space="preserve">alance </w:t>
            </w:r>
            <w:r>
              <w:t>d</w:t>
            </w:r>
            <w:r w:rsidRPr="002972E6">
              <w:t>ay adjustment</w:t>
            </w:r>
            <w:r>
              <w:t xml:space="preserve">. </w:t>
            </w:r>
          </w:p>
          <w:p w14:paraId="791C6782" w14:textId="77777777" w:rsidR="00EC247B" w:rsidRPr="00DD7FC9" w:rsidRDefault="00EC247B" w:rsidP="0059422B">
            <w:r>
              <w:t xml:space="preserve">Refer to </w:t>
            </w:r>
            <w:hyperlink r:id="rId28" w:history="1">
              <w:r w:rsidRPr="00365DD9">
                <w:rPr>
                  <w:rStyle w:val="Hyperlink"/>
                </w:rPr>
                <w:t>CASES21 Finance Business Process Guide Section 10 – Balance Day Adjustments</w:t>
              </w:r>
            </w:hyperlink>
            <w:hyperlink r:id="rId29" w:history="1"/>
            <w:r w:rsidRPr="0096332A">
              <w:t xml:space="preserve"> for further </w:t>
            </w:r>
            <w:r>
              <w:t>guidance</w:t>
            </w:r>
            <w:r w:rsidRPr="0096332A">
              <w:t>.</w:t>
            </w:r>
          </w:p>
        </w:tc>
        <w:tc>
          <w:tcPr>
            <w:tcW w:w="930" w:type="dxa"/>
            <w:tcBorders>
              <w:top w:val="single" w:sz="4" w:space="0" w:color="auto"/>
              <w:left w:val="single" w:sz="4" w:space="0" w:color="auto"/>
              <w:bottom w:val="single" w:sz="4" w:space="0" w:color="auto"/>
              <w:right w:val="single" w:sz="4" w:space="0" w:color="auto"/>
            </w:tcBorders>
          </w:tcPr>
          <w:p w14:paraId="73F02B7A" w14:textId="77777777" w:rsidR="00EC247B" w:rsidRPr="002972E6" w:rsidRDefault="00EC247B" w:rsidP="005D36E4"/>
        </w:tc>
      </w:tr>
      <w:tr w:rsidR="00EC247B" w:rsidRPr="00F81106" w14:paraId="55BBD0F5" w14:textId="5FC0CC79" w:rsidTr="009B3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37"/>
        </w:trPr>
        <w:tc>
          <w:tcPr>
            <w:tcW w:w="1134" w:type="dxa"/>
            <w:tcBorders>
              <w:top w:val="single" w:sz="4" w:space="0" w:color="auto"/>
              <w:left w:val="single" w:sz="4" w:space="0" w:color="auto"/>
              <w:bottom w:val="single" w:sz="4" w:space="0" w:color="auto"/>
              <w:right w:val="single" w:sz="4" w:space="0" w:color="auto"/>
            </w:tcBorders>
          </w:tcPr>
          <w:p w14:paraId="5B5D3FFC" w14:textId="77777777" w:rsidR="00EC247B" w:rsidRDefault="00EC247B" w:rsidP="001F6F9D">
            <w:r>
              <w:t>17.6.3.8</w:t>
            </w:r>
          </w:p>
        </w:tc>
        <w:tc>
          <w:tcPr>
            <w:tcW w:w="7088" w:type="dxa"/>
            <w:tcBorders>
              <w:top w:val="single" w:sz="4" w:space="0" w:color="auto"/>
              <w:left w:val="single" w:sz="4" w:space="0" w:color="auto"/>
              <w:bottom w:val="single" w:sz="4" w:space="0" w:color="auto"/>
              <w:right w:val="single" w:sz="4" w:space="0" w:color="auto"/>
            </w:tcBorders>
          </w:tcPr>
          <w:p w14:paraId="236C9405" w14:textId="77777777" w:rsidR="00EC247B" w:rsidRDefault="00EC247B" w:rsidP="005D36E4">
            <w:r>
              <w:t xml:space="preserve">Sundry Debtors must be reconciled before rolling forward into the New Year 1 January. </w:t>
            </w:r>
          </w:p>
        </w:tc>
        <w:tc>
          <w:tcPr>
            <w:tcW w:w="930" w:type="dxa"/>
            <w:tcBorders>
              <w:top w:val="single" w:sz="4" w:space="0" w:color="auto"/>
              <w:left w:val="single" w:sz="4" w:space="0" w:color="auto"/>
              <w:bottom w:val="single" w:sz="4" w:space="0" w:color="auto"/>
              <w:right w:val="single" w:sz="4" w:space="0" w:color="auto"/>
            </w:tcBorders>
          </w:tcPr>
          <w:p w14:paraId="02712031" w14:textId="77777777" w:rsidR="00EC247B" w:rsidRDefault="00EC247B" w:rsidP="005D36E4"/>
        </w:tc>
      </w:tr>
      <w:tr w:rsidR="00EC247B" w:rsidRPr="00F81106" w14:paraId="31390E02" w14:textId="48ECB04C" w:rsidTr="009B3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6"/>
        </w:trPr>
        <w:tc>
          <w:tcPr>
            <w:tcW w:w="1134" w:type="dxa"/>
            <w:tcBorders>
              <w:top w:val="single" w:sz="4" w:space="0" w:color="auto"/>
              <w:left w:val="single" w:sz="4" w:space="0" w:color="auto"/>
              <w:bottom w:val="single" w:sz="4" w:space="0" w:color="auto"/>
              <w:right w:val="single" w:sz="4" w:space="0" w:color="auto"/>
            </w:tcBorders>
          </w:tcPr>
          <w:p w14:paraId="214C2AA9" w14:textId="77777777" w:rsidR="00EC247B" w:rsidRDefault="00EC247B" w:rsidP="001F6F9D">
            <w:r>
              <w:t>17.6.3.9</w:t>
            </w:r>
          </w:p>
        </w:tc>
        <w:tc>
          <w:tcPr>
            <w:tcW w:w="7088" w:type="dxa"/>
            <w:tcBorders>
              <w:top w:val="single" w:sz="4" w:space="0" w:color="auto"/>
              <w:left w:val="single" w:sz="4" w:space="0" w:color="auto"/>
              <w:bottom w:val="single" w:sz="4" w:space="0" w:color="auto"/>
              <w:right w:val="single" w:sz="4" w:space="0" w:color="auto"/>
            </w:tcBorders>
          </w:tcPr>
          <w:p w14:paraId="020D5F34" w14:textId="77777777" w:rsidR="00EC247B" w:rsidRDefault="00EC247B" w:rsidP="00991BAB">
            <w:r>
              <w:t>Schools must print (hardcopy) or save as a PDF the following reports:</w:t>
            </w:r>
          </w:p>
          <w:p w14:paraId="5609FE25" w14:textId="77777777" w:rsidR="00EC247B" w:rsidRDefault="00EC247B" w:rsidP="00457E54">
            <w:pPr>
              <w:pStyle w:val="ListBullet"/>
            </w:pPr>
            <w:r>
              <w:t xml:space="preserve">Balance Integrity Report (DR21902) as at 31 December; </w:t>
            </w:r>
          </w:p>
          <w:p w14:paraId="5867AA62" w14:textId="77777777" w:rsidR="00EC247B" w:rsidRDefault="00EC247B" w:rsidP="00457E54">
            <w:pPr>
              <w:pStyle w:val="ListBullet"/>
            </w:pPr>
            <w:r>
              <w:t xml:space="preserve">Sundry Debtors Trial Balance (DR21101) as at 31 December; </w:t>
            </w:r>
          </w:p>
          <w:p w14:paraId="1C005363" w14:textId="77777777" w:rsidR="00EC247B" w:rsidRDefault="00EC247B" w:rsidP="00457E54">
            <w:pPr>
              <w:pStyle w:val="ListBullet"/>
            </w:pPr>
            <w:r>
              <w:t>Balance Sheet (GL21160) as at 31 December.</w:t>
            </w:r>
          </w:p>
        </w:tc>
        <w:tc>
          <w:tcPr>
            <w:tcW w:w="930" w:type="dxa"/>
            <w:tcBorders>
              <w:top w:val="single" w:sz="4" w:space="0" w:color="auto"/>
              <w:left w:val="single" w:sz="4" w:space="0" w:color="auto"/>
              <w:bottom w:val="single" w:sz="4" w:space="0" w:color="auto"/>
              <w:right w:val="single" w:sz="4" w:space="0" w:color="auto"/>
            </w:tcBorders>
          </w:tcPr>
          <w:p w14:paraId="3B342BCE" w14:textId="77777777" w:rsidR="00EC247B" w:rsidRDefault="00EC247B" w:rsidP="00991BAB"/>
        </w:tc>
      </w:tr>
      <w:tr w:rsidR="00EC247B" w:rsidRPr="00F81106" w14:paraId="5975A686" w14:textId="5B81404C" w:rsidTr="009B3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37"/>
        </w:trPr>
        <w:tc>
          <w:tcPr>
            <w:tcW w:w="1134" w:type="dxa"/>
            <w:tcBorders>
              <w:top w:val="single" w:sz="4" w:space="0" w:color="auto"/>
              <w:left w:val="single" w:sz="4" w:space="0" w:color="auto"/>
              <w:bottom w:val="single" w:sz="4" w:space="0" w:color="auto"/>
              <w:right w:val="single" w:sz="4" w:space="0" w:color="auto"/>
            </w:tcBorders>
          </w:tcPr>
          <w:p w14:paraId="74DB324C" w14:textId="77777777" w:rsidR="00EC247B" w:rsidRDefault="00EC247B" w:rsidP="001F6F9D">
            <w:r>
              <w:t>17.6.3.10</w:t>
            </w:r>
          </w:p>
        </w:tc>
        <w:tc>
          <w:tcPr>
            <w:tcW w:w="7088" w:type="dxa"/>
            <w:tcBorders>
              <w:top w:val="single" w:sz="4" w:space="0" w:color="auto"/>
              <w:left w:val="single" w:sz="4" w:space="0" w:color="auto"/>
              <w:bottom w:val="single" w:sz="4" w:space="0" w:color="auto"/>
              <w:right w:val="single" w:sz="4" w:space="0" w:color="auto"/>
            </w:tcBorders>
          </w:tcPr>
          <w:p w14:paraId="18258A11" w14:textId="77777777" w:rsidR="00EC247B" w:rsidRDefault="00EC247B" w:rsidP="007103FC">
            <w:r>
              <w:t>A</w:t>
            </w:r>
            <w:r w:rsidRPr="001F1B8C">
              <w:t xml:space="preserve"> record of </w:t>
            </w:r>
            <w:r>
              <w:t xml:space="preserve">all </w:t>
            </w:r>
            <w:r w:rsidRPr="001F1B8C">
              <w:t xml:space="preserve">completed Sundry Debtor invoices </w:t>
            </w:r>
            <w:r>
              <w:t xml:space="preserve">must be retained and </w:t>
            </w:r>
            <w:r w:rsidRPr="001F1B8C">
              <w:t>save</w:t>
            </w:r>
            <w:r>
              <w:t>d</w:t>
            </w:r>
            <w:r w:rsidRPr="001F1B8C">
              <w:t xml:space="preserve"> to </w:t>
            </w:r>
            <w:r>
              <w:t xml:space="preserve">the </w:t>
            </w:r>
            <w:r w:rsidRPr="001F1B8C">
              <w:t>EOY folder.</w:t>
            </w:r>
          </w:p>
        </w:tc>
        <w:tc>
          <w:tcPr>
            <w:tcW w:w="930" w:type="dxa"/>
            <w:tcBorders>
              <w:top w:val="single" w:sz="4" w:space="0" w:color="auto"/>
              <w:left w:val="single" w:sz="4" w:space="0" w:color="auto"/>
              <w:bottom w:val="single" w:sz="4" w:space="0" w:color="auto"/>
              <w:right w:val="single" w:sz="4" w:space="0" w:color="auto"/>
            </w:tcBorders>
          </w:tcPr>
          <w:p w14:paraId="088C81DF" w14:textId="77777777" w:rsidR="00EC247B" w:rsidRDefault="00EC247B" w:rsidP="007103FC"/>
        </w:tc>
      </w:tr>
      <w:tr w:rsidR="00EC247B" w:rsidRPr="00F81106" w14:paraId="538B3F45" w14:textId="115F0ED2" w:rsidTr="009B3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17"/>
        </w:trPr>
        <w:tc>
          <w:tcPr>
            <w:tcW w:w="1134" w:type="dxa"/>
            <w:tcBorders>
              <w:top w:val="single" w:sz="4" w:space="0" w:color="auto"/>
              <w:left w:val="single" w:sz="4" w:space="0" w:color="auto"/>
              <w:bottom w:val="single" w:sz="4" w:space="0" w:color="auto"/>
              <w:right w:val="single" w:sz="4" w:space="0" w:color="auto"/>
            </w:tcBorders>
          </w:tcPr>
          <w:p w14:paraId="1182406B" w14:textId="77777777" w:rsidR="00EC247B" w:rsidRDefault="00EC247B" w:rsidP="001F6F9D">
            <w:r>
              <w:lastRenderedPageBreak/>
              <w:t>17.6.3.11</w:t>
            </w:r>
          </w:p>
        </w:tc>
        <w:tc>
          <w:tcPr>
            <w:tcW w:w="7088" w:type="dxa"/>
            <w:tcBorders>
              <w:top w:val="single" w:sz="4" w:space="0" w:color="auto"/>
              <w:left w:val="single" w:sz="4" w:space="0" w:color="auto"/>
              <w:bottom w:val="single" w:sz="4" w:space="0" w:color="auto"/>
              <w:right w:val="single" w:sz="4" w:space="0" w:color="auto"/>
            </w:tcBorders>
          </w:tcPr>
          <w:p w14:paraId="4CEE0543" w14:textId="77777777" w:rsidR="00EC247B" w:rsidRDefault="00EC247B" w:rsidP="00991BAB">
            <w:r>
              <w:t>Schools must print (hardcopy) or save as a PDF to the EOY folder:</w:t>
            </w:r>
          </w:p>
          <w:p w14:paraId="624CC49D" w14:textId="77777777" w:rsidR="00EC247B" w:rsidRDefault="00EC247B" w:rsidP="00457E54">
            <w:pPr>
              <w:pStyle w:val="ListBullet"/>
            </w:pPr>
            <w:r>
              <w:t>Sundry Debtors Matching Transaction Report (DR21112) as at 31 December;</w:t>
            </w:r>
          </w:p>
          <w:p w14:paraId="361F9CBE" w14:textId="77777777" w:rsidR="00EC247B" w:rsidRDefault="00EC247B" w:rsidP="00457E54">
            <w:pPr>
              <w:pStyle w:val="ListBullet"/>
            </w:pPr>
            <w:r>
              <w:t>Sundry Debtors Trial Balance (DR21101) as at 31 December.</w:t>
            </w:r>
          </w:p>
        </w:tc>
        <w:tc>
          <w:tcPr>
            <w:tcW w:w="930" w:type="dxa"/>
            <w:tcBorders>
              <w:top w:val="single" w:sz="4" w:space="0" w:color="auto"/>
              <w:left w:val="single" w:sz="4" w:space="0" w:color="auto"/>
              <w:bottom w:val="single" w:sz="4" w:space="0" w:color="auto"/>
              <w:right w:val="single" w:sz="4" w:space="0" w:color="auto"/>
            </w:tcBorders>
          </w:tcPr>
          <w:p w14:paraId="06C85AB8" w14:textId="77777777" w:rsidR="00EC247B" w:rsidRDefault="00EC247B" w:rsidP="00991BAB"/>
        </w:tc>
      </w:tr>
      <w:tr w:rsidR="00EC247B" w:rsidRPr="00F81106" w14:paraId="30281F72" w14:textId="4F4D02CF" w:rsidTr="009B3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56"/>
        </w:trPr>
        <w:tc>
          <w:tcPr>
            <w:tcW w:w="1134" w:type="dxa"/>
            <w:tcBorders>
              <w:top w:val="single" w:sz="4" w:space="0" w:color="auto"/>
              <w:left w:val="single" w:sz="4" w:space="0" w:color="auto"/>
              <w:bottom w:val="single" w:sz="4" w:space="0" w:color="auto"/>
              <w:right w:val="single" w:sz="4" w:space="0" w:color="auto"/>
            </w:tcBorders>
          </w:tcPr>
          <w:p w14:paraId="2007096B" w14:textId="77777777" w:rsidR="00EC247B" w:rsidRDefault="00EC247B" w:rsidP="001F6F9D">
            <w:r>
              <w:t>17.6.3.12</w:t>
            </w:r>
          </w:p>
        </w:tc>
        <w:tc>
          <w:tcPr>
            <w:tcW w:w="7088" w:type="dxa"/>
            <w:tcBorders>
              <w:top w:val="single" w:sz="4" w:space="0" w:color="auto"/>
              <w:left w:val="single" w:sz="4" w:space="0" w:color="auto"/>
              <w:bottom w:val="single" w:sz="4" w:space="0" w:color="auto"/>
              <w:right w:val="single" w:sz="4" w:space="0" w:color="auto"/>
            </w:tcBorders>
          </w:tcPr>
          <w:p w14:paraId="49010F0F" w14:textId="77777777" w:rsidR="00EC247B" w:rsidRDefault="00EC247B" w:rsidP="00991BAB">
            <w:r>
              <w:t>The total of the Sundry Debtors Trial Balance (DR21101) (Balance Column) must be compared with the figure for Sundry Debtors on the Balance Sheet (GL21160). Both these balances must be the same value.</w:t>
            </w:r>
          </w:p>
          <w:p w14:paraId="48AB8D56" w14:textId="77777777" w:rsidR="00EC247B" w:rsidRDefault="00EC247B" w:rsidP="0059422B">
            <w:r>
              <w:t xml:space="preserve">The Sundry Debtors file represents the total of all the individual Sundry Debtor balances. Refer to </w:t>
            </w:r>
            <w:hyperlink r:id="rId30" w:history="1">
              <w:r w:rsidRPr="006A0D68">
                <w:rPr>
                  <w:rStyle w:val="Hyperlink"/>
                </w:rPr>
                <w:t>CASES21 Finance Business Process Guide Section 11 – End of Year</w:t>
              </w:r>
            </w:hyperlink>
            <w:hyperlink r:id="rId31" w:history="1"/>
            <w:hyperlink r:id="rId32" w:history="1"/>
            <w:r>
              <w:t xml:space="preserve"> for further guidance.</w:t>
            </w:r>
          </w:p>
        </w:tc>
        <w:tc>
          <w:tcPr>
            <w:tcW w:w="930" w:type="dxa"/>
            <w:tcBorders>
              <w:top w:val="single" w:sz="4" w:space="0" w:color="auto"/>
              <w:left w:val="single" w:sz="4" w:space="0" w:color="auto"/>
              <w:bottom w:val="single" w:sz="4" w:space="0" w:color="auto"/>
              <w:right w:val="single" w:sz="4" w:space="0" w:color="auto"/>
            </w:tcBorders>
          </w:tcPr>
          <w:p w14:paraId="5871A15B" w14:textId="77777777" w:rsidR="00EC247B" w:rsidRDefault="00EC247B" w:rsidP="00991BAB"/>
        </w:tc>
      </w:tr>
    </w:tbl>
    <w:p w14:paraId="0E4B2BF6" w14:textId="77777777" w:rsidR="002A0178" w:rsidRDefault="002A0178" w:rsidP="0059422B"/>
    <w:p w14:paraId="74E24425" w14:textId="77777777" w:rsidR="002972E6" w:rsidRDefault="002972E6" w:rsidP="002972E6">
      <w:pPr>
        <w:tabs>
          <w:tab w:val="left" w:pos="851"/>
        </w:tabs>
        <w:spacing w:before="240" w:after="240"/>
        <w:outlineLvl w:val="2"/>
        <w:rPr>
          <w:b/>
          <w:color w:val="000000" w:themeColor="text1"/>
          <w:sz w:val="24"/>
        </w:rPr>
      </w:pPr>
      <w:r>
        <w:rPr>
          <w:b/>
          <w:color w:val="000000" w:themeColor="text1"/>
          <w:sz w:val="24"/>
        </w:rPr>
        <w:t>Doubtful Debts</w:t>
      </w:r>
    </w:p>
    <w:p w14:paraId="275D4018" w14:textId="77777777" w:rsidR="002972E6" w:rsidRPr="001952A4" w:rsidRDefault="002972E6" w:rsidP="002972E6">
      <w:pPr>
        <w:tabs>
          <w:tab w:val="left" w:pos="851"/>
        </w:tabs>
        <w:spacing w:before="240" w:after="240"/>
        <w:outlineLvl w:val="2"/>
        <w:rPr>
          <w:b/>
          <w:color w:val="000000" w:themeColor="text1"/>
          <w:sz w:val="24"/>
        </w:rPr>
      </w:pPr>
      <w:r w:rsidRPr="001952A4">
        <w:rPr>
          <w:b/>
          <w:color w:val="000000" w:themeColor="text1"/>
          <w:sz w:val="24"/>
        </w:rPr>
        <w:t>17.</w:t>
      </w:r>
      <w:r w:rsidR="00AD7355">
        <w:rPr>
          <w:b/>
          <w:color w:val="000000" w:themeColor="text1"/>
          <w:sz w:val="24"/>
        </w:rPr>
        <w:t>6</w:t>
      </w:r>
      <w:r w:rsidRPr="001952A4">
        <w:rPr>
          <w:b/>
          <w:color w:val="000000" w:themeColor="text1"/>
          <w:sz w:val="24"/>
        </w:rPr>
        <w:t>.</w:t>
      </w:r>
      <w:r w:rsidR="008C61D5">
        <w:rPr>
          <w:b/>
          <w:color w:val="000000" w:themeColor="text1"/>
          <w:sz w:val="24"/>
        </w:rPr>
        <w:t>4</w:t>
      </w:r>
      <w:r w:rsidRPr="001952A4">
        <w:rPr>
          <w:b/>
          <w:color w:val="000000" w:themeColor="text1"/>
          <w:sz w:val="24"/>
        </w:rPr>
        <w:tab/>
        <w:t>Mandatory policy (Must do):</w:t>
      </w:r>
    </w:p>
    <w:tbl>
      <w:tblPr>
        <w:tblW w:w="915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containing sequence numbers and policy information"/>
      </w:tblPr>
      <w:tblGrid>
        <w:gridCol w:w="1134"/>
        <w:gridCol w:w="7088"/>
        <w:gridCol w:w="930"/>
      </w:tblGrid>
      <w:tr w:rsidR="00EC247B" w:rsidRPr="0091756B" w14:paraId="1228307D" w14:textId="6F2ECE56" w:rsidTr="009B3C58">
        <w:trPr>
          <w:trHeight w:val="567"/>
          <w:tblHeader/>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309459B" w14:textId="77777777" w:rsidR="00EC247B" w:rsidRPr="00D60EB6" w:rsidRDefault="00EC247B" w:rsidP="00DF168D">
            <w:pPr>
              <w:rPr>
                <w:b/>
                <w:sz w:val="18"/>
              </w:rPr>
            </w:pPr>
            <w:r w:rsidRPr="00D60EB6">
              <w:rPr>
                <w:b/>
                <w:sz w:val="18"/>
              </w:rPr>
              <w:t>Sequence Numbers</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65C00261" w14:textId="77777777" w:rsidR="00EC247B" w:rsidRPr="00E0071A" w:rsidRDefault="00EC247B" w:rsidP="00DF168D">
            <w:pPr>
              <w:rPr>
                <w:b/>
                <w:sz w:val="20"/>
                <w:szCs w:val="20"/>
              </w:rPr>
            </w:pPr>
            <w:r w:rsidRPr="00E0071A">
              <w:rPr>
                <w:b/>
                <w:sz w:val="20"/>
                <w:szCs w:val="20"/>
              </w:rPr>
              <w:t>Information</w:t>
            </w:r>
          </w:p>
        </w:tc>
        <w:tc>
          <w:tcPr>
            <w:tcW w:w="930" w:type="dxa"/>
            <w:tcBorders>
              <w:top w:val="nil"/>
              <w:left w:val="single" w:sz="4" w:space="0" w:color="auto"/>
              <w:bottom w:val="single" w:sz="4" w:space="0" w:color="auto"/>
              <w:right w:val="nil"/>
            </w:tcBorders>
          </w:tcPr>
          <w:p w14:paraId="71AEBE16" w14:textId="77777777" w:rsidR="00EC247B" w:rsidRPr="00D60EB6" w:rsidRDefault="00EC247B" w:rsidP="00DF168D">
            <w:pPr>
              <w:rPr>
                <w:b/>
              </w:rPr>
            </w:pPr>
          </w:p>
        </w:tc>
      </w:tr>
      <w:tr w:rsidR="00EC247B" w:rsidRPr="00F81106" w14:paraId="324203D3" w14:textId="57BF5424" w:rsidTr="009B3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7"/>
        </w:trPr>
        <w:tc>
          <w:tcPr>
            <w:tcW w:w="1134" w:type="dxa"/>
            <w:tcBorders>
              <w:top w:val="single" w:sz="4" w:space="0" w:color="auto"/>
              <w:left w:val="single" w:sz="4" w:space="0" w:color="auto"/>
              <w:bottom w:val="single" w:sz="4" w:space="0" w:color="auto"/>
              <w:right w:val="single" w:sz="4" w:space="0" w:color="auto"/>
            </w:tcBorders>
          </w:tcPr>
          <w:p w14:paraId="3F70ADEA" w14:textId="77777777" w:rsidR="00EC247B" w:rsidRPr="00F81106" w:rsidRDefault="00EC247B" w:rsidP="008C61D5">
            <w:r>
              <w:t>17.6.4.1</w:t>
            </w:r>
          </w:p>
        </w:tc>
        <w:tc>
          <w:tcPr>
            <w:tcW w:w="7088" w:type="dxa"/>
            <w:tcBorders>
              <w:top w:val="single" w:sz="4" w:space="0" w:color="auto"/>
              <w:left w:val="single" w:sz="4" w:space="0" w:color="auto"/>
              <w:bottom w:val="single" w:sz="4" w:space="0" w:color="auto"/>
              <w:right w:val="single" w:sz="4" w:space="0" w:color="auto"/>
            </w:tcBorders>
          </w:tcPr>
          <w:p w14:paraId="60CCB1A3" w14:textId="77777777" w:rsidR="00EC247B" w:rsidRDefault="00EC247B" w:rsidP="0059422B">
            <w:r>
              <w:t xml:space="preserve">The End of Year procedures for Doubtful Debts must be completed if the school has transacted journal entries earlier in the year to adjust for doubtful debts. Failure to do so may result in negative revenue on Sub Programs in the next year. </w:t>
            </w:r>
          </w:p>
        </w:tc>
        <w:tc>
          <w:tcPr>
            <w:tcW w:w="930" w:type="dxa"/>
            <w:tcBorders>
              <w:top w:val="single" w:sz="4" w:space="0" w:color="auto"/>
              <w:left w:val="single" w:sz="4" w:space="0" w:color="auto"/>
              <w:bottom w:val="single" w:sz="4" w:space="0" w:color="auto"/>
              <w:right w:val="single" w:sz="4" w:space="0" w:color="auto"/>
            </w:tcBorders>
          </w:tcPr>
          <w:p w14:paraId="620BD68C" w14:textId="77777777" w:rsidR="00EC247B" w:rsidRDefault="00EC247B" w:rsidP="0059422B"/>
        </w:tc>
      </w:tr>
      <w:tr w:rsidR="00EC247B" w:rsidRPr="00F81106" w14:paraId="55FD12FA" w14:textId="7B32A128" w:rsidTr="009B3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1"/>
        </w:trPr>
        <w:tc>
          <w:tcPr>
            <w:tcW w:w="1134" w:type="dxa"/>
            <w:tcBorders>
              <w:top w:val="single" w:sz="4" w:space="0" w:color="auto"/>
              <w:left w:val="single" w:sz="4" w:space="0" w:color="auto"/>
              <w:bottom w:val="single" w:sz="4" w:space="0" w:color="auto"/>
              <w:right w:val="single" w:sz="4" w:space="0" w:color="auto"/>
            </w:tcBorders>
          </w:tcPr>
          <w:p w14:paraId="29997591" w14:textId="77777777" w:rsidR="00EC247B" w:rsidRDefault="00EC247B" w:rsidP="008C61D5">
            <w:r>
              <w:t>17.6.4.2</w:t>
            </w:r>
          </w:p>
        </w:tc>
        <w:tc>
          <w:tcPr>
            <w:tcW w:w="7088" w:type="dxa"/>
            <w:tcBorders>
              <w:top w:val="single" w:sz="4" w:space="0" w:color="auto"/>
              <w:left w:val="single" w:sz="4" w:space="0" w:color="auto"/>
              <w:bottom w:val="single" w:sz="4" w:space="0" w:color="auto"/>
              <w:right w:val="single" w:sz="4" w:space="0" w:color="auto"/>
            </w:tcBorders>
          </w:tcPr>
          <w:p w14:paraId="7F401330" w14:textId="77777777" w:rsidR="00EC247B" w:rsidRDefault="00EC247B" w:rsidP="0059422B">
            <w:r>
              <w:t xml:space="preserve">If a school has adjusted for doubtful debts, they must refer to </w:t>
            </w:r>
            <w:hyperlink r:id="rId33" w:history="1">
              <w:r w:rsidRPr="00E1792C">
                <w:rPr>
                  <w:rStyle w:val="Hyperlink"/>
                </w:rPr>
                <w:t>CASES21 Finance Business Process Guide Section 2 – Sundry Debtors</w:t>
              </w:r>
            </w:hyperlink>
            <w:hyperlink r:id="rId34" w:history="1"/>
            <w:r>
              <w:t xml:space="preserve"> to establish the correct steps to take to either recover or write off the debt.</w:t>
            </w:r>
          </w:p>
        </w:tc>
        <w:tc>
          <w:tcPr>
            <w:tcW w:w="930" w:type="dxa"/>
            <w:tcBorders>
              <w:top w:val="single" w:sz="4" w:space="0" w:color="auto"/>
              <w:left w:val="single" w:sz="4" w:space="0" w:color="auto"/>
              <w:bottom w:val="single" w:sz="4" w:space="0" w:color="auto"/>
              <w:right w:val="single" w:sz="4" w:space="0" w:color="auto"/>
            </w:tcBorders>
          </w:tcPr>
          <w:p w14:paraId="605D75BD" w14:textId="77777777" w:rsidR="00EC247B" w:rsidRDefault="00EC247B" w:rsidP="0059422B"/>
        </w:tc>
      </w:tr>
    </w:tbl>
    <w:p w14:paraId="68CDF0C3" w14:textId="77777777" w:rsidR="00AF482C" w:rsidRPr="00C7722D" w:rsidRDefault="00AF482C" w:rsidP="00AF482C">
      <w:pPr>
        <w:pStyle w:val="Heading2"/>
      </w:pPr>
      <w:r w:rsidRPr="00C7722D">
        <w:t>17.</w:t>
      </w:r>
      <w:r w:rsidR="004166F4">
        <w:t>7</w:t>
      </w:r>
      <w:r w:rsidRPr="00C7722D">
        <w:tab/>
      </w:r>
      <w:r w:rsidRPr="002F1603">
        <w:t xml:space="preserve">Balance </w:t>
      </w:r>
      <w:r w:rsidR="00BF60C2">
        <w:t>D</w:t>
      </w:r>
      <w:r w:rsidRPr="002F1603">
        <w:t xml:space="preserve">ay </w:t>
      </w:r>
      <w:r w:rsidR="00BF60C2">
        <w:t>A</w:t>
      </w:r>
      <w:r w:rsidRPr="002F1603">
        <w:t>djustments</w:t>
      </w:r>
    </w:p>
    <w:p w14:paraId="3F9A50EA" w14:textId="77777777" w:rsidR="00AF482C" w:rsidRDefault="00AF482C" w:rsidP="008C61D5">
      <w:r w:rsidRPr="00C7722D">
        <w:t>The recording of transactions under an accrual system may result</w:t>
      </w:r>
      <w:r>
        <w:t xml:space="preserve"> in revenue and expense items being </w:t>
      </w:r>
      <w:r w:rsidR="00C6021B">
        <w:t>recogni</w:t>
      </w:r>
      <w:r w:rsidR="00764321">
        <w:t>s</w:t>
      </w:r>
      <w:r w:rsidR="00C6021B">
        <w:t>ed</w:t>
      </w:r>
      <w:r>
        <w:t xml:space="preserve"> in a particular period when they actually relate to a future period.</w:t>
      </w:r>
    </w:p>
    <w:p w14:paraId="1E1F0650" w14:textId="5DE9ABA8" w:rsidR="00AF482C" w:rsidRDefault="00AF482C" w:rsidP="008C61D5">
      <w:r>
        <w:t xml:space="preserve">A common example of this may be the invoicing of </w:t>
      </w:r>
      <w:r w:rsidR="00C7722D">
        <w:t>e</w:t>
      </w:r>
      <w:r>
        <w:t xml:space="preserve">ssential </w:t>
      </w:r>
      <w:r w:rsidR="00C7722D">
        <w:t>s</w:t>
      </w:r>
      <w:r>
        <w:t xml:space="preserve">tudent </w:t>
      </w:r>
      <w:r w:rsidR="00C7722D">
        <w:t>l</w:t>
      </w:r>
      <w:r>
        <w:t>earning Items, camps, excursions</w:t>
      </w:r>
      <w:r w:rsidR="00C7722D">
        <w:t xml:space="preserve"> and activities </w:t>
      </w:r>
      <w:r>
        <w:t xml:space="preserve">for the next </w:t>
      </w:r>
      <w:r w:rsidR="001F629F">
        <w:t xml:space="preserve">school </w:t>
      </w:r>
      <w:r>
        <w:t>year in December of the current year.</w:t>
      </w:r>
    </w:p>
    <w:p w14:paraId="686B269E" w14:textId="480AC2EF" w:rsidR="008E32D9" w:rsidRDefault="008E32D9" w:rsidP="008C61D5"/>
    <w:p w14:paraId="5FE52376" w14:textId="23378E8F" w:rsidR="008E32D9" w:rsidRDefault="008E32D9" w:rsidP="008C61D5"/>
    <w:p w14:paraId="2564BC99" w14:textId="4EF3D975" w:rsidR="008E32D9" w:rsidRDefault="008E32D9" w:rsidP="008C61D5"/>
    <w:p w14:paraId="7BEA4C8B" w14:textId="77777777" w:rsidR="008E32D9" w:rsidRDefault="008E32D9" w:rsidP="008C61D5"/>
    <w:p w14:paraId="2741F4B8" w14:textId="77777777" w:rsidR="00AF482C" w:rsidRPr="002A00EF" w:rsidRDefault="00AF482C" w:rsidP="00AF482C">
      <w:pPr>
        <w:pStyle w:val="Heading3"/>
      </w:pPr>
      <w:r w:rsidRPr="002A00EF">
        <w:lastRenderedPageBreak/>
        <w:t>1</w:t>
      </w:r>
      <w:r w:rsidR="00D75E31">
        <w:t>7.</w:t>
      </w:r>
      <w:r w:rsidR="004166F4">
        <w:t>7</w:t>
      </w:r>
      <w:r w:rsidR="00D75E31">
        <w:t>.1</w:t>
      </w:r>
      <w:r w:rsidR="00D75E31">
        <w:tab/>
      </w:r>
      <w:r w:rsidRPr="002A00EF">
        <w:t>Mandatory policy (</w:t>
      </w:r>
      <w:r>
        <w:t>Must do</w:t>
      </w:r>
      <w:r w:rsidRPr="002A00EF">
        <w:t>)</w:t>
      </w:r>
      <w:r>
        <w:t>:</w:t>
      </w:r>
    </w:p>
    <w:tbl>
      <w:tblPr>
        <w:tblW w:w="915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containing sequence numbers and policy information"/>
      </w:tblPr>
      <w:tblGrid>
        <w:gridCol w:w="1134"/>
        <w:gridCol w:w="7088"/>
        <w:gridCol w:w="930"/>
      </w:tblGrid>
      <w:tr w:rsidR="00EC247B" w:rsidRPr="0091756B" w14:paraId="39933AF8" w14:textId="472719F4" w:rsidTr="009B3C58">
        <w:trPr>
          <w:trHeight w:val="567"/>
          <w:tblHeader/>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98E1061" w14:textId="77777777" w:rsidR="00EC247B" w:rsidRPr="00D60EB6" w:rsidRDefault="00EC247B" w:rsidP="00DF168D">
            <w:pPr>
              <w:rPr>
                <w:b/>
                <w:sz w:val="18"/>
              </w:rPr>
            </w:pPr>
            <w:r w:rsidRPr="00D60EB6">
              <w:rPr>
                <w:b/>
                <w:sz w:val="18"/>
              </w:rPr>
              <w:t>Sequence Numbers</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0A1743DD" w14:textId="77777777" w:rsidR="00EC247B" w:rsidRPr="00E0071A" w:rsidRDefault="00EC247B" w:rsidP="00DF168D">
            <w:pPr>
              <w:rPr>
                <w:b/>
                <w:sz w:val="20"/>
                <w:szCs w:val="20"/>
              </w:rPr>
            </w:pPr>
            <w:r w:rsidRPr="00E0071A">
              <w:rPr>
                <w:b/>
                <w:sz w:val="20"/>
                <w:szCs w:val="20"/>
              </w:rPr>
              <w:t>Information</w:t>
            </w:r>
          </w:p>
        </w:tc>
        <w:tc>
          <w:tcPr>
            <w:tcW w:w="930" w:type="dxa"/>
            <w:tcBorders>
              <w:top w:val="nil"/>
              <w:left w:val="single" w:sz="4" w:space="0" w:color="auto"/>
              <w:bottom w:val="single" w:sz="4" w:space="0" w:color="auto"/>
              <w:right w:val="nil"/>
            </w:tcBorders>
          </w:tcPr>
          <w:p w14:paraId="421B7896" w14:textId="77777777" w:rsidR="00EC247B" w:rsidRPr="00D60EB6" w:rsidRDefault="00EC247B" w:rsidP="00DF168D">
            <w:pPr>
              <w:rPr>
                <w:b/>
              </w:rPr>
            </w:pPr>
          </w:p>
        </w:tc>
      </w:tr>
      <w:tr w:rsidR="00EC247B" w:rsidRPr="00F81106" w14:paraId="5DDD8895" w14:textId="32EDEF41" w:rsidTr="009B3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1"/>
        </w:trPr>
        <w:tc>
          <w:tcPr>
            <w:tcW w:w="1134" w:type="dxa"/>
            <w:tcBorders>
              <w:top w:val="single" w:sz="4" w:space="0" w:color="auto"/>
              <w:left w:val="single" w:sz="4" w:space="0" w:color="auto"/>
              <w:bottom w:val="single" w:sz="4" w:space="0" w:color="auto"/>
              <w:right w:val="single" w:sz="4" w:space="0" w:color="auto"/>
            </w:tcBorders>
          </w:tcPr>
          <w:p w14:paraId="2855FF87" w14:textId="77777777" w:rsidR="00EC247B" w:rsidRPr="00F81106" w:rsidRDefault="00EC247B" w:rsidP="004166F4">
            <w:r w:rsidRPr="00F81106">
              <w:t>1</w:t>
            </w:r>
            <w:r>
              <w:t>7</w:t>
            </w:r>
            <w:r w:rsidRPr="00F81106">
              <w:t>.</w:t>
            </w:r>
            <w:r>
              <w:t>7.1.1</w:t>
            </w:r>
          </w:p>
        </w:tc>
        <w:tc>
          <w:tcPr>
            <w:tcW w:w="7088" w:type="dxa"/>
            <w:tcBorders>
              <w:top w:val="single" w:sz="4" w:space="0" w:color="auto"/>
              <w:left w:val="single" w:sz="4" w:space="0" w:color="auto"/>
              <w:bottom w:val="single" w:sz="4" w:space="0" w:color="auto"/>
              <w:right w:val="single" w:sz="4" w:space="0" w:color="auto"/>
            </w:tcBorders>
          </w:tcPr>
          <w:p w14:paraId="063898DE" w14:textId="77777777" w:rsidR="00EC247B" w:rsidRPr="00F81106" w:rsidRDefault="00EC247B" w:rsidP="00AC3C1B">
            <w:r>
              <w:t xml:space="preserve">School must carefully read </w:t>
            </w:r>
            <w:hyperlink r:id="rId35" w:history="1">
              <w:r w:rsidRPr="002D1B00">
                <w:rPr>
                  <w:color w:val="0000FF"/>
                  <w:u w:val="single"/>
                </w:rPr>
                <w:t>CASES21 Finance Business Process Guid</w:t>
              </w:r>
              <w:r>
                <w:rPr>
                  <w:color w:val="0000FF"/>
                  <w:u w:val="single"/>
                </w:rPr>
                <w:t>e Section 10 – Balance Day Adjustments</w:t>
              </w:r>
            </w:hyperlink>
            <w:r>
              <w:t xml:space="preserve"> to determine if they need to make any of these type of adjustments.</w:t>
            </w:r>
          </w:p>
        </w:tc>
        <w:tc>
          <w:tcPr>
            <w:tcW w:w="930" w:type="dxa"/>
            <w:tcBorders>
              <w:top w:val="single" w:sz="4" w:space="0" w:color="auto"/>
              <w:left w:val="single" w:sz="4" w:space="0" w:color="auto"/>
              <w:bottom w:val="single" w:sz="4" w:space="0" w:color="auto"/>
              <w:right w:val="single" w:sz="4" w:space="0" w:color="auto"/>
            </w:tcBorders>
          </w:tcPr>
          <w:p w14:paraId="6D006581" w14:textId="77777777" w:rsidR="00EC247B" w:rsidRDefault="00EC247B" w:rsidP="00AC3C1B"/>
        </w:tc>
      </w:tr>
      <w:tr w:rsidR="00EC247B" w:rsidRPr="00F81106" w14:paraId="719FDD5E" w14:textId="4342FE59" w:rsidTr="009B3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37"/>
        </w:trPr>
        <w:tc>
          <w:tcPr>
            <w:tcW w:w="1134" w:type="dxa"/>
            <w:tcBorders>
              <w:top w:val="single" w:sz="4" w:space="0" w:color="auto"/>
              <w:left w:val="single" w:sz="4" w:space="0" w:color="auto"/>
              <w:bottom w:val="single" w:sz="4" w:space="0" w:color="auto"/>
              <w:right w:val="single" w:sz="4" w:space="0" w:color="auto"/>
            </w:tcBorders>
          </w:tcPr>
          <w:p w14:paraId="16CDAF12" w14:textId="77777777" w:rsidR="00EC247B" w:rsidRPr="00F81106" w:rsidRDefault="00EC247B" w:rsidP="004166F4">
            <w:r>
              <w:t>17.7.1.2</w:t>
            </w:r>
          </w:p>
        </w:tc>
        <w:tc>
          <w:tcPr>
            <w:tcW w:w="7088" w:type="dxa"/>
            <w:tcBorders>
              <w:top w:val="single" w:sz="4" w:space="0" w:color="auto"/>
              <w:left w:val="single" w:sz="4" w:space="0" w:color="auto"/>
              <w:bottom w:val="single" w:sz="4" w:space="0" w:color="auto"/>
              <w:right w:val="single" w:sz="4" w:space="0" w:color="auto"/>
            </w:tcBorders>
          </w:tcPr>
          <w:p w14:paraId="6BC21170" w14:textId="77777777" w:rsidR="00EC247B" w:rsidRDefault="00EC247B" w:rsidP="003C3198">
            <w:r w:rsidRPr="003C3198">
              <w:t>Schools must make journal entries to adjust the accounting records to recogni</w:t>
            </w:r>
            <w:r>
              <w:t>s</w:t>
            </w:r>
            <w:r w:rsidRPr="003C3198">
              <w:t xml:space="preserve">e the revenue or expenses in the correct period. </w:t>
            </w:r>
          </w:p>
        </w:tc>
        <w:tc>
          <w:tcPr>
            <w:tcW w:w="930" w:type="dxa"/>
            <w:tcBorders>
              <w:top w:val="single" w:sz="4" w:space="0" w:color="auto"/>
              <w:left w:val="single" w:sz="4" w:space="0" w:color="auto"/>
              <w:bottom w:val="single" w:sz="4" w:space="0" w:color="auto"/>
              <w:right w:val="single" w:sz="4" w:space="0" w:color="auto"/>
            </w:tcBorders>
          </w:tcPr>
          <w:p w14:paraId="7C24792A" w14:textId="77777777" w:rsidR="00EC247B" w:rsidRPr="003C3198" w:rsidRDefault="00EC247B" w:rsidP="003C3198"/>
        </w:tc>
      </w:tr>
    </w:tbl>
    <w:p w14:paraId="1CFC5AC8" w14:textId="77777777" w:rsidR="004166F4" w:rsidRPr="008C61D5" w:rsidRDefault="004166F4" w:rsidP="004166F4"/>
    <w:p w14:paraId="18337969" w14:textId="77777777" w:rsidR="00E00145" w:rsidRPr="006F7B96" w:rsidRDefault="004166F4" w:rsidP="00E00145">
      <w:pPr>
        <w:pStyle w:val="Heading2"/>
      </w:pPr>
      <w:r w:rsidRPr="00C7722D">
        <w:t>17.</w:t>
      </w:r>
      <w:r>
        <w:t>8</w:t>
      </w:r>
      <w:r w:rsidR="008C61D5" w:rsidRPr="00C7722D">
        <w:tab/>
      </w:r>
      <w:r w:rsidR="00E00145" w:rsidRPr="00C7722D">
        <w:t>Prepaid Expenses</w:t>
      </w:r>
    </w:p>
    <w:p w14:paraId="09C560F4" w14:textId="77777777" w:rsidR="00E00145" w:rsidRPr="002A00EF" w:rsidRDefault="00E00145" w:rsidP="00E00145">
      <w:pPr>
        <w:pStyle w:val="Heading3"/>
      </w:pPr>
      <w:r w:rsidRPr="002A00EF">
        <w:t>1</w:t>
      </w:r>
      <w:r w:rsidR="009D1593">
        <w:t>7.</w:t>
      </w:r>
      <w:r w:rsidR="004166F4">
        <w:t>8</w:t>
      </w:r>
      <w:r w:rsidR="009D1593">
        <w:t>.1</w:t>
      </w:r>
      <w:r>
        <w:tab/>
      </w:r>
      <w:r w:rsidRPr="002A00EF">
        <w:t>Mandatory policy (</w:t>
      </w:r>
      <w:r>
        <w:t>Must do</w:t>
      </w:r>
      <w:r w:rsidRPr="002A00EF">
        <w:t>)</w:t>
      </w:r>
      <w:r>
        <w:t>:</w:t>
      </w:r>
    </w:p>
    <w:tbl>
      <w:tblPr>
        <w:tblW w:w="915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containing sequence numbers and policy information"/>
      </w:tblPr>
      <w:tblGrid>
        <w:gridCol w:w="1134"/>
        <w:gridCol w:w="7088"/>
        <w:gridCol w:w="930"/>
      </w:tblGrid>
      <w:tr w:rsidR="00EC247B" w:rsidRPr="0091756B" w14:paraId="41573630" w14:textId="4687A74D" w:rsidTr="009B3C58">
        <w:trPr>
          <w:trHeight w:val="567"/>
          <w:tblHeader/>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782FEC46" w14:textId="77777777" w:rsidR="00EC247B" w:rsidRPr="00D60EB6" w:rsidRDefault="00EC247B" w:rsidP="00DF168D">
            <w:pPr>
              <w:rPr>
                <w:b/>
                <w:sz w:val="18"/>
              </w:rPr>
            </w:pPr>
            <w:r w:rsidRPr="00D60EB6">
              <w:rPr>
                <w:b/>
                <w:sz w:val="18"/>
              </w:rPr>
              <w:t>Sequence Numbers</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6188349C" w14:textId="77777777" w:rsidR="00EC247B" w:rsidRPr="00E0071A" w:rsidRDefault="00EC247B" w:rsidP="00DF168D">
            <w:pPr>
              <w:rPr>
                <w:b/>
                <w:sz w:val="20"/>
                <w:szCs w:val="20"/>
              </w:rPr>
            </w:pPr>
            <w:r w:rsidRPr="00E0071A">
              <w:rPr>
                <w:b/>
                <w:sz w:val="20"/>
                <w:szCs w:val="20"/>
              </w:rPr>
              <w:t>Information</w:t>
            </w:r>
          </w:p>
        </w:tc>
        <w:tc>
          <w:tcPr>
            <w:tcW w:w="930" w:type="dxa"/>
            <w:tcBorders>
              <w:top w:val="nil"/>
              <w:left w:val="single" w:sz="4" w:space="0" w:color="auto"/>
              <w:bottom w:val="single" w:sz="4" w:space="0" w:color="auto"/>
              <w:right w:val="nil"/>
            </w:tcBorders>
          </w:tcPr>
          <w:p w14:paraId="5D2A13FB" w14:textId="77777777" w:rsidR="00EC247B" w:rsidRPr="00D60EB6" w:rsidRDefault="00EC247B" w:rsidP="00DF168D">
            <w:pPr>
              <w:rPr>
                <w:b/>
              </w:rPr>
            </w:pPr>
          </w:p>
        </w:tc>
      </w:tr>
      <w:tr w:rsidR="00EC247B" w:rsidRPr="00EC7D90" w14:paraId="0C8E346E" w14:textId="324D6A50" w:rsidTr="009B3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021"/>
        </w:trPr>
        <w:tc>
          <w:tcPr>
            <w:tcW w:w="1134" w:type="dxa"/>
            <w:tcBorders>
              <w:top w:val="single" w:sz="4" w:space="0" w:color="auto"/>
              <w:left w:val="single" w:sz="4" w:space="0" w:color="auto"/>
              <w:bottom w:val="single" w:sz="4" w:space="0" w:color="auto"/>
              <w:right w:val="single" w:sz="4" w:space="0" w:color="auto"/>
            </w:tcBorders>
          </w:tcPr>
          <w:p w14:paraId="74251FC5" w14:textId="77777777" w:rsidR="00EC247B" w:rsidRPr="00FE581C" w:rsidRDefault="00EC247B" w:rsidP="004166F4">
            <w:pPr>
              <w:rPr>
                <w:rFonts w:eastAsiaTheme="minorHAnsi"/>
              </w:rPr>
            </w:pPr>
            <w:r>
              <w:rPr>
                <w:rFonts w:eastAsiaTheme="minorHAnsi"/>
              </w:rPr>
              <w:t>17.8.1.1</w:t>
            </w:r>
          </w:p>
        </w:tc>
        <w:tc>
          <w:tcPr>
            <w:tcW w:w="7088" w:type="dxa"/>
            <w:tcBorders>
              <w:top w:val="single" w:sz="4" w:space="0" w:color="auto"/>
              <w:left w:val="single" w:sz="4" w:space="0" w:color="auto"/>
              <w:bottom w:val="single" w:sz="4" w:space="0" w:color="auto"/>
              <w:right w:val="single" w:sz="4" w:space="0" w:color="auto"/>
            </w:tcBorders>
          </w:tcPr>
          <w:p w14:paraId="4F40AC12" w14:textId="77777777" w:rsidR="00EC247B" w:rsidRPr="006D6ECF" w:rsidRDefault="00EC247B" w:rsidP="001E1D6D">
            <w:pPr>
              <w:rPr>
                <w:b/>
              </w:rPr>
            </w:pPr>
            <w:r>
              <w:t>Re</w:t>
            </w:r>
            <w:r w:rsidRPr="00565F86">
              <w:t xml:space="preserve">view all </w:t>
            </w:r>
            <w:r>
              <w:t>prepaid expense balances to ensure that only current balances are recognised in CASES21 in the relevant Chart of Account code 12005 Prepaid Expense as at 31 December.</w:t>
            </w:r>
          </w:p>
        </w:tc>
        <w:tc>
          <w:tcPr>
            <w:tcW w:w="930" w:type="dxa"/>
            <w:tcBorders>
              <w:top w:val="single" w:sz="4" w:space="0" w:color="auto"/>
              <w:left w:val="single" w:sz="4" w:space="0" w:color="auto"/>
              <w:bottom w:val="single" w:sz="4" w:space="0" w:color="auto"/>
              <w:right w:val="single" w:sz="4" w:space="0" w:color="auto"/>
            </w:tcBorders>
          </w:tcPr>
          <w:p w14:paraId="5EF448A4" w14:textId="77777777" w:rsidR="00EC247B" w:rsidRDefault="00EC247B" w:rsidP="001E1D6D"/>
        </w:tc>
      </w:tr>
    </w:tbl>
    <w:p w14:paraId="467E11F0" w14:textId="77777777" w:rsidR="004166F4" w:rsidRPr="008C61D5" w:rsidRDefault="004166F4" w:rsidP="004166F4"/>
    <w:p w14:paraId="6D8303F2" w14:textId="77777777" w:rsidR="004166F4" w:rsidRPr="006F7B96" w:rsidRDefault="004166F4" w:rsidP="004166F4">
      <w:pPr>
        <w:pStyle w:val="Heading2"/>
      </w:pPr>
      <w:r w:rsidRPr="00C7722D">
        <w:t>17.</w:t>
      </w:r>
      <w:r>
        <w:t>9</w:t>
      </w:r>
      <w:r w:rsidRPr="00C7722D">
        <w:tab/>
      </w:r>
      <w:r>
        <w:t>Revenue in Advance</w:t>
      </w:r>
    </w:p>
    <w:p w14:paraId="563B39FF" w14:textId="77777777" w:rsidR="00E00145" w:rsidRPr="00551DCD" w:rsidRDefault="001F629F" w:rsidP="00E00145">
      <w:r>
        <w:t>This involves a</w:t>
      </w:r>
      <w:r w:rsidR="00E00145" w:rsidRPr="00551DCD">
        <w:t>mounts received in advance for future costs or future services yet to be performed.</w:t>
      </w:r>
    </w:p>
    <w:p w14:paraId="392CD8CF" w14:textId="77777777" w:rsidR="00E00145" w:rsidRPr="00551DCD" w:rsidRDefault="00E00145" w:rsidP="00E00145">
      <w:pPr>
        <w:tabs>
          <w:tab w:val="left" w:pos="851"/>
        </w:tabs>
        <w:spacing w:before="240" w:after="240"/>
        <w:outlineLvl w:val="2"/>
        <w:rPr>
          <w:b/>
          <w:color w:val="000000" w:themeColor="text1"/>
          <w:sz w:val="24"/>
        </w:rPr>
      </w:pPr>
      <w:r w:rsidRPr="00551DCD">
        <w:rPr>
          <w:b/>
          <w:color w:val="000000" w:themeColor="text1"/>
          <w:sz w:val="24"/>
        </w:rPr>
        <w:t>1</w:t>
      </w:r>
      <w:r w:rsidR="00D55A7C">
        <w:rPr>
          <w:b/>
          <w:color w:val="000000" w:themeColor="text1"/>
          <w:sz w:val="24"/>
        </w:rPr>
        <w:t>7.</w:t>
      </w:r>
      <w:r w:rsidR="004166F4">
        <w:rPr>
          <w:b/>
          <w:color w:val="000000" w:themeColor="text1"/>
          <w:sz w:val="24"/>
        </w:rPr>
        <w:t>9</w:t>
      </w:r>
      <w:r w:rsidR="00D55A7C">
        <w:rPr>
          <w:b/>
          <w:color w:val="000000" w:themeColor="text1"/>
          <w:sz w:val="24"/>
        </w:rPr>
        <w:t>.</w:t>
      </w:r>
      <w:r w:rsidRPr="00551DCD">
        <w:rPr>
          <w:b/>
          <w:color w:val="000000" w:themeColor="text1"/>
          <w:sz w:val="24"/>
        </w:rPr>
        <w:t>1</w:t>
      </w:r>
      <w:r w:rsidR="00D55A7C">
        <w:rPr>
          <w:b/>
          <w:color w:val="000000" w:themeColor="text1"/>
          <w:sz w:val="24"/>
        </w:rPr>
        <w:tab/>
      </w:r>
      <w:r w:rsidRPr="00551DCD">
        <w:rPr>
          <w:b/>
          <w:color w:val="000000" w:themeColor="text1"/>
          <w:sz w:val="24"/>
        </w:rPr>
        <w:t>Mandatory policy (Must do)</w:t>
      </w:r>
    </w:p>
    <w:tbl>
      <w:tblPr>
        <w:tblW w:w="915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containing sequence number and policy information"/>
      </w:tblPr>
      <w:tblGrid>
        <w:gridCol w:w="1134"/>
        <w:gridCol w:w="7088"/>
        <w:gridCol w:w="930"/>
      </w:tblGrid>
      <w:tr w:rsidR="00EC247B" w:rsidRPr="0091756B" w14:paraId="69B84FD0" w14:textId="28855749" w:rsidTr="009B3C58">
        <w:trPr>
          <w:trHeight w:val="567"/>
          <w:tblHeader/>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2073B4C3" w14:textId="77777777" w:rsidR="00EC247B" w:rsidRPr="00D60EB6" w:rsidRDefault="00EC247B" w:rsidP="00DF168D">
            <w:pPr>
              <w:rPr>
                <w:b/>
                <w:sz w:val="18"/>
              </w:rPr>
            </w:pPr>
            <w:r w:rsidRPr="00D60EB6">
              <w:rPr>
                <w:b/>
                <w:sz w:val="18"/>
              </w:rPr>
              <w:t>Sequence Numbers</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11EA6F30" w14:textId="77777777" w:rsidR="00EC247B" w:rsidRPr="00E0071A" w:rsidRDefault="00EC247B" w:rsidP="00DF168D">
            <w:pPr>
              <w:rPr>
                <w:b/>
                <w:sz w:val="20"/>
                <w:szCs w:val="20"/>
              </w:rPr>
            </w:pPr>
            <w:r w:rsidRPr="00E0071A">
              <w:rPr>
                <w:b/>
                <w:sz w:val="20"/>
                <w:szCs w:val="20"/>
              </w:rPr>
              <w:t>Information</w:t>
            </w:r>
          </w:p>
        </w:tc>
        <w:tc>
          <w:tcPr>
            <w:tcW w:w="930" w:type="dxa"/>
            <w:tcBorders>
              <w:top w:val="nil"/>
              <w:left w:val="single" w:sz="4" w:space="0" w:color="auto"/>
              <w:bottom w:val="single" w:sz="4" w:space="0" w:color="auto"/>
              <w:right w:val="nil"/>
            </w:tcBorders>
          </w:tcPr>
          <w:p w14:paraId="1E724764" w14:textId="77777777" w:rsidR="00EC247B" w:rsidRPr="00D60EB6" w:rsidRDefault="00EC247B" w:rsidP="00DF168D">
            <w:pPr>
              <w:rPr>
                <w:b/>
              </w:rPr>
            </w:pPr>
          </w:p>
        </w:tc>
      </w:tr>
      <w:tr w:rsidR="00EC247B" w:rsidRPr="00551DCD" w14:paraId="5BAEAA80" w14:textId="21297FD4" w:rsidTr="009B3C58">
        <w:trPr>
          <w:trHeight w:hRule="exact" w:val="1021"/>
        </w:trPr>
        <w:tc>
          <w:tcPr>
            <w:tcW w:w="1134" w:type="dxa"/>
            <w:tcBorders>
              <w:bottom w:val="single" w:sz="4" w:space="0" w:color="auto"/>
            </w:tcBorders>
            <w:shd w:val="clear" w:color="auto" w:fill="FFFFFF" w:themeFill="background1"/>
          </w:tcPr>
          <w:p w14:paraId="088649A1" w14:textId="77777777" w:rsidR="00EC247B" w:rsidRPr="00551DCD" w:rsidRDefault="00EC247B" w:rsidP="001F629F">
            <w:r w:rsidRPr="00551DCD">
              <w:t>1</w:t>
            </w:r>
            <w:r>
              <w:t>7.9.1.1</w:t>
            </w:r>
          </w:p>
        </w:tc>
        <w:tc>
          <w:tcPr>
            <w:tcW w:w="7088" w:type="dxa"/>
            <w:tcBorders>
              <w:bottom w:val="single" w:sz="4" w:space="0" w:color="auto"/>
            </w:tcBorders>
            <w:shd w:val="clear" w:color="auto" w:fill="auto"/>
          </w:tcPr>
          <w:p w14:paraId="22C36375" w14:textId="77777777" w:rsidR="00EC247B" w:rsidRDefault="00EC247B" w:rsidP="0059422B">
            <w:r w:rsidRPr="00551DCD">
              <w:t xml:space="preserve">Undertake any balance day adjustments for revenue in advance. See </w:t>
            </w:r>
            <w:hyperlink r:id="rId36" w:history="1">
              <w:r w:rsidRPr="002D1B00">
                <w:rPr>
                  <w:color w:val="0000FF"/>
                  <w:u w:val="single"/>
                </w:rPr>
                <w:t xml:space="preserve">CASES21 Finance Business Process </w:t>
              </w:r>
              <w:r>
                <w:rPr>
                  <w:color w:val="0000FF"/>
                  <w:u w:val="single"/>
                </w:rPr>
                <w:t>Guide Section 10 Balance Day Adjustments</w:t>
              </w:r>
            </w:hyperlink>
            <w:r>
              <w:t xml:space="preserve"> for further guidance.</w:t>
            </w:r>
          </w:p>
        </w:tc>
        <w:tc>
          <w:tcPr>
            <w:tcW w:w="930" w:type="dxa"/>
            <w:tcBorders>
              <w:bottom w:val="single" w:sz="4" w:space="0" w:color="auto"/>
            </w:tcBorders>
          </w:tcPr>
          <w:p w14:paraId="501999D8" w14:textId="77777777" w:rsidR="00EC247B" w:rsidRPr="00551DCD" w:rsidRDefault="00EC247B" w:rsidP="0059422B"/>
        </w:tc>
      </w:tr>
      <w:tr w:rsidR="00EC247B" w:rsidRPr="00551DCD" w14:paraId="24DB7E24" w14:textId="012FC54B" w:rsidTr="009B3C58">
        <w:trPr>
          <w:trHeight w:hRule="exact" w:val="737"/>
        </w:trPr>
        <w:tc>
          <w:tcPr>
            <w:tcW w:w="1134" w:type="dxa"/>
            <w:tcBorders>
              <w:top w:val="single" w:sz="4" w:space="0" w:color="auto"/>
              <w:left w:val="single" w:sz="4" w:space="0" w:color="auto"/>
              <w:bottom w:val="single" w:sz="4" w:space="0" w:color="auto"/>
            </w:tcBorders>
            <w:shd w:val="clear" w:color="auto" w:fill="FFFFFF" w:themeFill="background1"/>
          </w:tcPr>
          <w:p w14:paraId="56CFCCD0" w14:textId="77777777" w:rsidR="00EC247B" w:rsidRPr="00551DCD" w:rsidRDefault="00EC247B" w:rsidP="001F629F">
            <w:r w:rsidRPr="00551DCD">
              <w:t>1</w:t>
            </w:r>
            <w:r>
              <w:t>7.9.1.2</w:t>
            </w:r>
          </w:p>
        </w:tc>
        <w:tc>
          <w:tcPr>
            <w:tcW w:w="7088" w:type="dxa"/>
            <w:tcBorders>
              <w:top w:val="single" w:sz="4" w:space="0" w:color="auto"/>
              <w:bottom w:val="single" w:sz="4" w:space="0" w:color="auto"/>
            </w:tcBorders>
            <w:shd w:val="clear" w:color="auto" w:fill="auto"/>
          </w:tcPr>
          <w:p w14:paraId="7CF11902" w14:textId="77777777" w:rsidR="00EC247B" w:rsidRDefault="00EC247B">
            <w:r w:rsidRPr="00551DCD">
              <w:t xml:space="preserve">Regularly review the balance of revenue in advance to ensure </w:t>
            </w:r>
            <w:r>
              <w:t xml:space="preserve">its </w:t>
            </w:r>
            <w:r w:rsidRPr="00551DCD">
              <w:t>validity and take appropriate action if required.</w:t>
            </w:r>
          </w:p>
        </w:tc>
        <w:tc>
          <w:tcPr>
            <w:tcW w:w="930" w:type="dxa"/>
            <w:tcBorders>
              <w:top w:val="single" w:sz="4" w:space="0" w:color="auto"/>
              <w:bottom w:val="single" w:sz="4" w:space="0" w:color="auto"/>
            </w:tcBorders>
          </w:tcPr>
          <w:p w14:paraId="20B08F36" w14:textId="77777777" w:rsidR="00EC247B" w:rsidRPr="00551DCD" w:rsidRDefault="00EC247B"/>
        </w:tc>
      </w:tr>
    </w:tbl>
    <w:p w14:paraId="138303A5" w14:textId="77777777" w:rsidR="002166B7" w:rsidRDefault="002166B7" w:rsidP="004166F4"/>
    <w:p w14:paraId="242F9F3E" w14:textId="77777777" w:rsidR="002166B7" w:rsidRDefault="002166B7" w:rsidP="002166B7">
      <w:r>
        <w:br w:type="page"/>
      </w:r>
    </w:p>
    <w:p w14:paraId="51FCE03E" w14:textId="77777777" w:rsidR="00B06C9A" w:rsidRDefault="004166F4" w:rsidP="00B06C9A">
      <w:pPr>
        <w:pStyle w:val="Heading2"/>
      </w:pPr>
      <w:r w:rsidRPr="00C7722D">
        <w:lastRenderedPageBreak/>
        <w:t>17.</w:t>
      </w:r>
      <w:r w:rsidR="00FC2A1E">
        <w:t>10</w:t>
      </w:r>
      <w:r w:rsidR="00F70885">
        <w:tab/>
      </w:r>
      <w:r>
        <w:t>Bank reconciliation</w:t>
      </w:r>
      <w:r w:rsidR="00653E8D">
        <w:t xml:space="preserve"> and petty cash</w:t>
      </w:r>
    </w:p>
    <w:p w14:paraId="6D3398BE" w14:textId="77777777" w:rsidR="00B06C9A" w:rsidRPr="00F70885" w:rsidRDefault="00B06C9A" w:rsidP="00F70885">
      <w:pPr>
        <w:tabs>
          <w:tab w:val="left" w:pos="851"/>
        </w:tabs>
        <w:spacing w:before="240" w:after="240"/>
        <w:outlineLvl w:val="2"/>
        <w:rPr>
          <w:b/>
          <w:color w:val="000000" w:themeColor="text1"/>
          <w:sz w:val="24"/>
        </w:rPr>
      </w:pPr>
      <w:r w:rsidRPr="00F70885">
        <w:rPr>
          <w:b/>
          <w:color w:val="000000" w:themeColor="text1"/>
          <w:sz w:val="24"/>
        </w:rPr>
        <w:t>1</w:t>
      </w:r>
      <w:r w:rsidR="00D75E31" w:rsidRPr="00F70885">
        <w:rPr>
          <w:b/>
          <w:color w:val="000000" w:themeColor="text1"/>
          <w:sz w:val="24"/>
        </w:rPr>
        <w:t>7.</w:t>
      </w:r>
      <w:r w:rsidR="00FC2A1E" w:rsidRPr="00F70885">
        <w:rPr>
          <w:b/>
          <w:color w:val="000000" w:themeColor="text1"/>
          <w:sz w:val="24"/>
        </w:rPr>
        <w:t>10</w:t>
      </w:r>
      <w:r w:rsidR="00D75E31" w:rsidRPr="00F70885">
        <w:rPr>
          <w:b/>
          <w:color w:val="000000" w:themeColor="text1"/>
          <w:sz w:val="24"/>
        </w:rPr>
        <w:t>.1</w:t>
      </w:r>
      <w:r w:rsidR="00F70885" w:rsidRPr="00F70885">
        <w:rPr>
          <w:b/>
          <w:color w:val="000000" w:themeColor="text1"/>
          <w:sz w:val="24"/>
        </w:rPr>
        <w:tab/>
      </w:r>
      <w:r w:rsidR="00F70885" w:rsidRPr="00F70885">
        <w:rPr>
          <w:b/>
          <w:color w:val="000000" w:themeColor="text1"/>
          <w:sz w:val="24"/>
        </w:rPr>
        <w:tab/>
      </w:r>
      <w:r w:rsidRPr="00F70885">
        <w:rPr>
          <w:b/>
          <w:color w:val="000000" w:themeColor="text1"/>
          <w:sz w:val="24"/>
        </w:rPr>
        <w:t>Mandatory policy (Must do):</w:t>
      </w:r>
    </w:p>
    <w:tbl>
      <w:tblPr>
        <w:tblW w:w="915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containing sequence numbers and policy information"/>
      </w:tblPr>
      <w:tblGrid>
        <w:gridCol w:w="1134"/>
        <w:gridCol w:w="7088"/>
        <w:gridCol w:w="930"/>
      </w:tblGrid>
      <w:tr w:rsidR="00EC247B" w:rsidRPr="0091756B" w14:paraId="1A63CB48" w14:textId="09F136D8" w:rsidTr="009B3C58">
        <w:trPr>
          <w:trHeight w:val="567"/>
          <w:tblHeader/>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530D54A" w14:textId="77777777" w:rsidR="00EC247B" w:rsidRPr="00D60EB6" w:rsidRDefault="00EC247B" w:rsidP="00DF168D">
            <w:pPr>
              <w:rPr>
                <w:b/>
                <w:sz w:val="18"/>
              </w:rPr>
            </w:pPr>
            <w:r w:rsidRPr="00D60EB6">
              <w:rPr>
                <w:b/>
                <w:sz w:val="18"/>
              </w:rPr>
              <w:t>Sequence Numbers</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0D73467C" w14:textId="77777777" w:rsidR="00EC247B" w:rsidRPr="00E0071A" w:rsidRDefault="00EC247B" w:rsidP="00DF168D">
            <w:pPr>
              <w:rPr>
                <w:b/>
                <w:sz w:val="20"/>
                <w:szCs w:val="20"/>
              </w:rPr>
            </w:pPr>
            <w:r w:rsidRPr="00E0071A">
              <w:rPr>
                <w:b/>
                <w:sz w:val="20"/>
                <w:szCs w:val="20"/>
              </w:rPr>
              <w:t>Information</w:t>
            </w:r>
          </w:p>
        </w:tc>
        <w:tc>
          <w:tcPr>
            <w:tcW w:w="930" w:type="dxa"/>
            <w:tcBorders>
              <w:top w:val="nil"/>
              <w:left w:val="single" w:sz="4" w:space="0" w:color="auto"/>
              <w:bottom w:val="single" w:sz="4" w:space="0" w:color="auto"/>
              <w:right w:val="nil"/>
            </w:tcBorders>
          </w:tcPr>
          <w:p w14:paraId="05D1B39F" w14:textId="77777777" w:rsidR="00EC247B" w:rsidRPr="00D60EB6" w:rsidRDefault="00EC247B" w:rsidP="00DF168D">
            <w:pPr>
              <w:rPr>
                <w:b/>
              </w:rPr>
            </w:pPr>
          </w:p>
        </w:tc>
      </w:tr>
      <w:tr w:rsidR="00EC247B" w:rsidRPr="00EC7D90" w14:paraId="6851AE47" w14:textId="58E4823F" w:rsidTr="009B3C58">
        <w:trPr>
          <w:trHeight w:val="420"/>
        </w:trPr>
        <w:tc>
          <w:tcPr>
            <w:tcW w:w="1134" w:type="dxa"/>
          </w:tcPr>
          <w:p w14:paraId="6F779247" w14:textId="77777777" w:rsidR="00EC247B" w:rsidRDefault="00EC247B" w:rsidP="00FC2A1E">
            <w:pPr>
              <w:rPr>
                <w:rFonts w:eastAsiaTheme="minorHAnsi"/>
              </w:rPr>
            </w:pPr>
            <w:r>
              <w:rPr>
                <w:rFonts w:eastAsiaTheme="minorHAnsi"/>
              </w:rPr>
              <w:t>17.10.1.1</w:t>
            </w:r>
          </w:p>
        </w:tc>
        <w:tc>
          <w:tcPr>
            <w:tcW w:w="7088" w:type="dxa"/>
          </w:tcPr>
          <w:p w14:paraId="5933A54D" w14:textId="77777777" w:rsidR="00EC247B" w:rsidRDefault="00EC247B" w:rsidP="00DD7FC9">
            <w:pPr>
              <w:jc w:val="both"/>
            </w:pPr>
            <w:r>
              <w:t>Schools must:</w:t>
            </w:r>
          </w:p>
          <w:p w14:paraId="2D597063" w14:textId="77777777" w:rsidR="00EC247B" w:rsidRDefault="00EC247B" w:rsidP="00457E54">
            <w:pPr>
              <w:pStyle w:val="ListBullet"/>
            </w:pPr>
            <w:r>
              <w:t xml:space="preserve">reconcile all bank accounts for the End of Year; </w:t>
            </w:r>
          </w:p>
          <w:p w14:paraId="5B3951A4" w14:textId="77777777" w:rsidR="00EC247B" w:rsidRDefault="00EC247B" w:rsidP="00FE1FDE">
            <w:pPr>
              <w:pStyle w:val="ListBullet"/>
            </w:pPr>
            <w:r>
              <w:t>e</w:t>
            </w:r>
            <w:r w:rsidRPr="00DD7FC9">
              <w:t xml:space="preserve">nter the </w:t>
            </w:r>
            <w:r>
              <w:t xml:space="preserve">bank </w:t>
            </w:r>
            <w:r w:rsidRPr="00DD7FC9">
              <w:t>statement end date; this must be 31/12/</w:t>
            </w:r>
            <w:r>
              <w:t>YYYY</w:t>
            </w:r>
            <w:r w:rsidRPr="00DD7FC9">
              <w:t xml:space="preserve"> for </w:t>
            </w:r>
            <w:r>
              <w:t>all</w:t>
            </w:r>
            <w:r w:rsidRPr="00DD7FC9">
              <w:t xml:space="preserve"> bank accounts.</w:t>
            </w:r>
          </w:p>
        </w:tc>
        <w:tc>
          <w:tcPr>
            <w:tcW w:w="930" w:type="dxa"/>
          </w:tcPr>
          <w:p w14:paraId="5165A086" w14:textId="77777777" w:rsidR="00EC247B" w:rsidRDefault="00EC247B" w:rsidP="00DD7FC9">
            <w:pPr>
              <w:jc w:val="both"/>
            </w:pPr>
          </w:p>
        </w:tc>
      </w:tr>
      <w:tr w:rsidR="00EC247B" w:rsidRPr="00EC7D90" w14:paraId="41F8E63F" w14:textId="42CC1543" w:rsidTr="009B3C58">
        <w:trPr>
          <w:trHeight w:hRule="exact" w:val="737"/>
        </w:trPr>
        <w:tc>
          <w:tcPr>
            <w:tcW w:w="1134" w:type="dxa"/>
          </w:tcPr>
          <w:p w14:paraId="2097D44E" w14:textId="77777777" w:rsidR="00EC247B" w:rsidRDefault="00EC247B" w:rsidP="00FC2A1E">
            <w:pPr>
              <w:rPr>
                <w:rFonts w:eastAsiaTheme="minorHAnsi"/>
              </w:rPr>
            </w:pPr>
            <w:r>
              <w:rPr>
                <w:rFonts w:eastAsiaTheme="minorHAnsi"/>
              </w:rPr>
              <w:t>17.10.1.2</w:t>
            </w:r>
          </w:p>
        </w:tc>
        <w:tc>
          <w:tcPr>
            <w:tcW w:w="7088" w:type="dxa"/>
          </w:tcPr>
          <w:p w14:paraId="7BB86722" w14:textId="77777777" w:rsidR="00EC247B" w:rsidRDefault="00EC247B" w:rsidP="00D75E31">
            <w:pPr>
              <w:jc w:val="both"/>
            </w:pPr>
            <w:r w:rsidRPr="00DD7FC9">
              <w:t xml:space="preserve">Bank statements </w:t>
            </w:r>
            <w:r>
              <w:t xml:space="preserve">must be held on </w:t>
            </w:r>
            <w:r w:rsidRPr="00DD7FC9">
              <w:t xml:space="preserve">hand for </w:t>
            </w:r>
            <w:r>
              <w:t>all</w:t>
            </w:r>
            <w:r w:rsidRPr="00DD7FC9">
              <w:t xml:space="preserve"> bank ac</w:t>
            </w:r>
            <w:r>
              <w:t>counts and dated to 31 December.</w:t>
            </w:r>
          </w:p>
        </w:tc>
        <w:tc>
          <w:tcPr>
            <w:tcW w:w="930" w:type="dxa"/>
          </w:tcPr>
          <w:p w14:paraId="2A588A5A" w14:textId="77777777" w:rsidR="00EC247B" w:rsidRPr="00DD7FC9" w:rsidRDefault="00EC247B" w:rsidP="00D75E31">
            <w:pPr>
              <w:jc w:val="both"/>
            </w:pPr>
          </w:p>
        </w:tc>
      </w:tr>
      <w:tr w:rsidR="00EC247B" w:rsidRPr="00EC7D90" w14:paraId="14B42B09" w14:textId="21C05E76" w:rsidTr="009B3C58">
        <w:trPr>
          <w:trHeight w:val="3110"/>
        </w:trPr>
        <w:tc>
          <w:tcPr>
            <w:tcW w:w="1134" w:type="dxa"/>
          </w:tcPr>
          <w:p w14:paraId="04A5D0CA" w14:textId="77777777" w:rsidR="00EC247B" w:rsidRPr="00EC7D90" w:rsidRDefault="00EC247B" w:rsidP="00FC2A1E">
            <w:pPr>
              <w:rPr>
                <w:rFonts w:eastAsiaTheme="minorHAnsi"/>
              </w:rPr>
            </w:pPr>
            <w:r>
              <w:rPr>
                <w:rFonts w:eastAsiaTheme="minorHAnsi"/>
              </w:rPr>
              <w:t>17.10.1.3</w:t>
            </w:r>
          </w:p>
        </w:tc>
        <w:tc>
          <w:tcPr>
            <w:tcW w:w="7088" w:type="dxa"/>
          </w:tcPr>
          <w:p w14:paraId="684776F3" w14:textId="77777777" w:rsidR="00EC247B" w:rsidRDefault="00EC247B" w:rsidP="00C7722D">
            <w:r>
              <w:t>Schools must reconcile outstanding transactions on CASES21 Bank Reconciliation and check the following:</w:t>
            </w:r>
          </w:p>
          <w:p w14:paraId="18AB3081" w14:textId="77777777" w:rsidR="00EC247B" w:rsidRDefault="00EC247B" w:rsidP="00457E54">
            <w:pPr>
              <w:pStyle w:val="ListBullet"/>
            </w:pPr>
            <w:r>
              <w:t>CASES21 bank reconciliation report for outstanding transactions;</w:t>
            </w:r>
          </w:p>
          <w:p w14:paraId="7A7091BD" w14:textId="77777777" w:rsidR="00EC247B" w:rsidRDefault="00EC247B" w:rsidP="00457E54">
            <w:pPr>
              <w:pStyle w:val="ListBullet"/>
            </w:pPr>
            <w:r>
              <w:t>Creditor payments; DD/BPAY, Payroll DD or receipts showing for prior months;</w:t>
            </w:r>
          </w:p>
          <w:p w14:paraId="4B93E76F" w14:textId="77777777" w:rsidR="00EC247B" w:rsidRDefault="00EC247B" w:rsidP="00457E54">
            <w:pPr>
              <w:pStyle w:val="ListBullet"/>
            </w:pPr>
            <w:r>
              <w:t>Investigate why these have not been ticked off in prior periods;</w:t>
            </w:r>
          </w:p>
          <w:p w14:paraId="04227D32" w14:textId="77777777" w:rsidR="00EC247B" w:rsidRDefault="00EC247B" w:rsidP="00457E54">
            <w:pPr>
              <w:pStyle w:val="ListBullet"/>
            </w:pPr>
            <w:r>
              <w:t>If any cheques are more than three months old, schools must investigate these stale cheques and take appropriate action;</w:t>
            </w:r>
          </w:p>
          <w:p w14:paraId="3A29A1E9" w14:textId="77777777" w:rsidR="00EC247B" w:rsidRPr="00D75E31" w:rsidRDefault="00EC247B" w:rsidP="00BA2EBD">
            <w:pPr>
              <w:pStyle w:val="ListBullet"/>
            </w:pPr>
            <w:r>
              <w:t xml:space="preserve">Refer to: </w:t>
            </w:r>
            <w:hyperlink r:id="rId37" w:history="1">
              <w:r w:rsidRPr="00551DCD">
                <w:rPr>
                  <w:color w:val="0000FF"/>
                  <w:u w:val="single"/>
                </w:rPr>
                <w:t>CASES21 Finance Business Process Guid</w:t>
              </w:r>
              <w:r>
                <w:rPr>
                  <w:color w:val="0000FF"/>
                  <w:u w:val="single"/>
                </w:rPr>
                <w:t xml:space="preserve">e Section 5 – General Ledger </w:t>
              </w:r>
            </w:hyperlink>
            <w:r>
              <w:t>for further guidance on the correct treatment of stale cheques.</w:t>
            </w:r>
          </w:p>
        </w:tc>
        <w:tc>
          <w:tcPr>
            <w:tcW w:w="930" w:type="dxa"/>
          </w:tcPr>
          <w:p w14:paraId="6BF49E72" w14:textId="77777777" w:rsidR="00EC247B" w:rsidRDefault="00EC247B" w:rsidP="00C7722D"/>
        </w:tc>
      </w:tr>
      <w:tr w:rsidR="00EC247B" w:rsidRPr="00653E8D" w14:paraId="5199313E" w14:textId="226F637E" w:rsidTr="009B3C58">
        <w:trPr>
          <w:trHeight w:val="1111"/>
        </w:trPr>
        <w:tc>
          <w:tcPr>
            <w:tcW w:w="1134" w:type="dxa"/>
          </w:tcPr>
          <w:p w14:paraId="5EE3C478" w14:textId="77777777" w:rsidR="00EC247B" w:rsidRPr="00653E8D" w:rsidRDefault="00EC247B" w:rsidP="00FC2A1E">
            <w:pPr>
              <w:rPr>
                <w:rFonts w:eastAsiaTheme="minorHAnsi"/>
              </w:rPr>
            </w:pPr>
            <w:r w:rsidRPr="00653E8D">
              <w:rPr>
                <w:rFonts w:eastAsiaTheme="minorHAnsi"/>
              </w:rPr>
              <w:t>17.10.1.4</w:t>
            </w:r>
          </w:p>
        </w:tc>
        <w:tc>
          <w:tcPr>
            <w:tcW w:w="7088" w:type="dxa"/>
          </w:tcPr>
          <w:p w14:paraId="62F52561" w14:textId="77777777" w:rsidR="00EC247B" w:rsidRPr="00653E8D" w:rsidRDefault="00EC247B" w:rsidP="00653E8D">
            <w:pPr>
              <w:jc w:val="both"/>
            </w:pPr>
            <w:r w:rsidRPr="00653E8D">
              <w:t xml:space="preserve">Print (hardcopy) or save as a PDF Bank reconciliation reports for each active bank account as per </w:t>
            </w:r>
            <w:hyperlink r:id="rId38" w:history="1">
              <w:r w:rsidRPr="00653E8D">
                <w:rPr>
                  <w:color w:val="0000FF"/>
                  <w:u w:val="single"/>
                </w:rPr>
                <w:t>CASES21 Finance Business Process Guid</w:t>
              </w:r>
              <w:r>
                <w:rPr>
                  <w:color w:val="0000FF"/>
                  <w:u w:val="single"/>
                </w:rPr>
                <w:t>e Section 8 – End of Period</w:t>
              </w:r>
            </w:hyperlink>
            <w:r w:rsidRPr="00653E8D">
              <w:t>.</w:t>
            </w:r>
          </w:p>
        </w:tc>
        <w:tc>
          <w:tcPr>
            <w:tcW w:w="930" w:type="dxa"/>
          </w:tcPr>
          <w:p w14:paraId="264897CA" w14:textId="77777777" w:rsidR="00EC247B" w:rsidRPr="00653E8D" w:rsidRDefault="00EC247B" w:rsidP="00653E8D">
            <w:pPr>
              <w:jc w:val="both"/>
            </w:pPr>
          </w:p>
        </w:tc>
      </w:tr>
      <w:tr w:rsidR="00EC247B" w:rsidRPr="00653E8D" w14:paraId="23F07DEC" w14:textId="49F3F101" w:rsidTr="009B3C58">
        <w:trPr>
          <w:trHeight w:hRule="exact" w:val="737"/>
        </w:trPr>
        <w:tc>
          <w:tcPr>
            <w:tcW w:w="1134" w:type="dxa"/>
          </w:tcPr>
          <w:p w14:paraId="7D02FE8C" w14:textId="77777777" w:rsidR="00EC247B" w:rsidRPr="00653E8D" w:rsidRDefault="00EC247B" w:rsidP="00FC2A1E">
            <w:pPr>
              <w:rPr>
                <w:rFonts w:eastAsiaTheme="minorHAnsi"/>
              </w:rPr>
            </w:pPr>
            <w:r w:rsidRPr="00653E8D">
              <w:rPr>
                <w:rFonts w:eastAsiaTheme="minorHAnsi"/>
              </w:rPr>
              <w:t>17.10.1.5</w:t>
            </w:r>
          </w:p>
        </w:tc>
        <w:tc>
          <w:tcPr>
            <w:tcW w:w="7088" w:type="dxa"/>
          </w:tcPr>
          <w:p w14:paraId="76EC37B1" w14:textId="77777777" w:rsidR="00EC247B" w:rsidRPr="00653E8D" w:rsidRDefault="00EC247B" w:rsidP="00FE1FDE">
            <w:pPr>
              <w:jc w:val="both"/>
            </w:pPr>
            <w:r w:rsidRPr="00653E8D">
              <w:t>All monies must be receipted</w:t>
            </w:r>
            <w:r>
              <w:t>,</w:t>
            </w:r>
            <w:r w:rsidRPr="00653E8D">
              <w:t xml:space="preserve"> including petty cash</w:t>
            </w:r>
            <w:r>
              <w:t>,</w:t>
            </w:r>
            <w:r w:rsidRPr="00653E8D">
              <w:t xml:space="preserve"> and banked by 31st December.</w:t>
            </w:r>
          </w:p>
        </w:tc>
        <w:tc>
          <w:tcPr>
            <w:tcW w:w="930" w:type="dxa"/>
          </w:tcPr>
          <w:p w14:paraId="2E719E4A" w14:textId="77777777" w:rsidR="00EC247B" w:rsidRPr="00653E8D" w:rsidRDefault="00EC247B" w:rsidP="00FE1FDE">
            <w:pPr>
              <w:jc w:val="both"/>
            </w:pPr>
          </w:p>
        </w:tc>
      </w:tr>
      <w:tr w:rsidR="00EC247B" w:rsidRPr="00653E8D" w14:paraId="495DECAF" w14:textId="57D23813" w:rsidTr="009B3C58">
        <w:trPr>
          <w:trHeight w:hRule="exact" w:val="737"/>
        </w:trPr>
        <w:tc>
          <w:tcPr>
            <w:tcW w:w="1134" w:type="dxa"/>
          </w:tcPr>
          <w:p w14:paraId="5C1B8B38" w14:textId="77777777" w:rsidR="00EC247B" w:rsidRPr="00653E8D" w:rsidRDefault="00EC247B" w:rsidP="00FC2A1E">
            <w:pPr>
              <w:rPr>
                <w:rFonts w:eastAsiaTheme="minorHAnsi"/>
              </w:rPr>
            </w:pPr>
            <w:r w:rsidRPr="00653E8D">
              <w:rPr>
                <w:rFonts w:eastAsiaTheme="minorHAnsi"/>
              </w:rPr>
              <w:t>17.10.1.6</w:t>
            </w:r>
          </w:p>
        </w:tc>
        <w:tc>
          <w:tcPr>
            <w:tcW w:w="7088" w:type="dxa"/>
          </w:tcPr>
          <w:p w14:paraId="27B8BDEF" w14:textId="77777777" w:rsidR="00EC247B" w:rsidRPr="00653E8D" w:rsidRDefault="00EC247B" w:rsidP="00FE1FDE">
            <w:pPr>
              <w:jc w:val="both"/>
            </w:pPr>
            <w:r w:rsidRPr="00653E8D">
              <w:t>At the End of Year (31 December), the petty cash must be reimbursed to ensure that all expenses are recogni</w:t>
            </w:r>
            <w:r>
              <w:t>s</w:t>
            </w:r>
            <w:r w:rsidRPr="00653E8D">
              <w:t>ed in the current year.</w:t>
            </w:r>
          </w:p>
        </w:tc>
        <w:tc>
          <w:tcPr>
            <w:tcW w:w="930" w:type="dxa"/>
          </w:tcPr>
          <w:p w14:paraId="36BE1DC6" w14:textId="77777777" w:rsidR="00EC247B" w:rsidRPr="00653E8D" w:rsidRDefault="00EC247B" w:rsidP="00FE1FDE">
            <w:pPr>
              <w:jc w:val="both"/>
            </w:pPr>
          </w:p>
        </w:tc>
      </w:tr>
      <w:tr w:rsidR="00EC247B" w:rsidRPr="00653E8D" w14:paraId="361A8395" w14:textId="36890BD9" w:rsidTr="009B3C58">
        <w:trPr>
          <w:trHeight w:hRule="exact" w:val="737"/>
        </w:trPr>
        <w:tc>
          <w:tcPr>
            <w:tcW w:w="1134" w:type="dxa"/>
          </w:tcPr>
          <w:p w14:paraId="334DC79F" w14:textId="77777777" w:rsidR="00EC247B" w:rsidRPr="00653E8D" w:rsidRDefault="00EC247B" w:rsidP="00FC2A1E">
            <w:pPr>
              <w:rPr>
                <w:rFonts w:eastAsiaTheme="minorHAnsi"/>
              </w:rPr>
            </w:pPr>
            <w:r w:rsidRPr="00653E8D">
              <w:rPr>
                <w:rFonts w:eastAsiaTheme="minorHAnsi"/>
              </w:rPr>
              <w:t>17.10.1.7</w:t>
            </w:r>
          </w:p>
        </w:tc>
        <w:tc>
          <w:tcPr>
            <w:tcW w:w="7088" w:type="dxa"/>
          </w:tcPr>
          <w:p w14:paraId="49EFF4A1" w14:textId="77777777" w:rsidR="00EC247B" w:rsidRPr="00653E8D" w:rsidRDefault="00EC247B" w:rsidP="00FE1FDE">
            <w:pPr>
              <w:jc w:val="both"/>
            </w:pPr>
            <w:r w:rsidRPr="00653E8D">
              <w:t>The petty cash float must be reconciled and deposited back into the School Council Official Bank Account before 31 December.</w:t>
            </w:r>
          </w:p>
        </w:tc>
        <w:tc>
          <w:tcPr>
            <w:tcW w:w="930" w:type="dxa"/>
          </w:tcPr>
          <w:p w14:paraId="42985248" w14:textId="77777777" w:rsidR="00EC247B" w:rsidRPr="00653E8D" w:rsidRDefault="00EC247B" w:rsidP="00FE1FDE">
            <w:pPr>
              <w:jc w:val="both"/>
            </w:pPr>
          </w:p>
        </w:tc>
      </w:tr>
    </w:tbl>
    <w:p w14:paraId="3236CBDD" w14:textId="77A39076" w:rsidR="00764321" w:rsidRDefault="00764321" w:rsidP="00BA2EBD"/>
    <w:p w14:paraId="58E9F3AE" w14:textId="77777777" w:rsidR="00FC3EA4" w:rsidRDefault="00FC3EA4" w:rsidP="00BA2EBD"/>
    <w:p w14:paraId="7B37A3DD" w14:textId="77777777" w:rsidR="00B06C9A" w:rsidRDefault="00B06C9A" w:rsidP="00B06C9A">
      <w:pPr>
        <w:pStyle w:val="Heading2"/>
      </w:pPr>
      <w:r w:rsidRPr="00BD61EC">
        <w:lastRenderedPageBreak/>
        <w:t>1</w:t>
      </w:r>
      <w:r w:rsidR="00F3026B" w:rsidRPr="00BD61EC">
        <w:t>7</w:t>
      </w:r>
      <w:r w:rsidRPr="00BD61EC">
        <w:t>.</w:t>
      </w:r>
      <w:r w:rsidR="009D1593" w:rsidRPr="00BD61EC">
        <w:t>1</w:t>
      </w:r>
      <w:r w:rsidR="00FC2A1E">
        <w:t>1</w:t>
      </w:r>
      <w:r w:rsidRPr="00BD61EC">
        <w:tab/>
        <w:t>Investment and Commitment Details</w:t>
      </w:r>
    </w:p>
    <w:p w14:paraId="20965989" w14:textId="77777777" w:rsidR="00B06C9A" w:rsidRPr="00EC7D90" w:rsidRDefault="00B06C9A" w:rsidP="00B06C9A">
      <w:pPr>
        <w:pStyle w:val="Heading3"/>
      </w:pPr>
      <w:r>
        <w:t>1</w:t>
      </w:r>
      <w:r w:rsidR="00D55A7C">
        <w:t>7</w:t>
      </w:r>
      <w:r>
        <w:t>.</w:t>
      </w:r>
      <w:r w:rsidR="00D55A7C">
        <w:t>1</w:t>
      </w:r>
      <w:r w:rsidR="00FC2A1E">
        <w:t>1</w:t>
      </w:r>
      <w:r>
        <w:t>.1</w:t>
      </w:r>
      <w:r w:rsidRPr="00EC7D90">
        <w:t xml:space="preserve"> </w:t>
      </w:r>
      <w:r>
        <w:tab/>
      </w:r>
      <w:r w:rsidRPr="00EC7D90">
        <w:t>Mandatory policy (</w:t>
      </w:r>
      <w:r>
        <w:t>Must do</w:t>
      </w:r>
      <w:r w:rsidRPr="00EC7D90">
        <w:t>)</w:t>
      </w:r>
      <w:r>
        <w:t>:</w:t>
      </w:r>
    </w:p>
    <w:tbl>
      <w:tblPr>
        <w:tblW w:w="915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containing sequence number and policy information"/>
      </w:tblPr>
      <w:tblGrid>
        <w:gridCol w:w="1134"/>
        <w:gridCol w:w="7088"/>
        <w:gridCol w:w="930"/>
      </w:tblGrid>
      <w:tr w:rsidR="00EC247B" w:rsidRPr="0091756B" w14:paraId="4852F2E6" w14:textId="6EDD74A8" w:rsidTr="009B3C58">
        <w:trPr>
          <w:trHeight w:val="567"/>
          <w:tblHeader/>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CC9C451" w14:textId="77777777" w:rsidR="00EC247B" w:rsidRPr="00D60EB6" w:rsidRDefault="00EC247B" w:rsidP="00DF168D">
            <w:pPr>
              <w:rPr>
                <w:b/>
                <w:sz w:val="18"/>
              </w:rPr>
            </w:pPr>
            <w:r w:rsidRPr="00D60EB6">
              <w:rPr>
                <w:b/>
                <w:sz w:val="18"/>
              </w:rPr>
              <w:t>Sequence Numbers</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137D487F" w14:textId="77777777" w:rsidR="00EC247B" w:rsidRPr="00E0071A" w:rsidRDefault="00EC247B" w:rsidP="00DF168D">
            <w:pPr>
              <w:rPr>
                <w:b/>
                <w:sz w:val="20"/>
                <w:szCs w:val="20"/>
              </w:rPr>
            </w:pPr>
            <w:r w:rsidRPr="00E0071A">
              <w:rPr>
                <w:b/>
                <w:sz w:val="20"/>
                <w:szCs w:val="20"/>
              </w:rPr>
              <w:t>Information</w:t>
            </w:r>
          </w:p>
        </w:tc>
        <w:tc>
          <w:tcPr>
            <w:tcW w:w="930" w:type="dxa"/>
            <w:tcBorders>
              <w:top w:val="nil"/>
              <w:left w:val="single" w:sz="4" w:space="0" w:color="auto"/>
              <w:bottom w:val="single" w:sz="4" w:space="0" w:color="auto"/>
              <w:right w:val="nil"/>
            </w:tcBorders>
          </w:tcPr>
          <w:p w14:paraId="40D15488" w14:textId="77777777" w:rsidR="00EC247B" w:rsidRPr="00D60EB6" w:rsidRDefault="00EC247B" w:rsidP="00DF168D">
            <w:pPr>
              <w:rPr>
                <w:b/>
              </w:rPr>
            </w:pPr>
          </w:p>
        </w:tc>
      </w:tr>
      <w:tr w:rsidR="00EC247B" w:rsidRPr="00EC7D90" w14:paraId="3CFDF8B7" w14:textId="01CB70AE" w:rsidTr="00651217">
        <w:trPr>
          <w:trHeight w:val="845"/>
        </w:trPr>
        <w:tc>
          <w:tcPr>
            <w:tcW w:w="1134" w:type="dxa"/>
          </w:tcPr>
          <w:p w14:paraId="22215255" w14:textId="393CF42C" w:rsidR="00EC247B" w:rsidRDefault="00EC247B" w:rsidP="00204C81">
            <w:pPr>
              <w:rPr>
                <w:rFonts w:eastAsiaTheme="minorHAnsi"/>
              </w:rPr>
            </w:pPr>
            <w:r>
              <w:rPr>
                <w:rFonts w:eastAsiaTheme="minorHAnsi"/>
              </w:rPr>
              <w:t>17.11.1.</w:t>
            </w:r>
            <w:r w:rsidR="009312D5">
              <w:rPr>
                <w:rFonts w:eastAsiaTheme="minorHAnsi"/>
              </w:rPr>
              <w:t>1</w:t>
            </w:r>
          </w:p>
        </w:tc>
        <w:tc>
          <w:tcPr>
            <w:tcW w:w="7088" w:type="dxa"/>
          </w:tcPr>
          <w:p w14:paraId="0F0C4467" w14:textId="6991B344" w:rsidR="00651217" w:rsidRDefault="00BC30B3" w:rsidP="00215D91">
            <w:pPr>
              <w:jc w:val="both"/>
            </w:pPr>
            <w:r>
              <w:t xml:space="preserve">Schools must hold all </w:t>
            </w:r>
            <w:r w:rsidR="00215D91">
              <w:t xml:space="preserve">surplus </w:t>
            </w:r>
            <w:r>
              <w:t xml:space="preserve">funds </w:t>
            </w:r>
            <w:r w:rsidR="00215D91">
              <w:t>(excess</w:t>
            </w:r>
            <w:r>
              <w:t xml:space="preserve"> of</w:t>
            </w:r>
            <w:r w:rsidR="00215D91">
              <w:t xml:space="preserve"> 2 months operating expenditure) </w:t>
            </w:r>
            <w:r>
              <w:t>in a CBS linked account.</w:t>
            </w:r>
          </w:p>
        </w:tc>
        <w:tc>
          <w:tcPr>
            <w:tcW w:w="930" w:type="dxa"/>
          </w:tcPr>
          <w:p w14:paraId="74AE6AB2" w14:textId="77777777" w:rsidR="00EC247B" w:rsidRDefault="00EC247B" w:rsidP="00D55A7C">
            <w:pPr>
              <w:jc w:val="both"/>
            </w:pPr>
          </w:p>
        </w:tc>
      </w:tr>
    </w:tbl>
    <w:p w14:paraId="763B66C9" w14:textId="77777777" w:rsidR="00B06C9A" w:rsidRDefault="00B06C9A" w:rsidP="007D3C8F">
      <w:pPr>
        <w:jc w:val="both"/>
      </w:pPr>
    </w:p>
    <w:p w14:paraId="5FE312D8" w14:textId="77777777" w:rsidR="00B06C9A" w:rsidRPr="004705B1" w:rsidRDefault="00B06C9A" w:rsidP="00B06C9A">
      <w:pPr>
        <w:pStyle w:val="Heading2"/>
        <w:rPr>
          <w:color w:val="AF2531"/>
        </w:rPr>
      </w:pPr>
      <w:r w:rsidRPr="004705B1">
        <w:rPr>
          <w:color w:val="AF2531"/>
        </w:rPr>
        <w:t>17.</w:t>
      </w:r>
      <w:r w:rsidR="009D1593" w:rsidRPr="004705B1">
        <w:rPr>
          <w:color w:val="AF2531"/>
        </w:rPr>
        <w:t>1</w:t>
      </w:r>
      <w:r w:rsidR="00FC2A1E" w:rsidRPr="004705B1">
        <w:rPr>
          <w:color w:val="AF2531"/>
        </w:rPr>
        <w:t>2</w:t>
      </w:r>
      <w:r w:rsidRPr="004705B1">
        <w:rPr>
          <w:color w:val="AF2531"/>
        </w:rPr>
        <w:tab/>
        <w:t>Financial Commitment Summary</w:t>
      </w:r>
    </w:p>
    <w:p w14:paraId="2556E2FA" w14:textId="2F6BB9A3" w:rsidR="003C3198" w:rsidRDefault="00076460" w:rsidP="003C3198">
      <w:r>
        <w:t>The Department</w:t>
      </w:r>
      <w:r w:rsidR="001F629F">
        <w:t>’</w:t>
      </w:r>
      <w:r>
        <w:t xml:space="preserve">s </w:t>
      </w:r>
      <w:r w:rsidR="00F3026B">
        <w:t>policy requires schools to identify the intended purpose of any accumulated funds, including identification of an appropriate School Operating Reserve</w:t>
      </w:r>
      <w:r w:rsidR="001F629F">
        <w:t>.</w:t>
      </w:r>
      <w:r w:rsidR="00F3026B">
        <w:t xml:space="preserve"> </w:t>
      </w:r>
      <w:r w:rsidR="001F629F">
        <w:t>R</w:t>
      </w:r>
      <w:r w:rsidR="00F3026B">
        <w:t xml:space="preserve">efer to the </w:t>
      </w:r>
      <w:r w:rsidR="00F3026B" w:rsidRPr="00BA2EBD">
        <w:rPr>
          <w:i/>
        </w:rPr>
        <w:t>School Cash Reserve Benchmark Policy and Guidelines</w:t>
      </w:r>
      <w:r w:rsidR="00D14428">
        <w:rPr>
          <w:i/>
        </w:rPr>
        <w:t xml:space="preserve"> </w:t>
      </w:r>
      <w:r w:rsidR="00D14428" w:rsidRPr="00D14428">
        <w:t>on the</w:t>
      </w:r>
      <w:r w:rsidR="00F3026B">
        <w:t xml:space="preserve"> </w:t>
      </w:r>
      <w:hyperlink r:id="rId39" w:history="1">
        <w:r w:rsidR="00D14428" w:rsidRPr="00EC353D">
          <w:rPr>
            <w:rStyle w:val="Hyperlink"/>
          </w:rPr>
          <w:t xml:space="preserve">School Finance </w:t>
        </w:r>
        <w:r w:rsidR="00D14428" w:rsidRPr="00D14428">
          <w:rPr>
            <w:rStyle w:val="Hyperlink"/>
          </w:rPr>
          <w:t>Website</w:t>
        </w:r>
      </w:hyperlink>
      <w:r w:rsidR="00D14428">
        <w:rPr>
          <w:rStyle w:val="Hyperlink"/>
          <w:u w:val="none"/>
        </w:rPr>
        <w:t xml:space="preserve"> </w:t>
      </w:r>
      <w:r w:rsidR="00F3026B" w:rsidRPr="00D14428">
        <w:t>and</w:t>
      </w:r>
      <w:r w:rsidR="00F3026B">
        <w:t xml:space="preserve"> the </w:t>
      </w:r>
      <w:r w:rsidR="00F3026B" w:rsidRPr="00BA2EBD">
        <w:rPr>
          <w:i/>
        </w:rPr>
        <w:t>Financial Commitment Summary Guidelines</w:t>
      </w:r>
      <w:r w:rsidR="00A61E6F">
        <w:t xml:space="preserve"> </w:t>
      </w:r>
      <w:r w:rsidR="00CB56BE">
        <w:t xml:space="preserve">on the </w:t>
      </w:r>
      <w:hyperlink r:id="rId40" w:history="1">
        <w:r w:rsidR="00E82E31">
          <w:rPr>
            <w:rStyle w:val="Hyperlink"/>
          </w:rPr>
          <w:t>CASES21 and eCASES - Publications</w:t>
        </w:r>
      </w:hyperlink>
    </w:p>
    <w:p w14:paraId="114E69FD" w14:textId="77777777" w:rsidR="00B06C9A" w:rsidRPr="002A00EF" w:rsidRDefault="00B06C9A" w:rsidP="00B06C9A">
      <w:pPr>
        <w:pStyle w:val="Heading3"/>
      </w:pPr>
      <w:r w:rsidRPr="002A00EF">
        <w:t>1</w:t>
      </w:r>
      <w:r w:rsidR="00F3026B">
        <w:t>7</w:t>
      </w:r>
      <w:r w:rsidRPr="002A00EF">
        <w:t>.</w:t>
      </w:r>
      <w:r w:rsidR="009D1593">
        <w:t>1</w:t>
      </w:r>
      <w:r w:rsidR="00FC2A1E">
        <w:t>2</w:t>
      </w:r>
      <w:r>
        <w:t>.1</w:t>
      </w:r>
      <w:r w:rsidR="00F70885">
        <w:tab/>
      </w:r>
      <w:r w:rsidR="00F70885">
        <w:tab/>
      </w:r>
      <w:r w:rsidRPr="002A00EF">
        <w:t>Mandatory policy (</w:t>
      </w:r>
      <w:r>
        <w:t>Must do</w:t>
      </w:r>
      <w:r w:rsidRPr="002A00EF">
        <w:t>)</w:t>
      </w:r>
      <w:r>
        <w:t>:</w:t>
      </w:r>
    </w:p>
    <w:tbl>
      <w:tblPr>
        <w:tblW w:w="915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containing sequence numbers and policy information"/>
      </w:tblPr>
      <w:tblGrid>
        <w:gridCol w:w="1134"/>
        <w:gridCol w:w="7088"/>
        <w:gridCol w:w="930"/>
      </w:tblGrid>
      <w:tr w:rsidR="00EC247B" w:rsidRPr="0091756B" w14:paraId="226A1DE1" w14:textId="1970F57F" w:rsidTr="009B3C58">
        <w:trPr>
          <w:trHeight w:val="567"/>
          <w:tblHeader/>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0F9499E" w14:textId="77777777" w:rsidR="00EC247B" w:rsidRPr="00D60EB6" w:rsidRDefault="00EC247B" w:rsidP="00DF168D">
            <w:pPr>
              <w:rPr>
                <w:b/>
                <w:sz w:val="18"/>
              </w:rPr>
            </w:pPr>
            <w:r w:rsidRPr="00D60EB6">
              <w:rPr>
                <w:b/>
                <w:sz w:val="18"/>
              </w:rPr>
              <w:t>Sequence Numbers</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7689E02D" w14:textId="77777777" w:rsidR="00EC247B" w:rsidRPr="00E0071A" w:rsidRDefault="00EC247B" w:rsidP="00DF168D">
            <w:pPr>
              <w:rPr>
                <w:b/>
                <w:sz w:val="20"/>
                <w:szCs w:val="20"/>
              </w:rPr>
            </w:pPr>
            <w:r w:rsidRPr="00E0071A">
              <w:rPr>
                <w:b/>
                <w:sz w:val="20"/>
                <w:szCs w:val="20"/>
              </w:rPr>
              <w:t>Information</w:t>
            </w:r>
          </w:p>
        </w:tc>
        <w:tc>
          <w:tcPr>
            <w:tcW w:w="930" w:type="dxa"/>
            <w:tcBorders>
              <w:top w:val="nil"/>
              <w:left w:val="single" w:sz="4" w:space="0" w:color="auto"/>
              <w:bottom w:val="single" w:sz="4" w:space="0" w:color="auto"/>
              <w:right w:val="nil"/>
            </w:tcBorders>
          </w:tcPr>
          <w:p w14:paraId="1D86D0FF" w14:textId="77777777" w:rsidR="00EC247B" w:rsidRPr="00D60EB6" w:rsidRDefault="00EC247B" w:rsidP="00DF168D">
            <w:pPr>
              <w:rPr>
                <w:b/>
              </w:rPr>
            </w:pPr>
          </w:p>
        </w:tc>
      </w:tr>
      <w:tr w:rsidR="00EC247B" w:rsidRPr="00F81106" w14:paraId="5537015C" w14:textId="580C8187" w:rsidTr="009B3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65"/>
        </w:trPr>
        <w:tc>
          <w:tcPr>
            <w:tcW w:w="1134" w:type="dxa"/>
            <w:tcBorders>
              <w:top w:val="single" w:sz="4" w:space="0" w:color="auto"/>
              <w:left w:val="single" w:sz="4" w:space="0" w:color="auto"/>
              <w:bottom w:val="single" w:sz="4" w:space="0" w:color="auto"/>
              <w:right w:val="single" w:sz="4" w:space="0" w:color="auto"/>
            </w:tcBorders>
          </w:tcPr>
          <w:p w14:paraId="0844C83C" w14:textId="77777777" w:rsidR="00EC247B" w:rsidRPr="00F81106" w:rsidRDefault="00EC247B" w:rsidP="00FC2A1E">
            <w:r w:rsidRPr="00F81106">
              <w:t>1</w:t>
            </w:r>
            <w:r>
              <w:t>7</w:t>
            </w:r>
            <w:r w:rsidRPr="00F81106">
              <w:t>.</w:t>
            </w:r>
            <w:r>
              <w:t>12.1.1</w:t>
            </w:r>
          </w:p>
        </w:tc>
        <w:tc>
          <w:tcPr>
            <w:tcW w:w="7088" w:type="dxa"/>
            <w:tcBorders>
              <w:top w:val="single" w:sz="4" w:space="0" w:color="auto"/>
              <w:left w:val="single" w:sz="4" w:space="0" w:color="auto"/>
              <w:bottom w:val="single" w:sz="4" w:space="0" w:color="auto"/>
              <w:right w:val="single" w:sz="4" w:space="0" w:color="auto"/>
            </w:tcBorders>
          </w:tcPr>
          <w:p w14:paraId="51C2578C" w14:textId="6C4C0C9C" w:rsidR="00EC247B" w:rsidRDefault="00EC247B" w:rsidP="009E333F">
            <w:pPr>
              <w:jc w:val="both"/>
            </w:pPr>
            <w:r>
              <w:t xml:space="preserve">Schools must complete a Financial Commitment Summary </w:t>
            </w:r>
            <w:r w:rsidR="0051452B">
              <w:t>report</w:t>
            </w:r>
            <w:r>
              <w:t xml:space="preserve"> before running End of Year processes. </w:t>
            </w:r>
          </w:p>
          <w:p w14:paraId="31E8CDB4" w14:textId="523F0818" w:rsidR="0051452B" w:rsidRDefault="0051452B" w:rsidP="0051452B">
            <w:r>
              <w:t>The Financial Commitment Summary Guidelines are</w:t>
            </w:r>
            <w:r w:rsidR="00EC247B">
              <w:t xml:space="preserve"> available from the Schools Finance website under the heading </w:t>
            </w:r>
            <w:hyperlink r:id="rId41" w:history="1">
              <w:r w:rsidR="00C80943" w:rsidRPr="00C80943">
                <w:rPr>
                  <w:rStyle w:val="Hyperlink"/>
                </w:rPr>
                <w:t>CASES21 and eCASES - Publications</w:t>
              </w:r>
            </w:hyperlink>
          </w:p>
          <w:p w14:paraId="143BCF5A" w14:textId="2D730DE5" w:rsidR="00EC247B" w:rsidRPr="00F81106" w:rsidRDefault="00EC247B" w:rsidP="00FC2A1E">
            <w:r>
              <w:t>The final worksheet must be retained for audit purposes and attached to the copy printed from CASES21.</w:t>
            </w:r>
          </w:p>
        </w:tc>
        <w:tc>
          <w:tcPr>
            <w:tcW w:w="930" w:type="dxa"/>
            <w:tcBorders>
              <w:top w:val="single" w:sz="4" w:space="0" w:color="auto"/>
              <w:left w:val="single" w:sz="4" w:space="0" w:color="auto"/>
              <w:bottom w:val="single" w:sz="4" w:space="0" w:color="auto"/>
              <w:right w:val="single" w:sz="4" w:space="0" w:color="auto"/>
            </w:tcBorders>
          </w:tcPr>
          <w:p w14:paraId="72D20F67" w14:textId="77777777" w:rsidR="00EC247B" w:rsidRDefault="00EC247B" w:rsidP="009E333F">
            <w:pPr>
              <w:jc w:val="both"/>
            </w:pPr>
          </w:p>
        </w:tc>
      </w:tr>
      <w:tr w:rsidR="00EC247B" w:rsidRPr="00F81106" w14:paraId="55322C35" w14:textId="7FA5C9D1" w:rsidTr="00514976">
        <w:trPr>
          <w:trHeight w:val="3280"/>
        </w:trPr>
        <w:tc>
          <w:tcPr>
            <w:tcW w:w="1134" w:type="dxa"/>
            <w:tcBorders>
              <w:top w:val="single" w:sz="4" w:space="0" w:color="auto"/>
              <w:left w:val="single" w:sz="4" w:space="0" w:color="auto"/>
              <w:bottom w:val="single" w:sz="4" w:space="0" w:color="auto"/>
              <w:right w:val="single" w:sz="4" w:space="0" w:color="auto"/>
            </w:tcBorders>
          </w:tcPr>
          <w:p w14:paraId="3A3BFFF6" w14:textId="77777777" w:rsidR="00EC247B" w:rsidRPr="00F81106" w:rsidRDefault="00EC247B" w:rsidP="00FC2A1E">
            <w:r w:rsidRPr="00F81106">
              <w:t>1</w:t>
            </w:r>
            <w:r>
              <w:t>7.12.1.2</w:t>
            </w:r>
          </w:p>
        </w:tc>
        <w:tc>
          <w:tcPr>
            <w:tcW w:w="7088" w:type="dxa"/>
            <w:tcBorders>
              <w:top w:val="single" w:sz="4" w:space="0" w:color="auto"/>
              <w:left w:val="single" w:sz="4" w:space="0" w:color="auto"/>
              <w:bottom w:val="single" w:sz="4" w:space="0" w:color="auto"/>
              <w:right w:val="single" w:sz="4" w:space="0" w:color="auto"/>
            </w:tcBorders>
          </w:tcPr>
          <w:p w14:paraId="2AD75C88" w14:textId="77777777" w:rsidR="00EC247B" w:rsidRDefault="00EC247B" w:rsidP="00F3026B">
            <w:pPr>
              <w:jc w:val="both"/>
            </w:pPr>
            <w:r>
              <w:t>The Financial Commitment Summary Report must be:</w:t>
            </w:r>
          </w:p>
          <w:p w14:paraId="230590EB" w14:textId="77777777" w:rsidR="00EC247B" w:rsidRDefault="00EC247B" w:rsidP="00457E54">
            <w:pPr>
              <w:pStyle w:val="ListBullet"/>
            </w:pPr>
            <w:r>
              <w:t>saved to the schools CASES21 Finance EOY folder for future reference;</w:t>
            </w:r>
          </w:p>
          <w:p w14:paraId="27955419" w14:textId="77777777" w:rsidR="00EC247B" w:rsidRDefault="00EC247B" w:rsidP="00457E54">
            <w:pPr>
              <w:pStyle w:val="ListBullet"/>
            </w:pPr>
            <w:r>
              <w:t>the report must be printed (hardcopy) and saved as a PDF during the final end of year process. It must be signed by the principal and school council president and tabled at school council;</w:t>
            </w:r>
          </w:p>
          <w:p w14:paraId="26C81CEC" w14:textId="77777777" w:rsidR="00EC247B" w:rsidRDefault="00EC247B" w:rsidP="00457E54">
            <w:pPr>
              <w:pStyle w:val="ListBullet"/>
            </w:pPr>
            <w:r>
              <w:t>the data will be sent electronically to the Department as part of running ‘End of Year Processing’;</w:t>
            </w:r>
          </w:p>
          <w:p w14:paraId="660A5B67" w14:textId="4D83F492" w:rsidR="00EC247B" w:rsidRPr="00F81106" w:rsidRDefault="00EC247B" w:rsidP="00514976">
            <w:pPr>
              <w:pStyle w:val="ListBullet"/>
              <w:numPr>
                <w:ilvl w:val="0"/>
                <w:numId w:val="0"/>
              </w:numPr>
              <w:ind w:left="360"/>
            </w:pPr>
          </w:p>
        </w:tc>
        <w:tc>
          <w:tcPr>
            <w:tcW w:w="930" w:type="dxa"/>
            <w:tcBorders>
              <w:top w:val="single" w:sz="4" w:space="0" w:color="auto"/>
              <w:left w:val="single" w:sz="4" w:space="0" w:color="auto"/>
              <w:bottom w:val="single" w:sz="4" w:space="0" w:color="auto"/>
              <w:right w:val="single" w:sz="4" w:space="0" w:color="auto"/>
            </w:tcBorders>
          </w:tcPr>
          <w:p w14:paraId="163C4A3E" w14:textId="77777777" w:rsidR="00EC247B" w:rsidRDefault="00EC247B" w:rsidP="00F3026B">
            <w:pPr>
              <w:jc w:val="both"/>
            </w:pPr>
          </w:p>
        </w:tc>
      </w:tr>
    </w:tbl>
    <w:p w14:paraId="00D6DF60" w14:textId="77777777" w:rsidR="00B06C9A" w:rsidRDefault="00B06C9A" w:rsidP="00095EEC">
      <w:pPr>
        <w:pStyle w:val="Heading2"/>
        <w:ind w:left="1134" w:hanging="1134"/>
      </w:pPr>
      <w:r w:rsidRPr="00B94979">
        <w:lastRenderedPageBreak/>
        <w:t>1</w:t>
      </w:r>
      <w:r w:rsidR="00BF392F">
        <w:t>7</w:t>
      </w:r>
      <w:r w:rsidRPr="00B94979">
        <w:t>.</w:t>
      </w:r>
      <w:r w:rsidR="00BF392F">
        <w:t>1</w:t>
      </w:r>
      <w:r w:rsidR="003B780E">
        <w:t>3</w:t>
      </w:r>
      <w:r w:rsidRPr="00B94979">
        <w:tab/>
      </w:r>
      <w:r>
        <w:t>Preliminary GST/B</w:t>
      </w:r>
      <w:r w:rsidR="00095EEC">
        <w:t>usiness Activity Statement</w:t>
      </w:r>
      <w:r>
        <w:t xml:space="preserve"> Reports</w:t>
      </w:r>
    </w:p>
    <w:p w14:paraId="4E440B7D" w14:textId="77777777" w:rsidR="00B06C9A" w:rsidRPr="00EC7D90" w:rsidRDefault="00B06C9A" w:rsidP="00B06C9A">
      <w:pPr>
        <w:pStyle w:val="Heading3"/>
      </w:pPr>
      <w:r>
        <w:t>1</w:t>
      </w:r>
      <w:r w:rsidR="00BF392F">
        <w:t>7</w:t>
      </w:r>
      <w:r>
        <w:t>.</w:t>
      </w:r>
      <w:r w:rsidR="00BF392F">
        <w:t>1</w:t>
      </w:r>
      <w:r w:rsidR="003B780E">
        <w:t>3</w:t>
      </w:r>
      <w:r w:rsidR="00BF392F">
        <w:t>.1</w:t>
      </w:r>
      <w:r w:rsidRPr="00EC7D90">
        <w:t xml:space="preserve"> </w:t>
      </w:r>
      <w:r>
        <w:tab/>
      </w:r>
      <w:r w:rsidRPr="00EC7D90">
        <w:t>Mandatory policy (</w:t>
      </w:r>
      <w:r>
        <w:t>Must do</w:t>
      </w:r>
      <w:r w:rsidRPr="00EC7D90">
        <w:t>)</w:t>
      </w:r>
      <w:r>
        <w:t>:</w:t>
      </w:r>
    </w:p>
    <w:tbl>
      <w:tblPr>
        <w:tblW w:w="915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containing sequence numbers and policy information"/>
      </w:tblPr>
      <w:tblGrid>
        <w:gridCol w:w="1256"/>
        <w:gridCol w:w="7088"/>
        <w:gridCol w:w="808"/>
      </w:tblGrid>
      <w:tr w:rsidR="00EC247B" w:rsidRPr="00EC7D90" w14:paraId="0C24FE99" w14:textId="421A3FB9" w:rsidTr="009B3C58">
        <w:trPr>
          <w:trHeight w:hRule="exact" w:val="737"/>
          <w:tblHeader/>
        </w:trPr>
        <w:tc>
          <w:tcPr>
            <w:tcW w:w="1256" w:type="dxa"/>
          </w:tcPr>
          <w:p w14:paraId="69B5FAAA" w14:textId="7016F04C" w:rsidR="00EC247B" w:rsidRPr="00E0071A" w:rsidRDefault="00EC247B" w:rsidP="00FC3EA4">
            <w:pPr>
              <w:rPr>
                <w:rFonts w:eastAsiaTheme="minorHAnsi"/>
                <w:b/>
                <w:sz w:val="20"/>
                <w:szCs w:val="20"/>
              </w:rPr>
            </w:pPr>
            <w:r w:rsidRPr="00E0071A">
              <w:rPr>
                <w:b/>
                <w:sz w:val="20"/>
                <w:szCs w:val="20"/>
              </w:rPr>
              <w:t>Sequence Numbers</w:t>
            </w:r>
          </w:p>
        </w:tc>
        <w:tc>
          <w:tcPr>
            <w:tcW w:w="7088" w:type="dxa"/>
          </w:tcPr>
          <w:p w14:paraId="055E4260" w14:textId="3B0D983C" w:rsidR="00EC247B" w:rsidRPr="00E0071A" w:rsidRDefault="00EC247B" w:rsidP="00FC3EA4">
            <w:pPr>
              <w:rPr>
                <w:b/>
                <w:sz w:val="20"/>
                <w:szCs w:val="20"/>
              </w:rPr>
            </w:pPr>
            <w:r w:rsidRPr="00E0071A">
              <w:rPr>
                <w:b/>
                <w:sz w:val="20"/>
                <w:szCs w:val="20"/>
              </w:rPr>
              <w:t>Information</w:t>
            </w:r>
          </w:p>
        </w:tc>
        <w:tc>
          <w:tcPr>
            <w:tcW w:w="808" w:type="dxa"/>
            <w:tcBorders>
              <w:top w:val="nil"/>
              <w:right w:val="nil"/>
            </w:tcBorders>
          </w:tcPr>
          <w:p w14:paraId="040B6D22" w14:textId="77777777" w:rsidR="00EC247B" w:rsidRPr="00FC3EA4" w:rsidRDefault="00EC247B" w:rsidP="00FC3EA4">
            <w:pPr>
              <w:rPr>
                <w:b/>
              </w:rPr>
            </w:pPr>
          </w:p>
        </w:tc>
      </w:tr>
      <w:tr w:rsidR="00EC247B" w:rsidRPr="00EC7D90" w14:paraId="5239DD2E" w14:textId="45666B6C" w:rsidTr="009B3C58">
        <w:trPr>
          <w:trHeight w:hRule="exact" w:val="737"/>
        </w:trPr>
        <w:tc>
          <w:tcPr>
            <w:tcW w:w="1256" w:type="dxa"/>
          </w:tcPr>
          <w:p w14:paraId="23799B4C" w14:textId="77777777" w:rsidR="00EC247B" w:rsidRDefault="00EC247B" w:rsidP="003B780E">
            <w:pPr>
              <w:rPr>
                <w:rFonts w:eastAsiaTheme="minorHAnsi"/>
              </w:rPr>
            </w:pPr>
            <w:r>
              <w:rPr>
                <w:rFonts w:eastAsiaTheme="minorHAnsi"/>
              </w:rPr>
              <w:t>17.13.1.1</w:t>
            </w:r>
          </w:p>
        </w:tc>
        <w:tc>
          <w:tcPr>
            <w:tcW w:w="7088" w:type="dxa"/>
          </w:tcPr>
          <w:p w14:paraId="0B476C3C" w14:textId="77777777" w:rsidR="00EC247B" w:rsidRDefault="00EC247B" w:rsidP="00A77C1A">
            <w:r>
              <w:t>All Business Activity Statement for the calendar year must be completed and approved (signed off) by the Principal.</w:t>
            </w:r>
          </w:p>
        </w:tc>
        <w:tc>
          <w:tcPr>
            <w:tcW w:w="808" w:type="dxa"/>
          </w:tcPr>
          <w:p w14:paraId="0533DF50" w14:textId="77777777" w:rsidR="00EC247B" w:rsidRDefault="00EC247B" w:rsidP="00A77C1A"/>
        </w:tc>
      </w:tr>
      <w:tr w:rsidR="00EC247B" w:rsidRPr="00EC7D90" w14:paraId="6B51BAE7" w14:textId="320AA1B5" w:rsidTr="009B3C58">
        <w:trPr>
          <w:trHeight w:val="1429"/>
        </w:trPr>
        <w:tc>
          <w:tcPr>
            <w:tcW w:w="1256" w:type="dxa"/>
          </w:tcPr>
          <w:p w14:paraId="10E71AA9" w14:textId="77777777" w:rsidR="00EC247B" w:rsidRPr="00EC7D90" w:rsidRDefault="00EC247B" w:rsidP="003B780E">
            <w:pPr>
              <w:rPr>
                <w:rFonts w:eastAsiaTheme="minorHAnsi"/>
              </w:rPr>
            </w:pPr>
            <w:r>
              <w:rPr>
                <w:rFonts w:eastAsiaTheme="minorHAnsi"/>
              </w:rPr>
              <w:t>17.13.1.2</w:t>
            </w:r>
          </w:p>
        </w:tc>
        <w:tc>
          <w:tcPr>
            <w:tcW w:w="7088" w:type="dxa"/>
          </w:tcPr>
          <w:p w14:paraId="0CF67CEB" w14:textId="77777777" w:rsidR="00EC247B" w:rsidRDefault="00EC247B" w:rsidP="00A77C1A">
            <w:r>
              <w:t>All schools must submit their Business Activity Statement (BAS) electronically.</w:t>
            </w:r>
          </w:p>
          <w:p w14:paraId="67230DB3" w14:textId="3D708045" w:rsidR="00EC247B" w:rsidRPr="006D6ECF" w:rsidRDefault="00EC247B" w:rsidP="00242D13">
            <w:pPr>
              <w:rPr>
                <w:b/>
              </w:rPr>
            </w:pPr>
            <w:r>
              <w:t xml:space="preserve">Access the </w:t>
            </w:r>
            <w:hyperlink r:id="rId42" w:history="1">
              <w:r w:rsidRPr="003310F7">
                <w:rPr>
                  <w:rStyle w:val="Hyperlink"/>
                </w:rPr>
                <w:t>Business Portal</w:t>
              </w:r>
            </w:hyperlink>
            <w:r>
              <w:t xml:space="preserve"> and download a copy of the school’s ATO Running Balance Account details.</w:t>
            </w:r>
          </w:p>
        </w:tc>
        <w:tc>
          <w:tcPr>
            <w:tcW w:w="808" w:type="dxa"/>
          </w:tcPr>
          <w:p w14:paraId="5CEA6595" w14:textId="77777777" w:rsidR="00EC247B" w:rsidRDefault="00EC247B" w:rsidP="00A77C1A"/>
        </w:tc>
      </w:tr>
      <w:tr w:rsidR="00EC247B" w:rsidRPr="00EC7D90" w14:paraId="6389CC6F" w14:textId="2747F440" w:rsidTr="009B3C58">
        <w:trPr>
          <w:trHeight w:hRule="exact" w:val="737"/>
        </w:trPr>
        <w:tc>
          <w:tcPr>
            <w:tcW w:w="1256" w:type="dxa"/>
          </w:tcPr>
          <w:p w14:paraId="397C23AF" w14:textId="77777777" w:rsidR="00EC247B" w:rsidRDefault="00EC247B" w:rsidP="00FE1FDE">
            <w:pPr>
              <w:rPr>
                <w:rFonts w:eastAsiaTheme="minorHAnsi"/>
              </w:rPr>
            </w:pPr>
            <w:r>
              <w:rPr>
                <w:rFonts w:eastAsiaTheme="minorHAnsi"/>
              </w:rPr>
              <w:t>17.13.1.3</w:t>
            </w:r>
          </w:p>
        </w:tc>
        <w:tc>
          <w:tcPr>
            <w:tcW w:w="7088" w:type="dxa"/>
          </w:tcPr>
          <w:p w14:paraId="6A71BC79" w14:textId="77777777" w:rsidR="00EC247B" w:rsidRDefault="00EC247B" w:rsidP="00A77C1A">
            <w:r w:rsidRPr="0096332A">
              <w:t>Refer to</w:t>
            </w:r>
            <w:r>
              <w:t xml:space="preserve"> </w:t>
            </w:r>
            <w:hyperlink r:id="rId43" w:history="1">
              <w:hyperlink r:id="rId44" w:history="1">
                <w:r w:rsidRPr="002D1B00">
                  <w:rPr>
                    <w:color w:val="0000FF"/>
                    <w:u w:val="single"/>
                  </w:rPr>
                  <w:t>CASES21 Finance Business Process Guide</w:t>
                </w:r>
              </w:hyperlink>
              <w:r>
                <w:rPr>
                  <w:color w:val="0000FF"/>
                  <w:u w:val="single"/>
                </w:rPr>
                <w:t xml:space="preserve"> Section 8 – End of Period</w:t>
              </w:r>
              <w:r>
                <w:t xml:space="preserve"> </w:t>
              </w:r>
            </w:hyperlink>
            <w:r>
              <w:t>for guidance on completing the final BAS for December.</w:t>
            </w:r>
          </w:p>
        </w:tc>
        <w:tc>
          <w:tcPr>
            <w:tcW w:w="808" w:type="dxa"/>
          </w:tcPr>
          <w:p w14:paraId="0E71FD0A" w14:textId="77777777" w:rsidR="00EC247B" w:rsidRPr="0096332A" w:rsidRDefault="00EC247B" w:rsidP="00A77C1A"/>
        </w:tc>
      </w:tr>
      <w:tr w:rsidR="00EC247B" w:rsidRPr="00EC7D90" w14:paraId="39644FDE" w14:textId="46052E8A" w:rsidTr="009B3C58">
        <w:trPr>
          <w:trHeight w:hRule="exact" w:val="737"/>
        </w:trPr>
        <w:tc>
          <w:tcPr>
            <w:tcW w:w="1256" w:type="dxa"/>
          </w:tcPr>
          <w:p w14:paraId="3874B9F5" w14:textId="77777777" w:rsidR="00EC247B" w:rsidRDefault="00EC247B" w:rsidP="00FE1FDE">
            <w:pPr>
              <w:rPr>
                <w:rFonts w:eastAsiaTheme="minorHAnsi"/>
              </w:rPr>
            </w:pPr>
            <w:r>
              <w:rPr>
                <w:rFonts w:eastAsiaTheme="minorHAnsi"/>
              </w:rPr>
              <w:t>17.13.1.4</w:t>
            </w:r>
          </w:p>
        </w:tc>
        <w:tc>
          <w:tcPr>
            <w:tcW w:w="7088" w:type="dxa"/>
          </w:tcPr>
          <w:p w14:paraId="710EBA9A" w14:textId="77777777" w:rsidR="00EC247B" w:rsidRPr="0096332A" w:rsidRDefault="00EC247B" w:rsidP="008A6DF9">
            <w:r>
              <w:t>The GST Calculation worksheet for BAS must be reviewed to ensure the data is accurate and then printed (hardcopy) or saved as a PDF.</w:t>
            </w:r>
          </w:p>
        </w:tc>
        <w:tc>
          <w:tcPr>
            <w:tcW w:w="808" w:type="dxa"/>
          </w:tcPr>
          <w:p w14:paraId="4FD75007" w14:textId="77777777" w:rsidR="00EC247B" w:rsidRDefault="00EC247B" w:rsidP="008A6DF9"/>
        </w:tc>
      </w:tr>
      <w:tr w:rsidR="00EC247B" w:rsidRPr="00EC7D90" w14:paraId="28ECCB99" w14:textId="12260BF7" w:rsidTr="009B3C58">
        <w:trPr>
          <w:trHeight w:val="1559"/>
        </w:trPr>
        <w:tc>
          <w:tcPr>
            <w:tcW w:w="1256" w:type="dxa"/>
          </w:tcPr>
          <w:p w14:paraId="5858DA67" w14:textId="77777777" w:rsidR="00EC247B" w:rsidRDefault="00EC247B" w:rsidP="00FE1FDE">
            <w:pPr>
              <w:rPr>
                <w:rFonts w:eastAsiaTheme="minorHAnsi"/>
              </w:rPr>
            </w:pPr>
            <w:r>
              <w:rPr>
                <w:rFonts w:eastAsiaTheme="minorHAnsi"/>
              </w:rPr>
              <w:t>17.13.1.5</w:t>
            </w:r>
          </w:p>
        </w:tc>
        <w:tc>
          <w:tcPr>
            <w:tcW w:w="7088" w:type="dxa"/>
          </w:tcPr>
          <w:p w14:paraId="63BF8AB1" w14:textId="77777777" w:rsidR="00EC247B" w:rsidRDefault="00EC247B" w:rsidP="00A617CF">
            <w:r>
              <w:t>Schools must run the Final BAS reporting task and print (hardcopy), or save as a PDF, the Final BAS reports: These are:</w:t>
            </w:r>
          </w:p>
          <w:p w14:paraId="46388A02" w14:textId="77777777" w:rsidR="00EC247B" w:rsidRDefault="00EC247B" w:rsidP="00A617CF">
            <w:pPr>
              <w:pStyle w:val="ListBullet"/>
            </w:pPr>
            <w:r>
              <w:t>BAS GST Detail;</w:t>
            </w:r>
          </w:p>
          <w:p w14:paraId="0213432D" w14:textId="77777777" w:rsidR="00EC247B" w:rsidRPr="0096332A" w:rsidRDefault="00EC247B" w:rsidP="00A617CF">
            <w:pPr>
              <w:pStyle w:val="ListParagraph"/>
              <w:numPr>
                <w:ilvl w:val="0"/>
                <w:numId w:val="46"/>
              </w:numPr>
            </w:pPr>
            <w:r>
              <w:t>BAS GST Summary.</w:t>
            </w:r>
          </w:p>
        </w:tc>
        <w:tc>
          <w:tcPr>
            <w:tcW w:w="808" w:type="dxa"/>
          </w:tcPr>
          <w:p w14:paraId="58A5BA07" w14:textId="77777777" w:rsidR="00EC247B" w:rsidRDefault="00EC247B" w:rsidP="00A617CF"/>
        </w:tc>
      </w:tr>
      <w:tr w:rsidR="00EC247B" w:rsidRPr="00EC7D90" w14:paraId="5A06B866" w14:textId="68DE7A54" w:rsidTr="009B3C58">
        <w:trPr>
          <w:trHeight w:val="3408"/>
        </w:trPr>
        <w:tc>
          <w:tcPr>
            <w:tcW w:w="1256" w:type="dxa"/>
          </w:tcPr>
          <w:p w14:paraId="1F4B76D7" w14:textId="77777777" w:rsidR="00EC247B" w:rsidRDefault="00EC247B" w:rsidP="00FE1FDE">
            <w:pPr>
              <w:rPr>
                <w:rFonts w:eastAsiaTheme="minorHAnsi"/>
              </w:rPr>
            </w:pPr>
            <w:r>
              <w:rPr>
                <w:rFonts w:eastAsiaTheme="minorHAnsi"/>
              </w:rPr>
              <w:t>17.13.1.6</w:t>
            </w:r>
          </w:p>
        </w:tc>
        <w:tc>
          <w:tcPr>
            <w:tcW w:w="7088" w:type="dxa"/>
          </w:tcPr>
          <w:p w14:paraId="2D1AC9CF" w14:textId="77777777" w:rsidR="00EC247B" w:rsidRDefault="00EC247B" w:rsidP="00A77C1A">
            <w:r>
              <w:t xml:space="preserve">Schools must print (hardcopy) or save as a PDF to EOY folder the following reports: </w:t>
            </w:r>
          </w:p>
          <w:p w14:paraId="77BCCA69" w14:textId="77777777" w:rsidR="00EC247B" w:rsidRDefault="00EC247B" w:rsidP="00457E54">
            <w:pPr>
              <w:pStyle w:val="ListBullet"/>
            </w:pPr>
            <w:r>
              <w:t>GST Calculation Work Sheet for BAS (GL21400) as at 31 December;</w:t>
            </w:r>
          </w:p>
          <w:p w14:paraId="20AE1189" w14:textId="49E40B7A" w:rsidR="00EC247B" w:rsidRDefault="00EC247B" w:rsidP="00457E54">
            <w:pPr>
              <w:pStyle w:val="ListBullet"/>
            </w:pPr>
            <w:r>
              <w:t xml:space="preserve">BAS Non Tax Detail (GL21410) as at 31 </w:t>
            </w:r>
            <w:r w:rsidR="00E82E31">
              <w:t>December;</w:t>
            </w:r>
          </w:p>
          <w:p w14:paraId="50E3841E" w14:textId="77777777" w:rsidR="00EC247B" w:rsidRDefault="00EC247B" w:rsidP="00457E54">
            <w:pPr>
              <w:pStyle w:val="ListBullet"/>
            </w:pPr>
            <w:r>
              <w:t>PAYG Withholding Detail (GL21407) as 31 December;</w:t>
            </w:r>
          </w:p>
          <w:p w14:paraId="43505A73" w14:textId="77777777" w:rsidR="00EC247B" w:rsidRDefault="00EC247B" w:rsidP="00457E54">
            <w:pPr>
              <w:pStyle w:val="ListBullet"/>
            </w:pPr>
            <w:r>
              <w:t>Detailed GST Report (GL21401) as at 31 December.</w:t>
            </w:r>
          </w:p>
          <w:p w14:paraId="7CAAC8A9" w14:textId="77777777" w:rsidR="00EC247B" w:rsidRDefault="00EC247B" w:rsidP="00120084">
            <w:r>
              <w:t xml:space="preserve">Refer to </w:t>
            </w:r>
            <w:hyperlink r:id="rId45" w:history="1">
              <w:r>
                <w:rPr>
                  <w:color w:val="0000FF"/>
                  <w:u w:val="single"/>
                </w:rPr>
                <w:t>C</w:t>
              </w:r>
              <w:r w:rsidRPr="00551DCD">
                <w:rPr>
                  <w:color w:val="0000FF"/>
                  <w:u w:val="single"/>
                </w:rPr>
                <w:t xml:space="preserve">ASES21 Finance Business Process </w:t>
              </w:r>
              <w:r>
                <w:rPr>
                  <w:color w:val="0000FF"/>
                  <w:u w:val="single"/>
                </w:rPr>
                <w:t xml:space="preserve">Guide Section 5 – </w:t>
              </w:r>
              <w:r w:rsidRPr="00551DCD">
                <w:rPr>
                  <w:color w:val="0000FF"/>
                  <w:u w:val="single"/>
                </w:rPr>
                <w:t>G</w:t>
              </w:r>
              <w:r>
                <w:rPr>
                  <w:color w:val="0000FF"/>
                  <w:u w:val="single"/>
                </w:rPr>
                <w:t xml:space="preserve">eneral Ledger </w:t>
              </w:r>
            </w:hyperlink>
            <w:r>
              <w:t>for GST Journal Entries.</w:t>
            </w:r>
          </w:p>
        </w:tc>
        <w:tc>
          <w:tcPr>
            <w:tcW w:w="808" w:type="dxa"/>
          </w:tcPr>
          <w:p w14:paraId="3A07D5E9" w14:textId="77777777" w:rsidR="00EC247B" w:rsidRDefault="00EC247B" w:rsidP="00A77C1A"/>
        </w:tc>
      </w:tr>
      <w:tr w:rsidR="00EC247B" w:rsidRPr="00EC7D90" w14:paraId="50A01551" w14:textId="59A62CFA" w:rsidTr="009B3C58">
        <w:trPr>
          <w:trHeight w:val="1779"/>
        </w:trPr>
        <w:tc>
          <w:tcPr>
            <w:tcW w:w="1256" w:type="dxa"/>
          </w:tcPr>
          <w:p w14:paraId="4EDCF486" w14:textId="77777777" w:rsidR="00EC247B" w:rsidRDefault="00EC247B" w:rsidP="00FE1FDE">
            <w:pPr>
              <w:rPr>
                <w:rFonts w:eastAsiaTheme="minorHAnsi"/>
              </w:rPr>
            </w:pPr>
            <w:r>
              <w:rPr>
                <w:rFonts w:eastAsiaTheme="minorHAnsi"/>
              </w:rPr>
              <w:t>17.13.1.7</w:t>
            </w:r>
          </w:p>
        </w:tc>
        <w:tc>
          <w:tcPr>
            <w:tcW w:w="7088" w:type="dxa"/>
          </w:tcPr>
          <w:p w14:paraId="0D9D9FDC" w14:textId="77777777" w:rsidR="00EC247B" w:rsidRDefault="00EC247B" w:rsidP="00653E8D">
            <w:pPr>
              <w:jc w:val="both"/>
            </w:pPr>
            <w:r>
              <w:t>Schools must run the:</w:t>
            </w:r>
          </w:p>
          <w:p w14:paraId="730A72F7" w14:textId="77777777" w:rsidR="00EC247B" w:rsidRDefault="00EC247B" w:rsidP="00653E8D">
            <w:pPr>
              <w:pStyle w:val="ListBullet"/>
            </w:pPr>
            <w:r>
              <w:t>auto-generate ATO Journal (GL31085);</w:t>
            </w:r>
          </w:p>
          <w:p w14:paraId="72E968D6" w14:textId="77777777" w:rsidR="00EC247B" w:rsidRDefault="00EC247B" w:rsidP="00653E8D">
            <w:pPr>
              <w:pStyle w:val="ListBullet"/>
            </w:pPr>
            <w:r w:rsidRPr="00B46178">
              <w:t>auto-generate ATO Payment or Receipt (GL31086)</w:t>
            </w:r>
            <w:r>
              <w:t>;</w:t>
            </w:r>
          </w:p>
          <w:p w14:paraId="7F67C45D" w14:textId="77777777" w:rsidR="00EC247B" w:rsidRDefault="00EC247B" w:rsidP="008A6DF9">
            <w:pPr>
              <w:pStyle w:val="ListBullet"/>
            </w:pPr>
            <w:r>
              <w:t>g</w:t>
            </w:r>
            <w:r w:rsidRPr="00B46178">
              <w:t>enerate ATO Payment (if required)</w:t>
            </w:r>
            <w:r>
              <w:t>.</w:t>
            </w:r>
          </w:p>
        </w:tc>
        <w:tc>
          <w:tcPr>
            <w:tcW w:w="808" w:type="dxa"/>
          </w:tcPr>
          <w:p w14:paraId="57184AC9" w14:textId="77777777" w:rsidR="00EC247B" w:rsidRDefault="00EC247B" w:rsidP="00653E8D">
            <w:pPr>
              <w:jc w:val="both"/>
            </w:pPr>
          </w:p>
        </w:tc>
      </w:tr>
      <w:tr w:rsidR="00EC247B" w:rsidRPr="00EC7D90" w14:paraId="6874DEAB" w14:textId="59F9E44C" w:rsidTr="009B3C58">
        <w:trPr>
          <w:trHeight w:hRule="exact" w:val="737"/>
        </w:trPr>
        <w:tc>
          <w:tcPr>
            <w:tcW w:w="1256" w:type="dxa"/>
          </w:tcPr>
          <w:p w14:paraId="285E9CB1" w14:textId="77777777" w:rsidR="00EC247B" w:rsidRDefault="00EC247B" w:rsidP="00FE1FDE">
            <w:pPr>
              <w:rPr>
                <w:rFonts w:eastAsiaTheme="minorHAnsi"/>
              </w:rPr>
            </w:pPr>
            <w:r>
              <w:rPr>
                <w:rFonts w:eastAsiaTheme="minorHAnsi"/>
              </w:rPr>
              <w:lastRenderedPageBreak/>
              <w:t>17.13.1.8</w:t>
            </w:r>
          </w:p>
        </w:tc>
        <w:tc>
          <w:tcPr>
            <w:tcW w:w="7088" w:type="dxa"/>
          </w:tcPr>
          <w:p w14:paraId="50AE0B17" w14:textId="77777777" w:rsidR="00EC247B" w:rsidRDefault="00EC247B" w:rsidP="00A77C1A">
            <w:r>
              <w:t>The Financial Highlight report must be checked before any transactions are entered for the New Year.</w:t>
            </w:r>
          </w:p>
        </w:tc>
        <w:tc>
          <w:tcPr>
            <w:tcW w:w="808" w:type="dxa"/>
          </w:tcPr>
          <w:p w14:paraId="62B82B4C" w14:textId="77777777" w:rsidR="00EC247B" w:rsidRDefault="00EC247B" w:rsidP="00A77C1A"/>
        </w:tc>
      </w:tr>
    </w:tbl>
    <w:p w14:paraId="668F3576" w14:textId="6EF635AC" w:rsidR="002166B7" w:rsidRDefault="002166B7" w:rsidP="002166B7"/>
    <w:p w14:paraId="1F02ECED" w14:textId="77777777" w:rsidR="0071726B" w:rsidRPr="0071726B" w:rsidRDefault="0071726B" w:rsidP="0071726B">
      <w:pPr>
        <w:pStyle w:val="Heading2"/>
      </w:pPr>
      <w:r w:rsidRPr="0071726B">
        <w:t>17.</w:t>
      </w:r>
      <w:r>
        <w:t>14</w:t>
      </w:r>
      <w:r w:rsidRPr="0071726B">
        <w:tab/>
        <w:t>Long Service Leave Provision</w:t>
      </w:r>
    </w:p>
    <w:p w14:paraId="4E47F9A4" w14:textId="77777777" w:rsidR="00BF60C2" w:rsidRPr="00EC7D90" w:rsidRDefault="00BF60C2" w:rsidP="00BF60C2">
      <w:pPr>
        <w:pStyle w:val="Heading3"/>
      </w:pPr>
      <w:r>
        <w:t>17.14.1</w:t>
      </w:r>
      <w:r w:rsidRPr="00EC7D90">
        <w:t xml:space="preserve"> </w:t>
      </w:r>
      <w:r>
        <w:tab/>
      </w:r>
      <w:r w:rsidRPr="00EC7D90">
        <w:t>Mandatory policy (</w:t>
      </w:r>
      <w:r>
        <w:t>Must do</w:t>
      </w:r>
      <w:r w:rsidRPr="00EC7D90">
        <w:t>)</w:t>
      </w:r>
      <w:r>
        <w:t>:</w:t>
      </w:r>
    </w:p>
    <w:tbl>
      <w:tblPr>
        <w:tblW w:w="915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containing sequence numbers and policy information"/>
      </w:tblPr>
      <w:tblGrid>
        <w:gridCol w:w="1134"/>
        <w:gridCol w:w="7088"/>
        <w:gridCol w:w="930"/>
      </w:tblGrid>
      <w:tr w:rsidR="00EC247B" w:rsidRPr="0091756B" w14:paraId="07D23436" w14:textId="0102EB99" w:rsidTr="009B3C58">
        <w:trPr>
          <w:trHeight w:val="567"/>
          <w:tblHeader/>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A0F5E32" w14:textId="77777777" w:rsidR="00EC247B" w:rsidRPr="00D60EB6" w:rsidRDefault="00EC247B" w:rsidP="00DF168D">
            <w:pPr>
              <w:rPr>
                <w:b/>
                <w:sz w:val="18"/>
              </w:rPr>
            </w:pPr>
            <w:r w:rsidRPr="00D60EB6">
              <w:rPr>
                <w:b/>
                <w:sz w:val="18"/>
              </w:rPr>
              <w:t>Sequence Numbers</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7A9D83B2" w14:textId="77777777" w:rsidR="00EC247B" w:rsidRPr="00E0071A" w:rsidRDefault="00EC247B" w:rsidP="00DF168D">
            <w:pPr>
              <w:rPr>
                <w:b/>
                <w:sz w:val="20"/>
                <w:szCs w:val="20"/>
              </w:rPr>
            </w:pPr>
            <w:r w:rsidRPr="00E0071A">
              <w:rPr>
                <w:b/>
                <w:sz w:val="20"/>
                <w:szCs w:val="20"/>
              </w:rPr>
              <w:t>Information</w:t>
            </w:r>
          </w:p>
        </w:tc>
        <w:tc>
          <w:tcPr>
            <w:tcW w:w="930" w:type="dxa"/>
            <w:tcBorders>
              <w:top w:val="nil"/>
              <w:left w:val="single" w:sz="4" w:space="0" w:color="auto"/>
              <w:bottom w:val="single" w:sz="4" w:space="0" w:color="auto"/>
              <w:right w:val="nil"/>
            </w:tcBorders>
          </w:tcPr>
          <w:p w14:paraId="6814F485" w14:textId="77777777" w:rsidR="00EC247B" w:rsidRPr="00D60EB6" w:rsidRDefault="00EC247B" w:rsidP="00DF168D">
            <w:pPr>
              <w:rPr>
                <w:b/>
              </w:rPr>
            </w:pPr>
          </w:p>
        </w:tc>
      </w:tr>
      <w:tr w:rsidR="00EC247B" w:rsidRPr="0071726B" w14:paraId="18D6739A" w14:textId="06F5708A" w:rsidTr="009B3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021"/>
        </w:trPr>
        <w:tc>
          <w:tcPr>
            <w:tcW w:w="1134" w:type="dxa"/>
            <w:tcBorders>
              <w:top w:val="single" w:sz="4" w:space="0" w:color="auto"/>
              <w:left w:val="single" w:sz="4" w:space="0" w:color="auto"/>
              <w:bottom w:val="single" w:sz="4" w:space="0" w:color="auto"/>
              <w:right w:val="single" w:sz="4" w:space="0" w:color="auto"/>
            </w:tcBorders>
          </w:tcPr>
          <w:p w14:paraId="3A40F599" w14:textId="77777777" w:rsidR="00EC247B" w:rsidRPr="0071726B" w:rsidRDefault="00EC247B" w:rsidP="0071726B">
            <w:r w:rsidRPr="0071726B">
              <w:t>17.</w:t>
            </w:r>
            <w:r>
              <w:t>14</w:t>
            </w:r>
            <w:r w:rsidRPr="0071726B">
              <w:t>.1.1</w:t>
            </w:r>
          </w:p>
        </w:tc>
        <w:tc>
          <w:tcPr>
            <w:tcW w:w="7088" w:type="dxa"/>
            <w:tcBorders>
              <w:top w:val="single" w:sz="4" w:space="0" w:color="auto"/>
              <w:left w:val="single" w:sz="4" w:space="0" w:color="auto"/>
              <w:bottom w:val="single" w:sz="4" w:space="0" w:color="auto"/>
              <w:right w:val="single" w:sz="4" w:space="0" w:color="auto"/>
            </w:tcBorders>
          </w:tcPr>
          <w:p w14:paraId="691AD36F" w14:textId="77777777" w:rsidR="00EC247B" w:rsidRPr="0071726B" w:rsidRDefault="00EC247B" w:rsidP="00EB535C">
            <w:r w:rsidRPr="0071726B">
              <w:t xml:space="preserve">School </w:t>
            </w:r>
            <w:r>
              <w:t>c</w:t>
            </w:r>
            <w:r w:rsidRPr="0071726B">
              <w:t>ouncil</w:t>
            </w:r>
            <w:r>
              <w:t>s</w:t>
            </w:r>
            <w:r w:rsidRPr="0071726B">
              <w:t xml:space="preserve"> must manage the provision for Long Service Leave (LSL) for all eligible employees who are paid on the eduPay school level payroll.</w:t>
            </w:r>
          </w:p>
        </w:tc>
        <w:tc>
          <w:tcPr>
            <w:tcW w:w="930" w:type="dxa"/>
            <w:tcBorders>
              <w:top w:val="single" w:sz="4" w:space="0" w:color="auto"/>
              <w:left w:val="single" w:sz="4" w:space="0" w:color="auto"/>
              <w:bottom w:val="single" w:sz="4" w:space="0" w:color="auto"/>
              <w:right w:val="single" w:sz="4" w:space="0" w:color="auto"/>
            </w:tcBorders>
          </w:tcPr>
          <w:p w14:paraId="10EB1DAD" w14:textId="77777777" w:rsidR="00EC247B" w:rsidRPr="0071726B" w:rsidRDefault="00EC247B" w:rsidP="00EB535C"/>
        </w:tc>
      </w:tr>
      <w:tr w:rsidR="00EC247B" w:rsidRPr="0071726B" w14:paraId="0F54713E" w14:textId="26DE2A86" w:rsidTr="009B3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38"/>
        </w:trPr>
        <w:tc>
          <w:tcPr>
            <w:tcW w:w="1134" w:type="dxa"/>
            <w:tcBorders>
              <w:top w:val="single" w:sz="4" w:space="0" w:color="auto"/>
              <w:left w:val="single" w:sz="4" w:space="0" w:color="auto"/>
              <w:bottom w:val="single" w:sz="4" w:space="0" w:color="auto"/>
              <w:right w:val="single" w:sz="4" w:space="0" w:color="auto"/>
            </w:tcBorders>
          </w:tcPr>
          <w:p w14:paraId="761D9383" w14:textId="77777777" w:rsidR="00EC247B" w:rsidRPr="0071726B" w:rsidRDefault="00EC247B" w:rsidP="0071726B">
            <w:r w:rsidRPr="0071726B">
              <w:t>17.</w:t>
            </w:r>
            <w:r>
              <w:t>14</w:t>
            </w:r>
            <w:r w:rsidRPr="0071726B">
              <w:t>.1.2</w:t>
            </w:r>
          </w:p>
        </w:tc>
        <w:tc>
          <w:tcPr>
            <w:tcW w:w="7088" w:type="dxa"/>
            <w:tcBorders>
              <w:top w:val="single" w:sz="4" w:space="0" w:color="auto"/>
              <w:left w:val="single" w:sz="4" w:space="0" w:color="auto"/>
              <w:bottom w:val="single" w:sz="4" w:space="0" w:color="auto"/>
              <w:right w:val="single" w:sz="4" w:space="0" w:color="auto"/>
            </w:tcBorders>
          </w:tcPr>
          <w:p w14:paraId="67B10E1C" w14:textId="77777777" w:rsidR="00EC247B" w:rsidRPr="0071726B" w:rsidRDefault="00EC247B" w:rsidP="00EB535C">
            <w:r w:rsidRPr="0071726B">
              <w:t>A journal for the provision of LSL must be completed annually from the first anniversary of school council employment to recognize the possible long service leave entitlement and subsequent future debt for the relevant locally paid staff. This will ensure the expenditure incurred by the school is recognized annually and includes future obligations even if not yet paid.</w:t>
            </w:r>
          </w:p>
        </w:tc>
        <w:tc>
          <w:tcPr>
            <w:tcW w:w="930" w:type="dxa"/>
            <w:tcBorders>
              <w:top w:val="single" w:sz="4" w:space="0" w:color="auto"/>
              <w:left w:val="single" w:sz="4" w:space="0" w:color="auto"/>
              <w:bottom w:val="single" w:sz="4" w:space="0" w:color="auto"/>
              <w:right w:val="single" w:sz="4" w:space="0" w:color="auto"/>
            </w:tcBorders>
          </w:tcPr>
          <w:p w14:paraId="341224C2" w14:textId="77777777" w:rsidR="00EC247B" w:rsidRPr="0071726B" w:rsidRDefault="00EC247B" w:rsidP="00EB535C"/>
        </w:tc>
      </w:tr>
      <w:tr w:rsidR="00EC247B" w:rsidRPr="00D063A5" w14:paraId="2C46A4DA" w14:textId="3718E44B" w:rsidTr="009B3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7"/>
        </w:trPr>
        <w:tc>
          <w:tcPr>
            <w:tcW w:w="1134" w:type="dxa"/>
            <w:tcBorders>
              <w:top w:val="single" w:sz="4" w:space="0" w:color="auto"/>
              <w:left w:val="single" w:sz="4" w:space="0" w:color="auto"/>
              <w:bottom w:val="single" w:sz="4" w:space="0" w:color="auto"/>
              <w:right w:val="single" w:sz="4" w:space="0" w:color="auto"/>
            </w:tcBorders>
          </w:tcPr>
          <w:p w14:paraId="358911BE" w14:textId="77777777" w:rsidR="00EC247B" w:rsidRPr="0071726B" w:rsidRDefault="00EC247B" w:rsidP="00502E14">
            <w:r w:rsidRPr="0071726B">
              <w:t>17.</w:t>
            </w:r>
            <w:r>
              <w:t>14.</w:t>
            </w:r>
            <w:r w:rsidRPr="0071726B">
              <w:t>1.</w:t>
            </w:r>
            <w:r>
              <w:t>3</w:t>
            </w:r>
          </w:p>
        </w:tc>
        <w:tc>
          <w:tcPr>
            <w:tcW w:w="7088" w:type="dxa"/>
            <w:tcBorders>
              <w:top w:val="single" w:sz="4" w:space="0" w:color="auto"/>
              <w:left w:val="single" w:sz="4" w:space="0" w:color="auto"/>
              <w:bottom w:val="single" w:sz="4" w:space="0" w:color="auto"/>
              <w:right w:val="single" w:sz="4" w:space="0" w:color="auto"/>
            </w:tcBorders>
          </w:tcPr>
          <w:p w14:paraId="667A8508" w14:textId="77777777" w:rsidR="00EC247B" w:rsidRPr="0071726B" w:rsidRDefault="00EC247B" w:rsidP="00EB535C">
            <w:r w:rsidRPr="0071726B">
              <w:t>Schools must ensure that the LSL provision is included in the Annual Master Budget.</w:t>
            </w:r>
          </w:p>
        </w:tc>
        <w:tc>
          <w:tcPr>
            <w:tcW w:w="930" w:type="dxa"/>
            <w:tcBorders>
              <w:top w:val="single" w:sz="4" w:space="0" w:color="auto"/>
              <w:left w:val="single" w:sz="4" w:space="0" w:color="auto"/>
              <w:bottom w:val="single" w:sz="4" w:space="0" w:color="auto"/>
              <w:right w:val="single" w:sz="4" w:space="0" w:color="auto"/>
            </w:tcBorders>
          </w:tcPr>
          <w:p w14:paraId="50FAE577" w14:textId="77777777" w:rsidR="00EC247B" w:rsidRPr="0071726B" w:rsidRDefault="00EC247B" w:rsidP="00EB535C"/>
        </w:tc>
      </w:tr>
    </w:tbl>
    <w:p w14:paraId="2D2F00E9" w14:textId="77777777" w:rsidR="0071726B" w:rsidRDefault="0071726B" w:rsidP="00095EEC">
      <w:pPr>
        <w:jc w:val="both"/>
      </w:pPr>
    </w:p>
    <w:p w14:paraId="7F42A995" w14:textId="77777777" w:rsidR="00AF482C" w:rsidRPr="00EC1FFC" w:rsidRDefault="00095EEC" w:rsidP="00095EEC">
      <w:pPr>
        <w:pStyle w:val="Heading2"/>
      </w:pPr>
      <w:r w:rsidRPr="00BD61EC">
        <w:t>17.1</w:t>
      </w:r>
      <w:r w:rsidR="00502E14">
        <w:t>5</w:t>
      </w:r>
      <w:r w:rsidRPr="00BD61EC">
        <w:tab/>
      </w:r>
      <w:r w:rsidR="00AF482C" w:rsidRPr="00EC1FFC">
        <w:t>Operating Leases</w:t>
      </w:r>
    </w:p>
    <w:p w14:paraId="3B70A926" w14:textId="77777777" w:rsidR="00AF482C" w:rsidRPr="00EC7D90" w:rsidRDefault="00AF482C" w:rsidP="00AF482C">
      <w:pPr>
        <w:pStyle w:val="Heading3"/>
      </w:pPr>
      <w:r>
        <w:t>17.1</w:t>
      </w:r>
      <w:r w:rsidR="00502E14">
        <w:t>5</w:t>
      </w:r>
      <w:r>
        <w:t>.1</w:t>
      </w:r>
      <w:r w:rsidRPr="00EC7D90">
        <w:t xml:space="preserve"> </w:t>
      </w:r>
      <w:r>
        <w:tab/>
      </w:r>
      <w:r w:rsidRPr="00EC7D90">
        <w:t>Mandatory policy (</w:t>
      </w:r>
      <w:r>
        <w:t>Must do</w:t>
      </w:r>
      <w:r w:rsidRPr="00EC7D90">
        <w:t>)</w:t>
      </w:r>
      <w:r>
        <w:t>:</w:t>
      </w:r>
    </w:p>
    <w:tbl>
      <w:tblPr>
        <w:tblW w:w="957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containing sequence numbers and policy information"/>
      </w:tblPr>
      <w:tblGrid>
        <w:gridCol w:w="1376"/>
        <w:gridCol w:w="7209"/>
        <w:gridCol w:w="992"/>
      </w:tblGrid>
      <w:tr w:rsidR="00EC247B" w:rsidRPr="0091756B" w14:paraId="0D03EB43" w14:textId="1D42E541" w:rsidTr="009B3C58">
        <w:trPr>
          <w:trHeight w:val="564"/>
          <w:tblHeader/>
        </w:trPr>
        <w:tc>
          <w:tcPr>
            <w:tcW w:w="1376" w:type="dxa"/>
            <w:tcBorders>
              <w:top w:val="single" w:sz="4" w:space="0" w:color="auto"/>
              <w:left w:val="single" w:sz="4" w:space="0" w:color="auto"/>
              <w:bottom w:val="single" w:sz="4" w:space="0" w:color="auto"/>
              <w:right w:val="single" w:sz="4" w:space="0" w:color="auto"/>
            </w:tcBorders>
            <w:shd w:val="clear" w:color="auto" w:fill="FFFFFF" w:themeFill="background1"/>
          </w:tcPr>
          <w:p w14:paraId="0C920C1A" w14:textId="77777777" w:rsidR="00EC247B" w:rsidRPr="00D60EB6" w:rsidRDefault="00EC247B" w:rsidP="00DF168D">
            <w:pPr>
              <w:rPr>
                <w:b/>
                <w:sz w:val="18"/>
              </w:rPr>
            </w:pPr>
            <w:r w:rsidRPr="00D60EB6">
              <w:rPr>
                <w:b/>
                <w:sz w:val="18"/>
              </w:rPr>
              <w:t>Sequence Numbers</w:t>
            </w:r>
          </w:p>
        </w:tc>
        <w:tc>
          <w:tcPr>
            <w:tcW w:w="7209" w:type="dxa"/>
            <w:tcBorders>
              <w:top w:val="single" w:sz="4" w:space="0" w:color="auto"/>
              <w:left w:val="single" w:sz="4" w:space="0" w:color="auto"/>
              <w:bottom w:val="single" w:sz="4" w:space="0" w:color="auto"/>
              <w:right w:val="single" w:sz="4" w:space="0" w:color="auto"/>
            </w:tcBorders>
            <w:shd w:val="clear" w:color="auto" w:fill="auto"/>
          </w:tcPr>
          <w:p w14:paraId="59E6F9A4" w14:textId="77777777" w:rsidR="00EC247B" w:rsidRPr="00E0071A" w:rsidRDefault="00EC247B" w:rsidP="00DF168D">
            <w:pPr>
              <w:rPr>
                <w:b/>
                <w:sz w:val="20"/>
                <w:szCs w:val="20"/>
              </w:rPr>
            </w:pPr>
            <w:r w:rsidRPr="00E0071A">
              <w:rPr>
                <w:b/>
                <w:sz w:val="20"/>
                <w:szCs w:val="20"/>
              </w:rPr>
              <w:t>Information</w:t>
            </w:r>
          </w:p>
        </w:tc>
        <w:tc>
          <w:tcPr>
            <w:tcW w:w="992" w:type="dxa"/>
            <w:tcBorders>
              <w:top w:val="nil"/>
              <w:left w:val="single" w:sz="4" w:space="0" w:color="auto"/>
              <w:bottom w:val="single" w:sz="4" w:space="0" w:color="auto"/>
              <w:right w:val="nil"/>
            </w:tcBorders>
          </w:tcPr>
          <w:p w14:paraId="2A61BD84" w14:textId="77777777" w:rsidR="00EC247B" w:rsidRPr="00D60EB6" w:rsidRDefault="00EC247B" w:rsidP="00EC247B">
            <w:pPr>
              <w:ind w:right="-249"/>
              <w:rPr>
                <w:b/>
              </w:rPr>
            </w:pPr>
          </w:p>
        </w:tc>
      </w:tr>
      <w:tr w:rsidR="00EC247B" w:rsidRPr="00EC7D90" w14:paraId="067D2C35" w14:textId="02B02EB3" w:rsidTr="009B3C58">
        <w:trPr>
          <w:trHeight w:val="1412"/>
        </w:trPr>
        <w:tc>
          <w:tcPr>
            <w:tcW w:w="1376" w:type="dxa"/>
          </w:tcPr>
          <w:p w14:paraId="6C15DF8F" w14:textId="77777777" w:rsidR="00EC247B" w:rsidRDefault="00EC247B" w:rsidP="00BC4095">
            <w:pPr>
              <w:ind w:right="-212"/>
              <w:rPr>
                <w:rFonts w:eastAsiaTheme="minorHAnsi"/>
              </w:rPr>
            </w:pPr>
            <w:r>
              <w:rPr>
                <w:rFonts w:eastAsiaTheme="minorHAnsi"/>
              </w:rPr>
              <w:t>17.15.1.1</w:t>
            </w:r>
          </w:p>
        </w:tc>
        <w:tc>
          <w:tcPr>
            <w:tcW w:w="7209" w:type="dxa"/>
          </w:tcPr>
          <w:p w14:paraId="1E2E591A" w14:textId="77777777" w:rsidR="00EC247B" w:rsidRDefault="00EC247B" w:rsidP="00653E8D">
            <w:r>
              <w:t>School must individually or bulk dispose operating leased assets that have passed the end-lease date.</w:t>
            </w:r>
          </w:p>
          <w:p w14:paraId="731D0080" w14:textId="77777777" w:rsidR="00EC247B" w:rsidRDefault="00EC247B" w:rsidP="00120084">
            <w:r>
              <w:t xml:space="preserve">Refer to </w:t>
            </w:r>
            <w:hyperlink r:id="rId46" w:history="1">
              <w:r>
                <w:rPr>
                  <w:color w:val="0000FF"/>
                  <w:u w:val="single"/>
                </w:rPr>
                <w:t>C</w:t>
              </w:r>
              <w:r w:rsidRPr="00551DCD">
                <w:rPr>
                  <w:color w:val="0000FF"/>
                  <w:u w:val="single"/>
                </w:rPr>
                <w:t>ASES21 Finance Business Process Guid</w:t>
              </w:r>
              <w:r>
                <w:rPr>
                  <w:color w:val="0000FF"/>
                  <w:u w:val="single"/>
                </w:rPr>
                <w:t>e Section 4 - Assets</w:t>
              </w:r>
            </w:hyperlink>
            <w:r>
              <w:t xml:space="preserve"> for further guidance.</w:t>
            </w:r>
          </w:p>
        </w:tc>
        <w:tc>
          <w:tcPr>
            <w:tcW w:w="992" w:type="dxa"/>
          </w:tcPr>
          <w:p w14:paraId="3BFC2FEA" w14:textId="77777777" w:rsidR="00EC247B" w:rsidRDefault="00EC247B" w:rsidP="00653E8D"/>
        </w:tc>
      </w:tr>
      <w:tr w:rsidR="00EC247B" w:rsidRPr="00EC7D90" w14:paraId="5FEDD956" w14:textId="54C70843" w:rsidTr="009B3C58">
        <w:trPr>
          <w:trHeight w:hRule="exact" w:val="1016"/>
        </w:trPr>
        <w:tc>
          <w:tcPr>
            <w:tcW w:w="1376" w:type="dxa"/>
          </w:tcPr>
          <w:p w14:paraId="0B15B33E" w14:textId="77777777" w:rsidR="00EC247B" w:rsidRDefault="00EC247B" w:rsidP="008A6DF9">
            <w:pPr>
              <w:rPr>
                <w:rFonts w:eastAsiaTheme="minorHAnsi"/>
              </w:rPr>
            </w:pPr>
            <w:r>
              <w:rPr>
                <w:rFonts w:eastAsiaTheme="minorHAnsi"/>
              </w:rPr>
              <w:t>17.15.1.2</w:t>
            </w:r>
          </w:p>
        </w:tc>
        <w:tc>
          <w:tcPr>
            <w:tcW w:w="7209" w:type="dxa"/>
          </w:tcPr>
          <w:p w14:paraId="5A89F7A9" w14:textId="77777777" w:rsidR="00EC247B" w:rsidRDefault="00EC247B">
            <w:r>
              <w:t>Accurate information in relation to the type of asset, the quantity, the monthly lease payment, and the lease term must be recorded in CASES21.</w:t>
            </w:r>
          </w:p>
        </w:tc>
        <w:tc>
          <w:tcPr>
            <w:tcW w:w="992" w:type="dxa"/>
          </w:tcPr>
          <w:p w14:paraId="7294E487" w14:textId="77777777" w:rsidR="00EC247B" w:rsidRDefault="00EC247B"/>
        </w:tc>
      </w:tr>
      <w:tr w:rsidR="00EC247B" w:rsidRPr="00EC7D90" w14:paraId="2F3C39F5" w14:textId="5510085A" w:rsidTr="009B3C58">
        <w:trPr>
          <w:trHeight w:val="733"/>
        </w:trPr>
        <w:tc>
          <w:tcPr>
            <w:tcW w:w="1376" w:type="dxa"/>
          </w:tcPr>
          <w:p w14:paraId="42B79095" w14:textId="77777777" w:rsidR="00EC247B" w:rsidRPr="00EC7D90" w:rsidRDefault="00EC247B" w:rsidP="008A6DF9">
            <w:pPr>
              <w:rPr>
                <w:rFonts w:eastAsiaTheme="minorHAnsi"/>
              </w:rPr>
            </w:pPr>
            <w:r>
              <w:rPr>
                <w:rFonts w:eastAsiaTheme="minorHAnsi"/>
              </w:rPr>
              <w:lastRenderedPageBreak/>
              <w:t>17.15.1.3</w:t>
            </w:r>
          </w:p>
        </w:tc>
        <w:tc>
          <w:tcPr>
            <w:tcW w:w="7209" w:type="dxa"/>
          </w:tcPr>
          <w:p w14:paraId="173283E4" w14:textId="77777777" w:rsidR="00EC247B" w:rsidRDefault="00EC247B">
            <w:pPr>
              <w:rPr>
                <w:b/>
              </w:rPr>
            </w:pPr>
            <w:r>
              <w:t>Schools must review and keep up-to-date details for operating leases entered into the CASES21 asset module (asset register).</w:t>
            </w:r>
          </w:p>
        </w:tc>
        <w:tc>
          <w:tcPr>
            <w:tcW w:w="992" w:type="dxa"/>
          </w:tcPr>
          <w:p w14:paraId="631D4188" w14:textId="77777777" w:rsidR="00EC247B" w:rsidRDefault="00EC247B"/>
        </w:tc>
      </w:tr>
    </w:tbl>
    <w:p w14:paraId="34883177" w14:textId="77777777" w:rsidR="00126A52" w:rsidRDefault="00126A52" w:rsidP="007D3C8F">
      <w:pPr>
        <w:jc w:val="both"/>
      </w:pPr>
    </w:p>
    <w:p w14:paraId="67DE6451" w14:textId="77777777" w:rsidR="00006947" w:rsidRPr="006F7B96" w:rsidRDefault="00006947" w:rsidP="00006947">
      <w:pPr>
        <w:pStyle w:val="Heading2"/>
      </w:pPr>
      <w:r>
        <w:t>17.1</w:t>
      </w:r>
      <w:r w:rsidR="00502E14">
        <w:t>6</w:t>
      </w:r>
      <w:r>
        <w:tab/>
        <w:t>Budget entry</w:t>
      </w:r>
    </w:p>
    <w:p w14:paraId="59BB5935" w14:textId="77777777" w:rsidR="00BF60C2" w:rsidRPr="00EC7D90" w:rsidRDefault="00BF60C2" w:rsidP="00BF60C2">
      <w:pPr>
        <w:pStyle w:val="Heading3"/>
      </w:pPr>
      <w:r>
        <w:t>17.16.1</w:t>
      </w:r>
      <w:r w:rsidRPr="00EC7D90">
        <w:t xml:space="preserve"> </w:t>
      </w:r>
      <w:r>
        <w:tab/>
      </w:r>
      <w:r w:rsidRPr="00EC7D90">
        <w:t>Mandatory policy (</w:t>
      </w:r>
      <w:r>
        <w:t>Must do</w:t>
      </w:r>
      <w:r w:rsidRPr="00EC7D90">
        <w:t>)</w:t>
      </w:r>
      <w:r>
        <w:t>:</w:t>
      </w:r>
    </w:p>
    <w:tbl>
      <w:tblPr>
        <w:tblW w:w="943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containing sequence numbers and policy information"/>
      </w:tblPr>
      <w:tblGrid>
        <w:gridCol w:w="1134"/>
        <w:gridCol w:w="7451"/>
        <w:gridCol w:w="851"/>
      </w:tblGrid>
      <w:tr w:rsidR="004B47B9" w:rsidRPr="0091756B" w14:paraId="133DC884" w14:textId="7EA8EE0B" w:rsidTr="009B3C58">
        <w:trPr>
          <w:trHeight w:val="567"/>
          <w:tblHeader/>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1E15008" w14:textId="77777777" w:rsidR="004B47B9" w:rsidRPr="00D60EB6" w:rsidRDefault="004B47B9" w:rsidP="00DF168D">
            <w:pPr>
              <w:rPr>
                <w:b/>
                <w:sz w:val="18"/>
              </w:rPr>
            </w:pPr>
            <w:r w:rsidRPr="00D60EB6">
              <w:rPr>
                <w:b/>
                <w:sz w:val="18"/>
              </w:rPr>
              <w:t>Sequence Numbers</w:t>
            </w:r>
          </w:p>
        </w:tc>
        <w:tc>
          <w:tcPr>
            <w:tcW w:w="7451" w:type="dxa"/>
            <w:tcBorders>
              <w:top w:val="single" w:sz="4" w:space="0" w:color="auto"/>
              <w:left w:val="single" w:sz="4" w:space="0" w:color="auto"/>
              <w:bottom w:val="single" w:sz="4" w:space="0" w:color="auto"/>
              <w:right w:val="single" w:sz="4" w:space="0" w:color="auto"/>
            </w:tcBorders>
            <w:shd w:val="clear" w:color="auto" w:fill="auto"/>
          </w:tcPr>
          <w:p w14:paraId="0BC80393" w14:textId="77777777" w:rsidR="004B47B9" w:rsidRPr="00E0071A" w:rsidRDefault="004B47B9" w:rsidP="00DF168D">
            <w:pPr>
              <w:rPr>
                <w:b/>
                <w:sz w:val="20"/>
                <w:szCs w:val="20"/>
              </w:rPr>
            </w:pPr>
            <w:r w:rsidRPr="00E0071A">
              <w:rPr>
                <w:b/>
                <w:sz w:val="20"/>
                <w:szCs w:val="20"/>
              </w:rPr>
              <w:t>Information</w:t>
            </w:r>
          </w:p>
        </w:tc>
        <w:tc>
          <w:tcPr>
            <w:tcW w:w="851" w:type="dxa"/>
            <w:tcBorders>
              <w:top w:val="nil"/>
              <w:left w:val="single" w:sz="4" w:space="0" w:color="auto"/>
              <w:bottom w:val="single" w:sz="4" w:space="0" w:color="auto"/>
              <w:right w:val="nil"/>
            </w:tcBorders>
          </w:tcPr>
          <w:p w14:paraId="31C1111C" w14:textId="77777777" w:rsidR="004B47B9" w:rsidRPr="00D60EB6" w:rsidRDefault="004B47B9" w:rsidP="00DF168D">
            <w:pPr>
              <w:rPr>
                <w:b/>
              </w:rPr>
            </w:pPr>
          </w:p>
        </w:tc>
      </w:tr>
      <w:tr w:rsidR="004B47B9" w:rsidRPr="00F81106" w14:paraId="290D3054" w14:textId="56BA356A" w:rsidTr="009B3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021"/>
        </w:trPr>
        <w:tc>
          <w:tcPr>
            <w:tcW w:w="1134" w:type="dxa"/>
            <w:tcBorders>
              <w:top w:val="single" w:sz="4" w:space="0" w:color="auto"/>
              <w:left w:val="single" w:sz="4" w:space="0" w:color="auto"/>
              <w:bottom w:val="single" w:sz="4" w:space="0" w:color="auto"/>
              <w:right w:val="single" w:sz="4" w:space="0" w:color="auto"/>
            </w:tcBorders>
          </w:tcPr>
          <w:p w14:paraId="035A21AC" w14:textId="77777777" w:rsidR="004B47B9" w:rsidRPr="00F81106" w:rsidRDefault="004B47B9" w:rsidP="00502E14">
            <w:r w:rsidRPr="00F81106">
              <w:t>1</w:t>
            </w:r>
            <w:r>
              <w:t>7</w:t>
            </w:r>
            <w:r w:rsidRPr="00F81106">
              <w:t>.</w:t>
            </w:r>
            <w:r>
              <w:t>16.</w:t>
            </w:r>
            <w:r w:rsidRPr="00F81106">
              <w:t>1.1</w:t>
            </w:r>
          </w:p>
        </w:tc>
        <w:tc>
          <w:tcPr>
            <w:tcW w:w="7451" w:type="dxa"/>
            <w:tcBorders>
              <w:top w:val="single" w:sz="4" w:space="0" w:color="auto"/>
              <w:left w:val="single" w:sz="4" w:space="0" w:color="auto"/>
              <w:bottom w:val="single" w:sz="4" w:space="0" w:color="auto"/>
              <w:right w:val="single" w:sz="4" w:space="0" w:color="auto"/>
            </w:tcBorders>
          </w:tcPr>
          <w:p w14:paraId="33CA67AD" w14:textId="77777777" w:rsidR="004B47B9" w:rsidRPr="00F81106" w:rsidRDefault="004B47B9" w:rsidP="00EB36B3">
            <w:pPr>
              <w:jc w:val="both"/>
            </w:pPr>
            <w:r>
              <w:t>Budgets for the New Year, once approved by school council, must be entered in the Next Year Monthly tab in GL Budget Details prior to the End of Year process.</w:t>
            </w:r>
          </w:p>
        </w:tc>
        <w:tc>
          <w:tcPr>
            <w:tcW w:w="851" w:type="dxa"/>
            <w:tcBorders>
              <w:top w:val="single" w:sz="4" w:space="0" w:color="auto"/>
              <w:left w:val="single" w:sz="4" w:space="0" w:color="auto"/>
              <w:bottom w:val="single" w:sz="4" w:space="0" w:color="auto"/>
              <w:right w:val="single" w:sz="4" w:space="0" w:color="auto"/>
            </w:tcBorders>
          </w:tcPr>
          <w:p w14:paraId="409FFFF8" w14:textId="77777777" w:rsidR="004B47B9" w:rsidRDefault="004B47B9" w:rsidP="00EB36B3">
            <w:pPr>
              <w:jc w:val="both"/>
            </w:pPr>
          </w:p>
        </w:tc>
      </w:tr>
    </w:tbl>
    <w:p w14:paraId="7A03D51D" w14:textId="77777777" w:rsidR="00B06C9A" w:rsidRDefault="00B06C9A" w:rsidP="00B06C9A">
      <w:pPr>
        <w:pStyle w:val="Heading2"/>
      </w:pPr>
      <w:r w:rsidRPr="004C17ED">
        <w:t>1</w:t>
      </w:r>
      <w:r w:rsidR="0062563E" w:rsidRPr="004C17ED">
        <w:t>7</w:t>
      </w:r>
      <w:r w:rsidRPr="004C17ED">
        <w:t>.</w:t>
      </w:r>
      <w:r w:rsidR="0062563E" w:rsidRPr="004C17ED">
        <w:t>1</w:t>
      </w:r>
      <w:r w:rsidR="00502E14">
        <w:t>7</w:t>
      </w:r>
      <w:r w:rsidR="00FE0C6C">
        <w:t xml:space="preserve"> </w:t>
      </w:r>
      <w:r w:rsidRPr="004C17ED">
        <w:tab/>
        <w:t>Print and check batch status</w:t>
      </w:r>
      <w:r w:rsidRPr="00B06C9A">
        <w:t xml:space="preserve"> report</w:t>
      </w:r>
    </w:p>
    <w:p w14:paraId="0013A822" w14:textId="77777777" w:rsidR="00B06C9A" w:rsidRPr="00EC7D90" w:rsidRDefault="00B06C9A" w:rsidP="00B06C9A">
      <w:pPr>
        <w:pStyle w:val="Heading3"/>
      </w:pPr>
      <w:r>
        <w:t>1</w:t>
      </w:r>
      <w:r w:rsidR="00220FC7">
        <w:t>7</w:t>
      </w:r>
      <w:r>
        <w:t>.</w:t>
      </w:r>
      <w:r w:rsidR="00220FC7">
        <w:t>1</w:t>
      </w:r>
      <w:r w:rsidR="00502E14">
        <w:t>7</w:t>
      </w:r>
      <w:r>
        <w:t>.1</w:t>
      </w:r>
      <w:r w:rsidRPr="00EC7D90">
        <w:t xml:space="preserve"> </w:t>
      </w:r>
      <w:r>
        <w:tab/>
      </w:r>
      <w:r w:rsidRPr="00EC7D90">
        <w:t>Mandatory policy (</w:t>
      </w:r>
      <w:r>
        <w:t>Must do</w:t>
      </w:r>
      <w:r w:rsidRPr="00EC7D90">
        <w:t>)</w:t>
      </w:r>
      <w:r>
        <w:t>:</w:t>
      </w:r>
    </w:p>
    <w:tbl>
      <w:tblPr>
        <w:tblW w:w="943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containing sequence numbers and policy information"/>
      </w:tblPr>
      <w:tblGrid>
        <w:gridCol w:w="1134"/>
        <w:gridCol w:w="7451"/>
        <w:gridCol w:w="851"/>
      </w:tblGrid>
      <w:tr w:rsidR="004B47B9" w:rsidRPr="0091756B" w14:paraId="046217D7" w14:textId="508BE4DB" w:rsidTr="009B3C58">
        <w:trPr>
          <w:trHeight w:val="567"/>
          <w:tblHeader/>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29EF02D6" w14:textId="77777777" w:rsidR="004B47B9" w:rsidRPr="00D60EB6" w:rsidRDefault="004B47B9" w:rsidP="00DF168D">
            <w:pPr>
              <w:rPr>
                <w:b/>
                <w:sz w:val="18"/>
              </w:rPr>
            </w:pPr>
            <w:r w:rsidRPr="00D60EB6">
              <w:rPr>
                <w:b/>
                <w:sz w:val="18"/>
              </w:rPr>
              <w:t>Sequence Numbers</w:t>
            </w:r>
          </w:p>
        </w:tc>
        <w:tc>
          <w:tcPr>
            <w:tcW w:w="7451" w:type="dxa"/>
            <w:tcBorders>
              <w:top w:val="single" w:sz="4" w:space="0" w:color="auto"/>
              <w:left w:val="single" w:sz="4" w:space="0" w:color="auto"/>
              <w:bottom w:val="single" w:sz="4" w:space="0" w:color="auto"/>
              <w:right w:val="single" w:sz="4" w:space="0" w:color="auto"/>
            </w:tcBorders>
            <w:shd w:val="clear" w:color="auto" w:fill="auto"/>
          </w:tcPr>
          <w:p w14:paraId="514CA4FB" w14:textId="77777777" w:rsidR="004B47B9" w:rsidRPr="00E0071A" w:rsidRDefault="004B47B9" w:rsidP="00DF168D">
            <w:pPr>
              <w:rPr>
                <w:b/>
                <w:sz w:val="20"/>
                <w:szCs w:val="20"/>
              </w:rPr>
            </w:pPr>
            <w:r w:rsidRPr="00E0071A">
              <w:rPr>
                <w:b/>
                <w:sz w:val="20"/>
                <w:szCs w:val="20"/>
              </w:rPr>
              <w:t>Information</w:t>
            </w:r>
          </w:p>
        </w:tc>
        <w:tc>
          <w:tcPr>
            <w:tcW w:w="851" w:type="dxa"/>
            <w:tcBorders>
              <w:top w:val="nil"/>
              <w:left w:val="single" w:sz="4" w:space="0" w:color="auto"/>
              <w:bottom w:val="single" w:sz="4" w:space="0" w:color="auto"/>
              <w:right w:val="nil"/>
            </w:tcBorders>
          </w:tcPr>
          <w:p w14:paraId="21D781CC" w14:textId="77777777" w:rsidR="004B47B9" w:rsidRPr="00D60EB6" w:rsidRDefault="004B47B9" w:rsidP="00DF168D">
            <w:pPr>
              <w:rPr>
                <w:b/>
              </w:rPr>
            </w:pPr>
          </w:p>
        </w:tc>
      </w:tr>
      <w:tr w:rsidR="004B47B9" w:rsidRPr="00EC7D90" w14:paraId="5AB029D8" w14:textId="639B3996" w:rsidTr="009B3C58">
        <w:trPr>
          <w:trHeight w:hRule="exact" w:val="1304"/>
        </w:trPr>
        <w:tc>
          <w:tcPr>
            <w:tcW w:w="1134" w:type="dxa"/>
          </w:tcPr>
          <w:p w14:paraId="0D25D7BA" w14:textId="77777777" w:rsidR="004B47B9" w:rsidRPr="00EC7D90" w:rsidRDefault="004B47B9" w:rsidP="00BF4825">
            <w:pPr>
              <w:rPr>
                <w:rFonts w:eastAsiaTheme="minorHAnsi"/>
              </w:rPr>
            </w:pPr>
            <w:r>
              <w:rPr>
                <w:rFonts w:eastAsiaTheme="minorHAnsi"/>
              </w:rPr>
              <w:t>17.17.1.1</w:t>
            </w:r>
          </w:p>
        </w:tc>
        <w:tc>
          <w:tcPr>
            <w:tcW w:w="7451" w:type="dxa"/>
          </w:tcPr>
          <w:p w14:paraId="7FD1B6F6" w14:textId="77777777" w:rsidR="004B47B9" w:rsidRDefault="004B47B9">
            <w:pPr>
              <w:rPr>
                <w:b/>
              </w:rPr>
            </w:pPr>
            <w:r>
              <w:t>Schools must check for any unprocessed batches. All unprocessed batches must have their details investigated. If these batches are found to be invalid, they must be deleted (e.g. duplicate batch) or if the batches are valid, they must be updated.</w:t>
            </w:r>
          </w:p>
        </w:tc>
        <w:tc>
          <w:tcPr>
            <w:tcW w:w="851" w:type="dxa"/>
          </w:tcPr>
          <w:p w14:paraId="54FD1E76" w14:textId="77777777" w:rsidR="004B47B9" w:rsidRDefault="004B47B9"/>
        </w:tc>
      </w:tr>
    </w:tbl>
    <w:p w14:paraId="58C14378" w14:textId="77777777" w:rsidR="004234DF" w:rsidRDefault="004234DF" w:rsidP="00220FC7">
      <w:pPr>
        <w:pStyle w:val="Heading3"/>
      </w:pPr>
    </w:p>
    <w:p w14:paraId="651C697E" w14:textId="77777777" w:rsidR="004234DF" w:rsidRDefault="004234DF" w:rsidP="00220FC7">
      <w:pPr>
        <w:pStyle w:val="Heading3"/>
      </w:pPr>
    </w:p>
    <w:p w14:paraId="33423450" w14:textId="28086521" w:rsidR="00220FC7" w:rsidRPr="00EC7D90" w:rsidRDefault="00220FC7" w:rsidP="00220FC7">
      <w:pPr>
        <w:pStyle w:val="Heading3"/>
      </w:pPr>
      <w:r>
        <w:t>1</w:t>
      </w:r>
      <w:r w:rsidR="00EB36B3">
        <w:t>7</w:t>
      </w:r>
      <w:r>
        <w:t>.</w:t>
      </w:r>
      <w:r w:rsidR="00EB36B3">
        <w:t>1</w:t>
      </w:r>
      <w:r w:rsidR="00EE15AC">
        <w:t>7</w:t>
      </w:r>
      <w:r>
        <w:t>.</w:t>
      </w:r>
      <w:r w:rsidR="00EB36B3">
        <w:t>2</w:t>
      </w:r>
      <w:r w:rsidRPr="00EC7D90">
        <w:t xml:space="preserve"> </w:t>
      </w:r>
      <w:r>
        <w:tab/>
        <w:t xml:space="preserve">Prohibited </w:t>
      </w:r>
      <w:r w:rsidRPr="00EC7D90">
        <w:t>policy (</w:t>
      </w:r>
      <w:r>
        <w:t>Must not do</w:t>
      </w:r>
      <w:r w:rsidRPr="00EC7D90">
        <w:t>)</w:t>
      </w:r>
      <w:r>
        <w:t>:</w:t>
      </w:r>
    </w:p>
    <w:tbl>
      <w:tblPr>
        <w:tblW w:w="915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containing sequence numbers and policy information"/>
      </w:tblPr>
      <w:tblGrid>
        <w:gridCol w:w="1134"/>
        <w:gridCol w:w="7088"/>
        <w:gridCol w:w="930"/>
      </w:tblGrid>
      <w:tr w:rsidR="004B47B9" w:rsidRPr="0091756B" w14:paraId="44A66C93" w14:textId="4E59AD24" w:rsidTr="009B3C58">
        <w:trPr>
          <w:trHeight w:val="567"/>
          <w:tblHeader/>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38B231C" w14:textId="77777777" w:rsidR="004B47B9" w:rsidRPr="00D60EB6" w:rsidRDefault="004B47B9" w:rsidP="00DF168D">
            <w:pPr>
              <w:rPr>
                <w:b/>
                <w:sz w:val="18"/>
              </w:rPr>
            </w:pPr>
            <w:r w:rsidRPr="00D60EB6">
              <w:rPr>
                <w:b/>
                <w:sz w:val="18"/>
              </w:rPr>
              <w:t>Sequence Numbers</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7BCEB944" w14:textId="77777777" w:rsidR="004B47B9" w:rsidRPr="00E0071A" w:rsidRDefault="004B47B9" w:rsidP="00DF168D">
            <w:pPr>
              <w:rPr>
                <w:b/>
                <w:sz w:val="20"/>
                <w:szCs w:val="20"/>
              </w:rPr>
            </w:pPr>
            <w:r w:rsidRPr="00E0071A">
              <w:rPr>
                <w:b/>
                <w:sz w:val="20"/>
                <w:szCs w:val="20"/>
              </w:rPr>
              <w:t>Information</w:t>
            </w:r>
          </w:p>
        </w:tc>
        <w:tc>
          <w:tcPr>
            <w:tcW w:w="930" w:type="dxa"/>
            <w:tcBorders>
              <w:top w:val="nil"/>
              <w:left w:val="single" w:sz="4" w:space="0" w:color="auto"/>
              <w:bottom w:val="single" w:sz="4" w:space="0" w:color="auto"/>
              <w:right w:val="nil"/>
            </w:tcBorders>
          </w:tcPr>
          <w:p w14:paraId="61541A3D" w14:textId="77777777" w:rsidR="004B47B9" w:rsidRPr="00D60EB6" w:rsidRDefault="004B47B9" w:rsidP="009B3C58">
            <w:pPr>
              <w:ind w:left="-158" w:firstLine="158"/>
              <w:rPr>
                <w:b/>
              </w:rPr>
            </w:pPr>
          </w:p>
        </w:tc>
      </w:tr>
      <w:tr w:rsidR="004B47B9" w:rsidRPr="00EC7D90" w14:paraId="3F5B4B7A" w14:textId="727F8008" w:rsidTr="009B3C58">
        <w:trPr>
          <w:trHeight w:hRule="exact" w:val="737"/>
        </w:trPr>
        <w:tc>
          <w:tcPr>
            <w:tcW w:w="1134" w:type="dxa"/>
          </w:tcPr>
          <w:p w14:paraId="0DDDA9AC" w14:textId="77777777" w:rsidR="004B47B9" w:rsidRPr="00EC7D90" w:rsidRDefault="004B47B9" w:rsidP="00BF4825">
            <w:pPr>
              <w:rPr>
                <w:rFonts w:eastAsiaTheme="minorHAnsi"/>
              </w:rPr>
            </w:pPr>
            <w:r>
              <w:rPr>
                <w:rFonts w:eastAsiaTheme="minorHAnsi"/>
              </w:rPr>
              <w:t>17.17.2.1</w:t>
            </w:r>
          </w:p>
        </w:tc>
        <w:tc>
          <w:tcPr>
            <w:tcW w:w="7088" w:type="dxa"/>
          </w:tcPr>
          <w:p w14:paraId="0BC2DF57" w14:textId="77777777" w:rsidR="004B47B9" w:rsidRDefault="004B47B9">
            <w:pPr>
              <w:rPr>
                <w:b/>
              </w:rPr>
            </w:pPr>
            <w:r>
              <w:t>Forward batches for the January period cannot be created in December for completion in the New Year.</w:t>
            </w:r>
          </w:p>
        </w:tc>
        <w:tc>
          <w:tcPr>
            <w:tcW w:w="930" w:type="dxa"/>
          </w:tcPr>
          <w:p w14:paraId="205FA600" w14:textId="77777777" w:rsidR="004B47B9" w:rsidRDefault="004B47B9" w:rsidP="009B3C58">
            <w:pPr>
              <w:ind w:left="-158" w:firstLine="158"/>
            </w:pPr>
          </w:p>
        </w:tc>
      </w:tr>
    </w:tbl>
    <w:p w14:paraId="2C6B576C" w14:textId="77777777" w:rsidR="007D3C8F" w:rsidRDefault="007D3C8F" w:rsidP="006B4A1F">
      <w:pPr>
        <w:jc w:val="both"/>
      </w:pPr>
    </w:p>
    <w:p w14:paraId="2D058461" w14:textId="77777777" w:rsidR="00D76D79" w:rsidRPr="00095EEC" w:rsidRDefault="00B1289C" w:rsidP="00B1289C">
      <w:pPr>
        <w:pStyle w:val="Heading2"/>
      </w:pPr>
      <w:r w:rsidRPr="00095EEC">
        <w:lastRenderedPageBreak/>
        <w:t>1</w:t>
      </w:r>
      <w:r w:rsidR="00E00145" w:rsidRPr="00095EEC">
        <w:t>7</w:t>
      </w:r>
      <w:r w:rsidRPr="00095EEC">
        <w:t>.</w:t>
      </w:r>
      <w:r w:rsidR="00737A92">
        <w:t>1</w:t>
      </w:r>
      <w:r w:rsidR="004705B1">
        <w:t>8</w:t>
      </w:r>
      <w:r w:rsidRPr="00095EEC">
        <w:tab/>
      </w:r>
      <w:r w:rsidR="00D76D79" w:rsidRPr="00095EEC">
        <w:t>Reports for December End of Period</w:t>
      </w:r>
    </w:p>
    <w:p w14:paraId="47B45547" w14:textId="77777777" w:rsidR="00BF60C2" w:rsidRPr="00EC7D90" w:rsidRDefault="00BF60C2" w:rsidP="00BF60C2">
      <w:pPr>
        <w:pStyle w:val="Heading3"/>
      </w:pPr>
      <w:r>
        <w:t>17.18.1</w:t>
      </w:r>
      <w:r w:rsidRPr="00EC7D90">
        <w:t xml:space="preserve"> </w:t>
      </w:r>
      <w:r>
        <w:tab/>
      </w:r>
      <w:r w:rsidRPr="00EC7D90">
        <w:t>Mandatory policy (</w:t>
      </w:r>
      <w:r>
        <w:t>Must do</w:t>
      </w:r>
      <w:r w:rsidRPr="00EC7D90">
        <w:t>)</w:t>
      </w:r>
      <w:r>
        <w:t>:</w:t>
      </w:r>
    </w:p>
    <w:tbl>
      <w:tblPr>
        <w:tblW w:w="915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containing sequence numbers and policy information"/>
      </w:tblPr>
      <w:tblGrid>
        <w:gridCol w:w="1134"/>
        <w:gridCol w:w="7088"/>
        <w:gridCol w:w="930"/>
      </w:tblGrid>
      <w:tr w:rsidR="004B47B9" w:rsidRPr="0091756B" w14:paraId="67C6F782" w14:textId="73749963" w:rsidTr="009B3C58">
        <w:trPr>
          <w:trHeight w:val="567"/>
          <w:tblHeader/>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29B0150" w14:textId="77777777" w:rsidR="004B47B9" w:rsidRPr="00D60EB6" w:rsidRDefault="004B47B9" w:rsidP="00DF168D">
            <w:pPr>
              <w:rPr>
                <w:b/>
                <w:sz w:val="18"/>
              </w:rPr>
            </w:pPr>
            <w:r w:rsidRPr="00D60EB6">
              <w:rPr>
                <w:b/>
                <w:sz w:val="18"/>
              </w:rPr>
              <w:t>Sequence Numbers</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5F8E0E49" w14:textId="77777777" w:rsidR="004B47B9" w:rsidRPr="00E0071A" w:rsidRDefault="004B47B9" w:rsidP="00DF168D">
            <w:pPr>
              <w:rPr>
                <w:b/>
                <w:sz w:val="20"/>
                <w:szCs w:val="20"/>
              </w:rPr>
            </w:pPr>
            <w:r w:rsidRPr="00E0071A">
              <w:rPr>
                <w:b/>
                <w:sz w:val="20"/>
                <w:szCs w:val="20"/>
              </w:rPr>
              <w:t>Information</w:t>
            </w:r>
          </w:p>
        </w:tc>
        <w:tc>
          <w:tcPr>
            <w:tcW w:w="930" w:type="dxa"/>
            <w:tcBorders>
              <w:top w:val="nil"/>
              <w:left w:val="single" w:sz="4" w:space="0" w:color="auto"/>
              <w:bottom w:val="single" w:sz="4" w:space="0" w:color="auto"/>
              <w:right w:val="nil"/>
            </w:tcBorders>
          </w:tcPr>
          <w:p w14:paraId="5B2D60AD" w14:textId="77777777" w:rsidR="004B47B9" w:rsidRPr="00D60EB6" w:rsidRDefault="004B47B9" w:rsidP="00DF168D">
            <w:pPr>
              <w:rPr>
                <w:b/>
              </w:rPr>
            </w:pPr>
          </w:p>
        </w:tc>
      </w:tr>
      <w:tr w:rsidR="004B47B9" w:rsidRPr="00F81106" w14:paraId="6707210A" w14:textId="76E2B478" w:rsidTr="009B3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021"/>
        </w:trPr>
        <w:tc>
          <w:tcPr>
            <w:tcW w:w="1134" w:type="dxa"/>
            <w:tcBorders>
              <w:top w:val="single" w:sz="4" w:space="0" w:color="auto"/>
              <w:left w:val="single" w:sz="4" w:space="0" w:color="auto"/>
              <w:bottom w:val="single" w:sz="4" w:space="0" w:color="auto"/>
              <w:right w:val="single" w:sz="4" w:space="0" w:color="auto"/>
            </w:tcBorders>
          </w:tcPr>
          <w:p w14:paraId="6C386F0A" w14:textId="77777777" w:rsidR="004B47B9" w:rsidRPr="00F81106" w:rsidRDefault="004B47B9" w:rsidP="00BF4825">
            <w:r>
              <w:t>17.18.1.1</w:t>
            </w:r>
          </w:p>
        </w:tc>
        <w:tc>
          <w:tcPr>
            <w:tcW w:w="7088" w:type="dxa"/>
            <w:tcBorders>
              <w:top w:val="single" w:sz="4" w:space="0" w:color="auto"/>
              <w:left w:val="single" w:sz="4" w:space="0" w:color="auto"/>
              <w:bottom w:val="single" w:sz="4" w:space="0" w:color="auto"/>
              <w:right w:val="single" w:sz="4" w:space="0" w:color="auto"/>
            </w:tcBorders>
          </w:tcPr>
          <w:p w14:paraId="4C08C233" w14:textId="77777777" w:rsidR="004B47B9" w:rsidRDefault="004B47B9" w:rsidP="00CB639C">
            <w:r w:rsidRPr="00EB1434">
              <w:t xml:space="preserve">Reports that must be printed (hardcopy) </w:t>
            </w:r>
            <w:r>
              <w:t xml:space="preserve">or </w:t>
            </w:r>
            <w:r w:rsidRPr="00EB1434">
              <w:t>saved as PDF</w:t>
            </w:r>
            <w:r>
              <w:t>’s</w:t>
            </w:r>
            <w:r w:rsidRPr="00EB1434">
              <w:t xml:space="preserve"> for the December End of </w:t>
            </w:r>
            <w:r>
              <w:t>P</w:t>
            </w:r>
            <w:r w:rsidRPr="00EB1434">
              <w:t>eriod</w:t>
            </w:r>
            <w:r>
              <w:t xml:space="preserve"> are listed in</w:t>
            </w:r>
            <w:r w:rsidRPr="00EB1434">
              <w:t xml:space="preserve"> </w:t>
            </w:r>
            <w:hyperlink r:id="rId47" w:history="1">
              <w:r w:rsidRPr="00CB639C">
                <w:rPr>
                  <w:rStyle w:val="Hyperlink"/>
                </w:rPr>
                <w:t>CASES21 Finance Business Process Guide Section 11 – End of Year.</w:t>
              </w:r>
            </w:hyperlink>
          </w:p>
        </w:tc>
        <w:tc>
          <w:tcPr>
            <w:tcW w:w="930" w:type="dxa"/>
            <w:tcBorders>
              <w:top w:val="single" w:sz="4" w:space="0" w:color="auto"/>
              <w:left w:val="single" w:sz="4" w:space="0" w:color="auto"/>
              <w:bottom w:val="single" w:sz="4" w:space="0" w:color="auto"/>
              <w:right w:val="single" w:sz="4" w:space="0" w:color="auto"/>
            </w:tcBorders>
          </w:tcPr>
          <w:p w14:paraId="723267D0" w14:textId="77777777" w:rsidR="004B47B9" w:rsidRPr="00EB1434" w:rsidRDefault="004B47B9" w:rsidP="00CB639C"/>
        </w:tc>
      </w:tr>
      <w:tr w:rsidR="004B47B9" w:rsidRPr="00F81106" w14:paraId="61931FC2" w14:textId="12C57919" w:rsidTr="009B3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304"/>
        </w:trPr>
        <w:tc>
          <w:tcPr>
            <w:tcW w:w="1134" w:type="dxa"/>
            <w:tcBorders>
              <w:top w:val="single" w:sz="4" w:space="0" w:color="auto"/>
              <w:left w:val="single" w:sz="4" w:space="0" w:color="auto"/>
              <w:bottom w:val="single" w:sz="4" w:space="0" w:color="auto"/>
              <w:right w:val="single" w:sz="4" w:space="0" w:color="auto"/>
            </w:tcBorders>
          </w:tcPr>
          <w:p w14:paraId="178B66A9" w14:textId="77777777" w:rsidR="004B47B9" w:rsidRPr="00F81106" w:rsidRDefault="004B47B9" w:rsidP="00BF4825">
            <w:r>
              <w:t>17.18.1.2</w:t>
            </w:r>
          </w:p>
        </w:tc>
        <w:tc>
          <w:tcPr>
            <w:tcW w:w="7088" w:type="dxa"/>
            <w:tcBorders>
              <w:top w:val="single" w:sz="4" w:space="0" w:color="auto"/>
              <w:left w:val="single" w:sz="4" w:space="0" w:color="auto"/>
              <w:bottom w:val="single" w:sz="4" w:space="0" w:color="auto"/>
              <w:right w:val="single" w:sz="4" w:space="0" w:color="auto"/>
            </w:tcBorders>
          </w:tcPr>
          <w:p w14:paraId="59EE15B1" w14:textId="77777777" w:rsidR="004B47B9" w:rsidRDefault="004B47B9" w:rsidP="006C30D4">
            <w:r w:rsidRPr="00EB1434">
              <w:t xml:space="preserve">Reports must </w:t>
            </w:r>
            <w:r>
              <w:t xml:space="preserve">be either </w:t>
            </w:r>
            <w:r w:rsidRPr="00EB1434">
              <w:t xml:space="preserve">printed </w:t>
            </w:r>
            <w:r>
              <w:t xml:space="preserve">(hardcopy) or </w:t>
            </w:r>
            <w:r w:rsidRPr="00EB1434">
              <w:t>saved as PDF</w:t>
            </w:r>
            <w:r>
              <w:t>’s</w:t>
            </w:r>
            <w:r w:rsidRPr="00EB1434">
              <w:t xml:space="preserve"> for financial re</w:t>
            </w:r>
            <w:r>
              <w:t>cord keeping and audit purposes. Financial reports must be kept for 7 years. Refer to Section 2 Governance of this manual for further guidance.</w:t>
            </w:r>
          </w:p>
        </w:tc>
        <w:tc>
          <w:tcPr>
            <w:tcW w:w="930" w:type="dxa"/>
            <w:tcBorders>
              <w:top w:val="single" w:sz="4" w:space="0" w:color="auto"/>
              <w:left w:val="single" w:sz="4" w:space="0" w:color="auto"/>
              <w:bottom w:val="single" w:sz="4" w:space="0" w:color="auto"/>
              <w:right w:val="single" w:sz="4" w:space="0" w:color="auto"/>
            </w:tcBorders>
          </w:tcPr>
          <w:p w14:paraId="3CC3622A" w14:textId="77777777" w:rsidR="004B47B9" w:rsidRPr="00EB1434" w:rsidRDefault="004B47B9" w:rsidP="006C30D4"/>
        </w:tc>
      </w:tr>
      <w:tr w:rsidR="004B47B9" w:rsidRPr="00F81106" w14:paraId="3AC783B9" w14:textId="2E99B3EF" w:rsidTr="009B3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021"/>
        </w:trPr>
        <w:tc>
          <w:tcPr>
            <w:tcW w:w="1134" w:type="dxa"/>
            <w:tcBorders>
              <w:top w:val="single" w:sz="4" w:space="0" w:color="auto"/>
              <w:left w:val="single" w:sz="4" w:space="0" w:color="auto"/>
              <w:bottom w:val="single" w:sz="4" w:space="0" w:color="auto"/>
              <w:right w:val="single" w:sz="4" w:space="0" w:color="auto"/>
            </w:tcBorders>
          </w:tcPr>
          <w:p w14:paraId="64364E2F" w14:textId="77777777" w:rsidR="004B47B9" w:rsidRPr="00F81106" w:rsidRDefault="004B47B9" w:rsidP="00BF4825">
            <w:r w:rsidRPr="00F81106">
              <w:t>1</w:t>
            </w:r>
            <w:r>
              <w:t>7</w:t>
            </w:r>
            <w:r w:rsidRPr="00F81106">
              <w:t>.</w:t>
            </w:r>
            <w:r>
              <w:t>18.</w:t>
            </w:r>
            <w:r w:rsidRPr="00F81106">
              <w:t>1.3</w:t>
            </w:r>
          </w:p>
        </w:tc>
        <w:tc>
          <w:tcPr>
            <w:tcW w:w="7088" w:type="dxa"/>
            <w:tcBorders>
              <w:top w:val="single" w:sz="4" w:space="0" w:color="auto"/>
              <w:left w:val="single" w:sz="4" w:space="0" w:color="auto"/>
              <w:bottom w:val="single" w:sz="4" w:space="0" w:color="auto"/>
              <w:right w:val="single" w:sz="4" w:space="0" w:color="auto"/>
            </w:tcBorders>
          </w:tcPr>
          <w:p w14:paraId="126252D2" w14:textId="77777777" w:rsidR="004B47B9" w:rsidRDefault="004B47B9">
            <w:r w:rsidRPr="00640613">
              <w:t xml:space="preserve">All Finance Committee reports listed </w:t>
            </w:r>
            <w:r>
              <w:t xml:space="preserve">in section 17.20 below must be </w:t>
            </w:r>
            <w:r w:rsidRPr="00640613">
              <w:t xml:space="preserve">tabled </w:t>
            </w:r>
            <w:r>
              <w:t>to</w:t>
            </w:r>
            <w:r w:rsidRPr="00640613">
              <w:t xml:space="preserve"> </w:t>
            </w:r>
            <w:r>
              <w:t xml:space="preserve">the </w:t>
            </w:r>
            <w:r w:rsidRPr="00640613">
              <w:t xml:space="preserve">Finance Committee. In the absence of a Finance Committee, these reports </w:t>
            </w:r>
            <w:r>
              <w:t xml:space="preserve">must be </w:t>
            </w:r>
            <w:r w:rsidRPr="00640613">
              <w:t>tabled at School Council.</w:t>
            </w:r>
          </w:p>
        </w:tc>
        <w:tc>
          <w:tcPr>
            <w:tcW w:w="930" w:type="dxa"/>
            <w:tcBorders>
              <w:top w:val="single" w:sz="4" w:space="0" w:color="auto"/>
              <w:left w:val="single" w:sz="4" w:space="0" w:color="auto"/>
              <w:bottom w:val="single" w:sz="4" w:space="0" w:color="auto"/>
              <w:right w:val="single" w:sz="4" w:space="0" w:color="auto"/>
            </w:tcBorders>
          </w:tcPr>
          <w:p w14:paraId="5998A706" w14:textId="77777777" w:rsidR="004B47B9" w:rsidRPr="00640613" w:rsidRDefault="004B47B9"/>
        </w:tc>
      </w:tr>
    </w:tbl>
    <w:p w14:paraId="2CE6EC73" w14:textId="26ACEEEB" w:rsidR="004B3AFD" w:rsidRDefault="004B3AFD">
      <w:pPr>
        <w:spacing w:before="0" w:line="240" w:lineRule="auto"/>
        <w:rPr>
          <w:rFonts w:eastAsiaTheme="majorEastAsia" w:cstheme="majorBidi"/>
          <w:b/>
          <w:color w:val="AF272F"/>
          <w:sz w:val="36"/>
          <w:szCs w:val="20"/>
        </w:rPr>
      </w:pPr>
    </w:p>
    <w:p w14:paraId="3209B6CB" w14:textId="77777777" w:rsidR="000E2807" w:rsidRDefault="004705B1" w:rsidP="000E2807">
      <w:pPr>
        <w:pStyle w:val="Heading2"/>
      </w:pPr>
      <w:r>
        <w:t>17.19</w:t>
      </w:r>
      <w:r w:rsidR="000E2807" w:rsidRPr="00095EEC">
        <w:tab/>
      </w:r>
      <w:r w:rsidR="000E2807">
        <w:t xml:space="preserve">End of Year </w:t>
      </w:r>
      <w:r w:rsidR="000E2807" w:rsidRPr="004705B1">
        <w:rPr>
          <w:color w:val="AF2531"/>
        </w:rPr>
        <w:t>Reports</w:t>
      </w:r>
      <w:r>
        <w:t xml:space="preserve"> (31 December)</w:t>
      </w:r>
    </w:p>
    <w:p w14:paraId="39B65A5F" w14:textId="77777777" w:rsidR="00BF60C2" w:rsidRPr="00EC7D90" w:rsidRDefault="00BF60C2" w:rsidP="00BF60C2">
      <w:pPr>
        <w:pStyle w:val="Heading3"/>
      </w:pPr>
      <w:r>
        <w:t>17.19.1</w:t>
      </w:r>
      <w:r w:rsidRPr="00EC7D90">
        <w:t xml:space="preserve"> </w:t>
      </w:r>
      <w:r>
        <w:tab/>
      </w:r>
      <w:r w:rsidRPr="00EC7D90">
        <w:t>Mandatory policy (</w:t>
      </w:r>
      <w:r>
        <w:t>Must do</w:t>
      </w:r>
      <w:r w:rsidRPr="00EC7D90">
        <w:t>)</w:t>
      </w:r>
      <w:r>
        <w:t>:</w:t>
      </w:r>
    </w:p>
    <w:tbl>
      <w:tblPr>
        <w:tblW w:w="915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containing sequence numbers and policy information"/>
      </w:tblPr>
      <w:tblGrid>
        <w:gridCol w:w="1356"/>
        <w:gridCol w:w="6804"/>
        <w:gridCol w:w="992"/>
      </w:tblGrid>
      <w:tr w:rsidR="004B47B9" w:rsidRPr="0091756B" w14:paraId="3FF23F68" w14:textId="7FC4B3B3" w:rsidTr="009B3C58">
        <w:trPr>
          <w:trHeight w:val="567"/>
          <w:tblHeader/>
        </w:trPr>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tcPr>
          <w:p w14:paraId="395FEF0A" w14:textId="77777777" w:rsidR="004B47B9" w:rsidRPr="00D60EB6" w:rsidRDefault="004B47B9" w:rsidP="00DF168D">
            <w:pPr>
              <w:rPr>
                <w:b/>
                <w:sz w:val="18"/>
              </w:rPr>
            </w:pPr>
            <w:r w:rsidRPr="00D60EB6">
              <w:rPr>
                <w:b/>
                <w:sz w:val="18"/>
              </w:rPr>
              <w:t>Sequence Numbers</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0622355" w14:textId="77777777" w:rsidR="004B47B9" w:rsidRPr="00E0071A" w:rsidRDefault="004B47B9" w:rsidP="00DF168D">
            <w:pPr>
              <w:rPr>
                <w:b/>
                <w:sz w:val="20"/>
                <w:szCs w:val="20"/>
              </w:rPr>
            </w:pPr>
            <w:r w:rsidRPr="00E0071A">
              <w:rPr>
                <w:b/>
                <w:sz w:val="20"/>
                <w:szCs w:val="20"/>
              </w:rPr>
              <w:t>Information</w:t>
            </w:r>
          </w:p>
        </w:tc>
        <w:tc>
          <w:tcPr>
            <w:tcW w:w="992" w:type="dxa"/>
            <w:tcBorders>
              <w:top w:val="nil"/>
              <w:left w:val="single" w:sz="4" w:space="0" w:color="auto"/>
              <w:bottom w:val="single" w:sz="4" w:space="0" w:color="auto"/>
              <w:right w:val="nil"/>
            </w:tcBorders>
          </w:tcPr>
          <w:p w14:paraId="382EC699" w14:textId="77777777" w:rsidR="004B47B9" w:rsidRPr="00D60EB6" w:rsidRDefault="004B47B9" w:rsidP="00DF168D">
            <w:pPr>
              <w:rPr>
                <w:b/>
              </w:rPr>
            </w:pPr>
          </w:p>
        </w:tc>
      </w:tr>
      <w:tr w:rsidR="004B47B9" w:rsidRPr="00F81106" w14:paraId="3EC57BC6" w14:textId="7585BD10" w:rsidTr="009B3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021"/>
        </w:trPr>
        <w:tc>
          <w:tcPr>
            <w:tcW w:w="1356" w:type="dxa"/>
            <w:tcBorders>
              <w:top w:val="single" w:sz="4" w:space="0" w:color="auto"/>
              <w:left w:val="single" w:sz="4" w:space="0" w:color="auto"/>
              <w:bottom w:val="single" w:sz="4" w:space="0" w:color="auto"/>
              <w:right w:val="single" w:sz="4" w:space="0" w:color="auto"/>
            </w:tcBorders>
          </w:tcPr>
          <w:p w14:paraId="23B5B313" w14:textId="77777777" w:rsidR="004B47B9" w:rsidRPr="00F81106" w:rsidRDefault="004B47B9" w:rsidP="00840E2E">
            <w:pPr>
              <w:ind w:right="-162"/>
            </w:pPr>
            <w:r>
              <w:t>17.19.1.1</w:t>
            </w:r>
          </w:p>
        </w:tc>
        <w:tc>
          <w:tcPr>
            <w:tcW w:w="6804" w:type="dxa"/>
            <w:tcBorders>
              <w:top w:val="single" w:sz="4" w:space="0" w:color="auto"/>
              <w:left w:val="single" w:sz="4" w:space="0" w:color="auto"/>
              <w:bottom w:val="single" w:sz="4" w:space="0" w:color="auto"/>
              <w:right w:val="single" w:sz="4" w:space="0" w:color="auto"/>
            </w:tcBorders>
          </w:tcPr>
          <w:p w14:paraId="0CA39B19" w14:textId="77777777" w:rsidR="004B47B9" w:rsidRDefault="004B47B9" w:rsidP="00EB535C">
            <w:r>
              <w:t>End of Year reports must be printed (hardcopy) or saved as PDF’s. S</w:t>
            </w:r>
            <w:r w:rsidRPr="00912641">
              <w:t xml:space="preserve">chool must </w:t>
            </w:r>
            <w:r>
              <w:t xml:space="preserve">be able to </w:t>
            </w:r>
            <w:r w:rsidRPr="00912641">
              <w:t xml:space="preserve">make available </w:t>
            </w:r>
            <w:r>
              <w:t xml:space="preserve">reports at the Departments or </w:t>
            </w:r>
            <w:r w:rsidRPr="00912641">
              <w:t>auditor’s request.</w:t>
            </w:r>
            <w:r>
              <w:t xml:space="preserve"> </w:t>
            </w:r>
          </w:p>
        </w:tc>
        <w:tc>
          <w:tcPr>
            <w:tcW w:w="992" w:type="dxa"/>
            <w:tcBorders>
              <w:top w:val="single" w:sz="4" w:space="0" w:color="auto"/>
              <w:left w:val="single" w:sz="4" w:space="0" w:color="auto"/>
              <w:bottom w:val="single" w:sz="4" w:space="0" w:color="auto"/>
              <w:right w:val="single" w:sz="4" w:space="0" w:color="auto"/>
            </w:tcBorders>
          </w:tcPr>
          <w:p w14:paraId="26B2F4B8" w14:textId="77777777" w:rsidR="004B47B9" w:rsidRDefault="004B47B9" w:rsidP="00EB535C"/>
        </w:tc>
      </w:tr>
      <w:tr w:rsidR="004B47B9" w:rsidRPr="00F81106" w14:paraId="2E5DC19B" w14:textId="3A62EB85" w:rsidTr="009B3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44"/>
        </w:trPr>
        <w:tc>
          <w:tcPr>
            <w:tcW w:w="1356" w:type="dxa"/>
            <w:tcBorders>
              <w:top w:val="single" w:sz="4" w:space="0" w:color="auto"/>
              <w:left w:val="single" w:sz="4" w:space="0" w:color="auto"/>
              <w:bottom w:val="single" w:sz="4" w:space="0" w:color="auto"/>
              <w:right w:val="single" w:sz="4" w:space="0" w:color="auto"/>
            </w:tcBorders>
          </w:tcPr>
          <w:p w14:paraId="392A2961" w14:textId="77777777" w:rsidR="004B47B9" w:rsidRPr="00F81106" w:rsidRDefault="004B47B9" w:rsidP="00707F50">
            <w:r w:rsidRPr="00F81106">
              <w:t>1</w:t>
            </w:r>
            <w:r>
              <w:t>7</w:t>
            </w:r>
            <w:r w:rsidRPr="00F81106">
              <w:t>.</w:t>
            </w:r>
            <w:r>
              <w:t>19.1.2</w:t>
            </w:r>
          </w:p>
        </w:tc>
        <w:tc>
          <w:tcPr>
            <w:tcW w:w="6804" w:type="dxa"/>
            <w:tcBorders>
              <w:top w:val="single" w:sz="4" w:space="0" w:color="auto"/>
              <w:left w:val="single" w:sz="4" w:space="0" w:color="auto"/>
              <w:bottom w:val="single" w:sz="4" w:space="0" w:color="auto"/>
              <w:right w:val="single" w:sz="4" w:space="0" w:color="auto"/>
            </w:tcBorders>
          </w:tcPr>
          <w:p w14:paraId="21824EE6" w14:textId="77777777" w:rsidR="004B47B9" w:rsidRDefault="004B47B9" w:rsidP="004B3D42">
            <w:pPr>
              <w:jc w:val="both"/>
            </w:pPr>
            <w:r>
              <w:t>Certification from the School Principal and School Council President are required at year end (31 December) for the following reports:</w:t>
            </w:r>
          </w:p>
          <w:p w14:paraId="1F198D2C" w14:textId="77777777" w:rsidR="004B47B9" w:rsidRDefault="004B47B9" w:rsidP="00457E54">
            <w:pPr>
              <w:pStyle w:val="ListBullet"/>
            </w:pPr>
            <w:r>
              <w:t>Operating Statement;</w:t>
            </w:r>
          </w:p>
          <w:p w14:paraId="32498CA1" w14:textId="77777777" w:rsidR="004B47B9" w:rsidRPr="00F81106" w:rsidRDefault="004B47B9" w:rsidP="00457E54">
            <w:pPr>
              <w:pStyle w:val="ListBullet"/>
            </w:pPr>
            <w:r>
              <w:t>Balance Sheet.</w:t>
            </w:r>
          </w:p>
        </w:tc>
        <w:tc>
          <w:tcPr>
            <w:tcW w:w="992" w:type="dxa"/>
            <w:tcBorders>
              <w:top w:val="single" w:sz="4" w:space="0" w:color="auto"/>
              <w:left w:val="single" w:sz="4" w:space="0" w:color="auto"/>
              <w:bottom w:val="single" w:sz="4" w:space="0" w:color="auto"/>
              <w:right w:val="single" w:sz="4" w:space="0" w:color="auto"/>
            </w:tcBorders>
          </w:tcPr>
          <w:p w14:paraId="7FF21B63" w14:textId="77777777" w:rsidR="004B47B9" w:rsidRDefault="004B47B9" w:rsidP="004B3D42">
            <w:pPr>
              <w:jc w:val="both"/>
            </w:pPr>
          </w:p>
        </w:tc>
      </w:tr>
    </w:tbl>
    <w:p w14:paraId="5DD92801" w14:textId="199E4E37" w:rsidR="00E82E31" w:rsidRDefault="00E82E31" w:rsidP="000E2807"/>
    <w:p w14:paraId="692B63C7" w14:textId="77777777" w:rsidR="00E82E31" w:rsidRDefault="00E82E31">
      <w:pPr>
        <w:spacing w:before="0" w:line="240" w:lineRule="auto"/>
      </w:pPr>
      <w:r>
        <w:br w:type="page"/>
      </w:r>
    </w:p>
    <w:p w14:paraId="6EE0A040" w14:textId="77777777" w:rsidR="00BB05A6" w:rsidRDefault="00BB05A6" w:rsidP="00BB05A6">
      <w:pPr>
        <w:pStyle w:val="Heading2"/>
      </w:pPr>
      <w:r w:rsidRPr="00EB1434">
        <w:lastRenderedPageBreak/>
        <w:t>1</w:t>
      </w:r>
      <w:r w:rsidR="00E00145" w:rsidRPr="00EB1434">
        <w:t>7</w:t>
      </w:r>
      <w:r w:rsidRPr="00EB1434">
        <w:t>.</w:t>
      </w:r>
      <w:r w:rsidR="004705B1">
        <w:t>20</w:t>
      </w:r>
      <w:r w:rsidRPr="00EB1434">
        <w:tab/>
        <w:t>Finance Committee/School Council reports</w:t>
      </w:r>
    </w:p>
    <w:p w14:paraId="3A70BB0D" w14:textId="77777777" w:rsidR="00BF60C2" w:rsidRPr="00EC7D90" w:rsidRDefault="00BF60C2" w:rsidP="00BF60C2">
      <w:pPr>
        <w:pStyle w:val="Heading3"/>
      </w:pPr>
      <w:r>
        <w:t>17.20.1</w:t>
      </w:r>
      <w:r w:rsidRPr="00EC7D90">
        <w:t xml:space="preserve"> </w:t>
      </w:r>
      <w:r>
        <w:tab/>
      </w:r>
      <w:r w:rsidRPr="00EC7D90">
        <w:t>Mandatory policy (</w:t>
      </w:r>
      <w:r>
        <w:t>Must do</w:t>
      </w:r>
      <w:r w:rsidRPr="00EC7D90">
        <w:t>)</w:t>
      </w:r>
      <w:r>
        <w:t>:</w:t>
      </w:r>
    </w:p>
    <w:tbl>
      <w:tblPr>
        <w:tblW w:w="943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containing sequence numbers and policy information"/>
      </w:tblPr>
      <w:tblGrid>
        <w:gridCol w:w="1356"/>
        <w:gridCol w:w="7229"/>
        <w:gridCol w:w="851"/>
      </w:tblGrid>
      <w:tr w:rsidR="004B47B9" w:rsidRPr="0091756B" w14:paraId="096E61A9" w14:textId="6F5BEC3D" w:rsidTr="009B3C58">
        <w:trPr>
          <w:trHeight w:val="567"/>
          <w:tblHeader/>
        </w:trPr>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tcPr>
          <w:p w14:paraId="6B1F4DDF" w14:textId="77777777" w:rsidR="004B47B9" w:rsidRPr="00D60EB6" w:rsidRDefault="004B47B9" w:rsidP="00DF168D">
            <w:pPr>
              <w:rPr>
                <w:b/>
                <w:sz w:val="18"/>
              </w:rPr>
            </w:pPr>
            <w:r w:rsidRPr="00D60EB6">
              <w:rPr>
                <w:b/>
                <w:sz w:val="18"/>
              </w:rPr>
              <w:t>Sequence Numbers</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2AFB656A" w14:textId="77777777" w:rsidR="004B47B9" w:rsidRPr="00E0071A" w:rsidRDefault="004B47B9" w:rsidP="00DF168D">
            <w:pPr>
              <w:rPr>
                <w:b/>
                <w:sz w:val="20"/>
                <w:szCs w:val="20"/>
              </w:rPr>
            </w:pPr>
            <w:r w:rsidRPr="00E0071A">
              <w:rPr>
                <w:b/>
                <w:sz w:val="20"/>
                <w:szCs w:val="20"/>
              </w:rPr>
              <w:t>Information</w:t>
            </w:r>
          </w:p>
        </w:tc>
        <w:tc>
          <w:tcPr>
            <w:tcW w:w="851" w:type="dxa"/>
            <w:tcBorders>
              <w:top w:val="nil"/>
              <w:left w:val="single" w:sz="4" w:space="0" w:color="auto"/>
              <w:bottom w:val="single" w:sz="4" w:space="0" w:color="auto"/>
              <w:right w:val="nil"/>
            </w:tcBorders>
          </w:tcPr>
          <w:p w14:paraId="3482E442" w14:textId="77777777" w:rsidR="004B47B9" w:rsidRPr="00D60EB6" w:rsidRDefault="004B47B9" w:rsidP="00DF168D">
            <w:pPr>
              <w:rPr>
                <w:b/>
              </w:rPr>
            </w:pPr>
          </w:p>
        </w:tc>
      </w:tr>
      <w:tr w:rsidR="004B47B9" w:rsidRPr="00F81106" w14:paraId="7A1E7250" w14:textId="1C7B9ACF" w:rsidTr="009B3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304"/>
        </w:trPr>
        <w:tc>
          <w:tcPr>
            <w:tcW w:w="1356" w:type="dxa"/>
            <w:tcBorders>
              <w:top w:val="single" w:sz="4" w:space="0" w:color="auto"/>
              <w:left w:val="single" w:sz="4" w:space="0" w:color="auto"/>
              <w:bottom w:val="single" w:sz="4" w:space="0" w:color="auto"/>
              <w:right w:val="single" w:sz="4" w:space="0" w:color="auto"/>
            </w:tcBorders>
          </w:tcPr>
          <w:p w14:paraId="11C4A8AF" w14:textId="77777777" w:rsidR="004B47B9" w:rsidRPr="00F81106" w:rsidRDefault="004B47B9" w:rsidP="008330B2">
            <w:r>
              <w:t>17.20.1.1</w:t>
            </w:r>
          </w:p>
        </w:tc>
        <w:tc>
          <w:tcPr>
            <w:tcW w:w="7229" w:type="dxa"/>
            <w:tcBorders>
              <w:top w:val="single" w:sz="4" w:space="0" w:color="auto"/>
              <w:left w:val="single" w:sz="4" w:space="0" w:color="auto"/>
              <w:bottom w:val="single" w:sz="4" w:space="0" w:color="auto"/>
              <w:right w:val="single" w:sz="4" w:space="0" w:color="auto"/>
            </w:tcBorders>
          </w:tcPr>
          <w:p w14:paraId="4087F593" w14:textId="5107B9B2" w:rsidR="004B47B9" w:rsidRPr="00640613" w:rsidRDefault="004B47B9" w:rsidP="00653E8D">
            <w:r>
              <w:t xml:space="preserve">The reports as listed below must be printed (hardcopy) or saved as PDF’s for the December End of Year </w:t>
            </w:r>
            <w:r w:rsidR="00E82E31">
              <w:t>period and</w:t>
            </w:r>
            <w:r>
              <w:t xml:space="preserve"> must be presented to the Finance Committee. In absence of the Finance Committee, all reports listed below are to be tabled at the school council meeting.</w:t>
            </w:r>
          </w:p>
        </w:tc>
        <w:tc>
          <w:tcPr>
            <w:tcW w:w="851" w:type="dxa"/>
            <w:tcBorders>
              <w:top w:val="single" w:sz="4" w:space="0" w:color="auto"/>
              <w:left w:val="single" w:sz="4" w:space="0" w:color="auto"/>
              <w:bottom w:val="single" w:sz="4" w:space="0" w:color="auto"/>
              <w:right w:val="single" w:sz="4" w:space="0" w:color="auto"/>
            </w:tcBorders>
          </w:tcPr>
          <w:p w14:paraId="4CEEC114" w14:textId="77777777" w:rsidR="004B47B9" w:rsidRDefault="004B47B9" w:rsidP="00653E8D"/>
        </w:tc>
      </w:tr>
    </w:tbl>
    <w:p w14:paraId="7D145E45" w14:textId="77777777" w:rsidR="008330B2" w:rsidRPr="008330B2" w:rsidRDefault="008330B2" w:rsidP="008330B2">
      <w:pPr>
        <w:pStyle w:val="Heading3"/>
      </w:pPr>
      <w:r w:rsidRPr="008330B2">
        <w:t>A list of Finance Committee/School Council reports to be run</w:t>
      </w:r>
      <w:r w:rsidR="002337D3">
        <w:t xml:space="preserve"> from CASES21</w:t>
      </w:r>
      <w:r w:rsidRPr="008330B2">
        <w:t>:</w:t>
      </w:r>
    </w:p>
    <w:tbl>
      <w:tblPr>
        <w:tblW w:w="943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containing sequence numbers and policy information"/>
      </w:tblPr>
      <w:tblGrid>
        <w:gridCol w:w="1356"/>
        <w:gridCol w:w="7229"/>
        <w:gridCol w:w="851"/>
      </w:tblGrid>
      <w:tr w:rsidR="004B47B9" w:rsidRPr="0091756B" w14:paraId="72493C5E" w14:textId="6A832B2F" w:rsidTr="009B3C58">
        <w:trPr>
          <w:trHeight w:val="567"/>
          <w:tblHeader/>
        </w:trPr>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tcPr>
          <w:p w14:paraId="55474850" w14:textId="77777777" w:rsidR="004B47B9" w:rsidRPr="00D60EB6" w:rsidRDefault="004B47B9" w:rsidP="00DF168D">
            <w:pPr>
              <w:rPr>
                <w:b/>
                <w:sz w:val="18"/>
              </w:rPr>
            </w:pPr>
            <w:r w:rsidRPr="00D60EB6">
              <w:rPr>
                <w:b/>
                <w:sz w:val="18"/>
              </w:rPr>
              <w:t>Sequence Numbers</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2AAE0D84" w14:textId="77777777" w:rsidR="004B47B9" w:rsidRPr="00E0071A" w:rsidRDefault="004B47B9" w:rsidP="00DF168D">
            <w:pPr>
              <w:rPr>
                <w:b/>
                <w:sz w:val="20"/>
                <w:szCs w:val="20"/>
              </w:rPr>
            </w:pPr>
            <w:r w:rsidRPr="00E0071A">
              <w:rPr>
                <w:b/>
                <w:sz w:val="20"/>
                <w:szCs w:val="20"/>
              </w:rPr>
              <w:t>Information</w:t>
            </w:r>
          </w:p>
        </w:tc>
        <w:tc>
          <w:tcPr>
            <w:tcW w:w="851" w:type="dxa"/>
            <w:tcBorders>
              <w:top w:val="nil"/>
              <w:left w:val="single" w:sz="4" w:space="0" w:color="auto"/>
              <w:bottom w:val="single" w:sz="4" w:space="0" w:color="auto"/>
              <w:right w:val="nil"/>
            </w:tcBorders>
          </w:tcPr>
          <w:p w14:paraId="451C8F61" w14:textId="77777777" w:rsidR="004B47B9" w:rsidRPr="00D60EB6" w:rsidRDefault="004B47B9" w:rsidP="00DF168D">
            <w:pPr>
              <w:rPr>
                <w:b/>
              </w:rPr>
            </w:pPr>
          </w:p>
        </w:tc>
      </w:tr>
      <w:tr w:rsidR="004B47B9" w:rsidRPr="00F81106" w14:paraId="3436BF07" w14:textId="73B545E4" w:rsidTr="009B3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10"/>
        </w:trPr>
        <w:tc>
          <w:tcPr>
            <w:tcW w:w="1356" w:type="dxa"/>
            <w:tcBorders>
              <w:top w:val="single" w:sz="4" w:space="0" w:color="auto"/>
              <w:left w:val="single" w:sz="4" w:space="0" w:color="auto"/>
              <w:bottom w:val="single" w:sz="4" w:space="0" w:color="auto"/>
              <w:right w:val="single" w:sz="4" w:space="0" w:color="auto"/>
            </w:tcBorders>
          </w:tcPr>
          <w:p w14:paraId="11717CF9" w14:textId="77777777" w:rsidR="004B47B9" w:rsidRPr="00F81106" w:rsidRDefault="004B47B9" w:rsidP="00BB05A6">
            <w:r>
              <w:t>17.20.1.2</w:t>
            </w:r>
          </w:p>
        </w:tc>
        <w:tc>
          <w:tcPr>
            <w:tcW w:w="7229" w:type="dxa"/>
            <w:tcBorders>
              <w:top w:val="single" w:sz="4" w:space="0" w:color="auto"/>
              <w:left w:val="single" w:sz="4" w:space="0" w:color="auto"/>
              <w:bottom w:val="single" w:sz="4" w:space="0" w:color="auto"/>
              <w:right w:val="single" w:sz="4" w:space="0" w:color="auto"/>
            </w:tcBorders>
          </w:tcPr>
          <w:p w14:paraId="49D41255" w14:textId="77777777" w:rsidR="004B47B9" w:rsidRPr="00640613" w:rsidRDefault="004B47B9" w:rsidP="00BB05A6">
            <w:pPr>
              <w:jc w:val="both"/>
            </w:pPr>
            <w:r w:rsidRPr="008873EF">
              <w:t xml:space="preserve">Bank Reconciliations </w:t>
            </w:r>
          </w:p>
        </w:tc>
        <w:tc>
          <w:tcPr>
            <w:tcW w:w="851" w:type="dxa"/>
            <w:tcBorders>
              <w:top w:val="single" w:sz="4" w:space="0" w:color="auto"/>
              <w:left w:val="single" w:sz="4" w:space="0" w:color="auto"/>
              <w:bottom w:val="single" w:sz="4" w:space="0" w:color="auto"/>
              <w:right w:val="single" w:sz="4" w:space="0" w:color="auto"/>
            </w:tcBorders>
          </w:tcPr>
          <w:p w14:paraId="0C472AE0" w14:textId="77777777" w:rsidR="004B47B9" w:rsidRPr="008873EF" w:rsidRDefault="004B47B9" w:rsidP="00BB05A6">
            <w:pPr>
              <w:jc w:val="both"/>
            </w:pPr>
          </w:p>
        </w:tc>
      </w:tr>
      <w:tr w:rsidR="004B47B9" w:rsidRPr="00F81106" w14:paraId="4C3DCB87" w14:textId="21448E59" w:rsidTr="009B3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10"/>
        </w:trPr>
        <w:tc>
          <w:tcPr>
            <w:tcW w:w="1356" w:type="dxa"/>
            <w:tcBorders>
              <w:top w:val="single" w:sz="4" w:space="0" w:color="auto"/>
              <w:left w:val="single" w:sz="4" w:space="0" w:color="auto"/>
              <w:bottom w:val="single" w:sz="4" w:space="0" w:color="auto"/>
              <w:right w:val="single" w:sz="4" w:space="0" w:color="auto"/>
            </w:tcBorders>
          </w:tcPr>
          <w:p w14:paraId="334B49C2" w14:textId="77777777" w:rsidR="004B47B9" w:rsidRPr="00F81106" w:rsidRDefault="004B47B9" w:rsidP="00BB05A6">
            <w:r>
              <w:t>17.20.1.3</w:t>
            </w:r>
          </w:p>
        </w:tc>
        <w:tc>
          <w:tcPr>
            <w:tcW w:w="7229" w:type="dxa"/>
            <w:tcBorders>
              <w:top w:val="single" w:sz="4" w:space="0" w:color="auto"/>
              <w:left w:val="single" w:sz="4" w:space="0" w:color="auto"/>
              <w:bottom w:val="single" w:sz="4" w:space="0" w:color="auto"/>
              <w:right w:val="single" w:sz="4" w:space="0" w:color="auto"/>
            </w:tcBorders>
          </w:tcPr>
          <w:p w14:paraId="6A5965A0" w14:textId="77777777" w:rsidR="004B47B9" w:rsidRPr="00640613" w:rsidRDefault="004B47B9" w:rsidP="00782527">
            <w:pPr>
              <w:jc w:val="both"/>
            </w:pPr>
            <w:r w:rsidRPr="008873EF">
              <w:t xml:space="preserve">Balance Sheet Specific Period </w:t>
            </w:r>
            <w:r>
              <w:t>(GL21161)</w:t>
            </w:r>
          </w:p>
        </w:tc>
        <w:tc>
          <w:tcPr>
            <w:tcW w:w="851" w:type="dxa"/>
            <w:tcBorders>
              <w:top w:val="single" w:sz="4" w:space="0" w:color="auto"/>
              <w:left w:val="single" w:sz="4" w:space="0" w:color="auto"/>
              <w:bottom w:val="single" w:sz="4" w:space="0" w:color="auto"/>
              <w:right w:val="single" w:sz="4" w:space="0" w:color="auto"/>
            </w:tcBorders>
          </w:tcPr>
          <w:p w14:paraId="5E159DEF" w14:textId="77777777" w:rsidR="004B47B9" w:rsidRPr="008873EF" w:rsidRDefault="004B47B9" w:rsidP="00782527">
            <w:pPr>
              <w:jc w:val="both"/>
            </w:pPr>
          </w:p>
        </w:tc>
      </w:tr>
      <w:tr w:rsidR="004B47B9" w:rsidRPr="00F81106" w14:paraId="63878D3C" w14:textId="7E58BD1A" w:rsidTr="009B3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10"/>
        </w:trPr>
        <w:tc>
          <w:tcPr>
            <w:tcW w:w="1356" w:type="dxa"/>
            <w:tcBorders>
              <w:top w:val="single" w:sz="4" w:space="0" w:color="auto"/>
              <w:left w:val="single" w:sz="4" w:space="0" w:color="auto"/>
              <w:bottom w:val="single" w:sz="4" w:space="0" w:color="auto"/>
              <w:right w:val="single" w:sz="4" w:space="0" w:color="auto"/>
            </w:tcBorders>
          </w:tcPr>
          <w:p w14:paraId="79B5DA8D" w14:textId="77777777" w:rsidR="004B47B9" w:rsidRDefault="004B47B9" w:rsidP="00707F50">
            <w:r>
              <w:t>17.20</w:t>
            </w:r>
            <w:r w:rsidRPr="00C30301">
              <w:t>.1.</w:t>
            </w:r>
            <w:r>
              <w:t>4</w:t>
            </w:r>
          </w:p>
        </w:tc>
        <w:tc>
          <w:tcPr>
            <w:tcW w:w="7229" w:type="dxa"/>
            <w:tcBorders>
              <w:top w:val="single" w:sz="4" w:space="0" w:color="auto"/>
              <w:left w:val="single" w:sz="4" w:space="0" w:color="auto"/>
              <w:bottom w:val="single" w:sz="4" w:space="0" w:color="auto"/>
              <w:right w:val="single" w:sz="4" w:space="0" w:color="auto"/>
            </w:tcBorders>
          </w:tcPr>
          <w:p w14:paraId="508E4244" w14:textId="77777777" w:rsidR="004B47B9" w:rsidRPr="00640613" w:rsidRDefault="004B47B9" w:rsidP="008330B2">
            <w:pPr>
              <w:jc w:val="both"/>
            </w:pPr>
            <w:r w:rsidRPr="008873EF">
              <w:t xml:space="preserve">Operating Statement Detailed </w:t>
            </w:r>
            <w:r>
              <w:t>(GL21150)</w:t>
            </w:r>
          </w:p>
        </w:tc>
        <w:tc>
          <w:tcPr>
            <w:tcW w:w="851" w:type="dxa"/>
            <w:tcBorders>
              <w:top w:val="single" w:sz="4" w:space="0" w:color="auto"/>
              <w:left w:val="single" w:sz="4" w:space="0" w:color="auto"/>
              <w:bottom w:val="single" w:sz="4" w:space="0" w:color="auto"/>
              <w:right w:val="single" w:sz="4" w:space="0" w:color="auto"/>
            </w:tcBorders>
          </w:tcPr>
          <w:p w14:paraId="2D5B8223" w14:textId="77777777" w:rsidR="004B47B9" w:rsidRPr="008873EF" w:rsidRDefault="004B47B9" w:rsidP="008330B2">
            <w:pPr>
              <w:jc w:val="both"/>
            </w:pPr>
          </w:p>
        </w:tc>
      </w:tr>
      <w:tr w:rsidR="004B47B9" w:rsidRPr="00F81106" w14:paraId="5EF800BC" w14:textId="2A9C3D93" w:rsidTr="009B3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10"/>
        </w:trPr>
        <w:tc>
          <w:tcPr>
            <w:tcW w:w="1356" w:type="dxa"/>
            <w:tcBorders>
              <w:top w:val="single" w:sz="4" w:space="0" w:color="auto"/>
              <w:left w:val="single" w:sz="4" w:space="0" w:color="auto"/>
              <w:bottom w:val="single" w:sz="4" w:space="0" w:color="auto"/>
              <w:right w:val="single" w:sz="4" w:space="0" w:color="auto"/>
            </w:tcBorders>
          </w:tcPr>
          <w:p w14:paraId="62421A3A" w14:textId="77777777" w:rsidR="004B47B9" w:rsidRDefault="004B47B9" w:rsidP="00707F50">
            <w:r>
              <w:t>17.20</w:t>
            </w:r>
            <w:r w:rsidRPr="00C30301">
              <w:t>.1.</w:t>
            </w:r>
            <w:r>
              <w:t>5</w:t>
            </w:r>
          </w:p>
        </w:tc>
        <w:tc>
          <w:tcPr>
            <w:tcW w:w="7229" w:type="dxa"/>
            <w:tcBorders>
              <w:top w:val="single" w:sz="4" w:space="0" w:color="auto"/>
              <w:left w:val="single" w:sz="4" w:space="0" w:color="auto"/>
              <w:bottom w:val="single" w:sz="4" w:space="0" w:color="auto"/>
              <w:right w:val="single" w:sz="4" w:space="0" w:color="auto"/>
            </w:tcBorders>
          </w:tcPr>
          <w:p w14:paraId="1CF4FE56" w14:textId="77777777" w:rsidR="004B47B9" w:rsidRPr="00640613" w:rsidRDefault="004B47B9" w:rsidP="008330B2">
            <w:pPr>
              <w:jc w:val="both"/>
            </w:pPr>
            <w:r w:rsidRPr="008873EF">
              <w:t xml:space="preserve">Cash Flow Statement </w:t>
            </w:r>
            <w:r>
              <w:t>(GL21151)</w:t>
            </w:r>
          </w:p>
        </w:tc>
        <w:tc>
          <w:tcPr>
            <w:tcW w:w="851" w:type="dxa"/>
            <w:tcBorders>
              <w:top w:val="single" w:sz="4" w:space="0" w:color="auto"/>
              <w:left w:val="single" w:sz="4" w:space="0" w:color="auto"/>
              <w:bottom w:val="single" w:sz="4" w:space="0" w:color="auto"/>
              <w:right w:val="single" w:sz="4" w:space="0" w:color="auto"/>
            </w:tcBorders>
          </w:tcPr>
          <w:p w14:paraId="46F30778" w14:textId="77777777" w:rsidR="004B47B9" w:rsidRPr="008873EF" w:rsidRDefault="004B47B9" w:rsidP="008330B2">
            <w:pPr>
              <w:jc w:val="both"/>
            </w:pPr>
          </w:p>
        </w:tc>
      </w:tr>
      <w:tr w:rsidR="004B47B9" w:rsidRPr="00F81106" w14:paraId="40DA0DAD" w14:textId="747262FA" w:rsidTr="009B3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10"/>
        </w:trPr>
        <w:tc>
          <w:tcPr>
            <w:tcW w:w="1356" w:type="dxa"/>
            <w:tcBorders>
              <w:top w:val="single" w:sz="4" w:space="0" w:color="auto"/>
              <w:left w:val="single" w:sz="4" w:space="0" w:color="auto"/>
              <w:bottom w:val="single" w:sz="4" w:space="0" w:color="auto"/>
              <w:right w:val="single" w:sz="4" w:space="0" w:color="auto"/>
            </w:tcBorders>
          </w:tcPr>
          <w:p w14:paraId="6B412800" w14:textId="77777777" w:rsidR="004B47B9" w:rsidRDefault="004B47B9" w:rsidP="00707F50">
            <w:r>
              <w:t>17.20</w:t>
            </w:r>
            <w:r w:rsidRPr="00C30301">
              <w:t>.1.</w:t>
            </w:r>
            <w:r>
              <w:t>6</w:t>
            </w:r>
          </w:p>
        </w:tc>
        <w:tc>
          <w:tcPr>
            <w:tcW w:w="7229" w:type="dxa"/>
            <w:tcBorders>
              <w:top w:val="single" w:sz="4" w:space="0" w:color="auto"/>
              <w:left w:val="single" w:sz="4" w:space="0" w:color="auto"/>
              <w:bottom w:val="single" w:sz="4" w:space="0" w:color="auto"/>
              <w:right w:val="single" w:sz="4" w:space="0" w:color="auto"/>
            </w:tcBorders>
          </w:tcPr>
          <w:p w14:paraId="3DA883EF" w14:textId="77777777" w:rsidR="004B47B9" w:rsidRPr="00640613" w:rsidRDefault="004B47B9" w:rsidP="008330B2">
            <w:pPr>
              <w:jc w:val="both"/>
            </w:pPr>
            <w:r w:rsidRPr="008873EF">
              <w:t xml:space="preserve">Bank Account Movements Detailed </w:t>
            </w:r>
            <w:r>
              <w:t>(GL21152)</w:t>
            </w:r>
          </w:p>
        </w:tc>
        <w:tc>
          <w:tcPr>
            <w:tcW w:w="851" w:type="dxa"/>
            <w:tcBorders>
              <w:top w:val="single" w:sz="4" w:space="0" w:color="auto"/>
              <w:left w:val="single" w:sz="4" w:space="0" w:color="auto"/>
              <w:bottom w:val="single" w:sz="4" w:space="0" w:color="auto"/>
              <w:right w:val="single" w:sz="4" w:space="0" w:color="auto"/>
            </w:tcBorders>
          </w:tcPr>
          <w:p w14:paraId="634C0F99" w14:textId="77777777" w:rsidR="004B47B9" w:rsidRPr="008873EF" w:rsidRDefault="004B47B9" w:rsidP="008330B2">
            <w:pPr>
              <w:jc w:val="both"/>
            </w:pPr>
          </w:p>
        </w:tc>
      </w:tr>
      <w:tr w:rsidR="004B47B9" w:rsidRPr="00F81106" w14:paraId="7C245254" w14:textId="77FF474E" w:rsidTr="009B3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10"/>
        </w:trPr>
        <w:tc>
          <w:tcPr>
            <w:tcW w:w="1356" w:type="dxa"/>
            <w:tcBorders>
              <w:top w:val="single" w:sz="4" w:space="0" w:color="auto"/>
              <w:left w:val="single" w:sz="4" w:space="0" w:color="auto"/>
              <w:bottom w:val="single" w:sz="4" w:space="0" w:color="auto"/>
              <w:right w:val="single" w:sz="4" w:space="0" w:color="auto"/>
            </w:tcBorders>
          </w:tcPr>
          <w:p w14:paraId="084B7CD8" w14:textId="77777777" w:rsidR="004B47B9" w:rsidRDefault="004B47B9" w:rsidP="00707F50">
            <w:r>
              <w:t>17.20</w:t>
            </w:r>
            <w:r w:rsidRPr="00C30301">
              <w:t>.1.</w:t>
            </w:r>
            <w:r>
              <w:t>7</w:t>
            </w:r>
          </w:p>
        </w:tc>
        <w:tc>
          <w:tcPr>
            <w:tcW w:w="7229" w:type="dxa"/>
            <w:tcBorders>
              <w:top w:val="single" w:sz="4" w:space="0" w:color="auto"/>
              <w:left w:val="single" w:sz="4" w:space="0" w:color="auto"/>
              <w:bottom w:val="single" w:sz="4" w:space="0" w:color="auto"/>
              <w:right w:val="single" w:sz="4" w:space="0" w:color="auto"/>
            </w:tcBorders>
          </w:tcPr>
          <w:p w14:paraId="53011986" w14:textId="77777777" w:rsidR="004B47B9" w:rsidRPr="00640613" w:rsidRDefault="004B47B9" w:rsidP="008330B2">
            <w:pPr>
              <w:jc w:val="both"/>
            </w:pPr>
            <w:r w:rsidRPr="008873EF">
              <w:t xml:space="preserve">Annual Sub Program Budget Report </w:t>
            </w:r>
            <w:r>
              <w:t>(GL21157)</w:t>
            </w:r>
          </w:p>
        </w:tc>
        <w:tc>
          <w:tcPr>
            <w:tcW w:w="851" w:type="dxa"/>
            <w:tcBorders>
              <w:top w:val="single" w:sz="4" w:space="0" w:color="auto"/>
              <w:left w:val="single" w:sz="4" w:space="0" w:color="auto"/>
              <w:bottom w:val="single" w:sz="4" w:space="0" w:color="auto"/>
              <w:right w:val="single" w:sz="4" w:space="0" w:color="auto"/>
            </w:tcBorders>
          </w:tcPr>
          <w:p w14:paraId="175F7CAA" w14:textId="77777777" w:rsidR="004B47B9" w:rsidRPr="008873EF" w:rsidRDefault="004B47B9" w:rsidP="008330B2">
            <w:pPr>
              <w:jc w:val="both"/>
            </w:pPr>
          </w:p>
        </w:tc>
      </w:tr>
      <w:tr w:rsidR="004B47B9" w:rsidRPr="00F81106" w14:paraId="2D145610" w14:textId="453E4D04" w:rsidTr="009B3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10"/>
        </w:trPr>
        <w:tc>
          <w:tcPr>
            <w:tcW w:w="1356" w:type="dxa"/>
            <w:tcBorders>
              <w:top w:val="single" w:sz="4" w:space="0" w:color="auto"/>
              <w:left w:val="single" w:sz="4" w:space="0" w:color="auto"/>
              <w:bottom w:val="single" w:sz="4" w:space="0" w:color="auto"/>
              <w:right w:val="single" w:sz="4" w:space="0" w:color="auto"/>
            </w:tcBorders>
          </w:tcPr>
          <w:p w14:paraId="18776584" w14:textId="77777777" w:rsidR="004B47B9" w:rsidRDefault="004B47B9" w:rsidP="00707F50">
            <w:r>
              <w:t>17.20</w:t>
            </w:r>
            <w:r w:rsidRPr="00C30301">
              <w:t>.1.</w:t>
            </w:r>
            <w:r>
              <w:t>8</w:t>
            </w:r>
          </w:p>
        </w:tc>
        <w:tc>
          <w:tcPr>
            <w:tcW w:w="7229" w:type="dxa"/>
            <w:tcBorders>
              <w:top w:val="single" w:sz="4" w:space="0" w:color="auto"/>
              <w:left w:val="single" w:sz="4" w:space="0" w:color="auto"/>
              <w:bottom w:val="single" w:sz="4" w:space="0" w:color="auto"/>
              <w:right w:val="single" w:sz="4" w:space="0" w:color="auto"/>
            </w:tcBorders>
          </w:tcPr>
          <w:p w14:paraId="377E3C51" w14:textId="77777777" w:rsidR="004B47B9" w:rsidRPr="00640613" w:rsidRDefault="004B47B9" w:rsidP="008330B2">
            <w:pPr>
              <w:jc w:val="both"/>
            </w:pPr>
            <w:r w:rsidRPr="008873EF">
              <w:t xml:space="preserve">Cash Receipts Report </w:t>
            </w:r>
            <w:r>
              <w:t>(</w:t>
            </w:r>
            <w:r w:rsidRPr="00AE3497">
              <w:t>GL21002</w:t>
            </w:r>
            <w:r>
              <w:t>)</w:t>
            </w:r>
          </w:p>
        </w:tc>
        <w:tc>
          <w:tcPr>
            <w:tcW w:w="851" w:type="dxa"/>
            <w:tcBorders>
              <w:top w:val="single" w:sz="4" w:space="0" w:color="auto"/>
              <w:left w:val="single" w:sz="4" w:space="0" w:color="auto"/>
              <w:bottom w:val="single" w:sz="4" w:space="0" w:color="auto"/>
              <w:right w:val="single" w:sz="4" w:space="0" w:color="auto"/>
            </w:tcBorders>
          </w:tcPr>
          <w:p w14:paraId="021D6255" w14:textId="77777777" w:rsidR="004B47B9" w:rsidRPr="008873EF" w:rsidRDefault="004B47B9" w:rsidP="008330B2">
            <w:pPr>
              <w:jc w:val="both"/>
            </w:pPr>
          </w:p>
        </w:tc>
      </w:tr>
      <w:tr w:rsidR="004B47B9" w:rsidRPr="00F81106" w14:paraId="64CC6C4C" w14:textId="3C51FC1E" w:rsidTr="009B3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10"/>
        </w:trPr>
        <w:tc>
          <w:tcPr>
            <w:tcW w:w="1356" w:type="dxa"/>
            <w:tcBorders>
              <w:top w:val="single" w:sz="4" w:space="0" w:color="auto"/>
              <w:left w:val="single" w:sz="4" w:space="0" w:color="auto"/>
              <w:bottom w:val="single" w:sz="4" w:space="0" w:color="auto"/>
              <w:right w:val="single" w:sz="4" w:space="0" w:color="auto"/>
            </w:tcBorders>
          </w:tcPr>
          <w:p w14:paraId="003674BE" w14:textId="77777777" w:rsidR="004B47B9" w:rsidRDefault="004B47B9" w:rsidP="00707F50">
            <w:r>
              <w:t>17.20</w:t>
            </w:r>
            <w:r w:rsidRPr="00C30301">
              <w:t>.1.</w:t>
            </w:r>
            <w:r>
              <w:t>9</w:t>
            </w:r>
          </w:p>
        </w:tc>
        <w:tc>
          <w:tcPr>
            <w:tcW w:w="7229" w:type="dxa"/>
            <w:tcBorders>
              <w:top w:val="single" w:sz="4" w:space="0" w:color="auto"/>
              <w:left w:val="single" w:sz="4" w:space="0" w:color="auto"/>
              <w:bottom w:val="single" w:sz="4" w:space="0" w:color="auto"/>
              <w:right w:val="single" w:sz="4" w:space="0" w:color="auto"/>
            </w:tcBorders>
          </w:tcPr>
          <w:p w14:paraId="44293C3B" w14:textId="77777777" w:rsidR="004B47B9" w:rsidRPr="00640613" w:rsidRDefault="004B47B9" w:rsidP="008330B2">
            <w:pPr>
              <w:jc w:val="both"/>
            </w:pPr>
            <w:r w:rsidRPr="008873EF">
              <w:t xml:space="preserve">Cash Payments Report </w:t>
            </w:r>
            <w:r>
              <w:t>(</w:t>
            </w:r>
            <w:r w:rsidRPr="00AE3497">
              <w:t>GL21003</w:t>
            </w:r>
            <w:r>
              <w:t>)</w:t>
            </w:r>
          </w:p>
        </w:tc>
        <w:tc>
          <w:tcPr>
            <w:tcW w:w="851" w:type="dxa"/>
            <w:tcBorders>
              <w:top w:val="single" w:sz="4" w:space="0" w:color="auto"/>
              <w:left w:val="single" w:sz="4" w:space="0" w:color="auto"/>
              <w:bottom w:val="single" w:sz="4" w:space="0" w:color="auto"/>
              <w:right w:val="single" w:sz="4" w:space="0" w:color="auto"/>
            </w:tcBorders>
          </w:tcPr>
          <w:p w14:paraId="3041EF4E" w14:textId="77777777" w:rsidR="004B47B9" w:rsidRPr="008873EF" w:rsidRDefault="004B47B9" w:rsidP="008330B2">
            <w:pPr>
              <w:jc w:val="both"/>
            </w:pPr>
          </w:p>
        </w:tc>
      </w:tr>
      <w:tr w:rsidR="004B47B9" w:rsidRPr="00F81106" w14:paraId="26409689" w14:textId="6C865D19" w:rsidTr="009B3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10"/>
        </w:trPr>
        <w:tc>
          <w:tcPr>
            <w:tcW w:w="1356" w:type="dxa"/>
            <w:tcBorders>
              <w:top w:val="single" w:sz="4" w:space="0" w:color="auto"/>
              <w:left w:val="single" w:sz="4" w:space="0" w:color="auto"/>
              <w:bottom w:val="single" w:sz="4" w:space="0" w:color="auto"/>
              <w:right w:val="single" w:sz="4" w:space="0" w:color="auto"/>
            </w:tcBorders>
          </w:tcPr>
          <w:p w14:paraId="116386A4" w14:textId="77777777" w:rsidR="004B47B9" w:rsidRDefault="004B47B9" w:rsidP="00707F50">
            <w:r>
              <w:t>17.20</w:t>
            </w:r>
            <w:r w:rsidRPr="00C30301">
              <w:t>.1.</w:t>
            </w:r>
            <w:r>
              <w:t>10</w:t>
            </w:r>
          </w:p>
        </w:tc>
        <w:tc>
          <w:tcPr>
            <w:tcW w:w="7229" w:type="dxa"/>
            <w:tcBorders>
              <w:top w:val="single" w:sz="4" w:space="0" w:color="auto"/>
              <w:left w:val="single" w:sz="4" w:space="0" w:color="auto"/>
              <w:bottom w:val="single" w:sz="4" w:space="0" w:color="auto"/>
              <w:right w:val="single" w:sz="4" w:space="0" w:color="auto"/>
            </w:tcBorders>
          </w:tcPr>
          <w:p w14:paraId="3230EBB0" w14:textId="77777777" w:rsidR="004B47B9" w:rsidRPr="00640613" w:rsidRDefault="004B47B9" w:rsidP="008330B2">
            <w:pPr>
              <w:jc w:val="both"/>
            </w:pPr>
            <w:r w:rsidRPr="008873EF">
              <w:t xml:space="preserve">Cancelled Receipts Report </w:t>
            </w:r>
            <w:r>
              <w:t>(G</w:t>
            </w:r>
            <w:r w:rsidRPr="00AE3497">
              <w:t>L21004</w:t>
            </w:r>
            <w:r>
              <w:t>)</w:t>
            </w:r>
          </w:p>
        </w:tc>
        <w:tc>
          <w:tcPr>
            <w:tcW w:w="851" w:type="dxa"/>
            <w:tcBorders>
              <w:top w:val="single" w:sz="4" w:space="0" w:color="auto"/>
              <w:left w:val="single" w:sz="4" w:space="0" w:color="auto"/>
              <w:bottom w:val="single" w:sz="4" w:space="0" w:color="auto"/>
              <w:right w:val="single" w:sz="4" w:space="0" w:color="auto"/>
            </w:tcBorders>
          </w:tcPr>
          <w:p w14:paraId="79AE7925" w14:textId="77777777" w:rsidR="004B47B9" w:rsidRPr="008873EF" w:rsidRDefault="004B47B9" w:rsidP="008330B2">
            <w:pPr>
              <w:jc w:val="both"/>
            </w:pPr>
          </w:p>
        </w:tc>
      </w:tr>
      <w:tr w:rsidR="004B47B9" w:rsidRPr="00F81106" w14:paraId="38DA834E" w14:textId="356A8464" w:rsidTr="009B3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10"/>
        </w:trPr>
        <w:tc>
          <w:tcPr>
            <w:tcW w:w="1356" w:type="dxa"/>
            <w:tcBorders>
              <w:top w:val="single" w:sz="4" w:space="0" w:color="auto"/>
              <w:left w:val="single" w:sz="4" w:space="0" w:color="auto"/>
              <w:bottom w:val="single" w:sz="4" w:space="0" w:color="auto"/>
              <w:right w:val="single" w:sz="4" w:space="0" w:color="auto"/>
            </w:tcBorders>
          </w:tcPr>
          <w:p w14:paraId="16DBCB88" w14:textId="77777777" w:rsidR="004B47B9" w:rsidRDefault="004B47B9" w:rsidP="00707F50">
            <w:r>
              <w:t>17.20</w:t>
            </w:r>
            <w:r w:rsidRPr="00C30301">
              <w:t>.1.</w:t>
            </w:r>
            <w:r>
              <w:t>11</w:t>
            </w:r>
          </w:p>
        </w:tc>
        <w:tc>
          <w:tcPr>
            <w:tcW w:w="7229" w:type="dxa"/>
            <w:tcBorders>
              <w:top w:val="single" w:sz="4" w:space="0" w:color="auto"/>
              <w:left w:val="single" w:sz="4" w:space="0" w:color="auto"/>
              <w:bottom w:val="single" w:sz="4" w:space="0" w:color="auto"/>
              <w:right w:val="single" w:sz="4" w:space="0" w:color="auto"/>
            </w:tcBorders>
          </w:tcPr>
          <w:p w14:paraId="091BD802" w14:textId="77777777" w:rsidR="004B47B9" w:rsidRPr="00640613" w:rsidRDefault="004B47B9" w:rsidP="008330B2">
            <w:pPr>
              <w:jc w:val="both"/>
            </w:pPr>
            <w:r w:rsidRPr="00831234">
              <w:t xml:space="preserve">Cancelled Payments Report </w:t>
            </w:r>
            <w:r>
              <w:t>(</w:t>
            </w:r>
            <w:r w:rsidRPr="00AE3497">
              <w:t>GL21005</w:t>
            </w:r>
            <w:r>
              <w:t>)</w:t>
            </w:r>
          </w:p>
        </w:tc>
        <w:tc>
          <w:tcPr>
            <w:tcW w:w="851" w:type="dxa"/>
            <w:tcBorders>
              <w:top w:val="single" w:sz="4" w:space="0" w:color="auto"/>
              <w:left w:val="single" w:sz="4" w:space="0" w:color="auto"/>
              <w:bottom w:val="single" w:sz="4" w:space="0" w:color="auto"/>
              <w:right w:val="single" w:sz="4" w:space="0" w:color="auto"/>
            </w:tcBorders>
          </w:tcPr>
          <w:p w14:paraId="5265C539" w14:textId="77777777" w:rsidR="004B47B9" w:rsidRPr="00831234" w:rsidRDefault="004B47B9" w:rsidP="008330B2">
            <w:pPr>
              <w:jc w:val="both"/>
            </w:pPr>
          </w:p>
        </w:tc>
      </w:tr>
      <w:tr w:rsidR="004B47B9" w:rsidRPr="00F81106" w14:paraId="4991A1D0" w14:textId="254BEDD5" w:rsidTr="009B3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10"/>
        </w:trPr>
        <w:tc>
          <w:tcPr>
            <w:tcW w:w="1356" w:type="dxa"/>
            <w:tcBorders>
              <w:top w:val="single" w:sz="4" w:space="0" w:color="auto"/>
              <w:left w:val="single" w:sz="4" w:space="0" w:color="auto"/>
              <w:bottom w:val="single" w:sz="4" w:space="0" w:color="auto"/>
              <w:right w:val="single" w:sz="4" w:space="0" w:color="auto"/>
            </w:tcBorders>
          </w:tcPr>
          <w:p w14:paraId="31EC2A2B" w14:textId="77777777" w:rsidR="004B47B9" w:rsidRDefault="004B47B9" w:rsidP="00707F50">
            <w:r>
              <w:t>17.20</w:t>
            </w:r>
            <w:r w:rsidRPr="00C30301">
              <w:t>.1.</w:t>
            </w:r>
            <w:r>
              <w:t>12</w:t>
            </w:r>
          </w:p>
        </w:tc>
        <w:tc>
          <w:tcPr>
            <w:tcW w:w="7229" w:type="dxa"/>
            <w:tcBorders>
              <w:top w:val="single" w:sz="4" w:space="0" w:color="auto"/>
              <w:left w:val="single" w:sz="4" w:space="0" w:color="auto"/>
              <w:bottom w:val="single" w:sz="4" w:space="0" w:color="auto"/>
              <w:right w:val="single" w:sz="4" w:space="0" w:color="auto"/>
            </w:tcBorders>
          </w:tcPr>
          <w:p w14:paraId="4C1A7D80" w14:textId="77777777" w:rsidR="004B47B9" w:rsidRPr="00640613" w:rsidRDefault="004B47B9" w:rsidP="008330B2">
            <w:pPr>
              <w:jc w:val="both"/>
            </w:pPr>
            <w:r w:rsidRPr="00782527">
              <w:t xml:space="preserve">Journal Report Certification </w:t>
            </w:r>
            <w:r>
              <w:t>(</w:t>
            </w:r>
            <w:r w:rsidRPr="00AE3497">
              <w:t>GL21006</w:t>
            </w:r>
            <w:r>
              <w:t>)</w:t>
            </w:r>
          </w:p>
        </w:tc>
        <w:tc>
          <w:tcPr>
            <w:tcW w:w="851" w:type="dxa"/>
            <w:tcBorders>
              <w:top w:val="single" w:sz="4" w:space="0" w:color="auto"/>
              <w:left w:val="single" w:sz="4" w:space="0" w:color="auto"/>
              <w:bottom w:val="single" w:sz="4" w:space="0" w:color="auto"/>
              <w:right w:val="single" w:sz="4" w:space="0" w:color="auto"/>
            </w:tcBorders>
          </w:tcPr>
          <w:p w14:paraId="6CEFBAD9" w14:textId="77777777" w:rsidR="004B47B9" w:rsidRPr="00782527" w:rsidRDefault="004B47B9" w:rsidP="008330B2">
            <w:pPr>
              <w:jc w:val="both"/>
            </w:pPr>
          </w:p>
        </w:tc>
      </w:tr>
      <w:tr w:rsidR="004B47B9" w:rsidRPr="00F81106" w14:paraId="4B6A979C" w14:textId="43E0190F" w:rsidTr="009B3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10"/>
        </w:trPr>
        <w:tc>
          <w:tcPr>
            <w:tcW w:w="1356" w:type="dxa"/>
            <w:tcBorders>
              <w:top w:val="single" w:sz="4" w:space="0" w:color="auto"/>
              <w:left w:val="single" w:sz="4" w:space="0" w:color="auto"/>
              <w:bottom w:val="single" w:sz="4" w:space="0" w:color="auto"/>
              <w:right w:val="single" w:sz="4" w:space="0" w:color="auto"/>
            </w:tcBorders>
          </w:tcPr>
          <w:p w14:paraId="72F973B6" w14:textId="77777777" w:rsidR="004B47B9" w:rsidRDefault="004B47B9" w:rsidP="008330B2">
            <w:r>
              <w:t>17.20</w:t>
            </w:r>
            <w:r w:rsidRPr="00C30301">
              <w:t>.1.</w:t>
            </w:r>
            <w:r>
              <w:t>1</w:t>
            </w:r>
            <w:r w:rsidRPr="00C30301">
              <w:t>3</w:t>
            </w:r>
          </w:p>
        </w:tc>
        <w:tc>
          <w:tcPr>
            <w:tcW w:w="7229" w:type="dxa"/>
            <w:tcBorders>
              <w:top w:val="single" w:sz="4" w:space="0" w:color="auto"/>
              <w:left w:val="single" w:sz="4" w:space="0" w:color="auto"/>
              <w:bottom w:val="single" w:sz="4" w:space="0" w:color="auto"/>
              <w:right w:val="single" w:sz="4" w:space="0" w:color="auto"/>
            </w:tcBorders>
          </w:tcPr>
          <w:p w14:paraId="66D91470" w14:textId="77777777" w:rsidR="004B47B9" w:rsidRPr="00640613" w:rsidRDefault="004B47B9" w:rsidP="008330B2">
            <w:pPr>
              <w:jc w:val="both"/>
            </w:pPr>
            <w:r w:rsidRPr="00AB27E1">
              <w:t xml:space="preserve">Invoices Awaiting Payment </w:t>
            </w:r>
            <w:r>
              <w:t xml:space="preserve">- </w:t>
            </w:r>
            <w:r w:rsidRPr="00AB27E1">
              <w:t>Detailed</w:t>
            </w:r>
            <w:r>
              <w:t xml:space="preserve"> (</w:t>
            </w:r>
            <w:r w:rsidRPr="00AE3497">
              <w:t>CR21118</w:t>
            </w:r>
            <w:r>
              <w:t>)</w:t>
            </w:r>
          </w:p>
        </w:tc>
        <w:tc>
          <w:tcPr>
            <w:tcW w:w="851" w:type="dxa"/>
            <w:tcBorders>
              <w:top w:val="single" w:sz="4" w:space="0" w:color="auto"/>
              <w:left w:val="single" w:sz="4" w:space="0" w:color="auto"/>
              <w:bottom w:val="single" w:sz="4" w:space="0" w:color="auto"/>
              <w:right w:val="single" w:sz="4" w:space="0" w:color="auto"/>
            </w:tcBorders>
          </w:tcPr>
          <w:p w14:paraId="072E229A" w14:textId="77777777" w:rsidR="004B47B9" w:rsidRPr="00AB27E1" w:rsidRDefault="004B47B9" w:rsidP="008330B2">
            <w:pPr>
              <w:jc w:val="both"/>
            </w:pPr>
          </w:p>
        </w:tc>
      </w:tr>
      <w:tr w:rsidR="004B47B9" w:rsidRPr="00F81106" w14:paraId="12F1C9D1" w14:textId="0FF232BC" w:rsidTr="009B3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10"/>
        </w:trPr>
        <w:tc>
          <w:tcPr>
            <w:tcW w:w="1356" w:type="dxa"/>
            <w:tcBorders>
              <w:top w:val="single" w:sz="4" w:space="0" w:color="auto"/>
              <w:left w:val="single" w:sz="4" w:space="0" w:color="auto"/>
              <w:bottom w:val="single" w:sz="4" w:space="0" w:color="auto"/>
              <w:right w:val="single" w:sz="4" w:space="0" w:color="auto"/>
            </w:tcBorders>
          </w:tcPr>
          <w:p w14:paraId="5347253F" w14:textId="77777777" w:rsidR="004B47B9" w:rsidRDefault="004B47B9" w:rsidP="00707F50">
            <w:r>
              <w:t>17.20</w:t>
            </w:r>
            <w:r w:rsidRPr="00C30301">
              <w:t>.1.</w:t>
            </w:r>
            <w:r>
              <w:t>14</w:t>
            </w:r>
          </w:p>
        </w:tc>
        <w:tc>
          <w:tcPr>
            <w:tcW w:w="7229" w:type="dxa"/>
            <w:tcBorders>
              <w:top w:val="single" w:sz="4" w:space="0" w:color="auto"/>
              <w:left w:val="single" w:sz="4" w:space="0" w:color="auto"/>
              <w:bottom w:val="single" w:sz="4" w:space="0" w:color="auto"/>
              <w:right w:val="single" w:sz="4" w:space="0" w:color="auto"/>
            </w:tcBorders>
          </w:tcPr>
          <w:p w14:paraId="6B6CB91A" w14:textId="77777777" w:rsidR="004B47B9" w:rsidRPr="00640613" w:rsidRDefault="004B47B9" w:rsidP="008330B2">
            <w:pPr>
              <w:jc w:val="both"/>
            </w:pPr>
            <w:r w:rsidRPr="00782527">
              <w:t xml:space="preserve">Family Credit Notes Report Certification </w:t>
            </w:r>
            <w:r>
              <w:t>(</w:t>
            </w:r>
            <w:r w:rsidRPr="00AE3497">
              <w:t>DF21309</w:t>
            </w:r>
            <w:r>
              <w:t>)</w:t>
            </w:r>
          </w:p>
        </w:tc>
        <w:tc>
          <w:tcPr>
            <w:tcW w:w="851" w:type="dxa"/>
            <w:tcBorders>
              <w:top w:val="single" w:sz="4" w:space="0" w:color="auto"/>
              <w:left w:val="single" w:sz="4" w:space="0" w:color="auto"/>
              <w:bottom w:val="single" w:sz="4" w:space="0" w:color="auto"/>
              <w:right w:val="single" w:sz="4" w:space="0" w:color="auto"/>
            </w:tcBorders>
          </w:tcPr>
          <w:p w14:paraId="59910008" w14:textId="77777777" w:rsidR="004B47B9" w:rsidRPr="00782527" w:rsidRDefault="004B47B9" w:rsidP="008330B2">
            <w:pPr>
              <w:jc w:val="both"/>
            </w:pPr>
          </w:p>
        </w:tc>
      </w:tr>
      <w:tr w:rsidR="004B47B9" w:rsidRPr="00F81106" w14:paraId="74650F5F" w14:textId="2ABB136A" w:rsidTr="009B3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10"/>
        </w:trPr>
        <w:tc>
          <w:tcPr>
            <w:tcW w:w="1356" w:type="dxa"/>
            <w:tcBorders>
              <w:top w:val="single" w:sz="4" w:space="0" w:color="auto"/>
              <w:left w:val="single" w:sz="4" w:space="0" w:color="auto"/>
              <w:bottom w:val="single" w:sz="4" w:space="0" w:color="auto"/>
              <w:right w:val="single" w:sz="4" w:space="0" w:color="auto"/>
            </w:tcBorders>
          </w:tcPr>
          <w:p w14:paraId="60D81F01" w14:textId="77777777" w:rsidR="004B47B9" w:rsidRDefault="004B47B9" w:rsidP="00707F50">
            <w:r>
              <w:t>17.20</w:t>
            </w:r>
            <w:r w:rsidRPr="00C30301">
              <w:t>.1.</w:t>
            </w:r>
            <w:r>
              <w:t>15</w:t>
            </w:r>
          </w:p>
        </w:tc>
        <w:tc>
          <w:tcPr>
            <w:tcW w:w="7229" w:type="dxa"/>
            <w:tcBorders>
              <w:top w:val="single" w:sz="4" w:space="0" w:color="auto"/>
              <w:left w:val="single" w:sz="4" w:space="0" w:color="auto"/>
              <w:bottom w:val="single" w:sz="4" w:space="0" w:color="auto"/>
              <w:right w:val="single" w:sz="4" w:space="0" w:color="auto"/>
            </w:tcBorders>
          </w:tcPr>
          <w:p w14:paraId="5E2A5F86" w14:textId="77777777" w:rsidR="004B47B9" w:rsidRPr="00640613" w:rsidRDefault="004B47B9" w:rsidP="008330B2">
            <w:pPr>
              <w:tabs>
                <w:tab w:val="left" w:pos="2074"/>
              </w:tabs>
              <w:jc w:val="both"/>
            </w:pPr>
            <w:r>
              <w:t>Sundry Debtors Credit Notes Report (</w:t>
            </w:r>
            <w:r w:rsidRPr="00AE3497">
              <w:t>DR21309</w:t>
            </w:r>
            <w:r>
              <w:t>)</w:t>
            </w:r>
          </w:p>
        </w:tc>
        <w:tc>
          <w:tcPr>
            <w:tcW w:w="851" w:type="dxa"/>
            <w:tcBorders>
              <w:top w:val="single" w:sz="4" w:space="0" w:color="auto"/>
              <w:left w:val="single" w:sz="4" w:space="0" w:color="auto"/>
              <w:bottom w:val="single" w:sz="4" w:space="0" w:color="auto"/>
              <w:right w:val="single" w:sz="4" w:space="0" w:color="auto"/>
            </w:tcBorders>
          </w:tcPr>
          <w:p w14:paraId="65E4A18C" w14:textId="77777777" w:rsidR="004B47B9" w:rsidRDefault="004B47B9" w:rsidP="008330B2">
            <w:pPr>
              <w:tabs>
                <w:tab w:val="left" w:pos="2074"/>
              </w:tabs>
              <w:jc w:val="both"/>
            </w:pPr>
          </w:p>
        </w:tc>
      </w:tr>
      <w:tr w:rsidR="004B47B9" w:rsidRPr="00F81106" w14:paraId="27C2667E" w14:textId="0F16621C" w:rsidTr="009B3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37"/>
        </w:trPr>
        <w:tc>
          <w:tcPr>
            <w:tcW w:w="1356" w:type="dxa"/>
            <w:tcBorders>
              <w:top w:val="single" w:sz="4" w:space="0" w:color="auto"/>
              <w:left w:val="single" w:sz="4" w:space="0" w:color="auto"/>
              <w:bottom w:val="single" w:sz="4" w:space="0" w:color="auto"/>
              <w:right w:val="single" w:sz="4" w:space="0" w:color="auto"/>
            </w:tcBorders>
          </w:tcPr>
          <w:p w14:paraId="640B9842" w14:textId="77777777" w:rsidR="004B47B9" w:rsidRDefault="004B47B9" w:rsidP="0059472C">
            <w:r>
              <w:t>17.20</w:t>
            </w:r>
            <w:r w:rsidRPr="00C30301">
              <w:t>.1.</w:t>
            </w:r>
            <w:r>
              <w:t>16</w:t>
            </w:r>
          </w:p>
        </w:tc>
        <w:tc>
          <w:tcPr>
            <w:tcW w:w="7229" w:type="dxa"/>
            <w:tcBorders>
              <w:top w:val="single" w:sz="4" w:space="0" w:color="auto"/>
              <w:left w:val="single" w:sz="4" w:space="0" w:color="auto"/>
              <w:bottom w:val="single" w:sz="4" w:space="0" w:color="auto"/>
              <w:right w:val="single" w:sz="4" w:space="0" w:color="auto"/>
            </w:tcBorders>
          </w:tcPr>
          <w:p w14:paraId="2BDD19C8" w14:textId="77777777" w:rsidR="004B47B9" w:rsidRDefault="004B47B9" w:rsidP="003627BE">
            <w:r w:rsidRPr="00782527">
              <w:t>SRP Budget Management Report – Summary Page 1 showing Surplus/</w:t>
            </w:r>
            <w:r>
              <w:t>(</w:t>
            </w:r>
            <w:r w:rsidRPr="00782527">
              <w:t>Deficit</w:t>
            </w:r>
            <w:r>
              <w:t>) (</w:t>
            </w:r>
            <w:r w:rsidRPr="00AE3497">
              <w:t>S</w:t>
            </w:r>
            <w:r>
              <w:t xml:space="preserve">tudent Resource Package </w:t>
            </w:r>
            <w:r w:rsidRPr="00AE3497">
              <w:t>Website</w:t>
            </w:r>
            <w:r>
              <w:t>)</w:t>
            </w:r>
          </w:p>
        </w:tc>
        <w:tc>
          <w:tcPr>
            <w:tcW w:w="851" w:type="dxa"/>
            <w:tcBorders>
              <w:top w:val="single" w:sz="4" w:space="0" w:color="auto"/>
              <w:left w:val="single" w:sz="4" w:space="0" w:color="auto"/>
              <w:bottom w:val="single" w:sz="4" w:space="0" w:color="auto"/>
              <w:right w:val="single" w:sz="4" w:space="0" w:color="auto"/>
            </w:tcBorders>
          </w:tcPr>
          <w:p w14:paraId="68BE9560" w14:textId="77777777" w:rsidR="004B47B9" w:rsidRPr="00782527" w:rsidRDefault="004B47B9" w:rsidP="003627BE"/>
        </w:tc>
      </w:tr>
      <w:tr w:rsidR="004B47B9" w:rsidRPr="00F81106" w14:paraId="42CE679B" w14:textId="72756F78" w:rsidTr="009B3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27"/>
        </w:trPr>
        <w:tc>
          <w:tcPr>
            <w:tcW w:w="1356" w:type="dxa"/>
            <w:tcBorders>
              <w:top w:val="single" w:sz="4" w:space="0" w:color="auto"/>
              <w:left w:val="single" w:sz="4" w:space="0" w:color="auto"/>
              <w:bottom w:val="single" w:sz="4" w:space="0" w:color="auto"/>
              <w:right w:val="single" w:sz="4" w:space="0" w:color="auto"/>
            </w:tcBorders>
          </w:tcPr>
          <w:p w14:paraId="67E2B202" w14:textId="77777777" w:rsidR="004B47B9" w:rsidRDefault="004B47B9" w:rsidP="00707F50">
            <w:r>
              <w:lastRenderedPageBreak/>
              <w:t>17.20</w:t>
            </w:r>
            <w:r w:rsidRPr="00C30301">
              <w:t>.1.</w:t>
            </w:r>
            <w:r>
              <w:t>17</w:t>
            </w:r>
          </w:p>
        </w:tc>
        <w:tc>
          <w:tcPr>
            <w:tcW w:w="7229" w:type="dxa"/>
            <w:tcBorders>
              <w:top w:val="single" w:sz="4" w:space="0" w:color="auto"/>
              <w:left w:val="single" w:sz="4" w:space="0" w:color="auto"/>
              <w:bottom w:val="single" w:sz="4" w:space="0" w:color="auto"/>
              <w:right w:val="single" w:sz="4" w:space="0" w:color="auto"/>
            </w:tcBorders>
          </w:tcPr>
          <w:p w14:paraId="7ED3E671" w14:textId="77777777" w:rsidR="004B47B9" w:rsidRDefault="004B47B9" w:rsidP="008330B2">
            <w:pPr>
              <w:tabs>
                <w:tab w:val="left" w:pos="2074"/>
              </w:tabs>
              <w:jc w:val="both"/>
            </w:pPr>
            <w:r>
              <w:t>Present the following reports to school council each month for review:</w:t>
            </w:r>
          </w:p>
          <w:p w14:paraId="223C7696" w14:textId="77777777" w:rsidR="004B47B9" w:rsidRDefault="004B47B9" w:rsidP="00457E54">
            <w:pPr>
              <w:pStyle w:val="ListBullet"/>
            </w:pPr>
            <w:r>
              <w:t>Balance Sheet Specific Period (GL21161) – This report must be certified by the principal and the school council president;</w:t>
            </w:r>
          </w:p>
          <w:p w14:paraId="049E23F3" w14:textId="77777777" w:rsidR="004B47B9" w:rsidRPr="00782527" w:rsidRDefault="004B47B9" w:rsidP="00457E54">
            <w:pPr>
              <w:pStyle w:val="ListBullet"/>
            </w:pPr>
            <w:r>
              <w:t>Operating Statement (detailed) (GL21150) – This report must be certified by the principal and the school council president.</w:t>
            </w:r>
          </w:p>
        </w:tc>
        <w:tc>
          <w:tcPr>
            <w:tcW w:w="851" w:type="dxa"/>
            <w:tcBorders>
              <w:top w:val="single" w:sz="4" w:space="0" w:color="auto"/>
              <w:left w:val="single" w:sz="4" w:space="0" w:color="auto"/>
              <w:bottom w:val="single" w:sz="4" w:space="0" w:color="auto"/>
              <w:right w:val="single" w:sz="4" w:space="0" w:color="auto"/>
            </w:tcBorders>
          </w:tcPr>
          <w:p w14:paraId="1E424881" w14:textId="77777777" w:rsidR="004B47B9" w:rsidRDefault="004B47B9" w:rsidP="008330B2">
            <w:pPr>
              <w:tabs>
                <w:tab w:val="left" w:pos="2074"/>
              </w:tabs>
              <w:jc w:val="both"/>
            </w:pPr>
          </w:p>
        </w:tc>
      </w:tr>
    </w:tbl>
    <w:p w14:paraId="003A1240" w14:textId="77777777" w:rsidR="00B1289C" w:rsidRPr="006F7B96" w:rsidRDefault="00B1289C" w:rsidP="00B1289C">
      <w:pPr>
        <w:pStyle w:val="Heading2"/>
      </w:pPr>
      <w:r>
        <w:t>17.2</w:t>
      </w:r>
      <w:r w:rsidR="002337D3">
        <w:t>1</w:t>
      </w:r>
      <w:r>
        <w:tab/>
        <w:t xml:space="preserve">Other documents and files for </w:t>
      </w:r>
      <w:r w:rsidR="006F6693">
        <w:t xml:space="preserve">the </w:t>
      </w:r>
      <w:r>
        <w:t>audit</w:t>
      </w:r>
      <w:r w:rsidR="006F6693">
        <w:t>or</w:t>
      </w:r>
    </w:p>
    <w:p w14:paraId="4EDACBA9" w14:textId="77777777" w:rsidR="00BF60C2" w:rsidRPr="00EC7D90" w:rsidRDefault="00BF60C2" w:rsidP="00BF60C2">
      <w:pPr>
        <w:pStyle w:val="Heading3"/>
      </w:pPr>
      <w:r>
        <w:t>17.21.1</w:t>
      </w:r>
      <w:r w:rsidRPr="00EC7D90">
        <w:t xml:space="preserve"> </w:t>
      </w:r>
      <w:r>
        <w:tab/>
      </w:r>
      <w:r w:rsidRPr="00EC7D90">
        <w:t>Mandatory policy (</w:t>
      </w:r>
      <w:r>
        <w:t>Must do</w:t>
      </w:r>
      <w:r w:rsidRPr="00EC7D90">
        <w:t>)</w:t>
      </w:r>
      <w:r>
        <w:t>:</w:t>
      </w:r>
    </w:p>
    <w:tbl>
      <w:tblPr>
        <w:tblW w:w="943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containing sequence numbers and policy information"/>
      </w:tblPr>
      <w:tblGrid>
        <w:gridCol w:w="1356"/>
        <w:gridCol w:w="7229"/>
        <w:gridCol w:w="851"/>
      </w:tblGrid>
      <w:tr w:rsidR="00BC67EF" w:rsidRPr="0091756B" w14:paraId="70AC1F3F" w14:textId="6026F620" w:rsidTr="009B3C58">
        <w:trPr>
          <w:trHeight w:val="567"/>
          <w:tblHeader/>
        </w:trPr>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tcPr>
          <w:p w14:paraId="1422931B" w14:textId="77777777" w:rsidR="00BC67EF" w:rsidRPr="00D60EB6" w:rsidRDefault="00BC67EF" w:rsidP="00DF168D">
            <w:pPr>
              <w:rPr>
                <w:b/>
                <w:sz w:val="18"/>
              </w:rPr>
            </w:pPr>
            <w:r w:rsidRPr="00D60EB6">
              <w:rPr>
                <w:b/>
                <w:sz w:val="18"/>
              </w:rPr>
              <w:t>Sequence Numbers</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0D72301A" w14:textId="77777777" w:rsidR="00BC67EF" w:rsidRPr="00E0071A" w:rsidRDefault="00BC67EF" w:rsidP="00DF168D">
            <w:pPr>
              <w:rPr>
                <w:b/>
                <w:sz w:val="20"/>
                <w:szCs w:val="20"/>
              </w:rPr>
            </w:pPr>
            <w:r w:rsidRPr="00E0071A">
              <w:rPr>
                <w:b/>
                <w:sz w:val="20"/>
                <w:szCs w:val="20"/>
              </w:rPr>
              <w:t>Information</w:t>
            </w:r>
          </w:p>
        </w:tc>
        <w:tc>
          <w:tcPr>
            <w:tcW w:w="851" w:type="dxa"/>
            <w:tcBorders>
              <w:top w:val="nil"/>
              <w:left w:val="single" w:sz="4" w:space="0" w:color="auto"/>
              <w:bottom w:val="single" w:sz="4" w:space="0" w:color="auto"/>
              <w:right w:val="nil"/>
            </w:tcBorders>
          </w:tcPr>
          <w:p w14:paraId="51BD07A9" w14:textId="77777777" w:rsidR="00BC67EF" w:rsidRPr="00D60EB6" w:rsidRDefault="00BC67EF" w:rsidP="00DF168D">
            <w:pPr>
              <w:rPr>
                <w:b/>
              </w:rPr>
            </w:pPr>
          </w:p>
        </w:tc>
      </w:tr>
      <w:tr w:rsidR="00BC67EF" w:rsidRPr="00F81106" w14:paraId="039C6FEA" w14:textId="5BDBB6A9" w:rsidTr="009B3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37"/>
        </w:trPr>
        <w:tc>
          <w:tcPr>
            <w:tcW w:w="1356" w:type="dxa"/>
            <w:tcBorders>
              <w:top w:val="single" w:sz="4" w:space="0" w:color="auto"/>
              <w:left w:val="single" w:sz="4" w:space="0" w:color="auto"/>
              <w:bottom w:val="single" w:sz="4" w:space="0" w:color="auto"/>
              <w:right w:val="single" w:sz="4" w:space="0" w:color="auto"/>
            </w:tcBorders>
          </w:tcPr>
          <w:p w14:paraId="3AC3E4E5" w14:textId="77777777" w:rsidR="00BC67EF" w:rsidRPr="00F81106" w:rsidRDefault="00BC67EF" w:rsidP="0059472C">
            <w:r>
              <w:t>17.21.1.1</w:t>
            </w:r>
          </w:p>
        </w:tc>
        <w:tc>
          <w:tcPr>
            <w:tcW w:w="7229" w:type="dxa"/>
            <w:tcBorders>
              <w:top w:val="single" w:sz="4" w:space="0" w:color="auto"/>
              <w:left w:val="single" w:sz="4" w:space="0" w:color="auto"/>
              <w:bottom w:val="single" w:sz="4" w:space="0" w:color="auto"/>
              <w:right w:val="single" w:sz="4" w:space="0" w:color="auto"/>
            </w:tcBorders>
          </w:tcPr>
          <w:p w14:paraId="0830E688" w14:textId="77777777" w:rsidR="00BC67EF" w:rsidRDefault="00BC67EF">
            <w:r>
              <w:t xml:space="preserve">The </w:t>
            </w:r>
            <w:r w:rsidRPr="0016315C">
              <w:t xml:space="preserve">following documents and reports listed below </w:t>
            </w:r>
            <w:r>
              <w:t xml:space="preserve">must be kept by the school </w:t>
            </w:r>
            <w:r w:rsidRPr="0016315C">
              <w:t xml:space="preserve">as these may be requested by the </w:t>
            </w:r>
            <w:r>
              <w:t xml:space="preserve">Department or the </w:t>
            </w:r>
            <w:r w:rsidRPr="0016315C">
              <w:t xml:space="preserve">auditor.  </w:t>
            </w:r>
          </w:p>
        </w:tc>
        <w:tc>
          <w:tcPr>
            <w:tcW w:w="851" w:type="dxa"/>
            <w:tcBorders>
              <w:top w:val="single" w:sz="4" w:space="0" w:color="auto"/>
              <w:left w:val="single" w:sz="4" w:space="0" w:color="auto"/>
              <w:bottom w:val="single" w:sz="4" w:space="0" w:color="auto"/>
              <w:right w:val="single" w:sz="4" w:space="0" w:color="auto"/>
            </w:tcBorders>
          </w:tcPr>
          <w:p w14:paraId="16FB4A30" w14:textId="77777777" w:rsidR="00BC67EF" w:rsidRDefault="00BC67EF"/>
        </w:tc>
      </w:tr>
      <w:tr w:rsidR="00BC67EF" w:rsidRPr="00F81106" w14:paraId="6F78FD84" w14:textId="4159D048" w:rsidTr="009B3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37"/>
        </w:trPr>
        <w:tc>
          <w:tcPr>
            <w:tcW w:w="1356" w:type="dxa"/>
            <w:tcBorders>
              <w:top w:val="single" w:sz="4" w:space="0" w:color="auto"/>
              <w:left w:val="single" w:sz="4" w:space="0" w:color="auto"/>
              <w:bottom w:val="single" w:sz="4" w:space="0" w:color="auto"/>
              <w:right w:val="single" w:sz="4" w:space="0" w:color="auto"/>
            </w:tcBorders>
          </w:tcPr>
          <w:p w14:paraId="237E0474" w14:textId="77777777" w:rsidR="00BC67EF" w:rsidRDefault="00BC67EF" w:rsidP="0059472C">
            <w:r>
              <w:t>17.21.1.2</w:t>
            </w:r>
          </w:p>
        </w:tc>
        <w:tc>
          <w:tcPr>
            <w:tcW w:w="7229" w:type="dxa"/>
            <w:tcBorders>
              <w:top w:val="single" w:sz="4" w:space="0" w:color="auto"/>
              <w:left w:val="single" w:sz="4" w:space="0" w:color="auto"/>
              <w:bottom w:val="single" w:sz="4" w:space="0" w:color="auto"/>
              <w:right w:val="single" w:sz="4" w:space="0" w:color="auto"/>
            </w:tcBorders>
          </w:tcPr>
          <w:p w14:paraId="347DA292" w14:textId="77777777" w:rsidR="00BC67EF" w:rsidRDefault="00BC67EF" w:rsidP="00653E8D">
            <w:r>
              <w:t>All reports must be printed (hardcopy) or saved as PDF’s for the date range of 1/1/YYYY to 31/12/YYYY.</w:t>
            </w:r>
          </w:p>
        </w:tc>
        <w:tc>
          <w:tcPr>
            <w:tcW w:w="851" w:type="dxa"/>
            <w:tcBorders>
              <w:top w:val="single" w:sz="4" w:space="0" w:color="auto"/>
              <w:left w:val="single" w:sz="4" w:space="0" w:color="auto"/>
              <w:bottom w:val="single" w:sz="4" w:space="0" w:color="auto"/>
              <w:right w:val="single" w:sz="4" w:space="0" w:color="auto"/>
            </w:tcBorders>
          </w:tcPr>
          <w:p w14:paraId="2D982084" w14:textId="77777777" w:rsidR="00BC67EF" w:rsidRDefault="00BC67EF" w:rsidP="00653E8D"/>
        </w:tc>
      </w:tr>
    </w:tbl>
    <w:p w14:paraId="0FA2AF36" w14:textId="77777777" w:rsidR="0016315C" w:rsidRPr="008330B2" w:rsidRDefault="0016315C" w:rsidP="008330B2">
      <w:pPr>
        <w:pStyle w:val="Heading3"/>
      </w:pPr>
      <w:r w:rsidRPr="008330B2">
        <w:t>A list of reports schools must run before finali</w:t>
      </w:r>
      <w:r w:rsidR="0059472C">
        <w:t>s</w:t>
      </w:r>
      <w:r w:rsidRPr="008330B2">
        <w:t>ing the End of Year process</w:t>
      </w:r>
    </w:p>
    <w:tbl>
      <w:tblPr>
        <w:tblW w:w="943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containing sequence numbers and policy information"/>
      </w:tblPr>
      <w:tblGrid>
        <w:gridCol w:w="1356"/>
        <w:gridCol w:w="7229"/>
        <w:gridCol w:w="851"/>
      </w:tblGrid>
      <w:tr w:rsidR="00BC67EF" w:rsidRPr="0091756B" w14:paraId="16338492" w14:textId="0634DCD3" w:rsidTr="009B3C58">
        <w:trPr>
          <w:trHeight w:val="567"/>
          <w:tblHeader/>
        </w:trPr>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tcPr>
          <w:p w14:paraId="79C33F2B" w14:textId="77777777" w:rsidR="00BC67EF" w:rsidRPr="00D60EB6" w:rsidRDefault="00BC67EF" w:rsidP="00DF168D">
            <w:pPr>
              <w:rPr>
                <w:b/>
                <w:sz w:val="18"/>
              </w:rPr>
            </w:pPr>
            <w:r w:rsidRPr="00D60EB6">
              <w:rPr>
                <w:b/>
                <w:sz w:val="18"/>
              </w:rPr>
              <w:t>Sequence Numbers</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525B5E0A" w14:textId="77777777" w:rsidR="00BC67EF" w:rsidRPr="00E0071A" w:rsidRDefault="00BC67EF" w:rsidP="00DF168D">
            <w:pPr>
              <w:rPr>
                <w:b/>
                <w:sz w:val="20"/>
                <w:szCs w:val="20"/>
              </w:rPr>
            </w:pPr>
            <w:r w:rsidRPr="00E0071A">
              <w:rPr>
                <w:b/>
                <w:sz w:val="20"/>
                <w:szCs w:val="20"/>
              </w:rPr>
              <w:t>Information</w:t>
            </w:r>
          </w:p>
        </w:tc>
        <w:tc>
          <w:tcPr>
            <w:tcW w:w="851" w:type="dxa"/>
            <w:tcBorders>
              <w:top w:val="nil"/>
              <w:left w:val="single" w:sz="4" w:space="0" w:color="auto"/>
              <w:bottom w:val="single" w:sz="4" w:space="0" w:color="auto"/>
              <w:right w:val="nil"/>
            </w:tcBorders>
          </w:tcPr>
          <w:p w14:paraId="35082FF8" w14:textId="77777777" w:rsidR="00BC67EF" w:rsidRPr="00D60EB6" w:rsidRDefault="00BC67EF" w:rsidP="00DF168D">
            <w:pPr>
              <w:rPr>
                <w:b/>
              </w:rPr>
            </w:pPr>
          </w:p>
        </w:tc>
      </w:tr>
      <w:tr w:rsidR="00BC67EF" w:rsidRPr="00F81106" w14:paraId="2964790A" w14:textId="1625021B" w:rsidTr="009B3C58">
        <w:trPr>
          <w:trHeight w:hRule="exact" w:val="510"/>
        </w:trPr>
        <w:tc>
          <w:tcPr>
            <w:tcW w:w="1356" w:type="dxa"/>
            <w:tcBorders>
              <w:top w:val="single" w:sz="4" w:space="0" w:color="auto"/>
              <w:left w:val="single" w:sz="4" w:space="0" w:color="auto"/>
              <w:bottom w:val="single" w:sz="4" w:space="0" w:color="auto"/>
              <w:right w:val="single" w:sz="4" w:space="0" w:color="auto"/>
            </w:tcBorders>
          </w:tcPr>
          <w:p w14:paraId="6F2860A3" w14:textId="77777777" w:rsidR="00BC67EF" w:rsidRPr="00F81106" w:rsidRDefault="00BC67EF" w:rsidP="0059472C">
            <w:r w:rsidRPr="00F81106">
              <w:t>1</w:t>
            </w:r>
            <w:r>
              <w:t>7</w:t>
            </w:r>
            <w:r w:rsidRPr="00F81106">
              <w:t>.2</w:t>
            </w:r>
            <w:r>
              <w:t>1</w:t>
            </w:r>
            <w:r w:rsidRPr="00F81106">
              <w:t>.1.</w:t>
            </w:r>
            <w:r>
              <w:t>3</w:t>
            </w:r>
          </w:p>
        </w:tc>
        <w:tc>
          <w:tcPr>
            <w:tcW w:w="7229" w:type="dxa"/>
            <w:tcBorders>
              <w:top w:val="single" w:sz="4" w:space="0" w:color="auto"/>
              <w:left w:val="single" w:sz="4" w:space="0" w:color="auto"/>
              <w:bottom w:val="single" w:sz="4" w:space="0" w:color="auto"/>
              <w:right w:val="single" w:sz="4" w:space="0" w:color="auto"/>
            </w:tcBorders>
          </w:tcPr>
          <w:p w14:paraId="7B104BFD" w14:textId="77777777" w:rsidR="00BC67EF" w:rsidRDefault="00BC67EF">
            <w:r>
              <w:t>D</w:t>
            </w:r>
            <w:r w:rsidRPr="00B1289C">
              <w:t>etails of any major sponsorship or donations</w:t>
            </w:r>
            <w:r w:rsidRPr="00F81106">
              <w:t>.</w:t>
            </w:r>
          </w:p>
        </w:tc>
        <w:tc>
          <w:tcPr>
            <w:tcW w:w="851" w:type="dxa"/>
            <w:tcBorders>
              <w:top w:val="single" w:sz="4" w:space="0" w:color="auto"/>
              <w:left w:val="single" w:sz="4" w:space="0" w:color="auto"/>
              <w:bottom w:val="single" w:sz="4" w:space="0" w:color="auto"/>
              <w:right w:val="single" w:sz="4" w:space="0" w:color="auto"/>
            </w:tcBorders>
          </w:tcPr>
          <w:p w14:paraId="24CE8473" w14:textId="77777777" w:rsidR="00BC67EF" w:rsidRDefault="00BC67EF"/>
        </w:tc>
      </w:tr>
      <w:tr w:rsidR="00BC67EF" w:rsidRPr="00F81106" w14:paraId="4FFF1C21" w14:textId="21BC03ED" w:rsidTr="009B3C58">
        <w:trPr>
          <w:trHeight w:hRule="exact" w:val="737"/>
        </w:trPr>
        <w:tc>
          <w:tcPr>
            <w:tcW w:w="1356" w:type="dxa"/>
            <w:tcBorders>
              <w:top w:val="single" w:sz="4" w:space="0" w:color="auto"/>
              <w:left w:val="single" w:sz="4" w:space="0" w:color="auto"/>
              <w:bottom w:val="single" w:sz="4" w:space="0" w:color="auto"/>
              <w:right w:val="single" w:sz="4" w:space="0" w:color="auto"/>
            </w:tcBorders>
          </w:tcPr>
          <w:p w14:paraId="0E8442B6" w14:textId="77777777" w:rsidR="00BC67EF" w:rsidRDefault="00BC67EF" w:rsidP="0059472C">
            <w:r w:rsidRPr="004372D6">
              <w:t>17.21.1.</w:t>
            </w:r>
            <w:r>
              <w:t>4</w:t>
            </w:r>
          </w:p>
        </w:tc>
        <w:tc>
          <w:tcPr>
            <w:tcW w:w="7229" w:type="dxa"/>
            <w:tcBorders>
              <w:top w:val="single" w:sz="4" w:space="0" w:color="auto"/>
              <w:left w:val="single" w:sz="4" w:space="0" w:color="auto"/>
              <w:bottom w:val="single" w:sz="4" w:space="0" w:color="auto"/>
              <w:right w:val="single" w:sz="4" w:space="0" w:color="auto"/>
            </w:tcBorders>
          </w:tcPr>
          <w:p w14:paraId="02FFFDF0" w14:textId="77777777" w:rsidR="00BC67EF" w:rsidRDefault="00BC67EF">
            <w:r w:rsidRPr="004D3D5B">
              <w:t>Reports back to the State or Commonwealth (if applicable) for any specific purpose funds</w:t>
            </w:r>
            <w:r>
              <w:t>.</w:t>
            </w:r>
          </w:p>
        </w:tc>
        <w:tc>
          <w:tcPr>
            <w:tcW w:w="851" w:type="dxa"/>
            <w:tcBorders>
              <w:top w:val="single" w:sz="4" w:space="0" w:color="auto"/>
              <w:left w:val="single" w:sz="4" w:space="0" w:color="auto"/>
              <w:bottom w:val="single" w:sz="4" w:space="0" w:color="auto"/>
              <w:right w:val="single" w:sz="4" w:space="0" w:color="auto"/>
            </w:tcBorders>
          </w:tcPr>
          <w:p w14:paraId="44EF4DE6" w14:textId="77777777" w:rsidR="00BC67EF" w:rsidRPr="004D3D5B" w:rsidRDefault="00BC67EF"/>
        </w:tc>
      </w:tr>
      <w:tr w:rsidR="00BC67EF" w:rsidRPr="00F81106" w14:paraId="686915A7" w14:textId="2B8C503D" w:rsidTr="009B3C58">
        <w:trPr>
          <w:trHeight w:hRule="exact" w:val="510"/>
        </w:trPr>
        <w:tc>
          <w:tcPr>
            <w:tcW w:w="1356" w:type="dxa"/>
            <w:tcBorders>
              <w:top w:val="single" w:sz="4" w:space="0" w:color="auto"/>
              <w:left w:val="single" w:sz="4" w:space="0" w:color="auto"/>
              <w:bottom w:val="single" w:sz="4" w:space="0" w:color="auto"/>
              <w:right w:val="single" w:sz="4" w:space="0" w:color="auto"/>
            </w:tcBorders>
          </w:tcPr>
          <w:p w14:paraId="08E7108F" w14:textId="77777777" w:rsidR="00BC67EF" w:rsidRDefault="00BC67EF" w:rsidP="0059472C">
            <w:r w:rsidRPr="004372D6">
              <w:t>17.21.1.</w:t>
            </w:r>
            <w:r>
              <w:t>5</w:t>
            </w:r>
          </w:p>
        </w:tc>
        <w:tc>
          <w:tcPr>
            <w:tcW w:w="7229" w:type="dxa"/>
            <w:tcBorders>
              <w:top w:val="single" w:sz="4" w:space="0" w:color="auto"/>
              <w:left w:val="single" w:sz="4" w:space="0" w:color="auto"/>
              <w:bottom w:val="single" w:sz="4" w:space="0" w:color="auto"/>
              <w:right w:val="single" w:sz="4" w:space="0" w:color="auto"/>
            </w:tcBorders>
          </w:tcPr>
          <w:p w14:paraId="2372E703" w14:textId="77777777" w:rsidR="00BC67EF" w:rsidRDefault="00BC67EF">
            <w:r w:rsidRPr="00447742">
              <w:t>Canteen records and Profit and Loss statements</w:t>
            </w:r>
            <w:r>
              <w:t>.</w:t>
            </w:r>
          </w:p>
        </w:tc>
        <w:tc>
          <w:tcPr>
            <w:tcW w:w="851" w:type="dxa"/>
            <w:tcBorders>
              <w:top w:val="single" w:sz="4" w:space="0" w:color="auto"/>
              <w:left w:val="single" w:sz="4" w:space="0" w:color="auto"/>
              <w:bottom w:val="single" w:sz="4" w:space="0" w:color="auto"/>
              <w:right w:val="single" w:sz="4" w:space="0" w:color="auto"/>
            </w:tcBorders>
          </w:tcPr>
          <w:p w14:paraId="40EF0C47" w14:textId="77777777" w:rsidR="00BC67EF" w:rsidRPr="00447742" w:rsidRDefault="00BC67EF"/>
        </w:tc>
      </w:tr>
      <w:tr w:rsidR="00BC67EF" w:rsidRPr="00F81106" w14:paraId="7B91D66B" w14:textId="2DB6CAA6" w:rsidTr="009B3C58">
        <w:trPr>
          <w:trHeight w:hRule="exact" w:val="510"/>
        </w:trPr>
        <w:tc>
          <w:tcPr>
            <w:tcW w:w="1356" w:type="dxa"/>
            <w:tcBorders>
              <w:top w:val="single" w:sz="4" w:space="0" w:color="auto"/>
              <w:left w:val="single" w:sz="4" w:space="0" w:color="auto"/>
              <w:bottom w:val="single" w:sz="4" w:space="0" w:color="auto"/>
              <w:right w:val="single" w:sz="4" w:space="0" w:color="auto"/>
            </w:tcBorders>
          </w:tcPr>
          <w:p w14:paraId="22708E8C" w14:textId="77777777" w:rsidR="00BC67EF" w:rsidRDefault="00BC67EF" w:rsidP="0059472C">
            <w:r w:rsidRPr="004372D6">
              <w:t>17.21.1.</w:t>
            </w:r>
            <w:r>
              <w:t>6</w:t>
            </w:r>
          </w:p>
        </w:tc>
        <w:tc>
          <w:tcPr>
            <w:tcW w:w="7229" w:type="dxa"/>
            <w:tcBorders>
              <w:top w:val="single" w:sz="4" w:space="0" w:color="auto"/>
              <w:left w:val="single" w:sz="4" w:space="0" w:color="auto"/>
              <w:bottom w:val="single" w:sz="4" w:space="0" w:color="auto"/>
              <w:right w:val="single" w:sz="4" w:space="0" w:color="auto"/>
            </w:tcBorders>
          </w:tcPr>
          <w:p w14:paraId="53195365" w14:textId="77777777" w:rsidR="00BC67EF" w:rsidRDefault="00BC67EF">
            <w:r w:rsidRPr="00447742">
              <w:t>Other trading operations records and Profit and Loss statements</w:t>
            </w:r>
            <w:r>
              <w:t>.</w:t>
            </w:r>
          </w:p>
        </w:tc>
        <w:tc>
          <w:tcPr>
            <w:tcW w:w="851" w:type="dxa"/>
            <w:tcBorders>
              <w:top w:val="single" w:sz="4" w:space="0" w:color="auto"/>
              <w:left w:val="single" w:sz="4" w:space="0" w:color="auto"/>
              <w:bottom w:val="single" w:sz="4" w:space="0" w:color="auto"/>
              <w:right w:val="single" w:sz="4" w:space="0" w:color="auto"/>
            </w:tcBorders>
          </w:tcPr>
          <w:p w14:paraId="58890763" w14:textId="77777777" w:rsidR="00BC67EF" w:rsidRPr="00447742" w:rsidRDefault="00BC67EF"/>
        </w:tc>
      </w:tr>
      <w:tr w:rsidR="00BC67EF" w:rsidRPr="00F81106" w14:paraId="6B0FDD94" w14:textId="1BED4CF0" w:rsidTr="009B3C58">
        <w:trPr>
          <w:trHeight w:hRule="exact" w:val="737"/>
        </w:trPr>
        <w:tc>
          <w:tcPr>
            <w:tcW w:w="1356" w:type="dxa"/>
            <w:tcBorders>
              <w:top w:val="single" w:sz="4" w:space="0" w:color="auto"/>
              <w:left w:val="single" w:sz="4" w:space="0" w:color="auto"/>
              <w:bottom w:val="single" w:sz="4" w:space="0" w:color="auto"/>
              <w:right w:val="single" w:sz="4" w:space="0" w:color="auto"/>
            </w:tcBorders>
          </w:tcPr>
          <w:p w14:paraId="24DBBA0A" w14:textId="77777777" w:rsidR="00BC67EF" w:rsidRDefault="00BC67EF" w:rsidP="0059472C">
            <w:r w:rsidRPr="004372D6">
              <w:t>17.21.1.</w:t>
            </w:r>
            <w:r>
              <w:t>7</w:t>
            </w:r>
          </w:p>
        </w:tc>
        <w:tc>
          <w:tcPr>
            <w:tcW w:w="7229" w:type="dxa"/>
            <w:tcBorders>
              <w:top w:val="single" w:sz="4" w:space="0" w:color="auto"/>
              <w:left w:val="single" w:sz="4" w:space="0" w:color="auto"/>
              <w:bottom w:val="single" w:sz="4" w:space="0" w:color="auto"/>
              <w:right w:val="single" w:sz="4" w:space="0" w:color="auto"/>
            </w:tcBorders>
          </w:tcPr>
          <w:p w14:paraId="1C7CCC28" w14:textId="3362602C" w:rsidR="00BC67EF" w:rsidRDefault="009312D5">
            <w:r w:rsidRPr="001D271D">
              <w:t>Supporting documentation for any Benefici</w:t>
            </w:r>
            <w:r>
              <w:t>ary</w:t>
            </w:r>
            <w:r w:rsidRPr="001D271D">
              <w:t xml:space="preserve">/Memorial accounts on hand at year-end. </w:t>
            </w:r>
          </w:p>
        </w:tc>
        <w:tc>
          <w:tcPr>
            <w:tcW w:w="851" w:type="dxa"/>
            <w:tcBorders>
              <w:top w:val="single" w:sz="4" w:space="0" w:color="auto"/>
              <w:left w:val="single" w:sz="4" w:space="0" w:color="auto"/>
              <w:bottom w:val="single" w:sz="4" w:space="0" w:color="auto"/>
              <w:right w:val="single" w:sz="4" w:space="0" w:color="auto"/>
            </w:tcBorders>
          </w:tcPr>
          <w:p w14:paraId="79AD6335" w14:textId="77777777" w:rsidR="00BC67EF" w:rsidRPr="00447742" w:rsidRDefault="00BC67EF"/>
        </w:tc>
      </w:tr>
      <w:tr w:rsidR="00BC67EF" w:rsidRPr="00F81106" w14:paraId="35D5232E" w14:textId="3478AA0C" w:rsidTr="009B3C58">
        <w:trPr>
          <w:trHeight w:hRule="exact" w:val="510"/>
        </w:trPr>
        <w:tc>
          <w:tcPr>
            <w:tcW w:w="1356" w:type="dxa"/>
            <w:tcBorders>
              <w:top w:val="single" w:sz="4" w:space="0" w:color="auto"/>
              <w:left w:val="single" w:sz="4" w:space="0" w:color="auto"/>
              <w:bottom w:val="single" w:sz="4" w:space="0" w:color="auto"/>
              <w:right w:val="single" w:sz="4" w:space="0" w:color="auto"/>
            </w:tcBorders>
          </w:tcPr>
          <w:p w14:paraId="54AEA31F" w14:textId="19B018C8" w:rsidR="00BC67EF" w:rsidRDefault="00BC67EF" w:rsidP="0059472C">
            <w:r w:rsidRPr="004372D6">
              <w:t>17.21.1.</w:t>
            </w:r>
            <w:r w:rsidR="009312D5">
              <w:t>8</w:t>
            </w:r>
          </w:p>
        </w:tc>
        <w:tc>
          <w:tcPr>
            <w:tcW w:w="7229" w:type="dxa"/>
            <w:tcBorders>
              <w:top w:val="single" w:sz="4" w:space="0" w:color="auto"/>
              <w:left w:val="single" w:sz="4" w:space="0" w:color="auto"/>
              <w:bottom w:val="single" w:sz="4" w:space="0" w:color="auto"/>
              <w:right w:val="single" w:sz="4" w:space="0" w:color="auto"/>
            </w:tcBorders>
          </w:tcPr>
          <w:p w14:paraId="4AB4B62D" w14:textId="77777777" w:rsidR="00BC67EF" w:rsidRDefault="00BC67EF">
            <w:r>
              <w:t>Summary of financial commitments (Printed as part of EOY).</w:t>
            </w:r>
          </w:p>
        </w:tc>
        <w:tc>
          <w:tcPr>
            <w:tcW w:w="851" w:type="dxa"/>
            <w:tcBorders>
              <w:top w:val="single" w:sz="4" w:space="0" w:color="auto"/>
              <w:left w:val="single" w:sz="4" w:space="0" w:color="auto"/>
              <w:bottom w:val="single" w:sz="4" w:space="0" w:color="auto"/>
              <w:right w:val="single" w:sz="4" w:space="0" w:color="auto"/>
            </w:tcBorders>
          </w:tcPr>
          <w:p w14:paraId="1420571E" w14:textId="77777777" w:rsidR="00BC67EF" w:rsidRDefault="00BC67EF"/>
        </w:tc>
      </w:tr>
      <w:tr w:rsidR="00BC67EF" w:rsidRPr="00F81106" w14:paraId="66400294" w14:textId="37BADBB0" w:rsidTr="009B3C58">
        <w:trPr>
          <w:trHeight w:hRule="exact" w:val="1021"/>
        </w:trPr>
        <w:tc>
          <w:tcPr>
            <w:tcW w:w="1356" w:type="dxa"/>
            <w:tcBorders>
              <w:top w:val="single" w:sz="4" w:space="0" w:color="auto"/>
              <w:left w:val="single" w:sz="4" w:space="0" w:color="auto"/>
              <w:bottom w:val="single" w:sz="4" w:space="0" w:color="auto"/>
              <w:right w:val="single" w:sz="4" w:space="0" w:color="auto"/>
            </w:tcBorders>
          </w:tcPr>
          <w:p w14:paraId="4CB36A4F" w14:textId="2DACDA82" w:rsidR="00BC67EF" w:rsidRDefault="00BC67EF" w:rsidP="0059472C">
            <w:r w:rsidRPr="004372D6">
              <w:t>17.21.1.</w:t>
            </w:r>
            <w:r w:rsidR="009312D5">
              <w:t>9</w:t>
            </w:r>
          </w:p>
        </w:tc>
        <w:tc>
          <w:tcPr>
            <w:tcW w:w="7229" w:type="dxa"/>
            <w:tcBorders>
              <w:top w:val="single" w:sz="4" w:space="0" w:color="auto"/>
              <w:left w:val="single" w:sz="4" w:space="0" w:color="auto"/>
              <w:bottom w:val="single" w:sz="4" w:space="0" w:color="auto"/>
              <w:right w:val="single" w:sz="4" w:space="0" w:color="auto"/>
            </w:tcBorders>
          </w:tcPr>
          <w:p w14:paraId="1A02474C" w14:textId="77777777" w:rsidR="00BC67EF" w:rsidRDefault="00BC67EF">
            <w:r w:rsidRPr="00701B63">
              <w:t xml:space="preserve">All school council and finance committee minutes for the year under audit. Schools </w:t>
            </w:r>
            <w:r>
              <w:t xml:space="preserve">must take </w:t>
            </w:r>
            <w:r w:rsidRPr="00701B63">
              <w:t>minute</w:t>
            </w:r>
            <w:r>
              <w:t xml:space="preserve">s of </w:t>
            </w:r>
            <w:r w:rsidRPr="00701B63">
              <w:t>key financial and administrative events including:</w:t>
            </w:r>
          </w:p>
          <w:p w14:paraId="6475E5FB" w14:textId="77777777" w:rsidR="00BC67EF" w:rsidRDefault="00BC67EF" w:rsidP="0059472C">
            <w:pPr>
              <w:pStyle w:val="ListBullet"/>
            </w:pPr>
            <w:r w:rsidRPr="006906F9">
              <w:t>the tabling of financial statements and audit reports</w:t>
            </w:r>
            <w:r>
              <w:t>;</w:t>
            </w:r>
          </w:p>
          <w:p w14:paraId="1A04B0F1" w14:textId="77777777" w:rsidR="00BC67EF" w:rsidRDefault="00BC67EF" w:rsidP="0059472C">
            <w:pPr>
              <w:pStyle w:val="ListBullet"/>
            </w:pPr>
            <w:r>
              <w:t>the approval of the detailed budget;</w:t>
            </w:r>
          </w:p>
          <w:p w14:paraId="4104D076" w14:textId="77777777" w:rsidR="00BC67EF" w:rsidRDefault="00BC67EF" w:rsidP="0059472C">
            <w:pPr>
              <w:pStyle w:val="ListBullet"/>
            </w:pPr>
            <w:r>
              <w:t>endorsement of a formally documented investment policy;</w:t>
            </w:r>
          </w:p>
          <w:p w14:paraId="70BE2092" w14:textId="77777777" w:rsidR="00BC67EF" w:rsidRPr="00F81106" w:rsidRDefault="00BC67EF" w:rsidP="0059472C">
            <w:pPr>
              <w:pStyle w:val="ListBullet"/>
            </w:pPr>
            <w:r>
              <w:t>GST treatment of all fundraising events, uniform shop, book stall, canteen etc.</w:t>
            </w:r>
          </w:p>
        </w:tc>
        <w:tc>
          <w:tcPr>
            <w:tcW w:w="851" w:type="dxa"/>
            <w:tcBorders>
              <w:top w:val="single" w:sz="4" w:space="0" w:color="auto"/>
              <w:left w:val="single" w:sz="4" w:space="0" w:color="auto"/>
              <w:bottom w:val="single" w:sz="4" w:space="0" w:color="auto"/>
              <w:right w:val="single" w:sz="4" w:space="0" w:color="auto"/>
            </w:tcBorders>
          </w:tcPr>
          <w:p w14:paraId="168AB4D9" w14:textId="77777777" w:rsidR="00BC67EF" w:rsidRPr="00701B63" w:rsidRDefault="00BC67EF"/>
        </w:tc>
      </w:tr>
      <w:tr w:rsidR="00BC67EF" w:rsidRPr="00F81106" w14:paraId="36A32982" w14:textId="6248AE5D" w:rsidTr="009B3C58">
        <w:trPr>
          <w:trHeight w:hRule="exact" w:val="510"/>
        </w:trPr>
        <w:tc>
          <w:tcPr>
            <w:tcW w:w="1356" w:type="dxa"/>
            <w:tcBorders>
              <w:top w:val="single" w:sz="4" w:space="0" w:color="auto"/>
              <w:left w:val="single" w:sz="4" w:space="0" w:color="auto"/>
              <w:bottom w:val="single" w:sz="4" w:space="0" w:color="auto"/>
              <w:right w:val="single" w:sz="4" w:space="0" w:color="auto"/>
            </w:tcBorders>
          </w:tcPr>
          <w:p w14:paraId="40AFE44C" w14:textId="61EA4AC9" w:rsidR="00BC67EF" w:rsidRDefault="00BC67EF" w:rsidP="0059472C">
            <w:r w:rsidRPr="004372D6">
              <w:t>17.21.1.</w:t>
            </w:r>
            <w:r>
              <w:t>1</w:t>
            </w:r>
            <w:r w:rsidR="009312D5">
              <w:t>0</w:t>
            </w:r>
          </w:p>
        </w:tc>
        <w:tc>
          <w:tcPr>
            <w:tcW w:w="7229" w:type="dxa"/>
            <w:tcBorders>
              <w:top w:val="single" w:sz="4" w:space="0" w:color="auto"/>
              <w:left w:val="single" w:sz="4" w:space="0" w:color="auto"/>
              <w:bottom w:val="single" w:sz="4" w:space="0" w:color="auto"/>
              <w:right w:val="single" w:sz="4" w:space="0" w:color="auto"/>
            </w:tcBorders>
          </w:tcPr>
          <w:p w14:paraId="36D60D1A" w14:textId="77777777" w:rsidR="00BC67EF" w:rsidRDefault="00BC67EF">
            <w:r w:rsidRPr="00F938D4">
              <w:t>Accountable documents register and accountable documents in use</w:t>
            </w:r>
            <w:r>
              <w:t>.</w:t>
            </w:r>
          </w:p>
        </w:tc>
        <w:tc>
          <w:tcPr>
            <w:tcW w:w="851" w:type="dxa"/>
            <w:tcBorders>
              <w:top w:val="single" w:sz="4" w:space="0" w:color="auto"/>
              <w:left w:val="single" w:sz="4" w:space="0" w:color="auto"/>
              <w:bottom w:val="single" w:sz="4" w:space="0" w:color="auto"/>
              <w:right w:val="single" w:sz="4" w:space="0" w:color="auto"/>
            </w:tcBorders>
          </w:tcPr>
          <w:p w14:paraId="19561535" w14:textId="77777777" w:rsidR="00BC67EF" w:rsidRPr="00F938D4" w:rsidRDefault="00BC67EF"/>
        </w:tc>
      </w:tr>
      <w:tr w:rsidR="00BC67EF" w:rsidRPr="00F81106" w14:paraId="46F3A384" w14:textId="1678498E" w:rsidTr="009B3C58">
        <w:trPr>
          <w:trHeight w:hRule="exact" w:val="510"/>
        </w:trPr>
        <w:tc>
          <w:tcPr>
            <w:tcW w:w="1356" w:type="dxa"/>
            <w:tcBorders>
              <w:top w:val="single" w:sz="4" w:space="0" w:color="auto"/>
              <w:left w:val="single" w:sz="4" w:space="0" w:color="auto"/>
              <w:bottom w:val="single" w:sz="4" w:space="0" w:color="auto"/>
              <w:right w:val="single" w:sz="4" w:space="0" w:color="auto"/>
            </w:tcBorders>
          </w:tcPr>
          <w:p w14:paraId="2C7C3F16" w14:textId="6DA273E3" w:rsidR="00BC67EF" w:rsidRDefault="00BC67EF" w:rsidP="0059472C">
            <w:r w:rsidRPr="004372D6">
              <w:t>17.21.1.</w:t>
            </w:r>
            <w:r>
              <w:t>1</w:t>
            </w:r>
            <w:r w:rsidR="009312D5">
              <w:t>1</w:t>
            </w:r>
          </w:p>
        </w:tc>
        <w:tc>
          <w:tcPr>
            <w:tcW w:w="7229" w:type="dxa"/>
            <w:tcBorders>
              <w:top w:val="single" w:sz="4" w:space="0" w:color="auto"/>
              <w:left w:val="single" w:sz="4" w:space="0" w:color="auto"/>
              <w:bottom w:val="single" w:sz="4" w:space="0" w:color="auto"/>
              <w:right w:val="single" w:sz="4" w:space="0" w:color="auto"/>
            </w:tcBorders>
          </w:tcPr>
          <w:p w14:paraId="358D072F" w14:textId="77777777" w:rsidR="00BC67EF" w:rsidRDefault="00BC67EF">
            <w:r w:rsidRPr="00F938D4">
              <w:t>Local payroll records</w:t>
            </w:r>
            <w:r>
              <w:t>.</w:t>
            </w:r>
          </w:p>
        </w:tc>
        <w:tc>
          <w:tcPr>
            <w:tcW w:w="851" w:type="dxa"/>
            <w:tcBorders>
              <w:top w:val="single" w:sz="4" w:space="0" w:color="auto"/>
              <w:left w:val="single" w:sz="4" w:space="0" w:color="auto"/>
              <w:bottom w:val="single" w:sz="4" w:space="0" w:color="auto"/>
              <w:right w:val="single" w:sz="4" w:space="0" w:color="auto"/>
            </w:tcBorders>
          </w:tcPr>
          <w:p w14:paraId="1FAA8203" w14:textId="77777777" w:rsidR="00BC67EF" w:rsidRPr="00F938D4" w:rsidRDefault="00BC67EF"/>
        </w:tc>
      </w:tr>
      <w:tr w:rsidR="00BC67EF" w:rsidRPr="00F81106" w14:paraId="3FF2C1DB" w14:textId="6B4A741F" w:rsidTr="009B3C58">
        <w:trPr>
          <w:trHeight w:hRule="exact" w:val="510"/>
        </w:trPr>
        <w:tc>
          <w:tcPr>
            <w:tcW w:w="1356" w:type="dxa"/>
            <w:tcBorders>
              <w:top w:val="single" w:sz="4" w:space="0" w:color="auto"/>
              <w:left w:val="single" w:sz="4" w:space="0" w:color="auto"/>
              <w:bottom w:val="single" w:sz="4" w:space="0" w:color="auto"/>
              <w:right w:val="single" w:sz="4" w:space="0" w:color="auto"/>
            </w:tcBorders>
          </w:tcPr>
          <w:p w14:paraId="0BD4EB61" w14:textId="46577018" w:rsidR="00BC67EF" w:rsidRDefault="00BC67EF" w:rsidP="0059472C">
            <w:r w:rsidRPr="004372D6">
              <w:lastRenderedPageBreak/>
              <w:t>17.21.1.</w:t>
            </w:r>
            <w:r>
              <w:t>1</w:t>
            </w:r>
            <w:r w:rsidR="009312D5">
              <w:t>2</w:t>
            </w:r>
          </w:p>
        </w:tc>
        <w:tc>
          <w:tcPr>
            <w:tcW w:w="7229" w:type="dxa"/>
            <w:tcBorders>
              <w:top w:val="single" w:sz="4" w:space="0" w:color="auto"/>
              <w:left w:val="single" w:sz="4" w:space="0" w:color="auto"/>
              <w:bottom w:val="single" w:sz="4" w:space="0" w:color="auto"/>
              <w:right w:val="single" w:sz="4" w:space="0" w:color="auto"/>
            </w:tcBorders>
          </w:tcPr>
          <w:p w14:paraId="02569559" w14:textId="77777777" w:rsidR="00BC67EF" w:rsidRDefault="00BC67EF">
            <w:r w:rsidRPr="00ED3091">
              <w:t>Fortnightly Pay Advice Reports</w:t>
            </w:r>
            <w:r>
              <w:t>.</w:t>
            </w:r>
          </w:p>
        </w:tc>
        <w:tc>
          <w:tcPr>
            <w:tcW w:w="851" w:type="dxa"/>
            <w:tcBorders>
              <w:top w:val="single" w:sz="4" w:space="0" w:color="auto"/>
              <w:left w:val="single" w:sz="4" w:space="0" w:color="auto"/>
              <w:bottom w:val="single" w:sz="4" w:space="0" w:color="auto"/>
              <w:right w:val="single" w:sz="4" w:space="0" w:color="auto"/>
            </w:tcBorders>
          </w:tcPr>
          <w:p w14:paraId="2255AA99" w14:textId="77777777" w:rsidR="00BC67EF" w:rsidRPr="00ED3091" w:rsidRDefault="00BC67EF"/>
        </w:tc>
      </w:tr>
      <w:tr w:rsidR="00BC67EF" w:rsidRPr="00F81106" w14:paraId="15804E3D" w14:textId="4B7E6142" w:rsidTr="009B3C58">
        <w:trPr>
          <w:trHeight w:hRule="exact" w:val="510"/>
        </w:trPr>
        <w:tc>
          <w:tcPr>
            <w:tcW w:w="1356" w:type="dxa"/>
            <w:tcBorders>
              <w:top w:val="single" w:sz="4" w:space="0" w:color="auto"/>
              <w:left w:val="single" w:sz="4" w:space="0" w:color="auto"/>
              <w:bottom w:val="single" w:sz="4" w:space="0" w:color="auto"/>
              <w:right w:val="single" w:sz="4" w:space="0" w:color="auto"/>
            </w:tcBorders>
          </w:tcPr>
          <w:p w14:paraId="5F03B3F1" w14:textId="36A4190C" w:rsidR="00BC67EF" w:rsidRDefault="00BC67EF" w:rsidP="0059472C">
            <w:r w:rsidRPr="004372D6">
              <w:t>17.21.1.</w:t>
            </w:r>
            <w:r>
              <w:t>1</w:t>
            </w:r>
            <w:r w:rsidR="009312D5">
              <w:t>3</w:t>
            </w:r>
          </w:p>
        </w:tc>
        <w:tc>
          <w:tcPr>
            <w:tcW w:w="7229" w:type="dxa"/>
            <w:tcBorders>
              <w:top w:val="single" w:sz="4" w:space="0" w:color="auto"/>
              <w:left w:val="single" w:sz="4" w:space="0" w:color="auto"/>
              <w:bottom w:val="single" w:sz="4" w:space="0" w:color="auto"/>
              <w:right w:val="single" w:sz="4" w:space="0" w:color="auto"/>
            </w:tcBorders>
          </w:tcPr>
          <w:p w14:paraId="2C1B0609" w14:textId="77777777" w:rsidR="00BC67EF" w:rsidRDefault="00BC67EF">
            <w:r w:rsidRPr="00ED3091">
              <w:t>Invoices for all cash payments</w:t>
            </w:r>
            <w:r>
              <w:t>.</w:t>
            </w:r>
          </w:p>
        </w:tc>
        <w:tc>
          <w:tcPr>
            <w:tcW w:w="851" w:type="dxa"/>
            <w:tcBorders>
              <w:top w:val="single" w:sz="4" w:space="0" w:color="auto"/>
              <w:left w:val="single" w:sz="4" w:space="0" w:color="auto"/>
              <w:bottom w:val="single" w:sz="4" w:space="0" w:color="auto"/>
              <w:right w:val="single" w:sz="4" w:space="0" w:color="auto"/>
            </w:tcBorders>
          </w:tcPr>
          <w:p w14:paraId="4A660B39" w14:textId="77777777" w:rsidR="00BC67EF" w:rsidRPr="00ED3091" w:rsidRDefault="00BC67EF"/>
        </w:tc>
      </w:tr>
      <w:tr w:rsidR="00BC67EF" w:rsidRPr="00F81106" w14:paraId="4D628FA3" w14:textId="47C97946" w:rsidTr="009B3C58">
        <w:trPr>
          <w:trHeight w:hRule="exact" w:val="510"/>
        </w:trPr>
        <w:tc>
          <w:tcPr>
            <w:tcW w:w="1356" w:type="dxa"/>
            <w:tcBorders>
              <w:top w:val="single" w:sz="4" w:space="0" w:color="auto"/>
              <w:left w:val="single" w:sz="4" w:space="0" w:color="auto"/>
              <w:bottom w:val="single" w:sz="4" w:space="0" w:color="auto"/>
              <w:right w:val="single" w:sz="4" w:space="0" w:color="auto"/>
            </w:tcBorders>
          </w:tcPr>
          <w:p w14:paraId="7646483C" w14:textId="50DE7F1F" w:rsidR="00BC67EF" w:rsidRDefault="00BC67EF" w:rsidP="0059472C">
            <w:r w:rsidRPr="004372D6">
              <w:t>17.21.1.</w:t>
            </w:r>
            <w:r>
              <w:t>1</w:t>
            </w:r>
            <w:r w:rsidR="009312D5">
              <w:t>4</w:t>
            </w:r>
          </w:p>
        </w:tc>
        <w:tc>
          <w:tcPr>
            <w:tcW w:w="7229" w:type="dxa"/>
            <w:tcBorders>
              <w:top w:val="single" w:sz="4" w:space="0" w:color="auto"/>
              <w:left w:val="single" w:sz="4" w:space="0" w:color="auto"/>
              <w:bottom w:val="single" w:sz="4" w:space="0" w:color="auto"/>
              <w:right w:val="single" w:sz="4" w:space="0" w:color="auto"/>
            </w:tcBorders>
          </w:tcPr>
          <w:p w14:paraId="014E09FB" w14:textId="77777777" w:rsidR="00BC67EF" w:rsidRDefault="00BC67EF">
            <w:r w:rsidRPr="00EF3B1C">
              <w:t>Grant advices</w:t>
            </w:r>
            <w:r>
              <w:t>.</w:t>
            </w:r>
          </w:p>
        </w:tc>
        <w:tc>
          <w:tcPr>
            <w:tcW w:w="851" w:type="dxa"/>
            <w:tcBorders>
              <w:top w:val="single" w:sz="4" w:space="0" w:color="auto"/>
              <w:left w:val="single" w:sz="4" w:space="0" w:color="auto"/>
              <w:bottom w:val="single" w:sz="4" w:space="0" w:color="auto"/>
              <w:right w:val="single" w:sz="4" w:space="0" w:color="auto"/>
            </w:tcBorders>
          </w:tcPr>
          <w:p w14:paraId="173E5E08" w14:textId="77777777" w:rsidR="00BC67EF" w:rsidRPr="00EF3B1C" w:rsidRDefault="00BC67EF"/>
        </w:tc>
      </w:tr>
      <w:tr w:rsidR="00BC67EF" w:rsidRPr="00F81106" w14:paraId="72CF9374" w14:textId="4EAA0616" w:rsidTr="009B3C58">
        <w:trPr>
          <w:trHeight w:hRule="exact" w:val="510"/>
        </w:trPr>
        <w:tc>
          <w:tcPr>
            <w:tcW w:w="1356" w:type="dxa"/>
            <w:tcBorders>
              <w:top w:val="single" w:sz="4" w:space="0" w:color="auto"/>
              <w:left w:val="single" w:sz="4" w:space="0" w:color="auto"/>
              <w:bottom w:val="single" w:sz="4" w:space="0" w:color="auto"/>
              <w:right w:val="single" w:sz="4" w:space="0" w:color="auto"/>
            </w:tcBorders>
          </w:tcPr>
          <w:p w14:paraId="592D4328" w14:textId="0C617521" w:rsidR="00BC67EF" w:rsidRDefault="00BC67EF" w:rsidP="0059472C">
            <w:r w:rsidRPr="004372D6">
              <w:t>17.21.1.</w:t>
            </w:r>
            <w:r>
              <w:t>1</w:t>
            </w:r>
            <w:r w:rsidR="009312D5">
              <w:t>5</w:t>
            </w:r>
          </w:p>
        </w:tc>
        <w:tc>
          <w:tcPr>
            <w:tcW w:w="7229" w:type="dxa"/>
            <w:tcBorders>
              <w:top w:val="single" w:sz="4" w:space="0" w:color="auto"/>
              <w:left w:val="single" w:sz="4" w:space="0" w:color="auto"/>
              <w:bottom w:val="single" w:sz="4" w:space="0" w:color="auto"/>
              <w:right w:val="single" w:sz="4" w:space="0" w:color="auto"/>
            </w:tcBorders>
          </w:tcPr>
          <w:p w14:paraId="38763D15" w14:textId="77777777" w:rsidR="00BC67EF" w:rsidRDefault="00BC67EF">
            <w:r w:rsidRPr="00EF3B1C">
              <w:t xml:space="preserve">Equipment </w:t>
            </w:r>
            <w:r>
              <w:t>and/or</w:t>
            </w:r>
            <w:r w:rsidRPr="00EF3B1C">
              <w:t xml:space="preserve"> Loans register</w:t>
            </w:r>
            <w:r>
              <w:t>.</w:t>
            </w:r>
          </w:p>
        </w:tc>
        <w:tc>
          <w:tcPr>
            <w:tcW w:w="851" w:type="dxa"/>
            <w:tcBorders>
              <w:top w:val="single" w:sz="4" w:space="0" w:color="auto"/>
              <w:left w:val="single" w:sz="4" w:space="0" w:color="auto"/>
              <w:bottom w:val="single" w:sz="4" w:space="0" w:color="auto"/>
              <w:right w:val="single" w:sz="4" w:space="0" w:color="auto"/>
            </w:tcBorders>
          </w:tcPr>
          <w:p w14:paraId="6BB86822" w14:textId="77777777" w:rsidR="00BC67EF" w:rsidRPr="00EF3B1C" w:rsidRDefault="00BC67EF"/>
        </w:tc>
      </w:tr>
      <w:tr w:rsidR="00BC67EF" w:rsidRPr="00F81106" w14:paraId="70519EAD" w14:textId="1C7FE102" w:rsidTr="009B3C58">
        <w:trPr>
          <w:trHeight w:hRule="exact" w:val="510"/>
        </w:trPr>
        <w:tc>
          <w:tcPr>
            <w:tcW w:w="1356" w:type="dxa"/>
            <w:tcBorders>
              <w:top w:val="single" w:sz="4" w:space="0" w:color="auto"/>
              <w:left w:val="single" w:sz="4" w:space="0" w:color="auto"/>
              <w:bottom w:val="single" w:sz="4" w:space="0" w:color="auto"/>
              <w:right w:val="single" w:sz="4" w:space="0" w:color="auto"/>
            </w:tcBorders>
          </w:tcPr>
          <w:p w14:paraId="2058B590" w14:textId="07C016D2" w:rsidR="00BC67EF" w:rsidRDefault="00BC67EF" w:rsidP="0059472C">
            <w:r w:rsidRPr="004372D6">
              <w:t>17.21.1.</w:t>
            </w:r>
            <w:r>
              <w:t>1</w:t>
            </w:r>
            <w:r w:rsidR="009312D5">
              <w:t>6</w:t>
            </w:r>
          </w:p>
        </w:tc>
        <w:tc>
          <w:tcPr>
            <w:tcW w:w="7229" w:type="dxa"/>
            <w:tcBorders>
              <w:top w:val="single" w:sz="4" w:space="0" w:color="auto"/>
              <w:left w:val="single" w:sz="4" w:space="0" w:color="auto"/>
              <w:bottom w:val="single" w:sz="4" w:space="0" w:color="auto"/>
              <w:right w:val="single" w:sz="4" w:space="0" w:color="auto"/>
            </w:tcBorders>
          </w:tcPr>
          <w:p w14:paraId="063A28DD" w14:textId="3944941D" w:rsidR="00BC67EF" w:rsidRDefault="00BC67EF">
            <w:r w:rsidRPr="00663B8A">
              <w:t xml:space="preserve">Motor vehicle registration insurance certificates and </w:t>
            </w:r>
            <w:r w:rsidR="009312D5" w:rsidRPr="00663B8A">
              <w:t>logbooks</w:t>
            </w:r>
            <w:r>
              <w:t>.</w:t>
            </w:r>
          </w:p>
        </w:tc>
        <w:tc>
          <w:tcPr>
            <w:tcW w:w="851" w:type="dxa"/>
            <w:tcBorders>
              <w:top w:val="single" w:sz="4" w:space="0" w:color="auto"/>
              <w:left w:val="single" w:sz="4" w:space="0" w:color="auto"/>
              <w:bottom w:val="single" w:sz="4" w:space="0" w:color="auto"/>
              <w:right w:val="single" w:sz="4" w:space="0" w:color="auto"/>
            </w:tcBorders>
          </w:tcPr>
          <w:p w14:paraId="70E7B88E" w14:textId="77777777" w:rsidR="00BC67EF" w:rsidRPr="00663B8A" w:rsidRDefault="00BC67EF"/>
        </w:tc>
      </w:tr>
      <w:tr w:rsidR="00BC67EF" w:rsidRPr="00F81106" w14:paraId="7314B116" w14:textId="04A00D96" w:rsidTr="009B3C58">
        <w:trPr>
          <w:trHeight w:hRule="exact" w:val="510"/>
        </w:trPr>
        <w:tc>
          <w:tcPr>
            <w:tcW w:w="1356" w:type="dxa"/>
            <w:tcBorders>
              <w:top w:val="single" w:sz="4" w:space="0" w:color="auto"/>
              <w:left w:val="single" w:sz="4" w:space="0" w:color="auto"/>
              <w:bottom w:val="single" w:sz="4" w:space="0" w:color="auto"/>
              <w:right w:val="single" w:sz="4" w:space="0" w:color="auto"/>
            </w:tcBorders>
          </w:tcPr>
          <w:p w14:paraId="06414E56" w14:textId="57C29028" w:rsidR="00BC67EF" w:rsidRDefault="00BC67EF" w:rsidP="0059472C">
            <w:r w:rsidRPr="004372D6">
              <w:t>17.21.1.</w:t>
            </w:r>
            <w:r>
              <w:t>1</w:t>
            </w:r>
            <w:r w:rsidR="009312D5">
              <w:t>7</w:t>
            </w:r>
          </w:p>
        </w:tc>
        <w:tc>
          <w:tcPr>
            <w:tcW w:w="7229" w:type="dxa"/>
            <w:tcBorders>
              <w:top w:val="single" w:sz="4" w:space="0" w:color="auto"/>
              <w:left w:val="single" w:sz="4" w:space="0" w:color="auto"/>
              <w:bottom w:val="single" w:sz="4" w:space="0" w:color="auto"/>
              <w:right w:val="single" w:sz="4" w:space="0" w:color="auto"/>
            </w:tcBorders>
          </w:tcPr>
          <w:p w14:paraId="036F40B4" w14:textId="77777777" w:rsidR="00BC67EF" w:rsidRDefault="00BC67EF">
            <w:r w:rsidRPr="00663B8A">
              <w:t>Personnel files</w:t>
            </w:r>
            <w:r>
              <w:t>.</w:t>
            </w:r>
          </w:p>
          <w:p w14:paraId="71AA4774" w14:textId="77777777" w:rsidR="009312D5" w:rsidRPr="009312D5" w:rsidRDefault="009312D5" w:rsidP="009312D5"/>
          <w:p w14:paraId="1266E1EE" w14:textId="5E11F329" w:rsidR="009312D5" w:rsidRPr="009312D5" w:rsidRDefault="009312D5" w:rsidP="009312D5">
            <w:pPr>
              <w:jc w:val="center"/>
            </w:pPr>
          </w:p>
        </w:tc>
        <w:tc>
          <w:tcPr>
            <w:tcW w:w="851" w:type="dxa"/>
            <w:tcBorders>
              <w:top w:val="single" w:sz="4" w:space="0" w:color="auto"/>
              <w:left w:val="single" w:sz="4" w:space="0" w:color="auto"/>
              <w:bottom w:val="single" w:sz="4" w:space="0" w:color="auto"/>
              <w:right w:val="single" w:sz="4" w:space="0" w:color="auto"/>
            </w:tcBorders>
          </w:tcPr>
          <w:p w14:paraId="0B35D97C" w14:textId="77777777" w:rsidR="00BC67EF" w:rsidRPr="00663B8A" w:rsidRDefault="00BC67EF"/>
        </w:tc>
      </w:tr>
      <w:tr w:rsidR="00BC67EF" w:rsidRPr="00F81106" w14:paraId="78246FD7" w14:textId="2BE5210C" w:rsidTr="009B3C58">
        <w:trPr>
          <w:trHeight w:hRule="exact" w:val="737"/>
        </w:trPr>
        <w:tc>
          <w:tcPr>
            <w:tcW w:w="1356" w:type="dxa"/>
            <w:tcBorders>
              <w:top w:val="single" w:sz="4" w:space="0" w:color="auto"/>
              <w:left w:val="single" w:sz="4" w:space="0" w:color="auto"/>
              <w:bottom w:val="single" w:sz="4" w:space="0" w:color="auto"/>
              <w:right w:val="single" w:sz="4" w:space="0" w:color="auto"/>
            </w:tcBorders>
          </w:tcPr>
          <w:p w14:paraId="7BDA7DFE" w14:textId="62A781EB" w:rsidR="00BC67EF" w:rsidRDefault="00BC67EF" w:rsidP="0059472C">
            <w:r w:rsidRPr="004372D6">
              <w:t>17.21.1.</w:t>
            </w:r>
            <w:r>
              <w:t>1</w:t>
            </w:r>
            <w:r w:rsidR="009312D5">
              <w:t>8</w:t>
            </w:r>
          </w:p>
        </w:tc>
        <w:tc>
          <w:tcPr>
            <w:tcW w:w="7229" w:type="dxa"/>
            <w:tcBorders>
              <w:top w:val="single" w:sz="4" w:space="0" w:color="auto"/>
              <w:left w:val="single" w:sz="4" w:space="0" w:color="auto"/>
              <w:bottom w:val="single" w:sz="4" w:space="0" w:color="auto"/>
              <w:right w:val="single" w:sz="4" w:space="0" w:color="auto"/>
            </w:tcBorders>
          </w:tcPr>
          <w:p w14:paraId="082073C9" w14:textId="77777777" w:rsidR="00BC67EF" w:rsidRDefault="00BC67EF">
            <w:r w:rsidRPr="00904A0D">
              <w:t>Audit certificates for Welfare Club Accounts not operated through the School Council Official Account, and Co-operatives</w:t>
            </w:r>
            <w:r>
              <w:t>.</w:t>
            </w:r>
          </w:p>
        </w:tc>
        <w:tc>
          <w:tcPr>
            <w:tcW w:w="851" w:type="dxa"/>
            <w:tcBorders>
              <w:top w:val="single" w:sz="4" w:space="0" w:color="auto"/>
              <w:left w:val="single" w:sz="4" w:space="0" w:color="auto"/>
              <w:bottom w:val="single" w:sz="4" w:space="0" w:color="auto"/>
              <w:right w:val="single" w:sz="4" w:space="0" w:color="auto"/>
            </w:tcBorders>
          </w:tcPr>
          <w:p w14:paraId="10318947" w14:textId="77777777" w:rsidR="00BC67EF" w:rsidRPr="00904A0D" w:rsidRDefault="00BC67EF"/>
        </w:tc>
      </w:tr>
      <w:tr w:rsidR="00BC67EF" w:rsidRPr="00F81106" w14:paraId="5A97A637" w14:textId="576C19F2" w:rsidTr="009B3C58">
        <w:trPr>
          <w:trHeight w:hRule="exact" w:val="737"/>
        </w:trPr>
        <w:tc>
          <w:tcPr>
            <w:tcW w:w="1356" w:type="dxa"/>
            <w:tcBorders>
              <w:top w:val="single" w:sz="4" w:space="0" w:color="auto"/>
              <w:left w:val="single" w:sz="4" w:space="0" w:color="auto"/>
              <w:bottom w:val="single" w:sz="4" w:space="0" w:color="auto"/>
              <w:right w:val="single" w:sz="4" w:space="0" w:color="auto"/>
            </w:tcBorders>
          </w:tcPr>
          <w:p w14:paraId="28E38577" w14:textId="19408F87" w:rsidR="00BC67EF" w:rsidRPr="00F81106" w:rsidRDefault="00BC67EF" w:rsidP="0059472C">
            <w:r>
              <w:t>17.21.1.</w:t>
            </w:r>
            <w:r w:rsidR="009312D5">
              <w:t>19</w:t>
            </w:r>
          </w:p>
        </w:tc>
        <w:tc>
          <w:tcPr>
            <w:tcW w:w="7229" w:type="dxa"/>
            <w:tcBorders>
              <w:top w:val="single" w:sz="4" w:space="0" w:color="auto"/>
              <w:left w:val="single" w:sz="4" w:space="0" w:color="auto"/>
              <w:bottom w:val="single" w:sz="4" w:space="0" w:color="auto"/>
              <w:right w:val="single" w:sz="4" w:space="0" w:color="auto"/>
            </w:tcBorders>
          </w:tcPr>
          <w:p w14:paraId="3B83F189" w14:textId="77777777" w:rsidR="00BC67EF" w:rsidRDefault="00BC67EF">
            <w:r>
              <w:t>FBT Return to the Department (for period 1 April YYYY- 31 March YYYY).</w:t>
            </w:r>
          </w:p>
        </w:tc>
        <w:tc>
          <w:tcPr>
            <w:tcW w:w="851" w:type="dxa"/>
            <w:tcBorders>
              <w:top w:val="single" w:sz="4" w:space="0" w:color="auto"/>
              <w:left w:val="single" w:sz="4" w:space="0" w:color="auto"/>
              <w:bottom w:val="single" w:sz="4" w:space="0" w:color="auto"/>
              <w:right w:val="single" w:sz="4" w:space="0" w:color="auto"/>
            </w:tcBorders>
          </w:tcPr>
          <w:p w14:paraId="692C38BF" w14:textId="77777777" w:rsidR="00BC67EF" w:rsidRDefault="00BC67EF"/>
        </w:tc>
      </w:tr>
      <w:tr w:rsidR="00BC67EF" w:rsidRPr="00F81106" w14:paraId="57660C0A" w14:textId="6089DD70" w:rsidTr="009B3C58">
        <w:trPr>
          <w:trHeight w:hRule="exact" w:val="510"/>
        </w:trPr>
        <w:tc>
          <w:tcPr>
            <w:tcW w:w="1356" w:type="dxa"/>
            <w:tcBorders>
              <w:top w:val="single" w:sz="4" w:space="0" w:color="auto"/>
              <w:left w:val="single" w:sz="4" w:space="0" w:color="auto"/>
              <w:bottom w:val="single" w:sz="4" w:space="0" w:color="auto"/>
              <w:right w:val="single" w:sz="4" w:space="0" w:color="auto"/>
            </w:tcBorders>
          </w:tcPr>
          <w:p w14:paraId="06D0849E" w14:textId="08C83051" w:rsidR="00BC67EF" w:rsidRPr="00F81106" w:rsidRDefault="00BC67EF">
            <w:r>
              <w:t>17.21.1.2</w:t>
            </w:r>
            <w:r w:rsidR="009312D5">
              <w:t>0</w:t>
            </w:r>
          </w:p>
        </w:tc>
        <w:tc>
          <w:tcPr>
            <w:tcW w:w="7229" w:type="dxa"/>
            <w:tcBorders>
              <w:top w:val="single" w:sz="4" w:space="0" w:color="auto"/>
              <w:left w:val="single" w:sz="4" w:space="0" w:color="auto"/>
              <w:bottom w:val="single" w:sz="4" w:space="0" w:color="auto"/>
              <w:right w:val="single" w:sz="4" w:space="0" w:color="auto"/>
            </w:tcBorders>
          </w:tcPr>
          <w:p w14:paraId="087C65D0" w14:textId="77777777" w:rsidR="00BC67EF" w:rsidRDefault="00BC67EF">
            <w:r>
              <w:t>D</w:t>
            </w:r>
            <w:r w:rsidRPr="00925F6C">
              <w:t>ocumentation relating to Capital Works Grant</w:t>
            </w:r>
            <w:r>
              <w:t>.</w:t>
            </w:r>
          </w:p>
        </w:tc>
        <w:tc>
          <w:tcPr>
            <w:tcW w:w="851" w:type="dxa"/>
            <w:tcBorders>
              <w:top w:val="single" w:sz="4" w:space="0" w:color="auto"/>
              <w:left w:val="single" w:sz="4" w:space="0" w:color="auto"/>
              <w:bottom w:val="single" w:sz="4" w:space="0" w:color="auto"/>
              <w:right w:val="single" w:sz="4" w:space="0" w:color="auto"/>
            </w:tcBorders>
          </w:tcPr>
          <w:p w14:paraId="2400FAAA" w14:textId="77777777" w:rsidR="00BC67EF" w:rsidRDefault="00BC67EF"/>
        </w:tc>
      </w:tr>
    </w:tbl>
    <w:p w14:paraId="00E8B1CE" w14:textId="77777777" w:rsidR="00D230D1" w:rsidRDefault="00D230D1" w:rsidP="00B1289C">
      <w:pPr>
        <w:jc w:val="both"/>
      </w:pPr>
    </w:p>
    <w:p w14:paraId="79F9DAF6" w14:textId="77777777" w:rsidR="009E333F" w:rsidRPr="006F7B96" w:rsidRDefault="009E333F" w:rsidP="009E333F">
      <w:pPr>
        <w:pStyle w:val="Heading2"/>
      </w:pPr>
      <w:r>
        <w:t>1</w:t>
      </w:r>
      <w:r w:rsidR="00D230D1">
        <w:t>7</w:t>
      </w:r>
      <w:r>
        <w:t>.2</w:t>
      </w:r>
      <w:r w:rsidR="002337D3">
        <w:t>2</w:t>
      </w:r>
      <w:r>
        <w:tab/>
        <w:t>Run End of Year Task</w:t>
      </w:r>
    </w:p>
    <w:p w14:paraId="0152193E" w14:textId="77777777" w:rsidR="00BF60C2" w:rsidRPr="00EC7D90" w:rsidRDefault="00BF60C2" w:rsidP="00BF60C2">
      <w:pPr>
        <w:pStyle w:val="Heading3"/>
      </w:pPr>
      <w:r>
        <w:t>17.22.1</w:t>
      </w:r>
      <w:r w:rsidRPr="00EC7D90">
        <w:t xml:space="preserve"> </w:t>
      </w:r>
      <w:r>
        <w:tab/>
      </w:r>
      <w:r w:rsidRPr="00EC7D90">
        <w:t>Mandatory policy (</w:t>
      </w:r>
      <w:r>
        <w:t>Must do</w:t>
      </w:r>
      <w:r w:rsidRPr="00EC7D90">
        <w:t>)</w:t>
      </w:r>
      <w:r>
        <w:t>:</w:t>
      </w:r>
    </w:p>
    <w:tbl>
      <w:tblPr>
        <w:tblW w:w="929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containing sequence numbers and policy information"/>
      </w:tblPr>
      <w:tblGrid>
        <w:gridCol w:w="1356"/>
        <w:gridCol w:w="7087"/>
        <w:gridCol w:w="851"/>
      </w:tblGrid>
      <w:tr w:rsidR="00BC67EF" w:rsidRPr="0091756B" w14:paraId="56FEF213" w14:textId="62077ABB" w:rsidTr="009B3C58">
        <w:trPr>
          <w:trHeight w:val="543"/>
          <w:tblHeader/>
        </w:trPr>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tcPr>
          <w:p w14:paraId="7464C520" w14:textId="77777777" w:rsidR="00BC67EF" w:rsidRPr="00D60EB6" w:rsidRDefault="00BC67EF" w:rsidP="00DF168D">
            <w:pPr>
              <w:rPr>
                <w:b/>
                <w:sz w:val="18"/>
              </w:rPr>
            </w:pPr>
            <w:r w:rsidRPr="00D60EB6">
              <w:rPr>
                <w:b/>
                <w:sz w:val="18"/>
              </w:rPr>
              <w:t>Sequence Numbers</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58EB53E9" w14:textId="77777777" w:rsidR="00BC67EF" w:rsidRPr="00E0071A" w:rsidRDefault="00BC67EF" w:rsidP="00DF168D">
            <w:pPr>
              <w:rPr>
                <w:b/>
                <w:sz w:val="20"/>
                <w:szCs w:val="20"/>
              </w:rPr>
            </w:pPr>
            <w:r w:rsidRPr="00E0071A">
              <w:rPr>
                <w:b/>
                <w:sz w:val="20"/>
                <w:szCs w:val="20"/>
              </w:rPr>
              <w:t>Information</w:t>
            </w:r>
          </w:p>
        </w:tc>
        <w:tc>
          <w:tcPr>
            <w:tcW w:w="851" w:type="dxa"/>
            <w:tcBorders>
              <w:top w:val="nil"/>
              <w:left w:val="single" w:sz="4" w:space="0" w:color="auto"/>
              <w:bottom w:val="single" w:sz="4" w:space="0" w:color="auto"/>
              <w:right w:val="nil"/>
            </w:tcBorders>
          </w:tcPr>
          <w:p w14:paraId="53FC4CD2" w14:textId="77777777" w:rsidR="00BC67EF" w:rsidRPr="00D60EB6" w:rsidRDefault="00BC67EF" w:rsidP="00DF168D">
            <w:pPr>
              <w:rPr>
                <w:b/>
              </w:rPr>
            </w:pPr>
          </w:p>
        </w:tc>
      </w:tr>
      <w:tr w:rsidR="00BC67EF" w:rsidRPr="00F81106" w14:paraId="788354EE" w14:textId="111BFBEB" w:rsidTr="009B3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37"/>
        </w:trPr>
        <w:tc>
          <w:tcPr>
            <w:tcW w:w="1356" w:type="dxa"/>
            <w:tcBorders>
              <w:top w:val="single" w:sz="4" w:space="0" w:color="auto"/>
              <w:left w:val="single" w:sz="4" w:space="0" w:color="auto"/>
              <w:bottom w:val="single" w:sz="4" w:space="0" w:color="auto"/>
              <w:right w:val="single" w:sz="4" w:space="0" w:color="auto"/>
            </w:tcBorders>
          </w:tcPr>
          <w:p w14:paraId="459F0091" w14:textId="77777777" w:rsidR="00BC67EF" w:rsidRPr="00F81106" w:rsidRDefault="00BC67EF" w:rsidP="0059472C">
            <w:r w:rsidRPr="00F81106">
              <w:t>1</w:t>
            </w:r>
            <w:r>
              <w:t>7</w:t>
            </w:r>
            <w:r w:rsidRPr="00F81106">
              <w:t>.2</w:t>
            </w:r>
            <w:r>
              <w:t>2</w:t>
            </w:r>
            <w:r w:rsidRPr="00F81106">
              <w:t>.1.1</w:t>
            </w:r>
          </w:p>
        </w:tc>
        <w:tc>
          <w:tcPr>
            <w:tcW w:w="7087" w:type="dxa"/>
            <w:tcBorders>
              <w:top w:val="single" w:sz="4" w:space="0" w:color="auto"/>
              <w:left w:val="single" w:sz="4" w:space="0" w:color="auto"/>
              <w:bottom w:val="single" w:sz="4" w:space="0" w:color="auto"/>
              <w:right w:val="single" w:sz="4" w:space="0" w:color="auto"/>
            </w:tcBorders>
          </w:tcPr>
          <w:p w14:paraId="7FE5987C" w14:textId="77777777" w:rsidR="00BC67EF" w:rsidRDefault="00BC67EF">
            <w:r>
              <w:t>Schools must complete the tasks for the December period and run the End of Year processes.</w:t>
            </w:r>
          </w:p>
        </w:tc>
        <w:tc>
          <w:tcPr>
            <w:tcW w:w="851" w:type="dxa"/>
            <w:tcBorders>
              <w:top w:val="single" w:sz="4" w:space="0" w:color="auto"/>
              <w:left w:val="single" w:sz="4" w:space="0" w:color="auto"/>
              <w:bottom w:val="single" w:sz="4" w:space="0" w:color="auto"/>
              <w:right w:val="single" w:sz="4" w:space="0" w:color="auto"/>
            </w:tcBorders>
          </w:tcPr>
          <w:p w14:paraId="799C21DC" w14:textId="77777777" w:rsidR="00BC67EF" w:rsidRDefault="00BC67EF"/>
        </w:tc>
      </w:tr>
      <w:tr w:rsidR="00BC67EF" w:rsidRPr="00F81106" w14:paraId="277461F1" w14:textId="75CBFDAA" w:rsidTr="009B3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021"/>
        </w:trPr>
        <w:tc>
          <w:tcPr>
            <w:tcW w:w="1356" w:type="dxa"/>
            <w:tcBorders>
              <w:top w:val="single" w:sz="4" w:space="0" w:color="auto"/>
              <w:left w:val="single" w:sz="4" w:space="0" w:color="auto"/>
              <w:bottom w:val="single" w:sz="4" w:space="0" w:color="auto"/>
              <w:right w:val="single" w:sz="4" w:space="0" w:color="auto"/>
            </w:tcBorders>
          </w:tcPr>
          <w:p w14:paraId="615E2632" w14:textId="77777777" w:rsidR="00BC67EF" w:rsidRPr="00F81106" w:rsidRDefault="00BC67EF" w:rsidP="0059472C">
            <w:r>
              <w:t>17.22.1.2</w:t>
            </w:r>
          </w:p>
        </w:tc>
        <w:tc>
          <w:tcPr>
            <w:tcW w:w="7087" w:type="dxa"/>
            <w:tcBorders>
              <w:top w:val="single" w:sz="4" w:space="0" w:color="auto"/>
              <w:left w:val="single" w:sz="4" w:space="0" w:color="auto"/>
              <w:bottom w:val="single" w:sz="4" w:space="0" w:color="auto"/>
              <w:right w:val="single" w:sz="4" w:space="0" w:color="auto"/>
            </w:tcBorders>
          </w:tcPr>
          <w:p w14:paraId="73EC3031" w14:textId="7B0C1CF7" w:rsidR="00BC67EF" w:rsidRDefault="00BC67EF">
            <w:r>
              <w:t>Bank reconciliations</w:t>
            </w:r>
            <w:r w:rsidR="009312D5">
              <w:t xml:space="preserve"> </w:t>
            </w:r>
            <w:r>
              <w:t>and Financial Commitments Summary must be completed before starting the End of Year tasks.</w:t>
            </w:r>
          </w:p>
        </w:tc>
        <w:tc>
          <w:tcPr>
            <w:tcW w:w="851" w:type="dxa"/>
            <w:tcBorders>
              <w:top w:val="single" w:sz="4" w:space="0" w:color="auto"/>
              <w:left w:val="single" w:sz="4" w:space="0" w:color="auto"/>
              <w:bottom w:val="single" w:sz="4" w:space="0" w:color="auto"/>
              <w:right w:val="single" w:sz="4" w:space="0" w:color="auto"/>
            </w:tcBorders>
          </w:tcPr>
          <w:p w14:paraId="2DCF4FA1" w14:textId="77777777" w:rsidR="00BC67EF" w:rsidRDefault="00BC67EF"/>
        </w:tc>
      </w:tr>
      <w:tr w:rsidR="00BC67EF" w:rsidRPr="00F81106" w14:paraId="57905217" w14:textId="052EAA7C" w:rsidTr="009B3C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37"/>
        </w:trPr>
        <w:tc>
          <w:tcPr>
            <w:tcW w:w="1356" w:type="dxa"/>
            <w:tcBorders>
              <w:top w:val="single" w:sz="4" w:space="0" w:color="auto"/>
              <w:left w:val="single" w:sz="4" w:space="0" w:color="auto"/>
              <w:bottom w:val="single" w:sz="4" w:space="0" w:color="auto"/>
              <w:right w:val="single" w:sz="4" w:space="0" w:color="auto"/>
            </w:tcBorders>
          </w:tcPr>
          <w:p w14:paraId="36DE1CF0" w14:textId="77777777" w:rsidR="00BC67EF" w:rsidRDefault="00BC67EF" w:rsidP="0059472C">
            <w:r>
              <w:t>17.22.1.3</w:t>
            </w:r>
          </w:p>
        </w:tc>
        <w:tc>
          <w:tcPr>
            <w:tcW w:w="7087" w:type="dxa"/>
            <w:tcBorders>
              <w:top w:val="single" w:sz="4" w:space="0" w:color="auto"/>
              <w:left w:val="single" w:sz="4" w:space="0" w:color="auto"/>
              <w:bottom w:val="single" w:sz="4" w:space="0" w:color="auto"/>
              <w:right w:val="single" w:sz="4" w:space="0" w:color="auto"/>
            </w:tcBorders>
          </w:tcPr>
          <w:p w14:paraId="0208FA7C" w14:textId="77777777" w:rsidR="00BC67EF" w:rsidRDefault="00BC67EF" w:rsidP="0076740D">
            <w:r>
              <w:t xml:space="preserve">Refer to </w:t>
            </w:r>
            <w:hyperlink r:id="rId48" w:history="1">
              <w:r w:rsidRPr="0076740D">
                <w:rPr>
                  <w:rStyle w:val="Hyperlink"/>
                </w:rPr>
                <w:t>CASES21 Finance Business Process Guide Section 11 – End of Year</w:t>
              </w:r>
            </w:hyperlink>
            <w:r>
              <w:t xml:space="preserve"> for </w:t>
            </w:r>
            <w:r w:rsidRPr="00AA352A">
              <w:t>instructions</w:t>
            </w:r>
            <w:r>
              <w:t xml:space="preserve"> on how to run End of Year tasks. </w:t>
            </w:r>
          </w:p>
        </w:tc>
        <w:tc>
          <w:tcPr>
            <w:tcW w:w="851" w:type="dxa"/>
            <w:tcBorders>
              <w:top w:val="single" w:sz="4" w:space="0" w:color="auto"/>
              <w:left w:val="single" w:sz="4" w:space="0" w:color="auto"/>
              <w:bottom w:val="single" w:sz="4" w:space="0" w:color="auto"/>
              <w:right w:val="single" w:sz="4" w:space="0" w:color="auto"/>
            </w:tcBorders>
          </w:tcPr>
          <w:p w14:paraId="6A4F0619" w14:textId="77777777" w:rsidR="00BC67EF" w:rsidRDefault="00BC67EF" w:rsidP="0076740D"/>
        </w:tc>
      </w:tr>
    </w:tbl>
    <w:p w14:paraId="56AA14D8" w14:textId="77777777" w:rsidR="006C30D4" w:rsidRDefault="006C30D4" w:rsidP="006B4A1F">
      <w:pPr>
        <w:jc w:val="both"/>
      </w:pPr>
    </w:p>
    <w:p w14:paraId="55EE902A" w14:textId="77777777" w:rsidR="006C30D4" w:rsidRDefault="006C30D4">
      <w:pPr>
        <w:spacing w:before="0" w:line="240" w:lineRule="auto"/>
      </w:pPr>
      <w:r>
        <w:br w:type="page"/>
      </w:r>
    </w:p>
    <w:bookmarkEnd w:id="0"/>
    <w:bookmarkEnd w:id="1"/>
    <w:bookmarkEnd w:id="2"/>
    <w:p w14:paraId="3C1D721A" w14:textId="77777777" w:rsidR="002279AC" w:rsidRPr="006F7B96" w:rsidRDefault="002279AC" w:rsidP="002279AC">
      <w:pPr>
        <w:pStyle w:val="Heading2"/>
      </w:pPr>
      <w:r>
        <w:lastRenderedPageBreak/>
        <w:t>1</w:t>
      </w:r>
      <w:r w:rsidR="009659BD">
        <w:t>7</w:t>
      </w:r>
      <w:r>
        <w:t>.2</w:t>
      </w:r>
      <w:r w:rsidR="00307290">
        <w:t>3</w:t>
      </w:r>
      <w:r>
        <w:tab/>
        <w:t>Start of Year Processes</w:t>
      </w:r>
    </w:p>
    <w:p w14:paraId="50AF16ED" w14:textId="77777777" w:rsidR="00BF60C2" w:rsidRPr="00EC7D90" w:rsidRDefault="00BF60C2" w:rsidP="00BF60C2">
      <w:pPr>
        <w:pStyle w:val="Heading3"/>
      </w:pPr>
      <w:r>
        <w:t>17.23.1</w:t>
      </w:r>
      <w:r w:rsidRPr="00EC7D90">
        <w:t xml:space="preserve"> </w:t>
      </w:r>
      <w:r>
        <w:tab/>
      </w:r>
      <w:r w:rsidRPr="00EC7D90">
        <w:t>Mandatory policy (</w:t>
      </w:r>
      <w:r>
        <w:t>Must do</w:t>
      </w:r>
      <w:r w:rsidRPr="00EC7D90">
        <w:t>)</w:t>
      </w:r>
      <w:r>
        <w:t>:</w:t>
      </w:r>
    </w:p>
    <w:tbl>
      <w:tblPr>
        <w:tblW w:w="943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containing sequence numbers and policy information"/>
      </w:tblPr>
      <w:tblGrid>
        <w:gridCol w:w="1356"/>
        <w:gridCol w:w="7229"/>
        <w:gridCol w:w="851"/>
      </w:tblGrid>
      <w:tr w:rsidR="00BC67EF" w:rsidRPr="0091756B" w14:paraId="672FD4D5" w14:textId="12A0D097" w:rsidTr="009B3C58">
        <w:trPr>
          <w:trHeight w:val="567"/>
          <w:tblHeader/>
        </w:trPr>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tcPr>
          <w:p w14:paraId="48BFC806" w14:textId="77777777" w:rsidR="00BC67EF" w:rsidRPr="00D60EB6" w:rsidRDefault="00BC67EF" w:rsidP="00DF168D">
            <w:pPr>
              <w:rPr>
                <w:b/>
                <w:sz w:val="18"/>
              </w:rPr>
            </w:pPr>
            <w:r w:rsidRPr="00D60EB6">
              <w:rPr>
                <w:b/>
                <w:sz w:val="18"/>
              </w:rPr>
              <w:t>Sequence Numbers</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00696AB8" w14:textId="77777777" w:rsidR="00BC67EF" w:rsidRPr="00E0071A" w:rsidRDefault="00BC67EF" w:rsidP="00DF168D">
            <w:pPr>
              <w:rPr>
                <w:b/>
                <w:sz w:val="20"/>
                <w:szCs w:val="20"/>
              </w:rPr>
            </w:pPr>
            <w:r w:rsidRPr="00E0071A">
              <w:rPr>
                <w:b/>
                <w:sz w:val="20"/>
                <w:szCs w:val="20"/>
              </w:rPr>
              <w:t>Information</w:t>
            </w:r>
          </w:p>
        </w:tc>
        <w:tc>
          <w:tcPr>
            <w:tcW w:w="851" w:type="dxa"/>
            <w:tcBorders>
              <w:top w:val="nil"/>
              <w:left w:val="single" w:sz="4" w:space="0" w:color="auto"/>
              <w:bottom w:val="single" w:sz="4" w:space="0" w:color="auto"/>
              <w:right w:val="nil"/>
            </w:tcBorders>
          </w:tcPr>
          <w:p w14:paraId="3E6EE4A2" w14:textId="77777777" w:rsidR="00BC67EF" w:rsidRPr="00D60EB6" w:rsidRDefault="00BC67EF" w:rsidP="00DF168D">
            <w:pPr>
              <w:rPr>
                <w:b/>
              </w:rPr>
            </w:pPr>
          </w:p>
        </w:tc>
      </w:tr>
      <w:tr w:rsidR="00BC67EF" w:rsidRPr="00F81106" w14:paraId="46A344E4" w14:textId="3F45E209" w:rsidTr="009B3C58">
        <w:trPr>
          <w:trHeight w:hRule="exact" w:val="1021"/>
        </w:trPr>
        <w:tc>
          <w:tcPr>
            <w:tcW w:w="1356" w:type="dxa"/>
            <w:tcBorders>
              <w:top w:val="single" w:sz="4" w:space="0" w:color="auto"/>
              <w:left w:val="single" w:sz="4" w:space="0" w:color="auto"/>
              <w:bottom w:val="single" w:sz="4" w:space="0" w:color="auto"/>
              <w:right w:val="single" w:sz="4" w:space="0" w:color="auto"/>
            </w:tcBorders>
          </w:tcPr>
          <w:p w14:paraId="680F66E0" w14:textId="77777777" w:rsidR="00BC67EF" w:rsidRPr="00F81106" w:rsidRDefault="00BC67EF" w:rsidP="00307290">
            <w:r w:rsidRPr="00F81106">
              <w:t>1</w:t>
            </w:r>
            <w:r>
              <w:t>7</w:t>
            </w:r>
            <w:r w:rsidRPr="00F81106">
              <w:t>.2</w:t>
            </w:r>
            <w:r>
              <w:t>3</w:t>
            </w:r>
            <w:r w:rsidRPr="00F81106">
              <w:t>.1.1</w:t>
            </w:r>
          </w:p>
        </w:tc>
        <w:tc>
          <w:tcPr>
            <w:tcW w:w="7229" w:type="dxa"/>
            <w:tcBorders>
              <w:top w:val="single" w:sz="4" w:space="0" w:color="auto"/>
              <w:left w:val="single" w:sz="4" w:space="0" w:color="auto"/>
              <w:bottom w:val="single" w:sz="4" w:space="0" w:color="auto"/>
              <w:right w:val="single" w:sz="4" w:space="0" w:color="auto"/>
            </w:tcBorders>
          </w:tcPr>
          <w:p w14:paraId="31EA84FB" w14:textId="77777777" w:rsidR="00BC67EF" w:rsidRDefault="00BC67EF">
            <w:r>
              <w:t xml:space="preserve">Schools must refer to </w:t>
            </w:r>
            <w:hyperlink r:id="rId49" w:history="1">
              <w:r w:rsidRPr="0076740D">
                <w:rPr>
                  <w:rStyle w:val="Hyperlink"/>
                </w:rPr>
                <w:t>CASES21 Finance Business Process Guide Section 11 – End of Year</w:t>
              </w:r>
            </w:hyperlink>
            <w:r>
              <w:t xml:space="preserve"> for further guidance on how to start the New Year Processes.</w:t>
            </w:r>
          </w:p>
        </w:tc>
        <w:tc>
          <w:tcPr>
            <w:tcW w:w="851" w:type="dxa"/>
            <w:tcBorders>
              <w:top w:val="single" w:sz="4" w:space="0" w:color="auto"/>
              <w:left w:val="single" w:sz="4" w:space="0" w:color="auto"/>
              <w:bottom w:val="single" w:sz="4" w:space="0" w:color="auto"/>
              <w:right w:val="single" w:sz="4" w:space="0" w:color="auto"/>
            </w:tcBorders>
          </w:tcPr>
          <w:p w14:paraId="76FD3C2C" w14:textId="77777777" w:rsidR="00BC67EF" w:rsidRDefault="00BC67EF"/>
        </w:tc>
      </w:tr>
    </w:tbl>
    <w:p w14:paraId="0096C183" w14:textId="77777777" w:rsidR="00091CCE" w:rsidRDefault="00091CCE" w:rsidP="00C80202">
      <w:pPr>
        <w:jc w:val="both"/>
      </w:pPr>
    </w:p>
    <w:p w14:paraId="328A7A89" w14:textId="77777777" w:rsidR="0051778F" w:rsidRPr="006F7B96" w:rsidRDefault="0051778F" w:rsidP="00C80202">
      <w:pPr>
        <w:pStyle w:val="Heading2"/>
      </w:pPr>
      <w:r w:rsidRPr="006F7B96">
        <w:t>Legislative requirements</w:t>
      </w:r>
    </w:p>
    <w:p w14:paraId="058B993D" w14:textId="77777777" w:rsidR="0051778F" w:rsidRPr="006F7B96" w:rsidRDefault="0051778F" w:rsidP="00DE4DB9">
      <w:pPr>
        <w:pStyle w:val="Heading3"/>
      </w:pPr>
      <w:r w:rsidRPr="006F7B96">
        <w:t>Legislation</w:t>
      </w:r>
    </w:p>
    <w:p w14:paraId="5782725E" w14:textId="77777777" w:rsidR="00874D35" w:rsidRDefault="00874D35" w:rsidP="00874D35">
      <w:pPr>
        <w:rPr>
          <w:szCs w:val="22"/>
        </w:rPr>
      </w:pPr>
      <w:r w:rsidRPr="00874D35">
        <w:rPr>
          <w:szCs w:val="22"/>
        </w:rPr>
        <w:t>The advice in this section was based on requirements outlined in the following legislation:</w:t>
      </w:r>
    </w:p>
    <w:p w14:paraId="426A60FE" w14:textId="731CEF7C" w:rsidR="001E1D6D" w:rsidRPr="00D136EC" w:rsidRDefault="001E1D6D" w:rsidP="001E1D6D">
      <w:pPr>
        <w:pStyle w:val="ListBullet"/>
        <w:numPr>
          <w:ilvl w:val="0"/>
          <w:numId w:val="1"/>
        </w:numPr>
        <w:rPr>
          <w:rFonts w:cs="Arial"/>
        </w:rPr>
      </w:pPr>
      <w:r w:rsidRPr="006B4A1F">
        <w:t>AASB 101 Presentation of Financial Statements</w:t>
      </w:r>
      <w:r>
        <w:t xml:space="preserve">, </w:t>
      </w:r>
      <w:r w:rsidRPr="006B4A1F">
        <w:t>AASB 116 Property, Plant and Equipment</w:t>
      </w:r>
      <w:r>
        <w:t xml:space="preserve">, </w:t>
      </w:r>
      <w:r w:rsidRPr="001E219D">
        <w:t>AASB 117 Leases</w:t>
      </w:r>
      <w:r>
        <w:t xml:space="preserve">, </w:t>
      </w:r>
      <w:r w:rsidRPr="001E219D">
        <w:t>AASB137 Contingent Liabilities and Contingent Assets</w:t>
      </w:r>
      <w:r>
        <w:t xml:space="preserve"> and </w:t>
      </w:r>
      <w:r w:rsidRPr="001E219D">
        <w:t xml:space="preserve">AASB 139 Financial Instruments Recognition </w:t>
      </w:r>
      <w:r w:rsidR="009312D5" w:rsidRPr="001E219D">
        <w:t xml:space="preserve">and </w:t>
      </w:r>
      <w:r w:rsidR="009312D5">
        <w:t>Measurement</w:t>
      </w:r>
    </w:p>
    <w:p w14:paraId="0617D488" w14:textId="77777777" w:rsidR="001E1D6D" w:rsidRDefault="001E1D6D" w:rsidP="001E1D6D">
      <w:pPr>
        <w:pStyle w:val="ListBullet"/>
        <w:numPr>
          <w:ilvl w:val="0"/>
          <w:numId w:val="1"/>
        </w:numPr>
        <w:rPr>
          <w:rFonts w:cs="Arial"/>
          <w:i/>
        </w:rPr>
      </w:pPr>
      <w:r w:rsidRPr="009659BD">
        <w:rPr>
          <w:rFonts w:cs="Arial"/>
        </w:rPr>
        <w:t xml:space="preserve"> </w:t>
      </w:r>
      <w:r w:rsidRPr="00842B3B">
        <w:rPr>
          <w:rFonts w:cs="Arial"/>
          <w:i/>
        </w:rPr>
        <w:t>A New Tax System (Goods and Services Tax) Act 1999</w:t>
      </w:r>
    </w:p>
    <w:p w14:paraId="5B411A3B" w14:textId="77777777" w:rsidR="009659BD" w:rsidRPr="00AD3210" w:rsidRDefault="009659BD" w:rsidP="009659BD">
      <w:pPr>
        <w:pStyle w:val="ListBullet"/>
      </w:pPr>
      <w:r w:rsidRPr="001E4A90">
        <w:rPr>
          <w:i/>
        </w:rPr>
        <w:t>Education and Training Reform Act 2006</w:t>
      </w:r>
      <w:r>
        <w:t xml:space="preserve"> </w:t>
      </w:r>
      <w:r w:rsidRPr="00AD3210">
        <w:t>–</w:t>
      </w:r>
      <w:r>
        <w:t xml:space="preserve"> </w:t>
      </w:r>
      <w:r w:rsidRPr="00AD3210">
        <w:t>Part</w:t>
      </w:r>
      <w:r>
        <w:t xml:space="preserve"> </w:t>
      </w:r>
      <w:r w:rsidRPr="00AD3210">
        <w:t>2.3</w:t>
      </w:r>
      <w:r>
        <w:t xml:space="preserve"> </w:t>
      </w:r>
      <w:r w:rsidRPr="00AD3210">
        <w:t>–</w:t>
      </w:r>
      <w:r>
        <w:t xml:space="preserve"> </w:t>
      </w:r>
      <w:r w:rsidRPr="00AD3210">
        <w:t>Government</w:t>
      </w:r>
      <w:r>
        <w:t xml:space="preserve"> </w:t>
      </w:r>
      <w:r w:rsidRPr="00AD3210">
        <w:t>School</w:t>
      </w:r>
      <w:r>
        <w:t xml:space="preserve"> </w:t>
      </w:r>
      <w:r w:rsidRPr="00AD3210">
        <w:t>Councils</w:t>
      </w:r>
      <w:r>
        <w:t xml:space="preserve"> </w:t>
      </w:r>
    </w:p>
    <w:p w14:paraId="6B982571" w14:textId="77777777" w:rsidR="0097726F" w:rsidRPr="0008210B" w:rsidRDefault="0097726F" w:rsidP="0097726F">
      <w:pPr>
        <w:pStyle w:val="ListBullet"/>
      </w:pPr>
      <w:r w:rsidRPr="00F1501C">
        <w:rPr>
          <w:i/>
        </w:rPr>
        <w:t>Education and Training Regulations 20</w:t>
      </w:r>
      <w:r>
        <w:rPr>
          <w:i/>
        </w:rPr>
        <w:t>1</w:t>
      </w:r>
      <w:r w:rsidRPr="00F1501C">
        <w:rPr>
          <w:i/>
        </w:rPr>
        <w:t>7</w:t>
      </w:r>
      <w:r w:rsidRPr="0008210B">
        <w:t xml:space="preserve"> – Part </w:t>
      </w:r>
      <w:r>
        <w:t>4</w:t>
      </w:r>
      <w:r w:rsidRPr="0008210B">
        <w:t xml:space="preserve"> – Government School Councils</w:t>
      </w:r>
      <w:r>
        <w:t xml:space="preserve"> and Parents Clubs.</w:t>
      </w:r>
    </w:p>
    <w:p w14:paraId="46E1625A" w14:textId="4737FD00" w:rsidR="001E4A90" w:rsidRDefault="001E4A90" w:rsidP="00514976">
      <w:pPr>
        <w:pStyle w:val="ListBullet"/>
        <w:spacing w:after="240"/>
      </w:pPr>
      <w:r>
        <w:rPr>
          <w:i/>
        </w:rPr>
        <w:t>Financial Management Act 1994</w:t>
      </w:r>
      <w:r w:rsidR="00A617CF">
        <w:rPr>
          <w:i/>
        </w:rPr>
        <w:t xml:space="preserve"> </w:t>
      </w:r>
      <w:r w:rsidR="00A617CF" w:rsidRPr="00A617CF">
        <w:t>– Part 7 Accountability and Reporting</w:t>
      </w:r>
    </w:p>
    <w:p w14:paraId="7A194BF4" w14:textId="0AEAE5B1" w:rsidR="00BC67EF" w:rsidRDefault="009659BD" w:rsidP="00514976">
      <w:pPr>
        <w:pStyle w:val="ListBullet"/>
        <w:spacing w:before="0" w:after="240" w:line="240" w:lineRule="auto"/>
      </w:pPr>
      <w:r w:rsidRPr="00AD3210">
        <w:t>Standing</w:t>
      </w:r>
      <w:r>
        <w:t xml:space="preserve"> </w:t>
      </w:r>
      <w:r w:rsidRPr="00AD3210">
        <w:t>Directions</w:t>
      </w:r>
      <w:r>
        <w:t xml:space="preserve"> </w:t>
      </w:r>
      <w:r w:rsidRPr="00AD3210">
        <w:t>of</w:t>
      </w:r>
      <w:r>
        <w:t xml:space="preserve"> </w:t>
      </w:r>
      <w:r w:rsidRPr="00AD3210">
        <w:t>the</w:t>
      </w:r>
      <w:r>
        <w:t xml:space="preserve"> </w:t>
      </w:r>
      <w:r w:rsidRPr="00AD3210">
        <w:t>Minister</w:t>
      </w:r>
      <w:r>
        <w:t xml:space="preserve"> </w:t>
      </w:r>
      <w:r w:rsidRPr="00AD3210">
        <w:t>of</w:t>
      </w:r>
      <w:r>
        <w:t xml:space="preserve"> </w:t>
      </w:r>
      <w:r w:rsidRPr="00AD3210">
        <w:t>Finance</w:t>
      </w:r>
      <w:r>
        <w:t xml:space="preserve"> </w:t>
      </w:r>
      <w:r w:rsidRPr="00AD3210">
        <w:t>201</w:t>
      </w:r>
      <w:r w:rsidR="002707E6">
        <w:t>8</w:t>
      </w:r>
      <w:r>
        <w:t xml:space="preserve"> </w:t>
      </w:r>
      <w:r w:rsidR="003627BE">
        <w:t xml:space="preserve">under the </w:t>
      </w:r>
      <w:r w:rsidR="003627BE" w:rsidRPr="00BC67EF">
        <w:rPr>
          <w:i/>
        </w:rPr>
        <w:t>Finance Management Act 1994</w:t>
      </w:r>
      <w:r w:rsidR="003627BE">
        <w:t xml:space="preserve"> </w:t>
      </w:r>
      <w:r w:rsidRPr="00AD3210">
        <w:t>–</w:t>
      </w:r>
      <w:r>
        <w:t xml:space="preserve"> </w:t>
      </w:r>
      <w:r w:rsidRPr="00AD3210">
        <w:t>Section</w:t>
      </w:r>
      <w:r>
        <w:t xml:space="preserve"> </w:t>
      </w:r>
      <w:r w:rsidRPr="00AD3210">
        <w:t>4.1</w:t>
      </w:r>
      <w:r>
        <w:t xml:space="preserve"> </w:t>
      </w:r>
      <w:r w:rsidRPr="00AD3210">
        <w:t>Planning</w:t>
      </w:r>
      <w:r>
        <w:t xml:space="preserve"> </w:t>
      </w:r>
      <w:r w:rsidRPr="00AD3210">
        <w:t>and</w:t>
      </w:r>
      <w:r>
        <w:t xml:space="preserve"> </w:t>
      </w:r>
      <w:r w:rsidRPr="00AD3210">
        <w:t>managing</w:t>
      </w:r>
      <w:r>
        <w:t xml:space="preserve"> </w:t>
      </w:r>
      <w:r w:rsidRPr="00AD3210">
        <w:t>performance,</w:t>
      </w:r>
      <w:r>
        <w:t xml:space="preserve"> </w:t>
      </w:r>
      <w:r w:rsidRPr="00AD3210">
        <w:t>5.2</w:t>
      </w:r>
      <w:r>
        <w:t xml:space="preserve"> </w:t>
      </w:r>
      <w:r w:rsidR="00C6021B">
        <w:t>A</w:t>
      </w:r>
      <w:r w:rsidR="00C6021B" w:rsidRPr="00AD3210">
        <w:t>nnual</w:t>
      </w:r>
      <w:r>
        <w:t xml:space="preserve"> </w:t>
      </w:r>
      <w:r w:rsidRPr="00AD3210">
        <w:t>reporting</w:t>
      </w:r>
      <w:r w:rsidR="001E1D6D">
        <w:t xml:space="preserve"> and </w:t>
      </w:r>
      <w:r w:rsidRPr="00AD3210">
        <w:t>5.3</w:t>
      </w:r>
      <w:r>
        <w:t xml:space="preserve"> </w:t>
      </w:r>
      <w:r w:rsidRPr="00AD3210">
        <w:t>External</w:t>
      </w:r>
      <w:r>
        <w:t xml:space="preserve"> </w:t>
      </w:r>
      <w:r w:rsidRPr="00AD3210">
        <w:t>reporting</w:t>
      </w:r>
      <w:r>
        <w:t xml:space="preserve"> </w:t>
      </w:r>
      <w:r w:rsidRPr="00AD3210">
        <w:t>and</w:t>
      </w:r>
      <w:r>
        <w:t xml:space="preserve"> </w:t>
      </w:r>
      <w:r w:rsidRPr="00AD3210">
        <w:t>information</w:t>
      </w:r>
      <w:r>
        <w:t xml:space="preserve"> </w:t>
      </w:r>
      <w:r w:rsidRPr="00AD3210">
        <w:t>provision.</w:t>
      </w:r>
    </w:p>
    <w:p w14:paraId="060E91B9" w14:textId="07B9FF07" w:rsidR="001E1D6D" w:rsidRDefault="001E1D6D">
      <w:pPr>
        <w:spacing w:before="0" w:line="240" w:lineRule="auto"/>
        <w:rPr>
          <w:rFonts w:eastAsiaTheme="minorHAnsi" w:cstheme="minorBidi"/>
          <w:szCs w:val="22"/>
        </w:rPr>
      </w:pPr>
    </w:p>
    <w:p w14:paraId="77F9146F" w14:textId="77777777" w:rsidR="0051778F" w:rsidRDefault="0051778F" w:rsidP="00DE4DB9">
      <w:pPr>
        <w:pStyle w:val="Heading2"/>
      </w:pPr>
      <w:r w:rsidRPr="006F7B96">
        <w:t>D</w:t>
      </w:r>
      <w:r w:rsidR="00534DA6" w:rsidRPr="006F7B96">
        <w:t>efinitions</w:t>
      </w:r>
      <w:r w:rsidRPr="006F7B96">
        <w:t xml:space="preserve"> </w:t>
      </w:r>
    </w:p>
    <w:tbl>
      <w:tblPr>
        <w:tblW w:w="9015" w:type="dxa"/>
        <w:tblInd w:w="57" w:type="dxa"/>
        <w:tblLayout w:type="fixed"/>
        <w:tblLook w:val="04A0" w:firstRow="1" w:lastRow="0" w:firstColumn="1" w:lastColumn="0" w:noHBand="0" w:noVBand="1"/>
      </w:tblPr>
      <w:tblGrid>
        <w:gridCol w:w="1973"/>
        <w:gridCol w:w="7042"/>
      </w:tblGrid>
      <w:tr w:rsidR="00D230D1" w:rsidRPr="00CA54BA" w14:paraId="427A85D3" w14:textId="77777777" w:rsidTr="007E25F7">
        <w:trPr>
          <w:trHeight w:val="1659"/>
        </w:trPr>
        <w:tc>
          <w:tcPr>
            <w:tcW w:w="1973" w:type="dxa"/>
          </w:tcPr>
          <w:p w14:paraId="2991E94D" w14:textId="77777777" w:rsidR="00D230D1" w:rsidRPr="006523F2" w:rsidRDefault="00D230D1" w:rsidP="00CA54BA">
            <w:pPr>
              <w:rPr>
                <w:b/>
              </w:rPr>
            </w:pPr>
            <w:r>
              <w:rPr>
                <w:b/>
              </w:rPr>
              <w:t>Balance Day Adjustment</w:t>
            </w:r>
          </w:p>
        </w:tc>
        <w:tc>
          <w:tcPr>
            <w:tcW w:w="7042" w:type="dxa"/>
          </w:tcPr>
          <w:p w14:paraId="5DAFF5EE" w14:textId="77777777" w:rsidR="00D230D1" w:rsidRPr="00CA54BA" w:rsidRDefault="00D230D1" w:rsidP="003627BE">
            <w:r>
              <w:t xml:space="preserve">The recording of transactions under an accrual system may result in revenue and expense items being </w:t>
            </w:r>
            <w:r w:rsidR="00C6021B">
              <w:t>recogni</w:t>
            </w:r>
            <w:r w:rsidR="00035880">
              <w:t>s</w:t>
            </w:r>
            <w:r w:rsidR="00C6021B">
              <w:t>ed</w:t>
            </w:r>
            <w:r>
              <w:t xml:space="preserve"> in a particular period when they actually relate to a future period.</w:t>
            </w:r>
            <w:r w:rsidR="003627BE">
              <w:t xml:space="preserve"> Journal entries may be required to adjust accounting records to recognise revenue or expenditure in the correct period. </w:t>
            </w:r>
          </w:p>
        </w:tc>
      </w:tr>
      <w:tr w:rsidR="000C1080" w:rsidRPr="00CA54BA" w14:paraId="6C432F85" w14:textId="77777777" w:rsidTr="00EB535C">
        <w:trPr>
          <w:trHeight w:val="1985"/>
        </w:trPr>
        <w:tc>
          <w:tcPr>
            <w:tcW w:w="1973" w:type="dxa"/>
            <w:shd w:val="clear" w:color="auto" w:fill="F2F2F2" w:themeFill="background1" w:themeFillShade="F2"/>
          </w:tcPr>
          <w:p w14:paraId="716CCBBD" w14:textId="77777777" w:rsidR="000C1080" w:rsidRPr="000C1080" w:rsidRDefault="000C1080" w:rsidP="00CA54BA">
            <w:pPr>
              <w:rPr>
                <w:b/>
              </w:rPr>
            </w:pPr>
            <w:r w:rsidRPr="000C1080">
              <w:rPr>
                <w:b/>
              </w:rPr>
              <w:lastRenderedPageBreak/>
              <w:t>Balance Integrity Report</w:t>
            </w:r>
          </w:p>
        </w:tc>
        <w:tc>
          <w:tcPr>
            <w:tcW w:w="7042" w:type="dxa"/>
            <w:shd w:val="clear" w:color="auto" w:fill="F2F2F2" w:themeFill="background1" w:themeFillShade="F2"/>
          </w:tcPr>
          <w:p w14:paraId="75D0F490" w14:textId="77777777" w:rsidR="000C1080" w:rsidRPr="00CA54BA" w:rsidRDefault="000C1080" w:rsidP="00035880">
            <w:r>
              <w:t xml:space="preserve">This report will identify whether any </w:t>
            </w:r>
            <w:r w:rsidRPr="00C8319B">
              <w:t xml:space="preserve">anomalies </w:t>
            </w:r>
            <w:r w:rsidR="00035880">
              <w:t xml:space="preserve">occur </w:t>
            </w:r>
            <w:r w:rsidRPr="00C8319B">
              <w:t xml:space="preserve">between the balances recorded against the </w:t>
            </w:r>
            <w:r>
              <w:t>c</w:t>
            </w:r>
            <w:r w:rsidRPr="00C8319B">
              <w:t>reditor</w:t>
            </w:r>
            <w:r>
              <w:t xml:space="preserve"> and the transactions data recorded against the creditor</w:t>
            </w:r>
            <w:r w:rsidR="00C6021B">
              <w:t xml:space="preserve"> </w:t>
            </w:r>
            <w:r w:rsidR="002F1603">
              <w:t>(CR21160)</w:t>
            </w:r>
            <w:r w:rsidR="00C6021B">
              <w:t>.</w:t>
            </w:r>
            <w:r w:rsidR="00071178">
              <w:t xml:space="preserve"> The Balance</w:t>
            </w:r>
            <w:r w:rsidR="002F1603">
              <w:t xml:space="preserve"> Integrity Report (DR21902) will indicate whether there are any anomalies between the balances recorded against the </w:t>
            </w:r>
            <w:r w:rsidR="00071178">
              <w:t>s</w:t>
            </w:r>
            <w:r w:rsidR="002F1603">
              <w:t xml:space="preserve">undry </w:t>
            </w:r>
            <w:r w:rsidR="00071178">
              <w:t>d</w:t>
            </w:r>
            <w:r w:rsidR="002F1603">
              <w:t xml:space="preserve">ebtor and the transaction data recorded against the </w:t>
            </w:r>
            <w:r w:rsidR="00071178">
              <w:t>s</w:t>
            </w:r>
            <w:r w:rsidR="002F1603">
              <w:t xml:space="preserve">undry </w:t>
            </w:r>
            <w:r w:rsidR="00071178">
              <w:t>d</w:t>
            </w:r>
            <w:r w:rsidR="002F1603">
              <w:t>ebtor.</w:t>
            </w:r>
          </w:p>
        </w:tc>
      </w:tr>
      <w:tr w:rsidR="001E4A90" w:rsidRPr="00CA54BA" w14:paraId="17A05448" w14:textId="77777777" w:rsidTr="00EB535C">
        <w:trPr>
          <w:trHeight w:val="2551"/>
        </w:trPr>
        <w:tc>
          <w:tcPr>
            <w:tcW w:w="1973" w:type="dxa"/>
          </w:tcPr>
          <w:p w14:paraId="68830138" w14:textId="77777777" w:rsidR="001E4A90" w:rsidRPr="001E4A90" w:rsidRDefault="001E4A90" w:rsidP="001E4A90">
            <w:pPr>
              <w:rPr>
                <w:b/>
              </w:rPr>
            </w:pPr>
            <w:r w:rsidRPr="001E4A90">
              <w:rPr>
                <w:b/>
              </w:rPr>
              <w:t>Capital commitments</w:t>
            </w:r>
          </w:p>
        </w:tc>
        <w:tc>
          <w:tcPr>
            <w:tcW w:w="7042" w:type="dxa"/>
          </w:tcPr>
          <w:p w14:paraId="04D29D96" w14:textId="77777777" w:rsidR="001E4A90" w:rsidRPr="00CA54BA" w:rsidRDefault="001E4A90" w:rsidP="00035880">
            <w:r w:rsidRPr="00CA54BA">
              <w:t>A capital commitment will arise when</w:t>
            </w:r>
            <w:r w:rsidR="00035880">
              <w:t xml:space="preserve"> a</w:t>
            </w:r>
            <w:r w:rsidRPr="00CA54BA">
              <w:t xml:space="preserve"> school enters into a legally binding non-cancellable agreement/contract for the acquisition of equipment or capital works. A capital commitment does not include maintenance contracts associated with assets held (these are usually an operating commitment). Capital commitments are not </w:t>
            </w:r>
            <w:r w:rsidR="00C6021B" w:rsidRPr="00CA54BA">
              <w:t>recogni</w:t>
            </w:r>
            <w:r w:rsidR="00035880">
              <w:t>s</w:t>
            </w:r>
            <w:r w:rsidR="00C6021B" w:rsidRPr="00CA54BA">
              <w:t>ed</w:t>
            </w:r>
            <w:r w:rsidRPr="00CA54BA">
              <w:t xml:space="preserve"> in CASES21 finance </w:t>
            </w:r>
            <w:r w:rsidR="00C6021B" w:rsidRPr="00CA54BA">
              <w:t>system,</w:t>
            </w:r>
            <w:r w:rsidRPr="00CA54BA">
              <w:t xml:space="preserve"> as they are to occur in the future.</w:t>
            </w:r>
          </w:p>
          <w:p w14:paraId="1EF4279C" w14:textId="77777777" w:rsidR="001E4A90" w:rsidRPr="001E4A90" w:rsidRDefault="001E4A90">
            <w:pPr>
              <w:rPr>
                <w:color w:val="000000" w:themeColor="text1"/>
              </w:rPr>
            </w:pPr>
            <w:r w:rsidRPr="00CA54BA">
              <w:t>A capital commitment will arise when there is a signed contract for a tangible asset i.e. building, gymnasium, playground or toilet block.</w:t>
            </w:r>
          </w:p>
        </w:tc>
      </w:tr>
      <w:tr w:rsidR="001E4A90" w:rsidRPr="00CA54BA" w14:paraId="74068098" w14:textId="77777777" w:rsidTr="00EB535C">
        <w:trPr>
          <w:trHeight w:val="1412"/>
        </w:trPr>
        <w:tc>
          <w:tcPr>
            <w:tcW w:w="1973" w:type="dxa"/>
            <w:shd w:val="clear" w:color="auto" w:fill="F2F2F2" w:themeFill="background1" w:themeFillShade="F2"/>
          </w:tcPr>
          <w:p w14:paraId="7CCE0201" w14:textId="77777777" w:rsidR="001E4A90" w:rsidRPr="006523F2" w:rsidRDefault="001E4A90" w:rsidP="00CA54BA">
            <w:pPr>
              <w:rPr>
                <w:b/>
              </w:rPr>
            </w:pPr>
            <w:r w:rsidRPr="006523F2">
              <w:rPr>
                <w:b/>
              </w:rPr>
              <w:t>Contingent assets</w:t>
            </w:r>
          </w:p>
        </w:tc>
        <w:tc>
          <w:tcPr>
            <w:tcW w:w="7042" w:type="dxa"/>
            <w:shd w:val="clear" w:color="auto" w:fill="F2F2F2" w:themeFill="background1" w:themeFillShade="F2"/>
          </w:tcPr>
          <w:p w14:paraId="062FD4E1" w14:textId="77777777" w:rsidR="001E4A90" w:rsidRPr="00CA54BA" w:rsidRDefault="001E4A90" w:rsidP="003627BE">
            <w:r w:rsidRPr="001E4A90">
              <w:t>A potential asset that may arise depending on the outcome of a future event. For example, the school has taken legal action against a third party for a breach of contract, and the likely outcome will result in receiving compensation from a third party.</w:t>
            </w:r>
          </w:p>
        </w:tc>
      </w:tr>
      <w:tr w:rsidR="001E4A90" w:rsidRPr="00CA54BA" w14:paraId="5CB3CE75" w14:textId="77777777" w:rsidTr="00EB535C">
        <w:trPr>
          <w:trHeight w:val="2552"/>
        </w:trPr>
        <w:tc>
          <w:tcPr>
            <w:tcW w:w="1973" w:type="dxa"/>
            <w:shd w:val="clear" w:color="auto" w:fill="auto"/>
          </w:tcPr>
          <w:p w14:paraId="388044A6" w14:textId="77777777" w:rsidR="001E4A90" w:rsidRPr="006523F2" w:rsidRDefault="001E4A90" w:rsidP="00CA54BA">
            <w:pPr>
              <w:rPr>
                <w:b/>
              </w:rPr>
            </w:pPr>
            <w:r w:rsidRPr="006523F2">
              <w:rPr>
                <w:b/>
              </w:rPr>
              <w:t>Contingent liabilities</w:t>
            </w:r>
          </w:p>
        </w:tc>
        <w:tc>
          <w:tcPr>
            <w:tcW w:w="7042" w:type="dxa"/>
            <w:shd w:val="clear" w:color="auto" w:fill="auto"/>
          </w:tcPr>
          <w:p w14:paraId="2BD670D8" w14:textId="77777777" w:rsidR="001E4A90" w:rsidRPr="00CA54BA" w:rsidRDefault="001E4A90" w:rsidP="003627BE">
            <w:r w:rsidRPr="001E4A90">
              <w:t xml:space="preserve">A potential obligation that may be incurred depending on the outcome of a future event. A contingent liability is one where the outcome of an existing situation is uncertain, and that uncertainty will be resolved by a future event. An example of a contingent liability is where there is an outstanding legal action against the school, but not enough certainty to place the settlement value on the balance sheet. Where a contingent liability may exist, the matter must be referred to the </w:t>
            </w:r>
            <w:r w:rsidR="003627BE">
              <w:t>L</w:t>
            </w:r>
            <w:r w:rsidRPr="001E4A90">
              <w:t xml:space="preserve">egal </w:t>
            </w:r>
            <w:r w:rsidR="003627BE">
              <w:t>D</w:t>
            </w:r>
            <w:r w:rsidRPr="001E4A90">
              <w:t xml:space="preserve">ivision of </w:t>
            </w:r>
            <w:r w:rsidR="00035880">
              <w:t xml:space="preserve">the </w:t>
            </w:r>
            <w:r w:rsidRPr="001E4A90">
              <w:t>Department.</w:t>
            </w:r>
          </w:p>
        </w:tc>
      </w:tr>
      <w:tr w:rsidR="001E4A90" w:rsidRPr="00CA54BA" w14:paraId="6E736730" w14:textId="77777777" w:rsidTr="00D136EC">
        <w:trPr>
          <w:trHeight w:val="852"/>
        </w:trPr>
        <w:tc>
          <w:tcPr>
            <w:tcW w:w="1973" w:type="dxa"/>
            <w:shd w:val="clear" w:color="auto" w:fill="F2F2F2" w:themeFill="background1" w:themeFillShade="F2"/>
          </w:tcPr>
          <w:p w14:paraId="79043CFC" w14:textId="77777777" w:rsidR="001E4A90" w:rsidRPr="001E4A90" w:rsidRDefault="001E4A90" w:rsidP="001E4A90">
            <w:pPr>
              <w:rPr>
                <w:b/>
              </w:rPr>
            </w:pPr>
            <w:r w:rsidRPr="001E4A90">
              <w:rPr>
                <w:b/>
              </w:rPr>
              <w:t>Long Service Leave Provision</w:t>
            </w:r>
          </w:p>
        </w:tc>
        <w:tc>
          <w:tcPr>
            <w:tcW w:w="7042" w:type="dxa"/>
            <w:shd w:val="clear" w:color="auto" w:fill="F2F2F2" w:themeFill="background1" w:themeFillShade="F2"/>
          </w:tcPr>
          <w:p w14:paraId="32A491A0" w14:textId="77777777" w:rsidR="001E4A90" w:rsidRDefault="001E4A90" w:rsidP="00035880">
            <w:r w:rsidRPr="00CA1C56">
              <w:t xml:space="preserve">Long service leave entitlements represent a future obligation for the school and as such must be </w:t>
            </w:r>
            <w:r w:rsidR="00C6021B" w:rsidRPr="00CA1C56">
              <w:t>recognized</w:t>
            </w:r>
            <w:r w:rsidRPr="00CA1C56">
              <w:t xml:space="preserve"> as a liability on the Balance Sheet.</w:t>
            </w:r>
          </w:p>
        </w:tc>
      </w:tr>
    </w:tbl>
    <w:p w14:paraId="5C4A81E4" w14:textId="77777777" w:rsidR="00EB7879" w:rsidRDefault="00EB7879">
      <w:r>
        <w:br w:type="page"/>
      </w:r>
    </w:p>
    <w:tbl>
      <w:tblPr>
        <w:tblW w:w="9015" w:type="dxa"/>
        <w:tblInd w:w="57" w:type="dxa"/>
        <w:tblLayout w:type="fixed"/>
        <w:tblLook w:val="04A0" w:firstRow="1" w:lastRow="0" w:firstColumn="1" w:lastColumn="0" w:noHBand="0" w:noVBand="1"/>
      </w:tblPr>
      <w:tblGrid>
        <w:gridCol w:w="1973"/>
        <w:gridCol w:w="7042"/>
      </w:tblGrid>
      <w:tr w:rsidR="00874D35" w:rsidRPr="00CA54BA" w14:paraId="0D107644" w14:textId="77777777" w:rsidTr="00EB535C">
        <w:trPr>
          <w:trHeight w:val="3123"/>
        </w:trPr>
        <w:tc>
          <w:tcPr>
            <w:tcW w:w="1973" w:type="dxa"/>
          </w:tcPr>
          <w:p w14:paraId="3165DF92" w14:textId="77777777" w:rsidR="00FA267B" w:rsidRPr="006523F2" w:rsidRDefault="006A008D" w:rsidP="00CA54BA">
            <w:pPr>
              <w:rPr>
                <w:b/>
              </w:rPr>
            </w:pPr>
            <w:r w:rsidRPr="006523F2">
              <w:rPr>
                <w:b/>
              </w:rPr>
              <w:lastRenderedPageBreak/>
              <w:t>Operating commitments – contracts for goods and/or services</w:t>
            </w:r>
          </w:p>
        </w:tc>
        <w:tc>
          <w:tcPr>
            <w:tcW w:w="7042" w:type="dxa"/>
          </w:tcPr>
          <w:p w14:paraId="2C3EB26A" w14:textId="77777777" w:rsidR="00035880" w:rsidRDefault="004E63B0" w:rsidP="00035880">
            <w:r w:rsidRPr="00CA54BA">
              <w:t>A</w:t>
            </w:r>
            <w:r w:rsidR="006A008D" w:rsidRPr="00CA54BA">
              <w:t xml:space="preserve">n operating commitment will arise when the school enters into a legally binding non-cancellable agreement/contract for the future provision of a good and/or service. </w:t>
            </w:r>
            <w:r w:rsidR="001B1F9A" w:rsidRPr="00CA54BA">
              <w:t xml:space="preserve">In most cases, where there is a legal contract, there is a penalty and financial obligation upon rendering the contact void and not continuing with the purchase/service. Operating commitments are not </w:t>
            </w:r>
            <w:r w:rsidR="00C6021B" w:rsidRPr="00CA54BA">
              <w:t>recogni</w:t>
            </w:r>
            <w:r w:rsidR="00035880">
              <w:t>s</w:t>
            </w:r>
            <w:r w:rsidR="00C6021B" w:rsidRPr="00CA54BA">
              <w:t>ed</w:t>
            </w:r>
            <w:r w:rsidR="001B1F9A" w:rsidRPr="00CA54BA">
              <w:t xml:space="preserve"> in CASES21 </w:t>
            </w:r>
            <w:r w:rsidR="00CC3273">
              <w:t>F</w:t>
            </w:r>
            <w:r w:rsidR="001B1F9A" w:rsidRPr="00CA54BA">
              <w:t xml:space="preserve">inance </w:t>
            </w:r>
            <w:r w:rsidR="00C6021B" w:rsidRPr="00CA54BA">
              <w:t>system,</w:t>
            </w:r>
            <w:r w:rsidR="001B1F9A" w:rsidRPr="00CA54BA">
              <w:t xml:space="preserve"> as they are to occur in the future. </w:t>
            </w:r>
          </w:p>
          <w:p w14:paraId="7C4F6632" w14:textId="77777777" w:rsidR="00874D35" w:rsidRPr="00CA54BA" w:rsidRDefault="006A008D" w:rsidP="00035880">
            <w:r w:rsidRPr="00CA54BA">
              <w:t>Examples of an operating commitment include</w:t>
            </w:r>
            <w:r w:rsidR="00035880">
              <w:t>,</w:t>
            </w:r>
            <w:r w:rsidRPr="00CA54BA">
              <w:t xml:space="preserve"> </w:t>
            </w:r>
            <w:r w:rsidR="001B1F9A" w:rsidRPr="00CA54BA">
              <w:t>but are not limited to</w:t>
            </w:r>
            <w:r w:rsidR="00035880">
              <w:t>,</w:t>
            </w:r>
            <w:r w:rsidR="001B1F9A" w:rsidRPr="00CA54BA">
              <w:t xml:space="preserve"> </w:t>
            </w:r>
            <w:r w:rsidRPr="00CA54BA">
              <w:t xml:space="preserve">provision of services by contractors, IT services, </w:t>
            </w:r>
            <w:r w:rsidR="00216490" w:rsidRPr="00CA54BA">
              <w:t>labo</w:t>
            </w:r>
            <w:r w:rsidR="00EB7879">
              <w:t>u</w:t>
            </w:r>
            <w:r w:rsidR="00216490" w:rsidRPr="00CA54BA">
              <w:t>r</w:t>
            </w:r>
            <w:r w:rsidRPr="00CA54BA">
              <w:t xml:space="preserve"> hire, maintenance and annual facility charges.</w:t>
            </w:r>
            <w:r w:rsidR="004E63B0" w:rsidRPr="00CA54BA">
              <w:t xml:space="preserve"> </w:t>
            </w:r>
          </w:p>
        </w:tc>
      </w:tr>
      <w:tr w:rsidR="00874D35" w:rsidRPr="00CA54BA" w14:paraId="51B2FD9F" w14:textId="77777777" w:rsidTr="00EB535C">
        <w:trPr>
          <w:trHeight w:val="1695"/>
        </w:trPr>
        <w:tc>
          <w:tcPr>
            <w:tcW w:w="1973" w:type="dxa"/>
            <w:shd w:val="clear" w:color="auto" w:fill="F2F2F2" w:themeFill="background1" w:themeFillShade="F2"/>
          </w:tcPr>
          <w:p w14:paraId="4B95C9F9" w14:textId="77777777" w:rsidR="00874D35" w:rsidRPr="006523F2" w:rsidRDefault="00451CB8" w:rsidP="00CA54BA">
            <w:pPr>
              <w:rPr>
                <w:b/>
              </w:rPr>
            </w:pPr>
            <w:r w:rsidRPr="006523F2">
              <w:rPr>
                <w:b/>
              </w:rPr>
              <w:t>Operating Leases</w:t>
            </w:r>
          </w:p>
        </w:tc>
        <w:tc>
          <w:tcPr>
            <w:tcW w:w="7042" w:type="dxa"/>
            <w:shd w:val="clear" w:color="auto" w:fill="F2F2F2" w:themeFill="background1" w:themeFillShade="F2"/>
          </w:tcPr>
          <w:p w14:paraId="4C7222EF" w14:textId="77777777" w:rsidR="00874D35" w:rsidRPr="00CA54BA" w:rsidRDefault="004B053C" w:rsidP="00035880">
            <w:r w:rsidRPr="00CA54BA">
              <w:t xml:space="preserve">A lease for which the lessee acquires the property for only a small portion of its useful life. An operating lease is commonly used to acquire equipment on a short-term basis. </w:t>
            </w:r>
            <w:r w:rsidR="00874952" w:rsidRPr="00CA54BA">
              <w:t xml:space="preserve">An example of an operating lease is the rental of a photocopier machine or other office equipment. </w:t>
            </w:r>
            <w:r w:rsidRPr="00CA54BA">
              <w:t>Any lease that is not a capital lease is an operating lease.</w:t>
            </w:r>
          </w:p>
        </w:tc>
      </w:tr>
      <w:tr w:rsidR="001E4A90" w:rsidRPr="00CA54BA" w14:paraId="6469AFDC" w14:textId="77777777" w:rsidTr="00EB535C">
        <w:trPr>
          <w:trHeight w:val="2154"/>
        </w:trPr>
        <w:tc>
          <w:tcPr>
            <w:tcW w:w="1973" w:type="dxa"/>
            <w:shd w:val="clear" w:color="auto" w:fill="auto"/>
          </w:tcPr>
          <w:p w14:paraId="5AB88B96" w14:textId="77777777" w:rsidR="001E4A90" w:rsidRPr="001E4A90" w:rsidRDefault="001E4A90" w:rsidP="001E4A90">
            <w:pPr>
              <w:rPr>
                <w:b/>
              </w:rPr>
            </w:pPr>
            <w:r w:rsidRPr="001E4A90">
              <w:rPr>
                <w:b/>
              </w:rPr>
              <w:t>Prepaid expenses</w:t>
            </w:r>
          </w:p>
        </w:tc>
        <w:tc>
          <w:tcPr>
            <w:tcW w:w="7042" w:type="dxa"/>
            <w:shd w:val="clear" w:color="auto" w:fill="auto"/>
          </w:tcPr>
          <w:p w14:paraId="74CFD6A0" w14:textId="77777777" w:rsidR="001E4A90" w:rsidRDefault="00C6021B" w:rsidP="00CC3273">
            <w:r w:rsidRPr="007F0EA5">
              <w:t>Recogni</w:t>
            </w:r>
            <w:r w:rsidR="00035880">
              <w:t>s</w:t>
            </w:r>
            <w:r w:rsidRPr="007F0EA5">
              <w:t>ed</w:t>
            </w:r>
            <w:r w:rsidR="001E4A90" w:rsidRPr="007F0EA5">
              <w:t xml:space="preserve"> when a payment has been made to a supplier for goods or services to be received in a future accounting period. Examples of th</w:t>
            </w:r>
            <w:r w:rsidR="00D72C91">
              <w:t>ese</w:t>
            </w:r>
            <w:r w:rsidR="001E4A90" w:rsidRPr="007F0EA5">
              <w:t xml:space="preserve"> are rent paid in advance or license fees paid in advance. Prepayments </w:t>
            </w:r>
            <w:r w:rsidR="005D6F19">
              <w:t>must be</w:t>
            </w:r>
            <w:r w:rsidR="001E4A90" w:rsidRPr="007F0EA5">
              <w:t xml:space="preserve"> recorded by way of a journal into the CASES21 Finance</w:t>
            </w:r>
            <w:r w:rsidR="00CC3273">
              <w:t xml:space="preserve"> system.</w:t>
            </w:r>
            <w:r w:rsidR="001E4A90" w:rsidRPr="007F0EA5">
              <w:t xml:space="preserve"> These journals </w:t>
            </w:r>
            <w:r w:rsidR="005D6F19">
              <w:t xml:space="preserve">must be </w:t>
            </w:r>
            <w:r w:rsidR="001E4A90" w:rsidRPr="007F0EA5">
              <w:t>reversed in the relevant future period thus bringing the expense to account in the correct period. (CASES21 chart of account code 12005).</w:t>
            </w:r>
          </w:p>
        </w:tc>
      </w:tr>
      <w:tr w:rsidR="001E4A90" w:rsidRPr="00CA54BA" w14:paraId="2958E21C" w14:textId="77777777" w:rsidTr="00EB535C">
        <w:trPr>
          <w:trHeight w:val="867"/>
        </w:trPr>
        <w:tc>
          <w:tcPr>
            <w:tcW w:w="1973" w:type="dxa"/>
            <w:shd w:val="clear" w:color="auto" w:fill="F2F2F2" w:themeFill="background1" w:themeFillShade="F2"/>
          </w:tcPr>
          <w:p w14:paraId="458C6EF3" w14:textId="77777777" w:rsidR="001E4A90" w:rsidRPr="001E4A90" w:rsidRDefault="001E4A90" w:rsidP="001E4A90">
            <w:pPr>
              <w:rPr>
                <w:b/>
              </w:rPr>
            </w:pPr>
            <w:r w:rsidRPr="001E4A90">
              <w:rPr>
                <w:b/>
              </w:rPr>
              <w:t>Revenues paid in Advance</w:t>
            </w:r>
          </w:p>
        </w:tc>
        <w:tc>
          <w:tcPr>
            <w:tcW w:w="7042" w:type="dxa"/>
            <w:shd w:val="clear" w:color="auto" w:fill="F2F2F2" w:themeFill="background1" w:themeFillShade="F2"/>
          </w:tcPr>
          <w:p w14:paraId="37894CED" w14:textId="77777777" w:rsidR="001E4A90" w:rsidRDefault="00C6021B" w:rsidP="007E25F7">
            <w:r w:rsidRPr="00697759">
              <w:t>Recogni</w:t>
            </w:r>
            <w:r w:rsidR="007E25F7">
              <w:t>s</w:t>
            </w:r>
            <w:r w:rsidRPr="00697759">
              <w:t>ed</w:t>
            </w:r>
            <w:r w:rsidR="001E4A90" w:rsidRPr="00697759">
              <w:t xml:space="preserve"> when revenues are received in advance of them being earned. (CASES21 </w:t>
            </w:r>
            <w:r w:rsidR="00084A35">
              <w:t>c</w:t>
            </w:r>
            <w:r w:rsidR="001E4A90" w:rsidRPr="00697759">
              <w:t>hart of account code 38002).</w:t>
            </w:r>
          </w:p>
        </w:tc>
      </w:tr>
    </w:tbl>
    <w:p w14:paraId="51E726FC" w14:textId="77777777" w:rsidR="0051778F" w:rsidRDefault="00317AB9" w:rsidP="008A1405">
      <w:pPr>
        <w:pStyle w:val="Heading2"/>
      </w:pPr>
      <w:r>
        <w:t>Additional r</w:t>
      </w:r>
      <w:r w:rsidR="0051778F" w:rsidRPr="006F7B96">
        <w:t>esources</w:t>
      </w:r>
      <w:r w:rsidR="00A223D8" w:rsidRPr="006F7B96">
        <w:t xml:space="preserve"> </w:t>
      </w:r>
    </w:p>
    <w:p w14:paraId="2BCF7115" w14:textId="77777777" w:rsidR="00EB535C" w:rsidRDefault="006B729C" w:rsidP="00EB535C">
      <w:pPr>
        <w:pStyle w:val="ListBullet"/>
      </w:pPr>
      <w:hyperlink r:id="rId50" w:history="1">
        <w:r w:rsidR="00EB535C" w:rsidRPr="00011BE1">
          <w:rPr>
            <w:rStyle w:val="Hyperlink"/>
          </w:rPr>
          <w:t>CASES21 Finance Business Process Guide Section 11 – End of</w:t>
        </w:r>
      </w:hyperlink>
      <w:r w:rsidR="00EB535C">
        <w:rPr>
          <w:color w:val="0000FF"/>
          <w:u w:val="single"/>
        </w:rPr>
        <w:t xml:space="preserve"> Year</w:t>
      </w:r>
      <w:r w:rsidR="00EB535C" w:rsidRPr="00CA54BA">
        <w:t xml:space="preserve"> </w:t>
      </w:r>
    </w:p>
    <w:p w14:paraId="2D62E725" w14:textId="0C5D77D9" w:rsidR="003310F7" w:rsidRDefault="006B729C" w:rsidP="009B3C58">
      <w:pPr>
        <w:pStyle w:val="ListBullet"/>
      </w:pPr>
      <w:hyperlink r:id="rId51" w:history="1">
        <w:r w:rsidR="003310F7" w:rsidRPr="003310F7">
          <w:rPr>
            <w:rStyle w:val="Hyperlink"/>
          </w:rPr>
          <w:t>School Policy and Advisory Guide</w:t>
        </w:r>
      </w:hyperlink>
      <w:r w:rsidR="00CA54BA" w:rsidRPr="00CA54BA">
        <w:br/>
      </w:r>
    </w:p>
    <w:p w14:paraId="655DAAC4" w14:textId="07632AB5" w:rsidR="003310F7" w:rsidRDefault="003310F7" w:rsidP="009B3C58">
      <w:pPr>
        <w:pStyle w:val="ListBullet"/>
        <w:numPr>
          <w:ilvl w:val="0"/>
          <w:numId w:val="0"/>
        </w:numPr>
        <w:ind w:left="360"/>
      </w:pPr>
    </w:p>
    <w:p w14:paraId="026A0859" w14:textId="77777777" w:rsidR="00FD6667" w:rsidRDefault="00FD6667" w:rsidP="009B3C58">
      <w:pPr>
        <w:pStyle w:val="ListBullet"/>
        <w:numPr>
          <w:ilvl w:val="0"/>
          <w:numId w:val="0"/>
        </w:numPr>
        <w:ind w:left="360"/>
      </w:pPr>
    </w:p>
    <w:p w14:paraId="5F5C57B1" w14:textId="77777777" w:rsidR="003310F7" w:rsidRDefault="003310F7" w:rsidP="009B3C58">
      <w:pPr>
        <w:pStyle w:val="ListBullet"/>
        <w:numPr>
          <w:ilvl w:val="0"/>
          <w:numId w:val="0"/>
        </w:numPr>
        <w:ind w:left="360"/>
      </w:pPr>
    </w:p>
    <w:p w14:paraId="5E607BF1" w14:textId="59607B0E" w:rsidR="009F0AA7" w:rsidRPr="00103913" w:rsidRDefault="006C3607" w:rsidP="009B3C58">
      <w:pPr>
        <w:pStyle w:val="ListBullet"/>
        <w:numPr>
          <w:ilvl w:val="0"/>
          <w:numId w:val="0"/>
        </w:numPr>
      </w:pPr>
      <w:r>
        <w:t xml:space="preserve">Version and </w:t>
      </w:r>
      <w:r w:rsidR="00BF60C2">
        <w:t>r</w:t>
      </w:r>
      <w:r w:rsidR="009F0AA7" w:rsidRPr="00103913">
        <w:t>evision record control</w:t>
      </w:r>
    </w:p>
    <w:tbl>
      <w:tblPr>
        <w:tblStyle w:val="GridTable6Colorful2"/>
        <w:tblW w:w="0" w:type="auto"/>
        <w:tblLook w:val="04A0" w:firstRow="1" w:lastRow="0" w:firstColumn="1" w:lastColumn="0" w:noHBand="0" w:noVBand="1"/>
        <w:tblDescription w:val="table containing version and revison control records"/>
      </w:tblPr>
      <w:tblGrid>
        <w:gridCol w:w="1318"/>
        <w:gridCol w:w="1133"/>
        <w:gridCol w:w="4914"/>
        <w:gridCol w:w="1689"/>
      </w:tblGrid>
      <w:tr w:rsidR="00E378B3" w:rsidRPr="00E378B3" w14:paraId="0C180E53" w14:textId="77777777" w:rsidTr="009B3C5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18" w:type="dxa"/>
            <w:tcBorders>
              <w:top w:val="single" w:sz="4" w:space="0" w:color="auto"/>
              <w:left w:val="single" w:sz="4" w:space="0" w:color="auto"/>
              <w:bottom w:val="single" w:sz="4" w:space="0" w:color="auto"/>
            </w:tcBorders>
            <w:shd w:val="clear" w:color="auto" w:fill="F2F2F2" w:themeFill="background1" w:themeFillShade="F2"/>
          </w:tcPr>
          <w:p w14:paraId="367FBF91" w14:textId="77777777" w:rsidR="00E378B3" w:rsidRPr="00E378B3" w:rsidRDefault="00E378B3" w:rsidP="00E378B3">
            <w:r w:rsidRPr="00E378B3">
              <w:t>Date</w:t>
            </w:r>
          </w:p>
        </w:tc>
        <w:tc>
          <w:tcPr>
            <w:tcW w:w="1133" w:type="dxa"/>
            <w:tcBorders>
              <w:top w:val="single" w:sz="4" w:space="0" w:color="auto"/>
              <w:bottom w:val="single" w:sz="4" w:space="0" w:color="auto"/>
            </w:tcBorders>
            <w:shd w:val="clear" w:color="auto" w:fill="F2F2F2" w:themeFill="background1" w:themeFillShade="F2"/>
          </w:tcPr>
          <w:p w14:paraId="5DE4F08C" w14:textId="77777777" w:rsidR="00E378B3" w:rsidRPr="00E378B3" w:rsidRDefault="00E378B3" w:rsidP="00E378B3">
            <w:pPr>
              <w:cnfStyle w:val="100000000000" w:firstRow="1" w:lastRow="0" w:firstColumn="0" w:lastColumn="0" w:oddVBand="0" w:evenVBand="0" w:oddHBand="0" w:evenHBand="0" w:firstRowFirstColumn="0" w:firstRowLastColumn="0" w:lastRowFirstColumn="0" w:lastRowLastColumn="0"/>
            </w:pPr>
            <w:r w:rsidRPr="00E378B3">
              <w:t>Version</w:t>
            </w:r>
          </w:p>
        </w:tc>
        <w:tc>
          <w:tcPr>
            <w:tcW w:w="4914" w:type="dxa"/>
            <w:tcBorders>
              <w:top w:val="single" w:sz="4" w:space="0" w:color="auto"/>
              <w:bottom w:val="single" w:sz="4" w:space="0" w:color="auto"/>
            </w:tcBorders>
            <w:shd w:val="clear" w:color="auto" w:fill="F2F2F2" w:themeFill="background1" w:themeFillShade="F2"/>
          </w:tcPr>
          <w:p w14:paraId="32ED00A7" w14:textId="77777777" w:rsidR="00E378B3" w:rsidRPr="00E378B3" w:rsidRDefault="00E378B3" w:rsidP="00E378B3">
            <w:pPr>
              <w:cnfStyle w:val="100000000000" w:firstRow="1" w:lastRow="0" w:firstColumn="0" w:lastColumn="0" w:oddVBand="0" w:evenVBand="0" w:oddHBand="0" w:evenHBand="0" w:firstRowFirstColumn="0" w:firstRowLastColumn="0" w:lastRowFirstColumn="0" w:lastRowLastColumn="0"/>
            </w:pPr>
            <w:r w:rsidRPr="00E378B3">
              <w:t>Approver</w:t>
            </w:r>
          </w:p>
        </w:tc>
        <w:tc>
          <w:tcPr>
            <w:tcW w:w="1689" w:type="dxa"/>
            <w:tcBorders>
              <w:top w:val="single" w:sz="4" w:space="0" w:color="auto"/>
              <w:bottom w:val="single" w:sz="4" w:space="0" w:color="auto"/>
              <w:right w:val="single" w:sz="4" w:space="0" w:color="auto"/>
            </w:tcBorders>
            <w:shd w:val="clear" w:color="auto" w:fill="F2F2F2" w:themeFill="background1" w:themeFillShade="F2"/>
          </w:tcPr>
          <w:p w14:paraId="493EDFAF" w14:textId="77777777" w:rsidR="00E378B3" w:rsidRPr="00E378B3" w:rsidRDefault="00E378B3" w:rsidP="00E378B3">
            <w:pPr>
              <w:cnfStyle w:val="100000000000" w:firstRow="1" w:lastRow="0" w:firstColumn="0" w:lastColumn="0" w:oddVBand="0" w:evenVBand="0" w:oddHBand="0" w:evenHBand="0" w:firstRowFirstColumn="0" w:firstRowLastColumn="0" w:lastRowFirstColumn="0" w:lastRowLastColumn="0"/>
            </w:pPr>
            <w:r w:rsidRPr="00E378B3">
              <w:t>Next Review</w:t>
            </w:r>
          </w:p>
        </w:tc>
      </w:tr>
      <w:tr w:rsidR="00E378B3" w:rsidRPr="00E378B3" w14:paraId="5B065351" w14:textId="77777777" w:rsidTr="00D12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8" w:type="dxa"/>
            <w:tcBorders>
              <w:top w:val="single" w:sz="4" w:space="0" w:color="auto"/>
            </w:tcBorders>
            <w:shd w:val="clear" w:color="auto" w:fill="auto"/>
          </w:tcPr>
          <w:p w14:paraId="11EA4026" w14:textId="66109F4A" w:rsidR="00E378B3" w:rsidRPr="00E378B3" w:rsidRDefault="00672AD4">
            <w:pPr>
              <w:rPr>
                <w:b w:val="0"/>
              </w:rPr>
            </w:pPr>
            <w:r>
              <w:rPr>
                <w:b w:val="0"/>
              </w:rPr>
              <w:t>01/20</w:t>
            </w:r>
            <w:r w:rsidR="00E82E31">
              <w:rPr>
                <w:b w:val="0"/>
              </w:rPr>
              <w:t>20</w:t>
            </w:r>
          </w:p>
        </w:tc>
        <w:tc>
          <w:tcPr>
            <w:tcW w:w="1133" w:type="dxa"/>
            <w:tcBorders>
              <w:top w:val="single" w:sz="4" w:space="0" w:color="auto"/>
            </w:tcBorders>
            <w:shd w:val="clear" w:color="auto" w:fill="auto"/>
          </w:tcPr>
          <w:p w14:paraId="62ABBBE8" w14:textId="0885370D" w:rsidR="00E378B3" w:rsidRPr="00E378B3" w:rsidRDefault="003660A1" w:rsidP="00E378B3">
            <w:pPr>
              <w:cnfStyle w:val="000000100000" w:firstRow="0" w:lastRow="0" w:firstColumn="0" w:lastColumn="0" w:oddVBand="0" w:evenVBand="0" w:oddHBand="1" w:evenHBand="0" w:firstRowFirstColumn="0" w:firstRowLastColumn="0" w:lastRowFirstColumn="0" w:lastRowLastColumn="0"/>
            </w:pPr>
            <w:r>
              <w:t>1.</w:t>
            </w:r>
            <w:r w:rsidR="00CB4D4B">
              <w:t>3</w:t>
            </w:r>
            <w:bookmarkStart w:id="3" w:name="_GoBack"/>
            <w:bookmarkEnd w:id="3"/>
          </w:p>
        </w:tc>
        <w:tc>
          <w:tcPr>
            <w:tcW w:w="4914" w:type="dxa"/>
            <w:tcBorders>
              <w:top w:val="single" w:sz="4" w:space="0" w:color="auto"/>
            </w:tcBorders>
            <w:shd w:val="clear" w:color="auto" w:fill="auto"/>
          </w:tcPr>
          <w:p w14:paraId="7154A5C5" w14:textId="6FB5AD9D" w:rsidR="00E378B3" w:rsidRPr="00E378B3" w:rsidRDefault="00E378B3" w:rsidP="00E378B3">
            <w:pPr>
              <w:cnfStyle w:val="000000100000" w:firstRow="0" w:lastRow="0" w:firstColumn="0" w:lastColumn="0" w:oddVBand="0" w:evenVBand="0" w:oddHBand="1" w:evenHBand="0" w:firstRowFirstColumn="0" w:firstRowLastColumn="0" w:lastRowFirstColumn="0" w:lastRowLastColumn="0"/>
            </w:pPr>
            <w:r w:rsidRPr="00E378B3">
              <w:t xml:space="preserve">Chief Finance Officer </w:t>
            </w:r>
            <w:r w:rsidR="00E82E31" w:rsidRPr="00E378B3">
              <w:t>- Financial</w:t>
            </w:r>
            <w:r w:rsidRPr="00E378B3">
              <w:t xml:space="preserve"> Services Division</w:t>
            </w:r>
          </w:p>
        </w:tc>
        <w:tc>
          <w:tcPr>
            <w:tcW w:w="1689" w:type="dxa"/>
            <w:tcBorders>
              <w:top w:val="single" w:sz="4" w:space="0" w:color="auto"/>
            </w:tcBorders>
            <w:shd w:val="clear" w:color="auto" w:fill="auto"/>
          </w:tcPr>
          <w:p w14:paraId="57686562" w14:textId="0CCD50A5" w:rsidR="00E378B3" w:rsidRPr="00E378B3" w:rsidRDefault="00672AD4" w:rsidP="00E0071A">
            <w:pPr>
              <w:cnfStyle w:val="000000100000" w:firstRow="0" w:lastRow="0" w:firstColumn="0" w:lastColumn="0" w:oddVBand="0" w:evenVBand="0" w:oddHBand="1" w:evenHBand="0" w:firstRowFirstColumn="0" w:firstRowLastColumn="0" w:lastRowFirstColumn="0" w:lastRowLastColumn="0"/>
            </w:pPr>
            <w:r>
              <w:t>01/202</w:t>
            </w:r>
            <w:r w:rsidR="00E82E31">
              <w:t>1</w:t>
            </w:r>
          </w:p>
        </w:tc>
      </w:tr>
    </w:tbl>
    <w:p w14:paraId="1CB727CA" w14:textId="77777777" w:rsidR="0051778F" w:rsidRDefault="0051778F" w:rsidP="00E378B3"/>
    <w:sectPr w:rsidR="0051778F" w:rsidSect="0014559C">
      <w:footerReference w:type="default" r:id="rId52"/>
      <w:pgSz w:w="11900" w:h="16840" w:code="9"/>
      <w:pgMar w:top="1701" w:right="1418" w:bottom="1701" w:left="1418" w:header="567" w:footer="851"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11926" w14:textId="77777777" w:rsidR="006B729C" w:rsidRDefault="006B729C" w:rsidP="008766A4">
      <w:r>
        <w:separator/>
      </w:r>
    </w:p>
  </w:endnote>
  <w:endnote w:type="continuationSeparator" w:id="0">
    <w:p w14:paraId="7EBFDB64" w14:textId="77777777" w:rsidR="006B729C" w:rsidRDefault="006B729C"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B11B6" w14:textId="5D8F302E" w:rsidR="009312D5" w:rsidRPr="008A1405" w:rsidRDefault="009312D5" w:rsidP="008A1405">
    <w:pPr>
      <w:pStyle w:val="Footer"/>
    </w:pPr>
    <w:r w:rsidRPr="008A1405">
      <w:rPr>
        <w:noProof/>
        <w:lang w:eastAsia="en-AU"/>
      </w:rPr>
      <w:drawing>
        <wp:anchor distT="0" distB="0" distL="114300" distR="114300" simplePos="0" relativeHeight="251658240" behindDoc="1" locked="0" layoutInCell="1" allowOverlap="1" wp14:anchorId="06AD2E4F" wp14:editId="29DE3A10">
          <wp:simplePos x="0" y="0"/>
          <wp:positionH relativeFrom="margin">
            <wp:align>left</wp:align>
          </wp:positionH>
          <wp:positionV relativeFrom="page">
            <wp:posOffset>9867900</wp:posOffset>
          </wp:positionV>
          <wp:extent cx="6632496" cy="657225"/>
          <wp:effectExtent l="0" t="0" r="0" b="0"/>
          <wp:wrapNone/>
          <wp:docPr id="3" name="Picture 3" descr="footer containing name of document, page number and 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6632496" cy="657225"/>
                  </a:xfrm>
                  <a:prstGeom prst="rect">
                    <a:avLst/>
                  </a:prstGeom>
                </pic:spPr>
              </pic:pic>
            </a:graphicData>
          </a:graphic>
        </wp:anchor>
      </w:drawing>
    </w:r>
    <w:r w:rsidRPr="008A1405">
      <w:t>Section</w:t>
    </w:r>
    <w:r>
      <w:t>:</w:t>
    </w:r>
    <w:r w:rsidRPr="008A1405">
      <w:t xml:space="preserve"> </w:t>
    </w:r>
    <w:r>
      <w:t xml:space="preserve">17 End of Year (31 December) </w:t>
    </w:r>
    <w:r w:rsidRPr="008A1405">
      <w:t xml:space="preserve">| </w:t>
    </w:r>
    <w:r>
      <w:t>January 2020</w:t>
    </w:r>
    <w:r w:rsidRPr="008A1405">
      <w:t xml:space="preserve"> </w:t>
    </w:r>
    <w:sdt>
      <w:sdtPr>
        <w:id w:val="1822625101"/>
        <w:docPartObj>
          <w:docPartGallery w:val="Page Numbers (Bottom of Page)"/>
          <w:docPartUnique/>
        </w:docPartObj>
      </w:sdtPr>
      <w:sdtEndPr/>
      <w:sdtContent>
        <w:r w:rsidRPr="008A1405">
          <w:tab/>
        </w:r>
        <w:r>
          <w:t>P</w:t>
        </w:r>
        <w:r w:rsidRPr="008A1405">
          <w:t xml:space="preserve">age </w:t>
        </w:r>
        <w:r>
          <w:fldChar w:fldCharType="begin"/>
        </w:r>
        <w:r>
          <w:instrText xml:space="preserve"> PAGE   \* MERGEFORMAT </w:instrText>
        </w:r>
        <w:r>
          <w:fldChar w:fldCharType="separate"/>
        </w:r>
        <w:r>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7A6D5" w14:textId="77777777" w:rsidR="006B729C" w:rsidRDefault="006B729C" w:rsidP="008766A4">
      <w:r>
        <w:separator/>
      </w:r>
    </w:p>
  </w:footnote>
  <w:footnote w:type="continuationSeparator" w:id="0">
    <w:p w14:paraId="1B411BDF" w14:textId="77777777" w:rsidR="006B729C" w:rsidRDefault="006B729C" w:rsidP="008766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F28BD"/>
    <w:multiLevelType w:val="hybridMultilevel"/>
    <w:tmpl w:val="DDFA6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3921CF"/>
    <w:multiLevelType w:val="hybridMultilevel"/>
    <w:tmpl w:val="51C44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32103E"/>
    <w:multiLevelType w:val="hybridMultilevel"/>
    <w:tmpl w:val="7BE0D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4F4FC3"/>
    <w:multiLevelType w:val="hybridMultilevel"/>
    <w:tmpl w:val="3FD8C9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BE168E9"/>
    <w:multiLevelType w:val="hybridMultilevel"/>
    <w:tmpl w:val="E698EB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00A03AF"/>
    <w:multiLevelType w:val="hybridMultilevel"/>
    <w:tmpl w:val="E064EB94"/>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6" w15:restartNumberingAfterBreak="0">
    <w:nsid w:val="134861C1"/>
    <w:multiLevelType w:val="hybridMultilevel"/>
    <w:tmpl w:val="FA3ED5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7E44BA5"/>
    <w:multiLevelType w:val="hybridMultilevel"/>
    <w:tmpl w:val="99D61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C5100F"/>
    <w:multiLevelType w:val="hybridMultilevel"/>
    <w:tmpl w:val="7090D8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960668"/>
    <w:multiLevelType w:val="hybridMultilevel"/>
    <w:tmpl w:val="CA3026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0E4058E"/>
    <w:multiLevelType w:val="hybridMultilevel"/>
    <w:tmpl w:val="8F46DF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3860507"/>
    <w:multiLevelType w:val="hybridMultilevel"/>
    <w:tmpl w:val="C22E13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64856DA"/>
    <w:multiLevelType w:val="hybridMultilevel"/>
    <w:tmpl w:val="55AE7A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69D03EC"/>
    <w:multiLevelType w:val="hybridMultilevel"/>
    <w:tmpl w:val="5BD8C2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6D32C9D"/>
    <w:multiLevelType w:val="hybridMultilevel"/>
    <w:tmpl w:val="8D5221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8CF4F67"/>
    <w:multiLevelType w:val="hybridMultilevel"/>
    <w:tmpl w:val="FDDEDA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8D66387"/>
    <w:multiLevelType w:val="hybridMultilevel"/>
    <w:tmpl w:val="1F045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B256BA1"/>
    <w:multiLevelType w:val="hybridMultilevel"/>
    <w:tmpl w:val="AAA4F1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B447C50"/>
    <w:multiLevelType w:val="hybridMultilevel"/>
    <w:tmpl w:val="B9A0D572"/>
    <w:lvl w:ilvl="0" w:tplc="0C09000F">
      <w:start w:val="1"/>
      <w:numFmt w:val="decimal"/>
      <w:lvlText w:val="%1."/>
      <w:lvlJc w:val="left"/>
      <w:pPr>
        <w:ind w:left="720" w:hanging="360"/>
      </w:pPr>
      <w:rPr>
        <w:rFont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8413DE"/>
    <w:multiLevelType w:val="hybridMultilevel"/>
    <w:tmpl w:val="E48C8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C127487"/>
    <w:multiLevelType w:val="hybridMultilevel"/>
    <w:tmpl w:val="4972F5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2FFB7575"/>
    <w:multiLevelType w:val="hybridMultilevel"/>
    <w:tmpl w:val="B89CD4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09E5A90"/>
    <w:multiLevelType w:val="hybridMultilevel"/>
    <w:tmpl w:val="4EDC9D8C"/>
    <w:lvl w:ilvl="0" w:tplc="70EA347A">
      <w:start w:val="1"/>
      <w:numFmt w:val="bullet"/>
      <w:lvlText w:val=""/>
      <w:lvlJc w:val="left"/>
      <w:pPr>
        <w:ind w:left="360" w:hanging="360"/>
      </w:pPr>
      <w:rPr>
        <w:rFonts w:ascii="Symbol" w:hAnsi="Symbol" w:hint="default"/>
        <w:color w:val="000000" w:themeColor="tex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1235884"/>
    <w:multiLevelType w:val="hybridMultilevel"/>
    <w:tmpl w:val="8654ECBC"/>
    <w:lvl w:ilvl="0" w:tplc="6F663FA2">
      <w:start w:val="1"/>
      <w:numFmt w:val="bullet"/>
      <w:lvlText w:val=""/>
      <w:lvlJc w:val="left"/>
      <w:pPr>
        <w:ind w:left="360" w:hanging="360"/>
      </w:pPr>
      <w:rPr>
        <w:rFonts w:ascii="Symbol" w:hAnsi="Symbol" w:hint="default"/>
        <w:color w:val="000000" w:themeColor="text1"/>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6A925ED"/>
    <w:multiLevelType w:val="hybridMultilevel"/>
    <w:tmpl w:val="400A11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C9C7D7E"/>
    <w:multiLevelType w:val="hybridMultilevel"/>
    <w:tmpl w:val="1D9C4B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E796F74"/>
    <w:multiLevelType w:val="hybridMultilevel"/>
    <w:tmpl w:val="828A8D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E9D44AE"/>
    <w:multiLevelType w:val="hybridMultilevel"/>
    <w:tmpl w:val="0C4C06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0763B17"/>
    <w:multiLevelType w:val="hybridMultilevel"/>
    <w:tmpl w:val="4DAE98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7845E8F"/>
    <w:multiLevelType w:val="hybridMultilevel"/>
    <w:tmpl w:val="D98209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1D523FE"/>
    <w:multiLevelType w:val="hybridMultilevel"/>
    <w:tmpl w:val="154449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3982937"/>
    <w:multiLevelType w:val="hybridMultilevel"/>
    <w:tmpl w:val="9A7C0900"/>
    <w:lvl w:ilvl="0" w:tplc="3BACAC90">
      <w:start w:val="1"/>
      <w:numFmt w:val="bullet"/>
      <w:pStyle w:val="ListBullet2"/>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2" w15:restartNumberingAfterBreak="0">
    <w:nsid w:val="597770A4"/>
    <w:multiLevelType w:val="hybridMultilevel"/>
    <w:tmpl w:val="45900B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1624168"/>
    <w:multiLevelType w:val="hybridMultilevel"/>
    <w:tmpl w:val="CDFE20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4236D5C"/>
    <w:multiLevelType w:val="hybridMultilevel"/>
    <w:tmpl w:val="4F946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5E1B9E"/>
    <w:multiLevelType w:val="hybridMultilevel"/>
    <w:tmpl w:val="E9A4B860"/>
    <w:lvl w:ilvl="0" w:tplc="E09C7FF0">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60924A6"/>
    <w:multiLevelType w:val="hybridMultilevel"/>
    <w:tmpl w:val="46ACBA86"/>
    <w:lvl w:ilvl="0" w:tplc="679097B0">
      <w:start w:val="1"/>
      <w:numFmt w:val="bullet"/>
      <w:pStyle w:val="List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72C5BB1"/>
    <w:multiLevelType w:val="hybridMultilevel"/>
    <w:tmpl w:val="AC20BB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23C4526"/>
    <w:multiLevelType w:val="hybridMultilevel"/>
    <w:tmpl w:val="F79EF0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3234961"/>
    <w:multiLevelType w:val="hybridMultilevel"/>
    <w:tmpl w:val="BC68692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7315D3C"/>
    <w:multiLevelType w:val="hybridMultilevel"/>
    <w:tmpl w:val="1E90D672"/>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41" w15:restartNumberingAfterBreak="0">
    <w:nsid w:val="77443085"/>
    <w:multiLevelType w:val="hybridMultilevel"/>
    <w:tmpl w:val="2AA446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AF25749"/>
    <w:multiLevelType w:val="hybridMultilevel"/>
    <w:tmpl w:val="B568D9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BEA004F"/>
    <w:multiLevelType w:val="hybridMultilevel"/>
    <w:tmpl w:val="867016BA"/>
    <w:lvl w:ilvl="0" w:tplc="1CE012E0">
      <w:start w:val="1"/>
      <w:numFmt w:val="bullet"/>
      <w:lvlText w:val=""/>
      <w:lvlJc w:val="left"/>
      <w:pPr>
        <w:ind w:left="360" w:hanging="360"/>
      </w:pPr>
      <w:rPr>
        <w:rFonts w:ascii="Symbol" w:hAnsi="Symbol" w:hint="default"/>
        <w:color w:val="000000" w:themeColor="tex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7E6E0B13"/>
    <w:multiLevelType w:val="hybridMultilevel"/>
    <w:tmpl w:val="2CBEBB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FC5779E"/>
    <w:multiLevelType w:val="hybridMultilevel"/>
    <w:tmpl w:val="6EE6FBBE"/>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num w:numId="1">
    <w:abstractNumId w:val="6"/>
  </w:num>
  <w:num w:numId="2">
    <w:abstractNumId w:val="36"/>
  </w:num>
  <w:num w:numId="3">
    <w:abstractNumId w:val="31"/>
  </w:num>
  <w:num w:numId="4">
    <w:abstractNumId w:val="41"/>
  </w:num>
  <w:num w:numId="5">
    <w:abstractNumId w:val="3"/>
  </w:num>
  <w:num w:numId="6">
    <w:abstractNumId w:val="35"/>
  </w:num>
  <w:num w:numId="7">
    <w:abstractNumId w:val="34"/>
  </w:num>
  <w:num w:numId="8">
    <w:abstractNumId w:val="43"/>
  </w:num>
  <w:num w:numId="9">
    <w:abstractNumId w:val="37"/>
  </w:num>
  <w:num w:numId="10">
    <w:abstractNumId w:val="5"/>
  </w:num>
  <w:num w:numId="11">
    <w:abstractNumId w:val="32"/>
  </w:num>
  <w:num w:numId="12">
    <w:abstractNumId w:val="23"/>
  </w:num>
  <w:num w:numId="13">
    <w:abstractNumId w:val="9"/>
  </w:num>
  <w:num w:numId="14">
    <w:abstractNumId w:val="21"/>
  </w:num>
  <w:num w:numId="15">
    <w:abstractNumId w:val="18"/>
  </w:num>
  <w:num w:numId="16">
    <w:abstractNumId w:val="17"/>
  </w:num>
  <w:num w:numId="17">
    <w:abstractNumId w:val="15"/>
  </w:num>
  <w:num w:numId="18">
    <w:abstractNumId w:val="36"/>
  </w:num>
  <w:num w:numId="19">
    <w:abstractNumId w:val="30"/>
  </w:num>
  <w:num w:numId="20">
    <w:abstractNumId w:val="44"/>
  </w:num>
  <w:num w:numId="21">
    <w:abstractNumId w:val="2"/>
  </w:num>
  <w:num w:numId="22">
    <w:abstractNumId w:val="8"/>
  </w:num>
  <w:num w:numId="23">
    <w:abstractNumId w:val="40"/>
  </w:num>
  <w:num w:numId="24">
    <w:abstractNumId w:val="10"/>
  </w:num>
  <w:num w:numId="25">
    <w:abstractNumId w:val="16"/>
  </w:num>
  <w:num w:numId="26">
    <w:abstractNumId w:val="19"/>
  </w:num>
  <w:num w:numId="27">
    <w:abstractNumId w:val="27"/>
  </w:num>
  <w:num w:numId="28">
    <w:abstractNumId w:val="0"/>
  </w:num>
  <w:num w:numId="29">
    <w:abstractNumId w:val="4"/>
  </w:num>
  <w:num w:numId="30">
    <w:abstractNumId w:val="14"/>
  </w:num>
  <w:num w:numId="31">
    <w:abstractNumId w:val="33"/>
  </w:num>
  <w:num w:numId="32">
    <w:abstractNumId w:val="45"/>
  </w:num>
  <w:num w:numId="33">
    <w:abstractNumId w:val="7"/>
  </w:num>
  <w:num w:numId="34">
    <w:abstractNumId w:val="11"/>
  </w:num>
  <w:num w:numId="35">
    <w:abstractNumId w:val="28"/>
  </w:num>
  <w:num w:numId="36">
    <w:abstractNumId w:val="12"/>
  </w:num>
  <w:num w:numId="37">
    <w:abstractNumId w:val="1"/>
  </w:num>
  <w:num w:numId="38">
    <w:abstractNumId w:val="20"/>
  </w:num>
  <w:num w:numId="39">
    <w:abstractNumId w:val="25"/>
  </w:num>
  <w:num w:numId="40">
    <w:abstractNumId w:val="26"/>
  </w:num>
  <w:num w:numId="41">
    <w:abstractNumId w:val="13"/>
  </w:num>
  <w:num w:numId="42">
    <w:abstractNumId w:val="29"/>
  </w:num>
  <w:num w:numId="43">
    <w:abstractNumId w:val="24"/>
  </w:num>
  <w:num w:numId="44">
    <w:abstractNumId w:val="39"/>
  </w:num>
  <w:num w:numId="45">
    <w:abstractNumId w:val="38"/>
  </w:num>
  <w:num w:numId="46">
    <w:abstractNumId w:val="22"/>
  </w:num>
  <w:num w:numId="47">
    <w:abstractNumId w:val="42"/>
  </w:num>
  <w:num w:numId="48">
    <w:abstractNumId w:val="3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AU" w:vendorID="64" w:dllVersion="0" w:nlCheck="1" w:checkStyle="0"/>
  <w:activeWritingStyle w:appName="MSWord" w:lang="en-US" w:vendorID="64" w:dllVersion="6" w:nlCheck="1" w:checkStyle="0"/>
  <w:activeWritingStyle w:appName="MSWord" w:lang="en-AU" w:vendorID="64" w:dllVersion="6" w:nlCheck="1" w:checkStyle="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F48"/>
    <w:rsid w:val="00000B21"/>
    <w:rsid w:val="00006947"/>
    <w:rsid w:val="0001121B"/>
    <w:rsid w:val="00011BE1"/>
    <w:rsid w:val="000138FA"/>
    <w:rsid w:val="00016147"/>
    <w:rsid w:val="000347D9"/>
    <w:rsid w:val="00035880"/>
    <w:rsid w:val="00044B09"/>
    <w:rsid w:val="0004534D"/>
    <w:rsid w:val="0004542A"/>
    <w:rsid w:val="00047F36"/>
    <w:rsid w:val="000539C4"/>
    <w:rsid w:val="00053F04"/>
    <w:rsid w:val="0005501F"/>
    <w:rsid w:val="00063FEE"/>
    <w:rsid w:val="00071178"/>
    <w:rsid w:val="00071CC7"/>
    <w:rsid w:val="00076460"/>
    <w:rsid w:val="00076992"/>
    <w:rsid w:val="00084A35"/>
    <w:rsid w:val="0008630F"/>
    <w:rsid w:val="0008758C"/>
    <w:rsid w:val="00091CCE"/>
    <w:rsid w:val="000937AF"/>
    <w:rsid w:val="00095EEC"/>
    <w:rsid w:val="000A2D3C"/>
    <w:rsid w:val="000B0EB5"/>
    <w:rsid w:val="000B122A"/>
    <w:rsid w:val="000B668D"/>
    <w:rsid w:val="000C1080"/>
    <w:rsid w:val="000C166F"/>
    <w:rsid w:val="000C499D"/>
    <w:rsid w:val="000C4CA9"/>
    <w:rsid w:val="000C5227"/>
    <w:rsid w:val="000D5478"/>
    <w:rsid w:val="000E2807"/>
    <w:rsid w:val="000F155E"/>
    <w:rsid w:val="000F4C22"/>
    <w:rsid w:val="001017B1"/>
    <w:rsid w:val="0010207D"/>
    <w:rsid w:val="001064C7"/>
    <w:rsid w:val="00120084"/>
    <w:rsid w:val="00120CC6"/>
    <w:rsid w:val="00126A52"/>
    <w:rsid w:val="00127682"/>
    <w:rsid w:val="00130200"/>
    <w:rsid w:val="00136B08"/>
    <w:rsid w:val="0013716D"/>
    <w:rsid w:val="00137179"/>
    <w:rsid w:val="001374A1"/>
    <w:rsid w:val="0014310A"/>
    <w:rsid w:val="0014559C"/>
    <w:rsid w:val="00152101"/>
    <w:rsid w:val="0015415A"/>
    <w:rsid w:val="0016315C"/>
    <w:rsid w:val="0017100F"/>
    <w:rsid w:val="00172AFD"/>
    <w:rsid w:val="0017525D"/>
    <w:rsid w:val="001830CD"/>
    <w:rsid w:val="00193A4B"/>
    <w:rsid w:val="001952A4"/>
    <w:rsid w:val="001A1558"/>
    <w:rsid w:val="001A219D"/>
    <w:rsid w:val="001A33AD"/>
    <w:rsid w:val="001B1F9A"/>
    <w:rsid w:val="001C16FE"/>
    <w:rsid w:val="001C378C"/>
    <w:rsid w:val="001C3FFB"/>
    <w:rsid w:val="001C5B05"/>
    <w:rsid w:val="001D10A1"/>
    <w:rsid w:val="001E1D6D"/>
    <w:rsid w:val="001E219D"/>
    <w:rsid w:val="001E4A90"/>
    <w:rsid w:val="001E4C24"/>
    <w:rsid w:val="001F1B8C"/>
    <w:rsid w:val="001F375F"/>
    <w:rsid w:val="001F48E1"/>
    <w:rsid w:val="001F629F"/>
    <w:rsid w:val="001F6F9D"/>
    <w:rsid w:val="00200CD2"/>
    <w:rsid w:val="00204C81"/>
    <w:rsid w:val="0021324F"/>
    <w:rsid w:val="00215D91"/>
    <w:rsid w:val="00216490"/>
    <w:rsid w:val="002166B7"/>
    <w:rsid w:val="00216E22"/>
    <w:rsid w:val="00220C69"/>
    <w:rsid w:val="00220FC7"/>
    <w:rsid w:val="0022212D"/>
    <w:rsid w:val="0022682E"/>
    <w:rsid w:val="00226B71"/>
    <w:rsid w:val="002279AC"/>
    <w:rsid w:val="00230B0A"/>
    <w:rsid w:val="002337D3"/>
    <w:rsid w:val="00242D13"/>
    <w:rsid w:val="002431E9"/>
    <w:rsid w:val="0024400A"/>
    <w:rsid w:val="00251146"/>
    <w:rsid w:val="0025449A"/>
    <w:rsid w:val="00255E0C"/>
    <w:rsid w:val="00263118"/>
    <w:rsid w:val="00265896"/>
    <w:rsid w:val="00265936"/>
    <w:rsid w:val="0027062A"/>
    <w:rsid w:val="002707E6"/>
    <w:rsid w:val="00271F77"/>
    <w:rsid w:val="00273373"/>
    <w:rsid w:val="002805CC"/>
    <w:rsid w:val="00290E9B"/>
    <w:rsid w:val="002972E6"/>
    <w:rsid w:val="002A00EF"/>
    <w:rsid w:val="002A0178"/>
    <w:rsid w:val="002B1FBF"/>
    <w:rsid w:val="002B6F0E"/>
    <w:rsid w:val="002D1B00"/>
    <w:rsid w:val="002E27CD"/>
    <w:rsid w:val="002F1603"/>
    <w:rsid w:val="002F4E54"/>
    <w:rsid w:val="002F7846"/>
    <w:rsid w:val="003020F0"/>
    <w:rsid w:val="00307290"/>
    <w:rsid w:val="00315D4B"/>
    <w:rsid w:val="00317617"/>
    <w:rsid w:val="00317AB9"/>
    <w:rsid w:val="00320610"/>
    <w:rsid w:val="003252C0"/>
    <w:rsid w:val="00326F48"/>
    <w:rsid w:val="003310F7"/>
    <w:rsid w:val="00332A46"/>
    <w:rsid w:val="003372E8"/>
    <w:rsid w:val="003373A6"/>
    <w:rsid w:val="0033799B"/>
    <w:rsid w:val="00343C89"/>
    <w:rsid w:val="00347714"/>
    <w:rsid w:val="00351A0E"/>
    <w:rsid w:val="003529AB"/>
    <w:rsid w:val="00352A17"/>
    <w:rsid w:val="00361B20"/>
    <w:rsid w:val="003627BE"/>
    <w:rsid w:val="00363920"/>
    <w:rsid w:val="00364919"/>
    <w:rsid w:val="0036550A"/>
    <w:rsid w:val="00365DD9"/>
    <w:rsid w:val="003660A1"/>
    <w:rsid w:val="0037294D"/>
    <w:rsid w:val="003737F0"/>
    <w:rsid w:val="00376EAD"/>
    <w:rsid w:val="00377809"/>
    <w:rsid w:val="003833FC"/>
    <w:rsid w:val="00384E90"/>
    <w:rsid w:val="00385565"/>
    <w:rsid w:val="00387492"/>
    <w:rsid w:val="0039265E"/>
    <w:rsid w:val="00392B93"/>
    <w:rsid w:val="003A45E9"/>
    <w:rsid w:val="003A46EB"/>
    <w:rsid w:val="003B01B0"/>
    <w:rsid w:val="003B12F3"/>
    <w:rsid w:val="003B13B6"/>
    <w:rsid w:val="003B48DE"/>
    <w:rsid w:val="003B780E"/>
    <w:rsid w:val="003C316F"/>
    <w:rsid w:val="003C3198"/>
    <w:rsid w:val="003D1F4C"/>
    <w:rsid w:val="003D6B1D"/>
    <w:rsid w:val="003D7EA0"/>
    <w:rsid w:val="003E100A"/>
    <w:rsid w:val="003E2388"/>
    <w:rsid w:val="003E29B5"/>
    <w:rsid w:val="003E435B"/>
    <w:rsid w:val="003E5418"/>
    <w:rsid w:val="003E57C4"/>
    <w:rsid w:val="003E5BF1"/>
    <w:rsid w:val="003F3C92"/>
    <w:rsid w:val="003F627D"/>
    <w:rsid w:val="00402F6E"/>
    <w:rsid w:val="004136D4"/>
    <w:rsid w:val="00415090"/>
    <w:rsid w:val="004162DF"/>
    <w:rsid w:val="004166F4"/>
    <w:rsid w:val="004234DF"/>
    <w:rsid w:val="0042385D"/>
    <w:rsid w:val="0042387A"/>
    <w:rsid w:val="00424C26"/>
    <w:rsid w:val="00434AEE"/>
    <w:rsid w:val="00437C31"/>
    <w:rsid w:val="00440510"/>
    <w:rsid w:val="004414D5"/>
    <w:rsid w:val="00451A87"/>
    <w:rsid w:val="00451CB8"/>
    <w:rsid w:val="00457E54"/>
    <w:rsid w:val="0046093C"/>
    <w:rsid w:val="004615C4"/>
    <w:rsid w:val="004670DD"/>
    <w:rsid w:val="004705B1"/>
    <w:rsid w:val="0047153A"/>
    <w:rsid w:val="00480F63"/>
    <w:rsid w:val="00483776"/>
    <w:rsid w:val="0049314E"/>
    <w:rsid w:val="004B053C"/>
    <w:rsid w:val="004B120B"/>
    <w:rsid w:val="004B3AFD"/>
    <w:rsid w:val="004B3D42"/>
    <w:rsid w:val="004B47B9"/>
    <w:rsid w:val="004C0B6F"/>
    <w:rsid w:val="004C17ED"/>
    <w:rsid w:val="004C37EC"/>
    <w:rsid w:val="004D5153"/>
    <w:rsid w:val="004D5D1E"/>
    <w:rsid w:val="004D6B0E"/>
    <w:rsid w:val="004E0B7B"/>
    <w:rsid w:val="004E63B0"/>
    <w:rsid w:val="004F6C20"/>
    <w:rsid w:val="00502E14"/>
    <w:rsid w:val="0051452B"/>
    <w:rsid w:val="00514976"/>
    <w:rsid w:val="0051778F"/>
    <w:rsid w:val="00534A6F"/>
    <w:rsid w:val="00534DA6"/>
    <w:rsid w:val="00536D72"/>
    <w:rsid w:val="005434CE"/>
    <w:rsid w:val="00543C29"/>
    <w:rsid w:val="00546B6F"/>
    <w:rsid w:val="00551DCD"/>
    <w:rsid w:val="0056393F"/>
    <w:rsid w:val="00565F86"/>
    <w:rsid w:val="0056601B"/>
    <w:rsid w:val="005674D1"/>
    <w:rsid w:val="005711D2"/>
    <w:rsid w:val="005747ED"/>
    <w:rsid w:val="0057654B"/>
    <w:rsid w:val="00581A7C"/>
    <w:rsid w:val="005832B7"/>
    <w:rsid w:val="0059422B"/>
    <w:rsid w:val="0059472C"/>
    <w:rsid w:val="00596923"/>
    <w:rsid w:val="005A23F9"/>
    <w:rsid w:val="005A4C2D"/>
    <w:rsid w:val="005B3B56"/>
    <w:rsid w:val="005B717E"/>
    <w:rsid w:val="005C5739"/>
    <w:rsid w:val="005C757E"/>
    <w:rsid w:val="005D3366"/>
    <w:rsid w:val="005D36E4"/>
    <w:rsid w:val="005D6F19"/>
    <w:rsid w:val="005E1051"/>
    <w:rsid w:val="005E32B1"/>
    <w:rsid w:val="005F10A0"/>
    <w:rsid w:val="005F12DB"/>
    <w:rsid w:val="005F5AD9"/>
    <w:rsid w:val="00600EB1"/>
    <w:rsid w:val="00614BEA"/>
    <w:rsid w:val="00616951"/>
    <w:rsid w:val="0062563E"/>
    <w:rsid w:val="00627D90"/>
    <w:rsid w:val="00640613"/>
    <w:rsid w:val="00641616"/>
    <w:rsid w:val="006440FB"/>
    <w:rsid w:val="006505E4"/>
    <w:rsid w:val="00651217"/>
    <w:rsid w:val="00651C93"/>
    <w:rsid w:val="006523F2"/>
    <w:rsid w:val="00653E8D"/>
    <w:rsid w:val="006540BA"/>
    <w:rsid w:val="006657A4"/>
    <w:rsid w:val="00666960"/>
    <w:rsid w:val="00672950"/>
    <w:rsid w:val="00672AD4"/>
    <w:rsid w:val="006906F9"/>
    <w:rsid w:val="00693023"/>
    <w:rsid w:val="006935C9"/>
    <w:rsid w:val="00694796"/>
    <w:rsid w:val="006A008D"/>
    <w:rsid w:val="006A0D68"/>
    <w:rsid w:val="006B295C"/>
    <w:rsid w:val="006B4A1F"/>
    <w:rsid w:val="006B729C"/>
    <w:rsid w:val="006C0E55"/>
    <w:rsid w:val="006C30D4"/>
    <w:rsid w:val="006C3607"/>
    <w:rsid w:val="006D1CFF"/>
    <w:rsid w:val="006D3CC2"/>
    <w:rsid w:val="006D6ECF"/>
    <w:rsid w:val="006D7CA2"/>
    <w:rsid w:val="006E1C6D"/>
    <w:rsid w:val="006E6F61"/>
    <w:rsid w:val="006F6693"/>
    <w:rsid w:val="006F7B96"/>
    <w:rsid w:val="00707F50"/>
    <w:rsid w:val="007103FC"/>
    <w:rsid w:val="0071497B"/>
    <w:rsid w:val="00715445"/>
    <w:rsid w:val="0071726B"/>
    <w:rsid w:val="007178F0"/>
    <w:rsid w:val="00722567"/>
    <w:rsid w:val="00724653"/>
    <w:rsid w:val="0072695C"/>
    <w:rsid w:val="00732356"/>
    <w:rsid w:val="00737A92"/>
    <w:rsid w:val="00740955"/>
    <w:rsid w:val="00743B9D"/>
    <w:rsid w:val="007469D1"/>
    <w:rsid w:val="0074726F"/>
    <w:rsid w:val="00751081"/>
    <w:rsid w:val="00755D4B"/>
    <w:rsid w:val="0076312D"/>
    <w:rsid w:val="00764321"/>
    <w:rsid w:val="0076740D"/>
    <w:rsid w:val="00770EF0"/>
    <w:rsid w:val="00776016"/>
    <w:rsid w:val="00780DF7"/>
    <w:rsid w:val="0078128B"/>
    <w:rsid w:val="00781C4C"/>
    <w:rsid w:val="00782527"/>
    <w:rsid w:val="00784798"/>
    <w:rsid w:val="00793489"/>
    <w:rsid w:val="00797FCC"/>
    <w:rsid w:val="007B2DE4"/>
    <w:rsid w:val="007C109D"/>
    <w:rsid w:val="007C73DD"/>
    <w:rsid w:val="007D3C8F"/>
    <w:rsid w:val="007E19F8"/>
    <w:rsid w:val="007E25F7"/>
    <w:rsid w:val="007E2D36"/>
    <w:rsid w:val="007F2C6B"/>
    <w:rsid w:val="00806139"/>
    <w:rsid w:val="008104DB"/>
    <w:rsid w:val="00815096"/>
    <w:rsid w:val="00816ED5"/>
    <w:rsid w:val="008203E8"/>
    <w:rsid w:val="00826440"/>
    <w:rsid w:val="008330B2"/>
    <w:rsid w:val="00840E2E"/>
    <w:rsid w:val="00841F2A"/>
    <w:rsid w:val="00842386"/>
    <w:rsid w:val="00842B3B"/>
    <w:rsid w:val="008433FB"/>
    <w:rsid w:val="00862161"/>
    <w:rsid w:val="00867356"/>
    <w:rsid w:val="00867E79"/>
    <w:rsid w:val="00873C1C"/>
    <w:rsid w:val="00873E24"/>
    <w:rsid w:val="00874952"/>
    <w:rsid w:val="00874D35"/>
    <w:rsid w:val="008766A4"/>
    <w:rsid w:val="008767CC"/>
    <w:rsid w:val="00877262"/>
    <w:rsid w:val="00891DC7"/>
    <w:rsid w:val="0089568B"/>
    <w:rsid w:val="00895870"/>
    <w:rsid w:val="00895896"/>
    <w:rsid w:val="00895F66"/>
    <w:rsid w:val="008A0194"/>
    <w:rsid w:val="008A1405"/>
    <w:rsid w:val="008A4AC9"/>
    <w:rsid w:val="008A54FC"/>
    <w:rsid w:val="008A6DF9"/>
    <w:rsid w:val="008A7B42"/>
    <w:rsid w:val="008C0B7B"/>
    <w:rsid w:val="008C4859"/>
    <w:rsid w:val="008C61D5"/>
    <w:rsid w:val="008C6FA8"/>
    <w:rsid w:val="008D3BDE"/>
    <w:rsid w:val="008E209B"/>
    <w:rsid w:val="008E22FE"/>
    <w:rsid w:val="008E32D9"/>
    <w:rsid w:val="008F3046"/>
    <w:rsid w:val="00904A0D"/>
    <w:rsid w:val="00912641"/>
    <w:rsid w:val="00912B05"/>
    <w:rsid w:val="00922DFC"/>
    <w:rsid w:val="0092596D"/>
    <w:rsid w:val="00925F6C"/>
    <w:rsid w:val="00926A9F"/>
    <w:rsid w:val="00927DEE"/>
    <w:rsid w:val="009312D5"/>
    <w:rsid w:val="00932654"/>
    <w:rsid w:val="00933910"/>
    <w:rsid w:val="00937C63"/>
    <w:rsid w:val="00940785"/>
    <w:rsid w:val="0095404D"/>
    <w:rsid w:val="00956187"/>
    <w:rsid w:val="0096332A"/>
    <w:rsid w:val="00963BAA"/>
    <w:rsid w:val="009659BD"/>
    <w:rsid w:val="00966666"/>
    <w:rsid w:val="0097726F"/>
    <w:rsid w:val="00980015"/>
    <w:rsid w:val="009907B4"/>
    <w:rsid w:val="00991BAB"/>
    <w:rsid w:val="009A443E"/>
    <w:rsid w:val="009B3C58"/>
    <w:rsid w:val="009B4EE0"/>
    <w:rsid w:val="009C2B8D"/>
    <w:rsid w:val="009C3D08"/>
    <w:rsid w:val="009C4DC7"/>
    <w:rsid w:val="009D1593"/>
    <w:rsid w:val="009E0D9C"/>
    <w:rsid w:val="009E1C59"/>
    <w:rsid w:val="009E21F6"/>
    <w:rsid w:val="009E333F"/>
    <w:rsid w:val="009E3350"/>
    <w:rsid w:val="009E4078"/>
    <w:rsid w:val="009E49AE"/>
    <w:rsid w:val="009F030B"/>
    <w:rsid w:val="009F0AA7"/>
    <w:rsid w:val="009F2302"/>
    <w:rsid w:val="009F5CB4"/>
    <w:rsid w:val="009F6EA9"/>
    <w:rsid w:val="00A156FE"/>
    <w:rsid w:val="00A223D8"/>
    <w:rsid w:val="00A33C93"/>
    <w:rsid w:val="00A3693C"/>
    <w:rsid w:val="00A40AFB"/>
    <w:rsid w:val="00A41C50"/>
    <w:rsid w:val="00A42495"/>
    <w:rsid w:val="00A509B6"/>
    <w:rsid w:val="00A528B0"/>
    <w:rsid w:val="00A53A1D"/>
    <w:rsid w:val="00A617CF"/>
    <w:rsid w:val="00A61E6F"/>
    <w:rsid w:val="00A65A92"/>
    <w:rsid w:val="00A74087"/>
    <w:rsid w:val="00A77C1A"/>
    <w:rsid w:val="00A82D5F"/>
    <w:rsid w:val="00A85A26"/>
    <w:rsid w:val="00A85B16"/>
    <w:rsid w:val="00A85B64"/>
    <w:rsid w:val="00A87A9F"/>
    <w:rsid w:val="00A91DB7"/>
    <w:rsid w:val="00A96303"/>
    <w:rsid w:val="00AA352A"/>
    <w:rsid w:val="00AA40E1"/>
    <w:rsid w:val="00AB0070"/>
    <w:rsid w:val="00AB027E"/>
    <w:rsid w:val="00AB46B0"/>
    <w:rsid w:val="00AB49E5"/>
    <w:rsid w:val="00AB70D6"/>
    <w:rsid w:val="00AC23BD"/>
    <w:rsid w:val="00AC3C1B"/>
    <w:rsid w:val="00AC5C20"/>
    <w:rsid w:val="00AD468B"/>
    <w:rsid w:val="00AD6559"/>
    <w:rsid w:val="00AD7355"/>
    <w:rsid w:val="00AD7AB8"/>
    <w:rsid w:val="00AE3497"/>
    <w:rsid w:val="00AE40F9"/>
    <w:rsid w:val="00AE4681"/>
    <w:rsid w:val="00AE52AD"/>
    <w:rsid w:val="00AF3A09"/>
    <w:rsid w:val="00AF482C"/>
    <w:rsid w:val="00AF4BEE"/>
    <w:rsid w:val="00AF738E"/>
    <w:rsid w:val="00B02695"/>
    <w:rsid w:val="00B06C9A"/>
    <w:rsid w:val="00B1289C"/>
    <w:rsid w:val="00B1745C"/>
    <w:rsid w:val="00B17AF7"/>
    <w:rsid w:val="00B40154"/>
    <w:rsid w:val="00B4370F"/>
    <w:rsid w:val="00B46178"/>
    <w:rsid w:val="00B47FE1"/>
    <w:rsid w:val="00B6030C"/>
    <w:rsid w:val="00B73EC2"/>
    <w:rsid w:val="00B77D2D"/>
    <w:rsid w:val="00B850E1"/>
    <w:rsid w:val="00B85D39"/>
    <w:rsid w:val="00B9071D"/>
    <w:rsid w:val="00B94979"/>
    <w:rsid w:val="00B97D9F"/>
    <w:rsid w:val="00BA2E97"/>
    <w:rsid w:val="00BA2EBD"/>
    <w:rsid w:val="00BA3A95"/>
    <w:rsid w:val="00BA50D2"/>
    <w:rsid w:val="00BB05A6"/>
    <w:rsid w:val="00BB085A"/>
    <w:rsid w:val="00BC1A0D"/>
    <w:rsid w:val="00BC20EE"/>
    <w:rsid w:val="00BC30B3"/>
    <w:rsid w:val="00BC4095"/>
    <w:rsid w:val="00BC67EF"/>
    <w:rsid w:val="00BC6B52"/>
    <w:rsid w:val="00BD307E"/>
    <w:rsid w:val="00BD3BCD"/>
    <w:rsid w:val="00BD5920"/>
    <w:rsid w:val="00BD61EC"/>
    <w:rsid w:val="00BE22B0"/>
    <w:rsid w:val="00BE56B7"/>
    <w:rsid w:val="00BF2C59"/>
    <w:rsid w:val="00BF32C3"/>
    <w:rsid w:val="00BF392F"/>
    <w:rsid w:val="00BF4581"/>
    <w:rsid w:val="00BF4825"/>
    <w:rsid w:val="00BF5866"/>
    <w:rsid w:val="00BF60C2"/>
    <w:rsid w:val="00C052CB"/>
    <w:rsid w:val="00C06898"/>
    <w:rsid w:val="00C06CA5"/>
    <w:rsid w:val="00C1598F"/>
    <w:rsid w:val="00C1602B"/>
    <w:rsid w:val="00C268F5"/>
    <w:rsid w:val="00C27B7A"/>
    <w:rsid w:val="00C33D9F"/>
    <w:rsid w:val="00C45349"/>
    <w:rsid w:val="00C471FD"/>
    <w:rsid w:val="00C6021B"/>
    <w:rsid w:val="00C60A8C"/>
    <w:rsid w:val="00C63676"/>
    <w:rsid w:val="00C641B3"/>
    <w:rsid w:val="00C6616B"/>
    <w:rsid w:val="00C7722D"/>
    <w:rsid w:val="00C80202"/>
    <w:rsid w:val="00C80943"/>
    <w:rsid w:val="00C81FB2"/>
    <w:rsid w:val="00C8319B"/>
    <w:rsid w:val="00C90F6B"/>
    <w:rsid w:val="00C90FDE"/>
    <w:rsid w:val="00C91AC2"/>
    <w:rsid w:val="00C95672"/>
    <w:rsid w:val="00C96775"/>
    <w:rsid w:val="00CA1867"/>
    <w:rsid w:val="00CA3EFC"/>
    <w:rsid w:val="00CA54BA"/>
    <w:rsid w:val="00CA58FF"/>
    <w:rsid w:val="00CA5E98"/>
    <w:rsid w:val="00CB0337"/>
    <w:rsid w:val="00CB1AF9"/>
    <w:rsid w:val="00CB3A36"/>
    <w:rsid w:val="00CB3BC7"/>
    <w:rsid w:val="00CB4D4B"/>
    <w:rsid w:val="00CB56BE"/>
    <w:rsid w:val="00CB639C"/>
    <w:rsid w:val="00CC1676"/>
    <w:rsid w:val="00CC3273"/>
    <w:rsid w:val="00CC6244"/>
    <w:rsid w:val="00CC7F0A"/>
    <w:rsid w:val="00CD11B5"/>
    <w:rsid w:val="00CD725B"/>
    <w:rsid w:val="00CE74B0"/>
    <w:rsid w:val="00CF70C8"/>
    <w:rsid w:val="00D049D0"/>
    <w:rsid w:val="00D05EB7"/>
    <w:rsid w:val="00D063A5"/>
    <w:rsid w:val="00D128D5"/>
    <w:rsid w:val="00D136EC"/>
    <w:rsid w:val="00D14428"/>
    <w:rsid w:val="00D20BB8"/>
    <w:rsid w:val="00D230D1"/>
    <w:rsid w:val="00D263A2"/>
    <w:rsid w:val="00D31299"/>
    <w:rsid w:val="00D41CE5"/>
    <w:rsid w:val="00D55A7C"/>
    <w:rsid w:val="00D56068"/>
    <w:rsid w:val="00D611AE"/>
    <w:rsid w:val="00D641EA"/>
    <w:rsid w:val="00D72C91"/>
    <w:rsid w:val="00D738A5"/>
    <w:rsid w:val="00D739D5"/>
    <w:rsid w:val="00D75869"/>
    <w:rsid w:val="00D75E31"/>
    <w:rsid w:val="00D76D79"/>
    <w:rsid w:val="00D8417C"/>
    <w:rsid w:val="00D84C0F"/>
    <w:rsid w:val="00D929AF"/>
    <w:rsid w:val="00D93736"/>
    <w:rsid w:val="00DA2E61"/>
    <w:rsid w:val="00DA4EFC"/>
    <w:rsid w:val="00DA6744"/>
    <w:rsid w:val="00DB00BE"/>
    <w:rsid w:val="00DB0ABC"/>
    <w:rsid w:val="00DB15A7"/>
    <w:rsid w:val="00DB6966"/>
    <w:rsid w:val="00DC03B9"/>
    <w:rsid w:val="00DC5667"/>
    <w:rsid w:val="00DC7683"/>
    <w:rsid w:val="00DD7FC9"/>
    <w:rsid w:val="00DE4DB9"/>
    <w:rsid w:val="00DF168D"/>
    <w:rsid w:val="00DF1C42"/>
    <w:rsid w:val="00DF72AD"/>
    <w:rsid w:val="00E00145"/>
    <w:rsid w:val="00E0071A"/>
    <w:rsid w:val="00E01659"/>
    <w:rsid w:val="00E05737"/>
    <w:rsid w:val="00E05BBC"/>
    <w:rsid w:val="00E06689"/>
    <w:rsid w:val="00E10983"/>
    <w:rsid w:val="00E154A2"/>
    <w:rsid w:val="00E1792C"/>
    <w:rsid w:val="00E35304"/>
    <w:rsid w:val="00E378B3"/>
    <w:rsid w:val="00E406FB"/>
    <w:rsid w:val="00E41E01"/>
    <w:rsid w:val="00E42E39"/>
    <w:rsid w:val="00E42FE4"/>
    <w:rsid w:val="00E539B5"/>
    <w:rsid w:val="00E54FD5"/>
    <w:rsid w:val="00E6379F"/>
    <w:rsid w:val="00E66524"/>
    <w:rsid w:val="00E80603"/>
    <w:rsid w:val="00E82E31"/>
    <w:rsid w:val="00E872B9"/>
    <w:rsid w:val="00E93CCE"/>
    <w:rsid w:val="00E94274"/>
    <w:rsid w:val="00E95E9D"/>
    <w:rsid w:val="00EA0489"/>
    <w:rsid w:val="00EA60E8"/>
    <w:rsid w:val="00EA73E9"/>
    <w:rsid w:val="00EA7F56"/>
    <w:rsid w:val="00EB1434"/>
    <w:rsid w:val="00EB36B3"/>
    <w:rsid w:val="00EB4F5B"/>
    <w:rsid w:val="00EB535C"/>
    <w:rsid w:val="00EB7879"/>
    <w:rsid w:val="00EC1FFC"/>
    <w:rsid w:val="00EC247B"/>
    <w:rsid w:val="00EC4687"/>
    <w:rsid w:val="00EC4B15"/>
    <w:rsid w:val="00EC4C52"/>
    <w:rsid w:val="00EC7AF5"/>
    <w:rsid w:val="00EC7D90"/>
    <w:rsid w:val="00EE15AC"/>
    <w:rsid w:val="00EE24DA"/>
    <w:rsid w:val="00EE55E1"/>
    <w:rsid w:val="00EF04D3"/>
    <w:rsid w:val="00EF2725"/>
    <w:rsid w:val="00EF7647"/>
    <w:rsid w:val="00F06F97"/>
    <w:rsid w:val="00F15892"/>
    <w:rsid w:val="00F25519"/>
    <w:rsid w:val="00F27799"/>
    <w:rsid w:val="00F3026B"/>
    <w:rsid w:val="00F3247E"/>
    <w:rsid w:val="00F36897"/>
    <w:rsid w:val="00F3741B"/>
    <w:rsid w:val="00F37E0C"/>
    <w:rsid w:val="00F4458F"/>
    <w:rsid w:val="00F50411"/>
    <w:rsid w:val="00F52421"/>
    <w:rsid w:val="00F55EB5"/>
    <w:rsid w:val="00F56517"/>
    <w:rsid w:val="00F65CEE"/>
    <w:rsid w:val="00F70885"/>
    <w:rsid w:val="00F718D1"/>
    <w:rsid w:val="00F72806"/>
    <w:rsid w:val="00F775D8"/>
    <w:rsid w:val="00F81106"/>
    <w:rsid w:val="00F81B03"/>
    <w:rsid w:val="00F85A04"/>
    <w:rsid w:val="00F85A39"/>
    <w:rsid w:val="00F95CA4"/>
    <w:rsid w:val="00F976EB"/>
    <w:rsid w:val="00F97B56"/>
    <w:rsid w:val="00FA267B"/>
    <w:rsid w:val="00FA6B94"/>
    <w:rsid w:val="00FA7154"/>
    <w:rsid w:val="00FA7A30"/>
    <w:rsid w:val="00FB5115"/>
    <w:rsid w:val="00FC2A1E"/>
    <w:rsid w:val="00FC39A3"/>
    <w:rsid w:val="00FC3EA4"/>
    <w:rsid w:val="00FC57D7"/>
    <w:rsid w:val="00FC62D1"/>
    <w:rsid w:val="00FC6788"/>
    <w:rsid w:val="00FC7AE7"/>
    <w:rsid w:val="00FD6667"/>
    <w:rsid w:val="00FD685A"/>
    <w:rsid w:val="00FD7688"/>
    <w:rsid w:val="00FE0C6C"/>
    <w:rsid w:val="00FE1CEF"/>
    <w:rsid w:val="00FE1FDE"/>
    <w:rsid w:val="00FE3FA2"/>
    <w:rsid w:val="00FE581C"/>
    <w:rsid w:val="00FE6F46"/>
    <w:rsid w:val="00FF60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05877F"/>
  <w15:docId w15:val="{68EF8E03-C45F-4039-BCFF-9B9D08FD5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7">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sdException w:name="Smart Link Error" w:locked="0" w:semiHidden="1" w:unhideWhenUsed="1"/>
  </w:latentStyles>
  <w:style w:type="paragraph" w:default="1" w:styleId="Normal">
    <w:name w:val="Normal"/>
    <w:qFormat/>
    <w:rsid w:val="00136B08"/>
    <w:pPr>
      <w:spacing w:before="120" w:line="280" w:lineRule="atLeast"/>
    </w:pPr>
    <w:rPr>
      <w:rFonts w:ascii="Arial" w:hAnsi="Arial" w:cs="Arial"/>
      <w:sz w:val="22"/>
      <w:szCs w:val="18"/>
      <w:lang w:val="en-AU"/>
    </w:rPr>
  </w:style>
  <w:style w:type="paragraph" w:styleId="Heading1">
    <w:name w:val="heading 1"/>
    <w:basedOn w:val="Normal"/>
    <w:next w:val="Normal"/>
    <w:link w:val="Heading1Char"/>
    <w:uiPriority w:val="9"/>
    <w:qFormat/>
    <w:locked/>
    <w:rsid w:val="0078128B"/>
    <w:pPr>
      <w:keepNext/>
      <w:keepLines/>
      <w:spacing w:before="240" w:after="120"/>
      <w:outlineLvl w:val="0"/>
    </w:pPr>
    <w:rPr>
      <w:rFonts w:eastAsiaTheme="majorEastAsia" w:cstheme="majorBidi"/>
      <w:b/>
      <w:bCs/>
      <w:color w:val="AF272F"/>
      <w:sz w:val="44"/>
      <w:szCs w:val="20"/>
    </w:rPr>
  </w:style>
  <w:style w:type="paragraph" w:styleId="Heading2">
    <w:name w:val="heading 2"/>
    <w:basedOn w:val="Heading1"/>
    <w:next w:val="Normal"/>
    <w:link w:val="Heading2Char"/>
    <w:uiPriority w:val="9"/>
    <w:qFormat/>
    <w:locked/>
    <w:rsid w:val="0078128B"/>
    <w:pPr>
      <w:pBdr>
        <w:top w:val="single" w:sz="8" w:space="3" w:color="AF272F"/>
      </w:pBdr>
      <w:spacing w:before="360"/>
      <w:ind w:left="851" w:hanging="851"/>
      <w:outlineLvl w:val="1"/>
    </w:pPr>
    <w:rPr>
      <w:bCs w:val="0"/>
      <w:sz w:val="36"/>
    </w:rPr>
  </w:style>
  <w:style w:type="paragraph" w:styleId="Heading3">
    <w:name w:val="heading 3"/>
    <w:basedOn w:val="Normal"/>
    <w:next w:val="Normal"/>
    <w:link w:val="Heading3Char"/>
    <w:uiPriority w:val="9"/>
    <w:qFormat/>
    <w:locked/>
    <w:rsid w:val="00E94274"/>
    <w:pPr>
      <w:tabs>
        <w:tab w:val="left" w:pos="851"/>
      </w:tabs>
      <w:spacing w:before="240" w:after="120"/>
      <w:outlineLvl w:val="2"/>
    </w:pPr>
    <w:rPr>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128B"/>
    <w:rPr>
      <w:rFonts w:ascii="Arial" w:eastAsiaTheme="majorEastAsia" w:hAnsi="Arial" w:cstheme="majorBidi"/>
      <w:b/>
      <w:bCs/>
      <w:color w:val="AF272F"/>
      <w:sz w:val="44"/>
      <w:szCs w:val="20"/>
    </w:rPr>
  </w:style>
  <w:style w:type="character" w:customStyle="1" w:styleId="Heading2Char">
    <w:name w:val="Heading 2 Char"/>
    <w:basedOn w:val="DefaultParagraphFont"/>
    <w:link w:val="Heading2"/>
    <w:uiPriority w:val="9"/>
    <w:rsid w:val="0078128B"/>
    <w:rPr>
      <w:rFonts w:ascii="Arial" w:eastAsiaTheme="majorEastAsia" w:hAnsi="Arial" w:cstheme="majorBidi"/>
      <w:b/>
      <w:color w:val="AF272F"/>
      <w:sz w:val="36"/>
      <w:szCs w:val="20"/>
    </w:rPr>
  </w:style>
  <w:style w:type="character" w:customStyle="1" w:styleId="Heading3Char">
    <w:name w:val="Heading 3 Char"/>
    <w:basedOn w:val="DefaultParagraphFont"/>
    <w:link w:val="Heading3"/>
    <w:uiPriority w:val="9"/>
    <w:rsid w:val="00E94274"/>
    <w:rPr>
      <w:rFonts w:ascii="Arial" w:hAnsi="Arial" w:cs="Arial"/>
      <w:b/>
      <w:color w:val="000000" w:themeColor="text1"/>
      <w:szCs w:val="18"/>
      <w:lang w:val="en-AU"/>
    </w:rPr>
  </w:style>
  <w:style w:type="character" w:styleId="CommentReference">
    <w:name w:val="annotation reference"/>
    <w:basedOn w:val="DefaultParagraphFont"/>
    <w:uiPriority w:val="99"/>
    <w:semiHidden/>
    <w:unhideWhenUsed/>
    <w:locked/>
    <w:rsid w:val="00E95E9D"/>
    <w:rPr>
      <w:sz w:val="16"/>
      <w:szCs w:val="16"/>
    </w:rPr>
  </w:style>
  <w:style w:type="paragraph" w:styleId="Quote">
    <w:name w:val="Quote"/>
    <w:basedOn w:val="Normal"/>
    <w:next w:val="Normal"/>
    <w:link w:val="QuoteChar"/>
    <w:qFormat/>
    <w:locked/>
    <w:rsid w:val="00D31299"/>
    <w:pPr>
      <w:spacing w:after="60" w:line="300" w:lineRule="atLeast"/>
    </w:pPr>
    <w:rPr>
      <w:b/>
      <w:bCs/>
      <w:color w:val="5A5A59"/>
      <w:sz w:val="24"/>
      <w:szCs w:val="25"/>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Footer">
    <w:name w:val="footer"/>
    <w:basedOn w:val="Normal"/>
    <w:link w:val="FooterChar"/>
    <w:uiPriority w:val="99"/>
    <w:rsid w:val="008A1405"/>
    <w:pPr>
      <w:tabs>
        <w:tab w:val="right" w:pos="6804"/>
      </w:tabs>
      <w:spacing w:before="0" w:line="240" w:lineRule="auto"/>
    </w:pPr>
    <w:rPr>
      <w:sz w:val="20"/>
    </w:rPr>
  </w:style>
  <w:style w:type="character" w:customStyle="1" w:styleId="FooterChar">
    <w:name w:val="Footer Char"/>
    <w:basedOn w:val="DefaultParagraphFont"/>
    <w:link w:val="Footer"/>
    <w:uiPriority w:val="99"/>
    <w:rsid w:val="008A1405"/>
    <w:rPr>
      <w:rFonts w:ascii="Arial" w:hAnsi="Arial" w:cs="Arial"/>
      <w:sz w:val="20"/>
      <w:szCs w:val="18"/>
    </w:rPr>
  </w:style>
  <w:style w:type="paragraph" w:styleId="CommentText">
    <w:name w:val="annotation text"/>
    <w:basedOn w:val="Normal"/>
    <w:link w:val="CommentTextChar"/>
    <w:uiPriority w:val="99"/>
    <w:unhideWhenUsed/>
    <w:locked/>
    <w:rsid w:val="00E95E9D"/>
    <w:pPr>
      <w:spacing w:line="240" w:lineRule="auto"/>
    </w:pPr>
    <w:rPr>
      <w:sz w:val="20"/>
      <w:szCs w:val="20"/>
    </w:rPr>
  </w:style>
  <w:style w:type="character" w:customStyle="1" w:styleId="CommentTextChar">
    <w:name w:val="Comment Text Char"/>
    <w:basedOn w:val="DefaultParagraphFont"/>
    <w:link w:val="CommentText"/>
    <w:uiPriority w:val="99"/>
    <w:rsid w:val="00E95E9D"/>
    <w:rPr>
      <w:rFonts w:ascii="Arial" w:hAnsi="Arial" w:cs="Arial"/>
      <w:sz w:val="20"/>
      <w:szCs w:val="20"/>
    </w:rPr>
  </w:style>
  <w:style w:type="paragraph" w:styleId="Subtitle">
    <w:name w:val="Subtitle"/>
    <w:basedOn w:val="Normal"/>
    <w:next w:val="Normal"/>
    <w:link w:val="SubtitleChar"/>
    <w:uiPriority w:val="11"/>
    <w:semiHidden/>
    <w:qFormat/>
    <w:locked/>
    <w:rsid w:val="00980015"/>
    <w:pPr>
      <w:numPr>
        <w:ilvl w:val="1"/>
      </w:numPr>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paragraph" w:styleId="Title">
    <w:name w:val="Title"/>
    <w:next w:val="Subtitle"/>
    <w:link w:val="TitleChar"/>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rsid w:val="005711D2"/>
    <w:rPr>
      <w:rFonts w:ascii="Arial" w:eastAsiaTheme="majorEastAsia" w:hAnsi="Arial" w:cstheme="majorBidi"/>
      <w:b/>
      <w:color w:val="AF272F"/>
      <w:spacing w:val="5"/>
      <w:kern w:val="28"/>
      <w:sz w:val="44"/>
      <w:szCs w:val="52"/>
    </w:rPr>
  </w:style>
  <w:style w:type="paragraph" w:styleId="EndnoteText">
    <w:name w:val="endnote text"/>
    <w:basedOn w:val="Normal"/>
    <w:link w:val="EndnoteTextChar"/>
    <w:uiPriority w:val="99"/>
    <w:semiHidden/>
    <w:qFormat/>
    <w:locked/>
    <w:rsid w:val="00980015"/>
    <w:pPr>
      <w:spacing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locked/>
    <w:rsid w:val="002A00EF"/>
    <w:pPr>
      <w:tabs>
        <w:tab w:val="right" w:pos="9072"/>
      </w:tabs>
      <w:spacing w:before="0" w:line="240" w:lineRule="auto"/>
    </w:pPr>
    <w:rPr>
      <w:sz w:val="18"/>
    </w:rPr>
  </w:style>
  <w:style w:type="character" w:customStyle="1" w:styleId="HeaderChar">
    <w:name w:val="Header Char"/>
    <w:basedOn w:val="DefaultParagraphFont"/>
    <w:link w:val="Header"/>
    <w:uiPriority w:val="99"/>
    <w:rsid w:val="002A00EF"/>
    <w:rPr>
      <w:rFonts w:ascii="Arial" w:hAnsi="Arial" w:cs="Arial"/>
      <w:sz w:val="18"/>
      <w:szCs w:val="18"/>
    </w:rPr>
  </w:style>
  <w:style w:type="paragraph" w:styleId="TOAHeading">
    <w:name w:val="toa heading"/>
    <w:basedOn w:val="Normal"/>
    <w:next w:val="Normal"/>
    <w:uiPriority w:val="99"/>
    <w:semiHidden/>
    <w:locked/>
    <w:rsid w:val="00751081"/>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after="0"/>
      <w:outlineLvl w:val="9"/>
    </w:pPr>
    <w:rPr>
      <w:rFonts w:asciiTheme="majorHAnsi" w:hAnsiTheme="majorHAnsi"/>
      <w:b w:val="0"/>
      <w:bCs w:val="0"/>
      <w:caps/>
      <w:color w:val="365F91" w:themeColor="accent1" w:themeShade="BF"/>
      <w:sz w:val="32"/>
      <w:szCs w:val="32"/>
    </w:rPr>
  </w:style>
  <w:style w:type="paragraph" w:styleId="CommentSubject">
    <w:name w:val="annotation subject"/>
    <w:basedOn w:val="CommentText"/>
    <w:next w:val="CommentText"/>
    <w:link w:val="CommentSubjectChar"/>
    <w:uiPriority w:val="99"/>
    <w:semiHidden/>
    <w:unhideWhenUsed/>
    <w:locked/>
    <w:rsid w:val="00E95E9D"/>
    <w:rPr>
      <w:b/>
      <w:bCs/>
    </w:rPr>
  </w:style>
  <w:style w:type="character" w:customStyle="1" w:styleId="CommentSubjectChar">
    <w:name w:val="Comment Subject Char"/>
    <w:basedOn w:val="CommentTextChar"/>
    <w:link w:val="CommentSubject"/>
    <w:uiPriority w:val="99"/>
    <w:semiHidden/>
    <w:rsid w:val="00E95E9D"/>
    <w:rPr>
      <w:rFonts w:ascii="Arial" w:hAnsi="Arial" w:cs="Arial"/>
      <w:b/>
      <w:bCs/>
      <w:sz w:val="20"/>
      <w:szCs w:val="20"/>
    </w:rPr>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styleId="TOC3">
    <w:name w:val="toc 3"/>
    <w:basedOn w:val="Normal"/>
    <w:next w:val="Normal"/>
    <w:autoRedefine/>
    <w:uiPriority w:val="39"/>
    <w:semiHidden/>
    <w:locked/>
    <w:rsid w:val="00895870"/>
    <w:pPr>
      <w:ind w:left="360"/>
    </w:pPr>
  </w:style>
  <w:style w:type="paragraph" w:styleId="TOC2">
    <w:name w:val="toc 2"/>
    <w:basedOn w:val="Normal"/>
    <w:next w:val="Normal"/>
    <w:autoRedefine/>
    <w:uiPriority w:val="39"/>
    <w:semiHidden/>
    <w:locked/>
    <w:rsid w:val="00895870"/>
    <w:pPr>
      <w:spacing w:after="100"/>
      <w:ind w:left="180"/>
    </w:pPr>
    <w:rPr>
      <w:color w:val="AF272F"/>
    </w:rPr>
  </w:style>
  <w:style w:type="paragraph" w:styleId="TOC4">
    <w:name w:val="toc 4"/>
    <w:basedOn w:val="Normal"/>
    <w:next w:val="Normal"/>
    <w:autoRedefine/>
    <w:uiPriority w:val="39"/>
    <w:semiHidden/>
    <w:locked/>
    <w:rsid w:val="00895870"/>
    <w:pPr>
      <w:ind w:left="540"/>
    </w:pPr>
  </w:style>
  <w:style w:type="paragraph" w:styleId="TOC5">
    <w:name w:val="toc 5"/>
    <w:basedOn w:val="Normal"/>
    <w:next w:val="Normal"/>
    <w:autoRedefine/>
    <w:uiPriority w:val="39"/>
    <w:semiHidden/>
    <w:locked/>
    <w:rsid w:val="00895870"/>
    <w:pPr>
      <w:ind w:left="720"/>
    </w:pPr>
  </w:style>
  <w:style w:type="paragraph" w:styleId="TOC6">
    <w:name w:val="toc 6"/>
    <w:basedOn w:val="Normal"/>
    <w:next w:val="Normal"/>
    <w:autoRedefine/>
    <w:uiPriority w:val="39"/>
    <w:semiHidden/>
    <w:locked/>
    <w:rsid w:val="00895870"/>
    <w:pPr>
      <w:ind w:left="900"/>
    </w:pPr>
  </w:style>
  <w:style w:type="paragraph" w:styleId="TOC7">
    <w:name w:val="toc 7"/>
    <w:basedOn w:val="Normal"/>
    <w:next w:val="Normal"/>
    <w:autoRedefine/>
    <w:uiPriority w:val="39"/>
    <w:semiHidden/>
    <w:locked/>
    <w:rsid w:val="00895870"/>
    <w:pPr>
      <w:ind w:left="1080"/>
    </w:pPr>
  </w:style>
  <w:style w:type="paragraph" w:styleId="TOC8">
    <w:name w:val="toc 8"/>
    <w:basedOn w:val="Normal"/>
    <w:next w:val="Normal"/>
    <w:autoRedefine/>
    <w:uiPriority w:val="39"/>
    <w:semiHidden/>
    <w:locked/>
    <w:rsid w:val="00895870"/>
    <w:pPr>
      <w:ind w:left="1260"/>
    </w:pPr>
  </w:style>
  <w:style w:type="paragraph" w:styleId="TOC9">
    <w:name w:val="toc 9"/>
    <w:basedOn w:val="Normal"/>
    <w:next w:val="Normal"/>
    <w:autoRedefine/>
    <w:uiPriority w:val="39"/>
    <w:semiHidden/>
    <w:locked/>
    <w:rsid w:val="00895870"/>
    <w:pPr>
      <w:ind w:left="1440"/>
    </w:pPr>
  </w:style>
  <w:style w:type="character" w:styleId="EndnoteReference">
    <w:name w:val="endnote reference"/>
    <w:uiPriority w:val="99"/>
    <w:semiHidden/>
    <w:locked/>
    <w:rsid w:val="00271F77"/>
    <w:rPr>
      <w:b w:val="0"/>
      <w:i w:val="0"/>
      <w:sz w:val="15"/>
      <w:szCs w:val="15"/>
      <w:lang w:val="en-AU"/>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locked/>
    <w:rsid w:val="00DB6966"/>
    <w:rPr>
      <w:rFonts w:ascii="Arial" w:hAnsi="Arial"/>
      <w:color w:val="0000FF"/>
      <w:sz w:val="22"/>
      <w:u w:val="single"/>
    </w:rPr>
  </w:style>
  <w:style w:type="paragraph" w:styleId="ListBullet">
    <w:name w:val="List Bullet"/>
    <w:basedOn w:val="Normal"/>
    <w:uiPriority w:val="99"/>
    <w:unhideWhenUsed/>
    <w:locked/>
    <w:rsid w:val="00F81106"/>
    <w:pPr>
      <w:numPr>
        <w:numId w:val="2"/>
      </w:numPr>
    </w:pPr>
    <w:rPr>
      <w:rFonts w:eastAsiaTheme="minorHAnsi" w:cstheme="minorBidi"/>
      <w:szCs w:val="22"/>
    </w:rPr>
  </w:style>
  <w:style w:type="paragraph" w:styleId="ListBullet2">
    <w:name w:val="List Bullet 2"/>
    <w:basedOn w:val="Normal"/>
    <w:uiPriority w:val="99"/>
    <w:unhideWhenUsed/>
    <w:locked/>
    <w:rsid w:val="004D6B0E"/>
    <w:pPr>
      <w:numPr>
        <w:numId w:val="3"/>
      </w:numPr>
      <w:spacing w:before="60"/>
      <w:ind w:left="568" w:hanging="284"/>
    </w:pPr>
    <w:rPr>
      <w:rFonts w:eastAsiaTheme="minorHAnsi" w:cstheme="minorBidi"/>
      <w:szCs w:val="22"/>
    </w:rPr>
  </w:style>
  <w:style w:type="table" w:styleId="LightList-Accent3">
    <w:name w:val="Light List Accent 3"/>
    <w:basedOn w:val="TableNormal"/>
    <w:uiPriority w:val="61"/>
    <w:locked/>
    <w:rsid w:val="00927DEE"/>
    <w:rPr>
      <w:rFonts w:eastAsiaTheme="minorHAnsi"/>
      <w:sz w:val="22"/>
      <w:szCs w:val="22"/>
      <w:lang w:val="en-AU"/>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FollowedHyperlink">
    <w:name w:val="FollowedHyperlink"/>
    <w:basedOn w:val="DefaultParagraphFont"/>
    <w:locked/>
    <w:rsid w:val="0051778F"/>
    <w:rPr>
      <w:color w:val="0000FF"/>
      <w:u w:val="single"/>
    </w:rPr>
  </w:style>
  <w:style w:type="paragraph" w:styleId="ListContinue">
    <w:name w:val="List Continue"/>
    <w:basedOn w:val="Normal"/>
    <w:uiPriority w:val="99"/>
    <w:unhideWhenUsed/>
    <w:locked/>
    <w:rsid w:val="00DB6966"/>
    <w:pPr>
      <w:ind w:left="284"/>
    </w:pPr>
    <w:rPr>
      <w:rFonts w:eastAsiaTheme="minorHAnsi" w:cstheme="minorBidi"/>
      <w:szCs w:val="22"/>
    </w:rPr>
  </w:style>
  <w:style w:type="paragraph" w:styleId="BodyText">
    <w:name w:val="Body Text"/>
    <w:basedOn w:val="Normal"/>
    <w:link w:val="BodyTextChar"/>
    <w:uiPriority w:val="99"/>
    <w:unhideWhenUsed/>
    <w:locked/>
    <w:rsid w:val="00D75869"/>
    <w:pPr>
      <w:spacing w:before="0"/>
    </w:pPr>
    <w:rPr>
      <w:rFonts w:eastAsiaTheme="minorHAnsi" w:cstheme="minorBidi"/>
      <w:sz w:val="20"/>
      <w:szCs w:val="22"/>
    </w:rPr>
  </w:style>
  <w:style w:type="character" w:customStyle="1" w:styleId="BodyTextChar">
    <w:name w:val="Body Text Char"/>
    <w:basedOn w:val="DefaultParagraphFont"/>
    <w:link w:val="BodyText"/>
    <w:uiPriority w:val="99"/>
    <w:rsid w:val="00D75869"/>
    <w:rPr>
      <w:rFonts w:ascii="Arial" w:eastAsiaTheme="minorHAnsi" w:hAnsi="Arial"/>
      <w:sz w:val="20"/>
      <w:szCs w:val="22"/>
      <w:lang w:val="en-AU"/>
    </w:rPr>
  </w:style>
  <w:style w:type="paragraph" w:styleId="BodyText2">
    <w:name w:val="Body Text 2"/>
    <w:basedOn w:val="Normal"/>
    <w:link w:val="BodyText2Char"/>
    <w:uiPriority w:val="99"/>
    <w:unhideWhenUsed/>
    <w:locked/>
    <w:rsid w:val="00D75869"/>
    <w:pPr>
      <w:spacing w:before="0"/>
    </w:pPr>
    <w:rPr>
      <w:rFonts w:eastAsiaTheme="minorHAnsi" w:cstheme="minorBidi"/>
      <w:b/>
      <w:sz w:val="20"/>
      <w:szCs w:val="22"/>
    </w:rPr>
  </w:style>
  <w:style w:type="character" w:customStyle="1" w:styleId="BodyText2Char">
    <w:name w:val="Body Text 2 Char"/>
    <w:basedOn w:val="DefaultParagraphFont"/>
    <w:link w:val="BodyText2"/>
    <w:uiPriority w:val="99"/>
    <w:rsid w:val="00D75869"/>
    <w:rPr>
      <w:rFonts w:ascii="Arial" w:eastAsiaTheme="minorHAnsi" w:hAnsi="Arial"/>
      <w:b/>
      <w:sz w:val="20"/>
      <w:szCs w:val="22"/>
      <w:lang w:val="en-AU"/>
    </w:rPr>
  </w:style>
  <w:style w:type="paragraph" w:styleId="NoSpacing">
    <w:name w:val="No Spacing"/>
    <w:uiPriority w:val="1"/>
    <w:qFormat/>
    <w:locked/>
    <w:rsid w:val="0051778F"/>
    <w:rPr>
      <w:rFonts w:ascii="Candara" w:eastAsiaTheme="minorHAnsi" w:hAnsi="Candara"/>
      <w:sz w:val="22"/>
      <w:szCs w:val="22"/>
      <w:lang w:val="en-AU"/>
    </w:rPr>
  </w:style>
  <w:style w:type="table" w:customStyle="1" w:styleId="GridTable6Colorful1">
    <w:name w:val="Grid Table 6 Colorful1"/>
    <w:basedOn w:val="TableNormal"/>
    <w:uiPriority w:val="51"/>
    <w:locked/>
    <w:rsid w:val="0051778F"/>
    <w:rPr>
      <w:rFonts w:eastAsiaTheme="minorHAnsi"/>
      <w:color w:val="000000" w:themeColor="text1"/>
      <w:sz w:val="22"/>
      <w:szCs w:val="22"/>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locked/>
    <w:rsid w:val="00387492"/>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387492"/>
    <w:rPr>
      <w:rFonts w:ascii="Segoe UI" w:hAnsi="Segoe UI" w:cs="Segoe UI"/>
      <w:sz w:val="18"/>
      <w:szCs w:val="18"/>
    </w:rPr>
  </w:style>
  <w:style w:type="table" w:customStyle="1" w:styleId="TableGrid2">
    <w:name w:val="Table Grid2"/>
    <w:basedOn w:val="TableNormal"/>
    <w:next w:val="TableGrid"/>
    <w:uiPriority w:val="59"/>
    <w:rsid w:val="00627D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268F5"/>
    <w:rPr>
      <w:rFonts w:ascii="Arial" w:hAnsi="Arial" w:cs="Arial"/>
      <w:sz w:val="18"/>
      <w:szCs w:val="18"/>
    </w:rPr>
  </w:style>
  <w:style w:type="table" w:customStyle="1" w:styleId="GridTable6Colorful2">
    <w:name w:val="Grid Table 6 Colorful2"/>
    <w:basedOn w:val="TableNormal"/>
    <w:uiPriority w:val="51"/>
    <w:rsid w:val="00E378B3"/>
    <w:rPr>
      <w:rFonts w:eastAsiaTheme="minorHAnsi"/>
      <w:color w:val="000000" w:themeColor="text1"/>
      <w:sz w:val="22"/>
      <w:szCs w:val="22"/>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CompanyName">
    <w:name w:val="Company Name"/>
    <w:basedOn w:val="Normal"/>
    <w:next w:val="Normal"/>
    <w:rsid w:val="00CD725B"/>
    <w:pPr>
      <w:spacing w:before="0" w:line="240" w:lineRule="atLeast"/>
      <w:ind w:left="245"/>
    </w:pPr>
    <w:rPr>
      <w:rFonts w:eastAsia="Times New Roman" w:cs="Times New Roman"/>
      <w:b/>
      <w:sz w:val="36"/>
      <w:szCs w:val="20"/>
    </w:rPr>
  </w:style>
  <w:style w:type="paragraph" w:customStyle="1" w:styleId="DatesNotes">
    <w:name w:val="Dates/Notes"/>
    <w:basedOn w:val="Normal"/>
    <w:rsid w:val="00CD725B"/>
    <w:pPr>
      <w:spacing w:before="0" w:line="240" w:lineRule="auto"/>
    </w:pPr>
    <w:rPr>
      <w:rFonts w:eastAsia="Times New Roman" w:cs="Times New Roman"/>
      <w:b/>
      <w:sz w:val="20"/>
      <w:szCs w:val="20"/>
    </w:rPr>
  </w:style>
  <w:style w:type="paragraph" w:customStyle="1" w:styleId="Default">
    <w:name w:val="Default"/>
    <w:rsid w:val="00130200"/>
    <w:pPr>
      <w:autoSpaceDE w:val="0"/>
      <w:autoSpaceDN w:val="0"/>
      <w:adjustRightInd w:val="0"/>
    </w:pPr>
    <w:rPr>
      <w:rFonts w:ascii="Verdana" w:hAnsi="Verdana" w:cs="Verdana"/>
      <w:color w:val="000000"/>
      <w:lang w:val="en-AU"/>
    </w:rPr>
  </w:style>
  <w:style w:type="character" w:customStyle="1" w:styleId="Mention1">
    <w:name w:val="Mention1"/>
    <w:basedOn w:val="DefaultParagraphFont"/>
    <w:uiPriority w:val="99"/>
    <w:semiHidden/>
    <w:unhideWhenUsed/>
    <w:rsid w:val="00CA54BA"/>
    <w:rPr>
      <w:color w:val="2B579A"/>
      <w:shd w:val="clear" w:color="auto" w:fill="E6E6E6"/>
    </w:rPr>
  </w:style>
  <w:style w:type="paragraph" w:styleId="ListParagraph">
    <w:name w:val="List Paragraph"/>
    <w:basedOn w:val="Normal"/>
    <w:uiPriority w:val="34"/>
    <w:qFormat/>
    <w:locked/>
    <w:rsid w:val="00A617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269006">
      <w:bodyDiv w:val="1"/>
      <w:marLeft w:val="0"/>
      <w:marRight w:val="0"/>
      <w:marTop w:val="0"/>
      <w:marBottom w:val="0"/>
      <w:divBdr>
        <w:top w:val="none" w:sz="0" w:space="0" w:color="auto"/>
        <w:left w:val="none" w:sz="0" w:space="0" w:color="auto"/>
        <w:bottom w:val="none" w:sz="0" w:space="0" w:color="auto"/>
        <w:right w:val="none" w:sz="0" w:space="0" w:color="auto"/>
      </w:divBdr>
    </w:div>
    <w:div w:id="15038598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gate.eduweb.vic.gov.au/edulibrary/Schools/Forms/AllItems.aspx?RootFolder=%2fedulibrary%2fSchools%2fCASES21%2fCASES21%20Finance%2fFinance%20Business%20Process%20Guide&amp;FolderCTID=&amp;View=%7b393E28AF%2d9188%2d49EC%2d9B2F%2d5B1CA6BF217D%7d" TargetMode="External"/><Relationship Id="rId18" Type="http://schemas.openxmlformats.org/officeDocument/2006/relationships/hyperlink" Target="https://edugate.eduweb.vic.gov.au/edulibrary/Schools/Forms/AllItems.aspx?RootFolder=%2fedulibrary%2fSchools%2fCASES21%2fCASES21%20Finance%2fFinance%20Business%20Process%20Guide&amp;FolderCTID=&amp;View=%7b393E28AF%2d9188%2d49EC%2d9B2F%2d5B1CA6BF217D%7d" TargetMode="External"/><Relationship Id="rId26" Type="http://schemas.openxmlformats.org/officeDocument/2006/relationships/hyperlink" Target="https://edugate.eduweb.vic.gov.au/edulibrary/Schools/Forms/AllItems.aspx?RootFolder=%2fedulibrary%2fSchools%2fCASES21%2fCASES21%20Finance%2fFinance%20Business%20Process%20Guide&amp;FolderCTID=&amp;View=%7b393E28AF%2d9188%2d49EC%2d9B2F%2d5B1CA6BF217D%7d" TargetMode="External"/><Relationship Id="rId39" Type="http://schemas.openxmlformats.org/officeDocument/2006/relationships/hyperlink" Target="https://www.education.vic.gov.au/school/teachers/management/finance/Pages/guidelines.aspx" TargetMode="External"/><Relationship Id="rId21" Type="http://schemas.openxmlformats.org/officeDocument/2006/relationships/hyperlink" Target="https://edugate.eduweb.vic.gov.au/edulibrary/Schools/Forms/AllItems.aspx?RootFolder=%2fedulibrary%2fSchools%2fCASES21%2fCASES21%20Finance%2fFinance%20Business%20Process%20Guide&amp;FolderCTID=&amp;View=%7b393E28AF%2d9188%2d49EC%2d9B2F%2d5B1CA6BF217D%7d" TargetMode="External"/><Relationship Id="rId34" Type="http://schemas.openxmlformats.org/officeDocument/2006/relationships/hyperlink" Target="https://edugate.eduweb.vic.gov.au/edulibrary/Schools/Forms/AllItems.aspx?RootFolder=%2fedulibrary%2fSchools%2fCASES21%2fCASES21%20Finance%2fFinance%20Business%20Process%20Guide&amp;FolderCTID=&amp;View=%7b393E28AF%2d9188%2d49EC%2d9B2F%2d5B1CA6BF217D%7d" TargetMode="External"/><Relationship Id="rId42" Type="http://schemas.openxmlformats.org/officeDocument/2006/relationships/hyperlink" Target="https://bp.ato.gov.au/" TargetMode="External"/><Relationship Id="rId47" Type="http://schemas.openxmlformats.org/officeDocument/2006/relationships/hyperlink" Target="https://edugate.eduweb.vic.gov.au/edulibrary/Schools/Forms/AllItems.aspx?RootFolder=%2fedulibrary%2fSchools%2fCASES21%2fCASES21%20Finance%2fFinance%20Business%20Process%20Guide&amp;FolderCTID=&amp;View=%7b393E28AF%2d9188%2d49EC%2d9B2F%2d5B1CA6BF217D%7d" TargetMode="External"/><Relationship Id="rId50" Type="http://schemas.openxmlformats.org/officeDocument/2006/relationships/hyperlink" Target="https://edugate.eduweb.vic.gov.au/edulibrary/Schools/Forms/AllItems.aspx?RootFolder=%2fedulibrary%2fSchools%2fCASES21%2fCASES21%20Finance%2fFinance%20Business%20Process%20Guide&amp;FolderCTID=&amp;View=%7b393E28AF%2d9188%2d49EC%2d9B2F%2d5B1CA6BF217D%7d"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edugate.eduweb.vic.gov.au/edulibrary/Schools/Forms/AllItems.aspx?RootFolder=%2fedulibrary%2fSchools%2fCASES21%2fCASES21%20Finance%2fFinance%20Business%20Process%20Guide&amp;FolderCTID=&amp;View=%7b393E28AF%2d9188%2d49EC%2d9B2F%2d5B1CA6BF217D%7d" TargetMode="External"/><Relationship Id="rId29" Type="http://schemas.openxmlformats.org/officeDocument/2006/relationships/hyperlink" Target="https://edugate.eduweb.vic.gov.au/edulibrary/Schools/Forms/AllItems.aspx?RootFolder=%2fedulibrary%2fSchools%2fCASES21%2fCASES21%20Finance%2fFinance%20Business%20Process%20Guide&amp;FolderCTID=&amp;View=%7b393E28AF%2d9188%2d49EC%2d9B2F%2d5B1CA6BF217D%7d" TargetMode="External"/><Relationship Id="rId11" Type="http://schemas.openxmlformats.org/officeDocument/2006/relationships/endnotes" Target="endnotes.xml"/><Relationship Id="rId24" Type="http://schemas.openxmlformats.org/officeDocument/2006/relationships/hyperlink" Target="https://edugate.eduweb.vic.gov.au/edulibrary/Schools/Forms/AllItems.aspx?RootFolder=%2fedulibrary%2fSchools%2fCASES21%2fCASES21%20Finance%2fFinance%20Business%20Process%20Guide&amp;FolderCTID=&amp;View=%7b393E28AF%2d9188%2d49EC%2d9B2F%2d5B1CA6BF217D%7d" TargetMode="External"/><Relationship Id="rId32" Type="http://schemas.openxmlformats.org/officeDocument/2006/relationships/hyperlink" Target="https://edugate.eduweb.vic.gov.au/edulibrary/Schools/Forms/AllItems.aspx?RootFolder=%2fedulibrary%2fSchools%2fCASES21%2fCASES21%20Finance%2fFinance%20Business%20Process%20Guide&amp;FolderCTID=&amp;View=%7b393E28AF%2d9188%2d49EC%2d9B2F%2d5B1CA6BF217D%7d" TargetMode="External"/><Relationship Id="rId37" Type="http://schemas.openxmlformats.org/officeDocument/2006/relationships/hyperlink" Target="https://edugate.eduweb.vic.gov.au/edulibrary/Schools/Forms/AllItems.aspx?RootFolder=%2fedulibrary%2fSchools%2fCASES21%2fCASES21%20Finance%2fFinance%20Business%20Process%20Guide&amp;FolderCTID=&amp;View=%7b393E28AF%2d9188%2d49EC%2d9B2F%2d5B1CA6BF217D%7d" TargetMode="External"/><Relationship Id="rId40" Type="http://schemas.openxmlformats.org/officeDocument/2006/relationships/hyperlink" Target="http://www.education.vic.gov.au/school/teachers/management/finance/Pages/cases21.aspx" TargetMode="External"/><Relationship Id="rId45" Type="http://schemas.openxmlformats.org/officeDocument/2006/relationships/hyperlink" Target="https://edugate.eduweb.vic.gov.au/edulibrary/Schools/Forms/AllItems.aspx?RootFolder=%2fedulibrary%2fSchools%2fCASES21%2fCASES21%20Finance%2fFinance%20Business%20Process%20Guide&amp;FolderCTID=&amp;View=%7b393E28AF%2d9188%2d49EC%2d9B2F%2d5B1CA6BF217D%7d" TargetMode="External"/><Relationship Id="rId53"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https://edugate.eduweb.vic.gov.au/edulibrary/Schools/Forms/AllItems.aspx?RootFolder=%2fedulibrary%2fSchools%2fCASES21%2fCASES21%20Finance%2fFinance%20Business%20Process%20Guide&amp;FolderCTID=&amp;View=%7b393E28AF%2d9188%2d49EC%2d9B2F%2d5B1CA6BF217D%7d" TargetMode="External"/><Relationship Id="rId31" Type="http://schemas.openxmlformats.org/officeDocument/2006/relationships/hyperlink" Target="https://edugate.eduweb.vic.gov.au/edulibrary/Schools/Forms/AllItems.aspx?RootFolder=%2fedulibrary%2fSchools%2fCASES21%2fCASES21%20Finance%2fFinance%20Business%20Process%20Guide&amp;FolderCTID=&amp;View=%7b393E28AF%2d9188%2d49EC%2d9B2F%2d5B1CA6BF217D%7d" TargetMode="External"/><Relationship Id="rId44" Type="http://schemas.openxmlformats.org/officeDocument/2006/relationships/hyperlink" Target="https://edugate.eduweb.vic.gov.au/edulibrary/Schools/Forms/AllItems.aspx?RootFolder=%2fedulibrary%2fSchools%2fCASES21%2fCASES21%20Finance%2fFinance%20Business%20Process%20Guide&amp;FolderCTID=&amp;View=%7b393E28AF%2d9188%2d49EC%2d9B2F%2d5B1CA6BF217D%7d"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dugate.eduweb.vic.gov.au/edulibrary/Schools/Forms/AllItems.aspx?RootFolder=%2fedulibrary%2fSchools%2fCASES21%2fCASES21%20Finance%2fFinance%20Business%20Process%20Guide&amp;FolderCTID=&amp;View=%7b393E28AF%2d9188%2d49EC%2d9B2F%2d5B1CA6BF217D%7d" TargetMode="External"/><Relationship Id="rId22" Type="http://schemas.openxmlformats.org/officeDocument/2006/relationships/hyperlink" Target="https://edugate.eduweb.vic.gov.au/edulibrary/Schools/Forms/AllItems.aspx?RootFolder=%2fedulibrary%2fSchools%2fCASES21%2fCASES21%20Finance%2fFinance%20Business%20Process%20Guide&amp;FolderCTID=&amp;View=%7b393E28AF%2d9188%2d49EC%2d9B2F%2d5B1CA6BF217D%7d" TargetMode="External"/><Relationship Id="rId27" Type="http://schemas.openxmlformats.org/officeDocument/2006/relationships/hyperlink" Target="https://edugate.eduweb.vic.gov.au/edulibrary/Schools/Forms/AllItems.aspx?RootFolder=%2fedulibrary%2fSchools%2fCASES21%2fCASES21%20Finance%2fFinance%20Business%20Process%20Guide&amp;FolderCTID=&amp;View=%7b393E28AF%2d9188%2d49EC%2d9B2F%2d5B1CA6BF217D%7d" TargetMode="External"/><Relationship Id="rId30" Type="http://schemas.openxmlformats.org/officeDocument/2006/relationships/hyperlink" Target="https://edugate.eduweb.vic.gov.au/edulibrary/Schools/Forms/AllItems.aspx?RootFolder=%2fedulibrary%2fSchools%2fCASES21%2fCASES21%20Finance%2fFinance%20Business%20Process%20Guide&amp;FolderCTID=&amp;View=%7b393E28AF%2d9188%2d49EC%2d9B2F%2d5B1CA6BF217D%7d" TargetMode="External"/><Relationship Id="rId35" Type="http://schemas.openxmlformats.org/officeDocument/2006/relationships/hyperlink" Target="https://edugate.eduweb.vic.gov.au/edulibrary/Schools/Forms/AllItems.aspx?RootFolder=%2fedulibrary%2fSchools%2fCASES21%2fCASES21%20Finance%2fFinance%20Business%20Process%20Guide&amp;FolderCTID=&amp;View=%7b393E28AF%2d9188%2d49EC%2d9B2F%2d5B1CA6BF217D%7d" TargetMode="External"/><Relationship Id="rId43" Type="http://schemas.openxmlformats.org/officeDocument/2006/relationships/hyperlink" Target="https://edugate.eduweb.vic.gov.au/edulibrary/Schools/Forms/AllItems.aspx?RootFolder=%2fedulibrary%2fSchools%2fCASES21%2fCASES21%20Finance%2fFinance%20Business%20Process%20Guide&amp;FolderCTID=&amp;View=%7b393E28AF%2d9188%2d49EC%2d9B2F%2d5B1CA6BF217D%7d" TargetMode="External"/><Relationship Id="rId48" Type="http://schemas.openxmlformats.org/officeDocument/2006/relationships/hyperlink" Target="https://edugate.eduweb.vic.gov.au/edulibrary/Schools/Forms/AllItems.aspx?RootFolder=%2fedulibrary%2fSchools%2fCASES21%2fCASES21%20Finance%2fFinance%20Business%20Process%20Guide&amp;FolderCTID=&amp;View=%7b393E28AF%2d9188%2d49EC%2d9B2F%2d5B1CA6BF217D%7d" TargetMode="External"/><Relationship Id="rId8" Type="http://schemas.openxmlformats.org/officeDocument/2006/relationships/settings" Target="settings.xml"/><Relationship Id="rId51" Type="http://schemas.openxmlformats.org/officeDocument/2006/relationships/hyperlink" Target="https://www.education.vic.gov.au/school/principals/spag/pages/spag.aspx" TargetMode="External"/><Relationship Id="rId12" Type="http://schemas.openxmlformats.org/officeDocument/2006/relationships/hyperlink" Target="https://edugate.eduweb.vic.gov.au/edulibrary/Schools/Forms/AllItems.aspx?RootFolder=%2fedulibrary%2fSchools%2fCASES21%2fCASES21%20Finance%2fFinance%20Business%20Process%20Guide&amp;FolderCTID=&amp;View=%7b393E28AF%2d9188%2d49EC%2d9B2F%2d5B1CA6BF217D%7d" TargetMode="External"/><Relationship Id="rId17" Type="http://schemas.openxmlformats.org/officeDocument/2006/relationships/hyperlink" Target="https://edugate.eduweb.vic.gov.au/edulibrary/Schools/Forms/AllItems.aspx?RootFolder=%2fedulibrary%2fSchools%2fCASES21%2fCASES21%20Finance%2fFinance%20Business%20Process%20Guide&amp;FolderCTID=&amp;View=%7b393E28AF%2d9188%2d49EC%2d9B2F%2d5B1CA6BF217D%7d" TargetMode="External"/><Relationship Id="rId25" Type="http://schemas.openxmlformats.org/officeDocument/2006/relationships/hyperlink" Target="https://edugate.eduweb.vic.gov.au/edulibrary/Schools/Forms/AllItems.aspx?RootFolder=%2fedulibrary%2fSchools%2fCASES21%2fCASES21%20Finance%2fFinance%20Business%20Process%20Guide&amp;FolderCTID=&amp;View=%7b393E28AF%2d9188%2d49EC%2d9B2F%2d5B1CA6BF217D%7d" TargetMode="External"/><Relationship Id="rId33" Type="http://schemas.openxmlformats.org/officeDocument/2006/relationships/hyperlink" Target="https://edugate.eduweb.vic.gov.au/edulibrary/Schools/Forms/AllItems.aspx?RootFolder=%2fedulibrary%2fSchools%2fCASES21%2fCASES21%20Finance%2fFinance%20Business%20Process%20Guide&amp;FolderCTID=&amp;View=%7b393E28AF%2d9188%2d49EC%2d9B2F%2d5B1CA6BF217D%7d" TargetMode="External"/><Relationship Id="rId38" Type="http://schemas.openxmlformats.org/officeDocument/2006/relationships/hyperlink" Target="https://edugate.eduweb.vic.gov.au/edulibrary/Schools/Forms/AllItems.aspx?RootFolder=%2fedulibrary%2fSchools%2fCASES21%2fCASES21%20Finance%2fFinance%20Business%20Process%20Guide&amp;FolderCTID=&amp;View=%7b393E28AF%2d9188%2d49EC%2d9B2F%2d5B1CA6BF217D%7d" TargetMode="External"/><Relationship Id="rId46" Type="http://schemas.openxmlformats.org/officeDocument/2006/relationships/hyperlink" Target="https://edugate.eduweb.vic.gov.au/edulibrary/Schools/Forms/AllItems.aspx?RootFolder=%2fedulibrary%2fSchools%2fCASES21%2fCASES21%20Finance%2fFinance%20Business%20Process%20Guide&amp;FolderCTID=&amp;View=%7b393E28AF%2d9188%2d49EC%2d9B2F%2d5B1CA6BF217D%7d" TargetMode="External"/><Relationship Id="rId20" Type="http://schemas.openxmlformats.org/officeDocument/2006/relationships/hyperlink" Target="http://www.education.vic.gov.au/school/principals/spag/management/Pages/parentpayments.aspx" TargetMode="External"/><Relationship Id="rId41" Type="http://schemas.openxmlformats.org/officeDocument/2006/relationships/hyperlink" Target="https://www.education.vic.gov.au/school/teachers/management/finance/Pages/cases21.aspx"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edugate.eduweb.vic.gov.au/edulibrary/Schools/Forms/AllItems.aspx?RootFolder=%2fedulibrary%2fSchools%2fCASES21%2fCASES21%20Finance%2fFinance%20Business%20Process%20Guide&amp;FolderCTID=&amp;View=%7b393E28AF%2d9188%2d49EC%2d9B2F%2d5B1CA6BF217D%7d" TargetMode="External"/><Relationship Id="rId23" Type="http://schemas.openxmlformats.org/officeDocument/2006/relationships/hyperlink" Target="https://edugate.eduweb.vic.gov.au/edulibrary/Schools/Forms/AllItems.aspx?RootFolder=%2fedulibrary%2fSchools%2fCASES21%2fCASES21%20Finance%2fFinance%20Business%20Process%20Guide&amp;FolderCTID=&amp;View=%7b393E28AF%2d9188%2d49EC%2d9B2F%2d5B1CA6BF217D%7d" TargetMode="External"/><Relationship Id="rId28" Type="http://schemas.openxmlformats.org/officeDocument/2006/relationships/hyperlink" Target="https://edugate.eduweb.vic.gov.au/edulibrary/Schools/Forms/AllItems.aspx?RootFolder=%2fedulibrary%2fSchools%2fCASES21%2fCASES21%20Finance%2fFinance%20Business%20Process%20Guide&amp;FolderCTID=&amp;View=%7b393E28AF%2d9188%2d49EC%2d9B2F%2d5B1CA6BF217D%7d" TargetMode="External"/><Relationship Id="rId36" Type="http://schemas.openxmlformats.org/officeDocument/2006/relationships/hyperlink" Target="https://edugate.eduweb.vic.gov.au/edulibrary/Schools/Forms/AllItems.aspx?RootFolder=%2fedulibrary%2fSchools%2fCASES21%2fCASES21%20Finance%2fFinance%20Business%20Process%20Guide&amp;FolderCTID=&amp;View=%7b393E28AF%2d9188%2d49EC%2d9B2F%2d5B1CA6BF217D%7d" TargetMode="External"/><Relationship Id="rId49" Type="http://schemas.openxmlformats.org/officeDocument/2006/relationships/hyperlink" Target="https://edugate.eduweb.vic.gov.au/edulibrary/Schools/Forms/AllItems.aspx?RootFolder=%2fedulibrary%2fSchools%2fCASES21%2fCASES21%20Finance%2fFinance%20Business%20Process%20Guide&amp;FolderCTID=&amp;View=%7b393E28AF%2d9188%2d49EC%2d9B2F%2d5B1CA6BF217D%7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Finance manual for Victorian Government Schools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F8C9A5FE64567849B3D74FDCA5171CB6" ma:contentTypeVersion="5" ma:contentTypeDescription="Create a new document." ma:contentTypeScope="" ma:versionID="91e065d7f5b636a171005a9a1f4a2847">
  <xsd:schema xmlns:xsd="http://www.w3.org/2001/XMLSchema" xmlns:xs="http://www.w3.org/2001/XMLSchema" xmlns:p="http://schemas.microsoft.com/office/2006/metadata/properties" xmlns:ns2="500c308d-f2fb-4fe0-9990-16f1afa0b8fb" targetNamespace="http://schemas.microsoft.com/office/2006/metadata/properties" ma:root="true" ma:fieldsID="9624786d58ec92ad544c6ef6fa536cf3" ns2:_="">
    <xsd:import namespace="500c308d-f2fb-4fe0-9990-16f1afa0b8fb"/>
    <xsd:element name="properties">
      <xsd:complexType>
        <xsd:sequence>
          <xsd:element name="documentManagement">
            <xsd:complexType>
              <xsd:all>
                <xsd:element ref="ns2:Category" minOccurs="0"/>
                <xsd:element ref="ns2:Topic" minOccurs="0"/>
                <xsd:element ref="ns2:Sub_x002d_Topic" minOccurs="0"/>
                <xsd:element ref="ns2:Status" minOccurs="0"/>
                <xsd:element ref="ns2:Date_x0020_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0c308d-f2fb-4fe0-9990-16f1afa0b8fb" elementFormDefault="qualified">
    <xsd:import namespace="http://schemas.microsoft.com/office/2006/documentManagement/types"/>
    <xsd:import namespace="http://schemas.microsoft.com/office/infopath/2007/PartnerControls"/>
    <xsd:element name="Category" ma:index="1" nillable="true" ma:displayName="Category" ma:description="What is this document about?" ma:format="Dropdown" ma:internalName="Category">
      <xsd:simpleType>
        <xsd:union memberTypes="dms:Text">
          <xsd:simpleType>
            <xsd:restriction base="dms:Choice">
              <xsd:enumeration value="2016 CASES21 Documents"/>
              <xsd:enumeration value="2017 CASES21 Documents"/>
              <xsd:enumeration value="2018 CASES21 Documents"/>
              <xsd:enumeration value="2019 CASES21 Documents"/>
              <xsd:enumeration value="Article"/>
              <xsd:enumeration value="Briefing"/>
              <xsd:enumeration value="Forms"/>
              <xsd:enumeration value="Policy and Guidelines"/>
              <xsd:enumeration value="Finance Document Review process"/>
              <xsd:enumeration value="Register"/>
              <xsd:enumeration value="Report"/>
              <xsd:enumeration value="Template"/>
            </xsd:restriction>
          </xsd:simpleType>
        </xsd:union>
      </xsd:simpleType>
    </xsd:element>
    <xsd:element name="Topic" ma:index="2" nillable="true" ma:displayName="Topic" ma:description="Petty Cash changes" ma:format="Dropdown" ma:internalName="Topic">
      <xsd:simpleType>
        <xsd:restriction base="dms:Choice">
          <xsd:enumeration value="Asset Management"/>
          <xsd:enumeration value="Budget Management"/>
          <xsd:enumeration value="Business Continuity"/>
          <xsd:enumeration value="2016 CASES21"/>
          <xsd:enumeration value="2017 CASES21"/>
          <xsd:enumeration value="2018 CASES21"/>
          <xsd:enumeration value="2019 CASES21"/>
          <xsd:enumeration value="CASES21"/>
          <xsd:enumeration value="Document Review"/>
          <xsd:enumeration value="Electronic Funds Management"/>
          <xsd:enumeration value="Finance Manual"/>
          <xsd:enumeration value="Financial Commitment Summary"/>
          <xsd:enumeration value="High Yield Investment Account"/>
          <xsd:enumeration value="Internal Controls"/>
          <xsd:enumeration value="New Business Managers"/>
          <xsd:enumeration value="New Merged Closed Schools"/>
          <xsd:enumeration value="Petty Cash"/>
          <xsd:enumeration value="School Cash Reserve"/>
          <xsd:enumeration value="School Council"/>
          <xsd:enumeration value="School Investment"/>
          <xsd:enumeration value="School Level Payroll"/>
          <xsd:enumeration value="School Trading Operations"/>
          <xsd:enumeration value="Schools Purchasing Card"/>
          <xsd:enumeration value="Unclaimed monies"/>
          <xsd:enumeration value="2020 Pending PPP Changes"/>
          <xsd:enumeration value="2020 CASES21"/>
        </xsd:restriction>
      </xsd:simpleType>
    </xsd:element>
    <xsd:element name="Sub_x002d_Topic" ma:index="3" nillable="true" ma:displayName="Sub-Topic" ma:description="More information about this if required" ma:internalName="Sub_x002d_Topic">
      <xsd:simpleType>
        <xsd:restriction base="dms:Text">
          <xsd:maxLength value="255"/>
        </xsd:restriction>
      </xsd:simpleType>
    </xsd:element>
    <xsd:element name="Status" ma:index="4" nillable="true" ma:displayName="Status" ma:description="What is the status of this document?" ma:format="Dropdown" ma:internalName="Status">
      <xsd:simpleType>
        <xsd:restriction base="dms:Choice">
          <xsd:enumeration value="Archive"/>
          <xsd:enumeration value="Editing"/>
          <xsd:enumeration value="Final review"/>
          <xsd:enumeration value="Published"/>
        </xsd:restriction>
      </xsd:simpleType>
    </xsd:element>
    <xsd:element name="Date_x0020_published" ma:index="5" nillable="true" ma:displayName="Date published" ma:description="When was this document published?" ma:format="DateOnly" ma:internalName="Date_x0020_publish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500c308d-f2fb-4fe0-9990-16f1afa0b8fb"/>
  </ds:schemaRefs>
</ds:datastoreItem>
</file>

<file path=customXml/itemProps2.xml><?xml version="1.0" encoding="utf-8"?>
<ds:datastoreItem xmlns:ds="http://schemas.openxmlformats.org/officeDocument/2006/customXml" ds:itemID="{108ABC87-ACB7-41E8-B9D4-03595565C705}"/>
</file>

<file path=customXml/itemProps3.xml><?xml version="1.0" encoding="utf-8"?>
<ds:datastoreItem xmlns:ds="http://schemas.openxmlformats.org/officeDocument/2006/customXml" ds:itemID="{D28E225C-89A0-458D-BD43-ADA45D717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0c308d-f2fb-4fe0-9990-16f1afa0b8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5.xml><?xml version="1.0" encoding="utf-8"?>
<ds:datastoreItem xmlns:ds="http://schemas.openxmlformats.org/officeDocument/2006/customXml" ds:itemID="{82D34FE2-14E6-4C1F-8296-7EEA2E425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22</Pages>
  <Words>6475</Words>
  <Characters>36911</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Dori Maniatakis</dc:creator>
  <cp:lastModifiedBy>Stacey, Kimberley C</cp:lastModifiedBy>
  <cp:revision>4</cp:revision>
  <cp:lastPrinted>2019-02-01T01:09:00Z</cp:lastPrinted>
  <dcterms:created xsi:type="dcterms:W3CDTF">2019-09-04T03:22:00Z</dcterms:created>
  <dcterms:modified xsi:type="dcterms:W3CDTF">2020-02-14T01:17:00Z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