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C117" w14:textId="31995F93" w:rsidR="00927DEE" w:rsidRPr="00AD3210" w:rsidRDefault="00E72D86" w:rsidP="00714E93">
      <w:pPr>
        <w:pStyle w:val="Heading1"/>
      </w:pPr>
      <w:bookmarkStart w:id="0" w:name="_Toc455499267"/>
      <w:bookmarkStart w:id="1" w:name="_Toc455499461"/>
      <w:bookmarkStart w:id="2" w:name="_Toc455501167"/>
      <w:r>
        <w:t>S</w:t>
      </w:r>
      <w:r w:rsidR="00DD7D45" w:rsidRPr="00AD3210">
        <w:t>ection</w:t>
      </w:r>
      <w:r w:rsidR="003D4CFE">
        <w:t xml:space="preserve"> </w:t>
      </w:r>
      <w:r w:rsidR="00DD7D45" w:rsidRPr="00AD3210">
        <w:t>16</w:t>
      </w:r>
      <w:r w:rsidR="00927DEE" w:rsidRPr="00AD3210">
        <w:t>:</w:t>
      </w:r>
      <w:r w:rsidR="003D4CFE">
        <w:t xml:space="preserve"> </w:t>
      </w:r>
      <w:r w:rsidR="00DD7D45" w:rsidRPr="00AD3210">
        <w:t>Reporting</w:t>
      </w:r>
      <w:r w:rsidR="003D4CFE">
        <w:t xml:space="preserve"> </w:t>
      </w:r>
      <w:r w:rsidR="00714E93">
        <w:t>P</w:t>
      </w:r>
      <w:r w:rsidR="00DD7D45" w:rsidRPr="00AD3210">
        <w:t>erformance</w:t>
      </w:r>
    </w:p>
    <w:p w14:paraId="66E15C28" w14:textId="77777777" w:rsidR="00927DEE" w:rsidRPr="00AD3210" w:rsidRDefault="00B230DB" w:rsidP="00714E93">
      <w:pPr>
        <w:pStyle w:val="Heading2"/>
      </w:pPr>
      <w:r w:rsidRPr="00AD3210">
        <w:t>16</w:t>
      </w:r>
      <w:r w:rsidR="00927DEE" w:rsidRPr="00AD3210">
        <w:t>.1</w:t>
      </w:r>
      <w:r w:rsidR="00500B5D">
        <w:tab/>
      </w:r>
      <w:r w:rsidR="00927DEE" w:rsidRPr="00AD3210">
        <w:t>Overview</w:t>
      </w:r>
    </w:p>
    <w:p w14:paraId="6E994B56" w14:textId="77777777" w:rsidR="005A0C09" w:rsidRDefault="003A4545" w:rsidP="00AD3210">
      <w:r w:rsidRPr="00AD3210">
        <w:t>The</w:t>
      </w:r>
      <w:r w:rsidR="003D4CFE">
        <w:t xml:space="preserve"> </w:t>
      </w:r>
      <w:r w:rsidRPr="00AD3210">
        <w:t>general</w:t>
      </w:r>
      <w:r w:rsidR="003D4CFE">
        <w:t xml:space="preserve"> </w:t>
      </w:r>
      <w:r w:rsidRPr="00AD3210">
        <w:t>purpose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financial</w:t>
      </w:r>
      <w:r w:rsidR="003D4CFE">
        <w:t xml:space="preserve"> </w:t>
      </w:r>
      <w:r w:rsidRPr="00AD3210">
        <w:t>statements</w:t>
      </w:r>
      <w:r w:rsidR="003D4CFE">
        <w:t xml:space="preserve"> </w:t>
      </w:r>
      <w:r w:rsidRPr="00AD3210">
        <w:t>is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provide</w:t>
      </w:r>
      <w:r w:rsidR="003D4CFE">
        <w:t xml:space="preserve"> </w:t>
      </w:r>
      <w:r w:rsidRPr="00AD3210">
        <w:t>information</w:t>
      </w:r>
      <w:r w:rsidR="003D4CFE">
        <w:t xml:space="preserve"> </w:t>
      </w:r>
      <w:r w:rsidRPr="00AD3210">
        <w:t>about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results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operations,</w:t>
      </w:r>
      <w:r w:rsidR="003D4CFE">
        <w:t xml:space="preserve"> </w:t>
      </w:r>
      <w:r w:rsidRPr="00AD3210">
        <w:t>financial</w:t>
      </w:r>
      <w:r w:rsidR="003D4CFE">
        <w:t xml:space="preserve"> </w:t>
      </w:r>
      <w:r w:rsidRPr="00AD3210">
        <w:t>position,</w:t>
      </w:r>
      <w:r w:rsidR="003D4CFE">
        <w:t xml:space="preserve"> </w:t>
      </w:r>
      <w:r w:rsidRPr="00AD3210">
        <w:t>and</w:t>
      </w:r>
      <w:r w:rsidR="003D4CFE">
        <w:t xml:space="preserve"> </w:t>
      </w:r>
      <w:r w:rsidRPr="00AD3210">
        <w:t>cash</w:t>
      </w:r>
      <w:r w:rsidR="003D4CFE">
        <w:t xml:space="preserve"> </w:t>
      </w:r>
      <w:r w:rsidRPr="00AD3210">
        <w:t>flows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an</w:t>
      </w:r>
      <w:r w:rsidR="003D4CFE">
        <w:t xml:space="preserve"> </w:t>
      </w:r>
      <w:r w:rsidRPr="00AD3210">
        <w:t>organization.</w:t>
      </w:r>
      <w:r w:rsidR="003D4CFE">
        <w:t xml:space="preserve"> </w:t>
      </w:r>
      <w:r w:rsidRPr="00AD3210">
        <w:t>This</w:t>
      </w:r>
      <w:r w:rsidR="003D4CFE">
        <w:t xml:space="preserve"> </w:t>
      </w:r>
      <w:r w:rsidRPr="00AD3210">
        <w:t>information</w:t>
      </w:r>
      <w:r w:rsidR="003D4CFE">
        <w:t xml:space="preserve"> </w:t>
      </w:r>
      <w:r w:rsidRPr="00AD3210">
        <w:t>is</w:t>
      </w:r>
      <w:r w:rsidR="003D4CFE">
        <w:t xml:space="preserve"> </w:t>
      </w:r>
      <w:r w:rsidRPr="00AD3210">
        <w:t>used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make</w:t>
      </w:r>
      <w:r w:rsidR="003D4CFE">
        <w:t xml:space="preserve"> </w:t>
      </w:r>
      <w:r w:rsidRPr="00AD3210">
        <w:t>decisions</w:t>
      </w:r>
      <w:r w:rsidR="003D4CFE">
        <w:t xml:space="preserve"> </w:t>
      </w:r>
      <w:r w:rsidRPr="00AD3210">
        <w:t>regarding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allocation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resources</w:t>
      </w:r>
      <w:r w:rsidR="001F6885">
        <w:t xml:space="preserve"> and provide governance over business operations.</w:t>
      </w:r>
    </w:p>
    <w:p w14:paraId="411AD65F" w14:textId="77777777" w:rsidR="00927DEE" w:rsidRPr="00AD3210" w:rsidRDefault="00B230DB" w:rsidP="00714E93">
      <w:pPr>
        <w:pStyle w:val="Heading2"/>
      </w:pPr>
      <w:r w:rsidRPr="00AD3210">
        <w:t>16</w:t>
      </w:r>
      <w:r w:rsidR="00927DEE" w:rsidRPr="00AD3210">
        <w:t>.2</w:t>
      </w:r>
      <w:r w:rsidR="003D4CFE">
        <w:tab/>
      </w:r>
      <w:r w:rsidRPr="00AD3210">
        <w:t>Management</w:t>
      </w:r>
      <w:r w:rsidR="003D4CFE">
        <w:t xml:space="preserve"> </w:t>
      </w:r>
      <w:r w:rsidRPr="00AD3210">
        <w:t>reports</w:t>
      </w:r>
    </w:p>
    <w:p w14:paraId="3D9ECC2F" w14:textId="77777777" w:rsidR="00927DEE" w:rsidRPr="00AD3210" w:rsidRDefault="00B230DB" w:rsidP="00714E93">
      <w:pPr>
        <w:pStyle w:val="Heading3"/>
      </w:pPr>
      <w:r w:rsidRPr="00AD3210">
        <w:t>16</w:t>
      </w:r>
      <w:r w:rsidR="00927DEE" w:rsidRPr="00AD3210">
        <w:t>.2.1</w:t>
      </w:r>
      <w:r w:rsidR="003D4CFE">
        <w:tab/>
      </w:r>
      <w:r w:rsidR="00927DEE" w:rsidRPr="00AD3210">
        <w:t>Mandatory</w:t>
      </w:r>
      <w:r w:rsidR="003D4CFE">
        <w:t xml:space="preserve"> </w:t>
      </w:r>
      <w:r w:rsidR="00927DEE" w:rsidRPr="00AD3210">
        <w:t>policy</w:t>
      </w:r>
      <w:r w:rsidR="003D4CFE">
        <w:t xml:space="preserve"> </w:t>
      </w:r>
      <w:r w:rsidR="00927DEE" w:rsidRPr="00AD3210">
        <w:t>(</w:t>
      </w:r>
      <w:r w:rsidR="0073459D">
        <w:t>Must do</w:t>
      </w:r>
      <w:r w:rsidR="00927DEE" w:rsidRPr="00AD3210">
        <w:t>)</w:t>
      </w:r>
      <w:r w:rsidR="002D0187">
        <w:t>:</w:t>
      </w:r>
    </w:p>
    <w:tbl>
      <w:tblPr>
        <w:tblW w:w="91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containing sequence numbers and policy information"/>
      </w:tblPr>
      <w:tblGrid>
        <w:gridCol w:w="1134"/>
        <w:gridCol w:w="7088"/>
        <w:gridCol w:w="930"/>
      </w:tblGrid>
      <w:tr w:rsidR="00972CF2" w:rsidRPr="0091756B" w14:paraId="0003A5E7" w14:textId="75917ED3" w:rsidTr="00D0451D">
        <w:trPr>
          <w:trHeight w:hRule="exact" w:val="73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4004" w14:textId="77777777" w:rsidR="00972CF2" w:rsidRPr="00D0451D" w:rsidRDefault="00972CF2" w:rsidP="0037676B">
            <w:pPr>
              <w:rPr>
                <w:b/>
              </w:rPr>
            </w:pPr>
            <w:r w:rsidRPr="00D0451D">
              <w:rPr>
                <w:b/>
                <w:sz w:val="18"/>
              </w:rPr>
              <w:t>Sequence Numbers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977F" w14:textId="77777777" w:rsidR="00972CF2" w:rsidRPr="00E93B21" w:rsidRDefault="00972CF2" w:rsidP="0037676B">
            <w:pPr>
              <w:rPr>
                <w:b/>
                <w:sz w:val="20"/>
                <w:szCs w:val="20"/>
              </w:rPr>
            </w:pPr>
            <w:r w:rsidRPr="00E93B21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BB64DA" w14:textId="77777777" w:rsidR="00972CF2" w:rsidRPr="00B71B08" w:rsidRDefault="00972CF2" w:rsidP="0037676B">
            <w:pPr>
              <w:rPr>
                <w:b/>
              </w:rPr>
            </w:pPr>
          </w:p>
        </w:tc>
      </w:tr>
      <w:tr w:rsidR="00972CF2" w:rsidRPr="0091756B" w14:paraId="2C342EF5" w14:textId="5518F74E" w:rsidTr="00D0451D">
        <w:trPr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0C0078" w14:textId="77777777" w:rsidR="00972CF2" w:rsidRPr="0091756B" w:rsidRDefault="00972CF2" w:rsidP="00AD3210">
            <w:r w:rsidRPr="0091756B">
              <w:t>16.2.1.1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377AA375" w14:textId="77777777" w:rsidR="00972CF2" w:rsidRPr="0091756B" w:rsidRDefault="00972CF2" w:rsidP="00AD3210">
            <w:r w:rsidRPr="0091756B">
              <w:t>Undertake a bank reconciliation and prepare a report for each active bank account at the end of each month.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9D44BB2" w14:textId="77777777" w:rsidR="00972CF2" w:rsidRPr="0091756B" w:rsidRDefault="00972CF2" w:rsidP="00AD3210"/>
        </w:tc>
      </w:tr>
      <w:tr w:rsidR="00972CF2" w:rsidRPr="0091756B" w14:paraId="126F0979" w14:textId="2068B5C5" w:rsidTr="00D0451D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FA27AC" w14:textId="77777777" w:rsidR="00972CF2" w:rsidRPr="0091756B" w:rsidRDefault="00972CF2" w:rsidP="00AD3210">
            <w:r w:rsidRPr="0091756B">
              <w:t>16.2.1.2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0D3F0" w14:textId="77777777" w:rsidR="00972CF2" w:rsidRPr="0091756B" w:rsidRDefault="00972CF2" w:rsidP="00AD3210">
            <w:r w:rsidRPr="0091756B">
              <w:t>Provide a written explanation of any differences on the bank reconciliation report.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6C1212B1" w14:textId="77777777" w:rsidR="00972CF2" w:rsidRPr="0091756B" w:rsidRDefault="00972CF2" w:rsidP="00AD3210"/>
        </w:tc>
      </w:tr>
      <w:tr w:rsidR="00972CF2" w:rsidRPr="0091756B" w14:paraId="3CDBA51D" w14:textId="0C63FF20" w:rsidTr="00D0451D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CB138A" w14:textId="77777777" w:rsidR="00972CF2" w:rsidRPr="0091756B" w:rsidRDefault="00972CF2" w:rsidP="00AD3210">
            <w:r w:rsidRPr="0091756B">
              <w:t>16.2.1.3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971E5" w14:textId="77777777" w:rsidR="00972CF2" w:rsidRPr="0091756B" w:rsidRDefault="00972CF2" w:rsidP="00AD3210">
            <w:r w:rsidRPr="0091756B">
              <w:t>Have the bank reconciliation report certified by the principal.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733F149C" w14:textId="77777777" w:rsidR="00972CF2" w:rsidRPr="0091756B" w:rsidRDefault="00972CF2" w:rsidP="00AD3210"/>
        </w:tc>
      </w:tr>
      <w:tr w:rsidR="00972CF2" w:rsidRPr="0091756B" w14:paraId="049F7497" w14:textId="5606A865" w:rsidTr="00D0451D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5A265F" w14:textId="77777777" w:rsidR="00972CF2" w:rsidRPr="0091756B" w:rsidRDefault="00972CF2" w:rsidP="00AD3210">
            <w:r w:rsidRPr="0091756B">
              <w:t>16.2.1.4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EE661" w14:textId="77777777" w:rsidR="00972CF2" w:rsidRPr="0091756B" w:rsidRDefault="00972CF2" w:rsidP="007E4AC7">
            <w:r w:rsidRPr="0091756B">
              <w:t xml:space="preserve">Ensure that bank accounts do not show a negative balance (are overdrawn) either at the bank or </w:t>
            </w:r>
            <w:r>
              <w:t>i</w:t>
            </w:r>
            <w:r w:rsidRPr="0091756B">
              <w:t>n CASES21.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5877111E" w14:textId="77777777" w:rsidR="00972CF2" w:rsidRPr="0091756B" w:rsidRDefault="00972CF2" w:rsidP="007E4AC7"/>
        </w:tc>
      </w:tr>
      <w:tr w:rsidR="00972CF2" w:rsidRPr="0091756B" w14:paraId="21B878F3" w14:textId="6AD89159" w:rsidTr="00D0451D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4876D4" w14:textId="77777777" w:rsidR="00972CF2" w:rsidRPr="0091756B" w:rsidRDefault="00972CF2" w:rsidP="00AD3210">
            <w:r w:rsidRPr="0091756B">
              <w:t>16.2.1.5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3A924" w14:textId="77777777" w:rsidR="00972CF2" w:rsidRPr="0091756B" w:rsidRDefault="00972CF2" w:rsidP="00AD3210">
            <w:r w:rsidRPr="0091756B">
              <w:t xml:space="preserve">Regularly review the outstanding family and sundry debtor balances to assess </w:t>
            </w:r>
            <w:r>
              <w:t>collectability and take any appropriate action.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114D014A" w14:textId="77777777" w:rsidR="00972CF2" w:rsidRPr="0091756B" w:rsidRDefault="00972CF2" w:rsidP="00AD3210"/>
        </w:tc>
      </w:tr>
      <w:tr w:rsidR="00972CF2" w:rsidRPr="0091756B" w14:paraId="42AFEB36" w14:textId="52373465" w:rsidTr="00D0451D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04BFA5" w14:textId="77777777" w:rsidR="00972CF2" w:rsidRPr="0091756B" w:rsidRDefault="00972CF2" w:rsidP="00AD3210">
            <w:r>
              <w:t>16.2.1.6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8EDB6" w14:textId="77777777" w:rsidR="00972CF2" w:rsidRPr="0091756B" w:rsidRDefault="00972CF2" w:rsidP="00AD3210">
            <w:r>
              <w:t>Regularly review creditor invoices awaiting payment and orders to assess validity and take any appropriate action.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2AE1EF98" w14:textId="77777777" w:rsidR="00972CF2" w:rsidRDefault="00972CF2" w:rsidP="00AD3210"/>
        </w:tc>
      </w:tr>
      <w:tr w:rsidR="00972CF2" w:rsidRPr="0091756B" w14:paraId="56EBF6A8" w14:textId="38B15916" w:rsidTr="00D0451D"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DF44EA" w14:textId="77777777" w:rsidR="00972CF2" w:rsidRDefault="00972CF2" w:rsidP="00AD3210">
            <w:r>
              <w:t>16.2.1.7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1D63BE18" w14:textId="77777777" w:rsidR="00972CF2" w:rsidRDefault="00972CF2" w:rsidP="00AD3210">
            <w:r>
              <w:t>Regularly review any prepaid expense balance and take any appropriate action.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06B363AF" w14:textId="77777777" w:rsidR="00972CF2" w:rsidRDefault="00972CF2" w:rsidP="00AD3210"/>
        </w:tc>
      </w:tr>
      <w:bookmarkEnd w:id="0"/>
      <w:bookmarkEnd w:id="1"/>
      <w:bookmarkEnd w:id="2"/>
    </w:tbl>
    <w:p w14:paraId="35628265" w14:textId="77777777" w:rsidR="009A25B7" w:rsidRPr="00AD3210" w:rsidRDefault="009A25B7" w:rsidP="00AD3210"/>
    <w:p w14:paraId="1F311DBB" w14:textId="77777777" w:rsidR="0051778F" w:rsidRPr="00AD3210" w:rsidRDefault="00B230DB" w:rsidP="00714E93">
      <w:pPr>
        <w:pStyle w:val="Heading2"/>
      </w:pPr>
      <w:r w:rsidRPr="00AD3210">
        <w:t>16</w:t>
      </w:r>
      <w:r w:rsidR="0051778F" w:rsidRPr="00AD3210">
        <w:t>.3</w:t>
      </w:r>
      <w:r w:rsidR="003D4CFE">
        <w:tab/>
      </w:r>
      <w:r w:rsidR="00714E93">
        <w:t>R</w:t>
      </w:r>
      <w:r w:rsidRPr="00AD3210">
        <w:t>eporting</w:t>
      </w:r>
      <w:r w:rsidR="003D4CFE">
        <w:t xml:space="preserve"> </w:t>
      </w:r>
      <w:r w:rsidRPr="00AD3210">
        <w:t>to</w:t>
      </w:r>
      <w:r w:rsidR="003D4CFE">
        <w:t xml:space="preserve"> </w:t>
      </w:r>
      <w:r w:rsidR="00714E93">
        <w:t>S</w:t>
      </w:r>
      <w:r w:rsidRPr="00AD3210">
        <w:t>chool</w:t>
      </w:r>
      <w:r w:rsidR="003D4CFE">
        <w:t xml:space="preserve"> </w:t>
      </w:r>
      <w:r w:rsidR="00714E93">
        <w:t>C</w:t>
      </w:r>
      <w:r w:rsidRPr="00AD3210">
        <w:t>ouncil</w:t>
      </w:r>
    </w:p>
    <w:p w14:paraId="3A4E5BE3" w14:textId="77777777" w:rsidR="0051778F" w:rsidRPr="00AD3210" w:rsidRDefault="00B230DB" w:rsidP="00714E93">
      <w:pPr>
        <w:pStyle w:val="Heading3"/>
      </w:pPr>
      <w:r w:rsidRPr="00AD3210">
        <w:t>16</w:t>
      </w:r>
      <w:r w:rsidR="0051778F" w:rsidRPr="00AD3210">
        <w:t>.3.1</w:t>
      </w:r>
      <w:r w:rsidR="003D4CFE">
        <w:tab/>
      </w:r>
      <w:r w:rsidR="0051778F" w:rsidRPr="00AD3210">
        <w:t>Mandatory</w:t>
      </w:r>
      <w:r w:rsidR="003D4CFE">
        <w:t xml:space="preserve"> </w:t>
      </w:r>
      <w:r w:rsidR="0051778F" w:rsidRPr="00AD3210">
        <w:t>policy</w:t>
      </w:r>
      <w:r w:rsidR="003D4CFE">
        <w:t xml:space="preserve"> </w:t>
      </w:r>
      <w:r w:rsidR="0051778F" w:rsidRPr="00AD3210">
        <w:t>(</w:t>
      </w:r>
      <w:r w:rsidR="0073459D">
        <w:t>Must do</w:t>
      </w:r>
      <w:r w:rsidR="0051778F" w:rsidRPr="00AD3210">
        <w:t>)</w:t>
      </w:r>
      <w:r w:rsidR="002D0187">
        <w:t>:</w:t>
      </w:r>
    </w:p>
    <w:tbl>
      <w:tblPr>
        <w:tblW w:w="91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930"/>
      </w:tblGrid>
      <w:tr w:rsidR="00972CF2" w:rsidRPr="0091756B" w14:paraId="06A78EE6" w14:textId="17E8BDDC" w:rsidTr="00D0451D">
        <w:trPr>
          <w:trHeight w:val="56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67332" w14:textId="77777777" w:rsidR="00972CF2" w:rsidRPr="00D0451D" w:rsidRDefault="00972CF2" w:rsidP="0037676B">
            <w:pPr>
              <w:rPr>
                <w:b/>
                <w:sz w:val="18"/>
              </w:rPr>
            </w:pPr>
            <w:r w:rsidRPr="00D0451D">
              <w:rPr>
                <w:b/>
                <w:sz w:val="18"/>
              </w:rPr>
              <w:t>Sequence Numbers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00F5" w14:textId="77777777" w:rsidR="00972CF2" w:rsidRPr="00E93B21" w:rsidRDefault="00972CF2" w:rsidP="0037676B">
            <w:pPr>
              <w:rPr>
                <w:b/>
                <w:sz w:val="20"/>
                <w:szCs w:val="20"/>
              </w:rPr>
            </w:pPr>
            <w:r w:rsidRPr="00E93B21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C85DC3" w14:textId="77777777" w:rsidR="00972CF2" w:rsidRPr="00B71B08" w:rsidRDefault="00972CF2" w:rsidP="0037676B">
            <w:pPr>
              <w:rPr>
                <w:b/>
              </w:rPr>
            </w:pPr>
          </w:p>
        </w:tc>
      </w:tr>
      <w:tr w:rsidR="00972CF2" w:rsidRPr="0091756B" w14:paraId="1EF339B5" w14:textId="5FC1EE8F" w:rsidTr="00D0451D">
        <w:trPr>
          <w:trHeight w:val="567"/>
        </w:trPr>
        <w:tc>
          <w:tcPr>
            <w:tcW w:w="1134" w:type="dxa"/>
            <w:shd w:val="clear" w:color="auto" w:fill="FFFFFF" w:themeFill="background1"/>
          </w:tcPr>
          <w:p w14:paraId="6B27DBD8" w14:textId="77777777" w:rsidR="00972CF2" w:rsidRPr="0091756B" w:rsidRDefault="00972CF2" w:rsidP="00714E93">
            <w:r w:rsidRPr="0091756B">
              <w:t>16.3.1.1</w:t>
            </w:r>
          </w:p>
        </w:tc>
        <w:tc>
          <w:tcPr>
            <w:tcW w:w="7088" w:type="dxa"/>
            <w:shd w:val="clear" w:color="auto" w:fill="auto"/>
          </w:tcPr>
          <w:p w14:paraId="7329D923" w14:textId="77777777" w:rsidR="00972CF2" w:rsidRPr="0091756B" w:rsidRDefault="00972CF2" w:rsidP="00714E93">
            <w:r w:rsidRPr="0091756B">
              <w:t>Present the following reports to finance committee each month for review (if the school does not have a finance committee the reports must be presented to the school council):</w:t>
            </w:r>
          </w:p>
          <w:p w14:paraId="277C14AB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lastRenderedPageBreak/>
              <w:t>Balance Sheet Specific Period (GL21161) – This report must be certified by the principal and the school council president</w:t>
            </w:r>
            <w:r>
              <w:t>;</w:t>
            </w:r>
          </w:p>
          <w:p w14:paraId="5E31AED3" w14:textId="77777777" w:rsidR="00972CF2" w:rsidRDefault="00972CF2">
            <w:pPr>
              <w:pStyle w:val="ListBullet"/>
              <w:ind w:left="396"/>
            </w:pPr>
            <w:r w:rsidRPr="0091756B">
              <w:t>Operating Statement (detailed) (GL21150) – This report must be certified by the principal and the school council president</w:t>
            </w:r>
            <w:r>
              <w:t>;</w:t>
            </w:r>
          </w:p>
          <w:p w14:paraId="330CB22A" w14:textId="77777777" w:rsidR="00972CF2" w:rsidRPr="0091756B" w:rsidRDefault="00972CF2">
            <w:pPr>
              <w:pStyle w:val="ListBullet"/>
              <w:ind w:left="396"/>
            </w:pPr>
            <w:r w:rsidRPr="0091756B">
              <w:t>Cash Flow Statement (GL21151)</w:t>
            </w:r>
            <w:r>
              <w:t>;</w:t>
            </w:r>
          </w:p>
          <w:p w14:paraId="091BC31D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Bank Account Movements Detailed (GL21152)</w:t>
            </w:r>
            <w:r>
              <w:t>;</w:t>
            </w:r>
          </w:p>
          <w:p w14:paraId="0918D873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Cash Receipts Report (GL21152)</w:t>
            </w:r>
            <w:r>
              <w:t>;</w:t>
            </w:r>
          </w:p>
          <w:p w14:paraId="19346E00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Cash Payments Report (GL21002)</w:t>
            </w:r>
            <w:r>
              <w:t>;</w:t>
            </w:r>
          </w:p>
          <w:p w14:paraId="0B6CAEA6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Cancelled Receipts Report (GL21004) – This report must be certified by the principal</w:t>
            </w:r>
            <w:r>
              <w:t>;</w:t>
            </w:r>
          </w:p>
          <w:p w14:paraId="6374D611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Cancelled Payments Report (GL21005) – This report must be certified by the principal</w:t>
            </w:r>
            <w:r>
              <w:t>;</w:t>
            </w:r>
          </w:p>
          <w:p w14:paraId="14453A1F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Invoices Awaiting Payment Detailed (GL21118)</w:t>
            </w:r>
            <w:r>
              <w:t>;</w:t>
            </w:r>
          </w:p>
          <w:p w14:paraId="3ED378F9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Annual Subprogram Budget Report (GL21157)</w:t>
            </w:r>
            <w:r>
              <w:t>;</w:t>
            </w:r>
          </w:p>
          <w:p w14:paraId="51D4CDC2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Journal Report (GL21006) – This report must be certified by the principal</w:t>
            </w:r>
            <w:r>
              <w:t>;</w:t>
            </w:r>
          </w:p>
          <w:p w14:paraId="6BE67B7E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Family Credit Notes Report (DF21309) – This report must be certified by the principal</w:t>
            </w:r>
            <w:r>
              <w:t>;</w:t>
            </w:r>
          </w:p>
          <w:p w14:paraId="041C7FD2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Sundry Debtor Credit Notes Report (DR21309) – This report must be certified by the principal</w:t>
            </w:r>
            <w:r>
              <w:t>;</w:t>
            </w:r>
          </w:p>
          <w:p w14:paraId="54605642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Bank Reconciliation Reports</w:t>
            </w:r>
            <w:r>
              <w:t>;</w:t>
            </w:r>
          </w:p>
          <w:p w14:paraId="0ED9F9F2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A report that informs school council of the overall S</w:t>
            </w:r>
            <w:r>
              <w:t>tudent Resource Package (S</w:t>
            </w:r>
            <w:r w:rsidRPr="0091756B">
              <w:t>RP</w:t>
            </w:r>
            <w:r>
              <w:t>)</w:t>
            </w:r>
            <w:r w:rsidRPr="0091756B">
              <w:t xml:space="preserve"> position of the school.</w:t>
            </w:r>
          </w:p>
        </w:tc>
        <w:tc>
          <w:tcPr>
            <w:tcW w:w="930" w:type="dxa"/>
          </w:tcPr>
          <w:p w14:paraId="2DE9D34B" w14:textId="77777777" w:rsidR="00972CF2" w:rsidRPr="0091756B" w:rsidRDefault="00972CF2" w:rsidP="00714E93"/>
        </w:tc>
      </w:tr>
      <w:tr w:rsidR="00972CF2" w:rsidRPr="0091756B" w14:paraId="31C9AA54" w14:textId="7E5BBAEF" w:rsidTr="00D0451D">
        <w:trPr>
          <w:trHeight w:val="567"/>
        </w:trPr>
        <w:tc>
          <w:tcPr>
            <w:tcW w:w="1134" w:type="dxa"/>
            <w:shd w:val="clear" w:color="auto" w:fill="auto"/>
          </w:tcPr>
          <w:p w14:paraId="73F9999C" w14:textId="77777777" w:rsidR="00972CF2" w:rsidRPr="0091756B" w:rsidRDefault="00972CF2" w:rsidP="00714E93">
            <w:r w:rsidRPr="0091756B">
              <w:t>16.3.1.2</w:t>
            </w:r>
          </w:p>
        </w:tc>
        <w:tc>
          <w:tcPr>
            <w:tcW w:w="7088" w:type="dxa"/>
            <w:shd w:val="clear" w:color="auto" w:fill="auto"/>
          </w:tcPr>
          <w:p w14:paraId="4986F31A" w14:textId="77777777" w:rsidR="00972CF2" w:rsidRPr="0091756B" w:rsidRDefault="00972CF2" w:rsidP="00714E93">
            <w:r w:rsidRPr="0091756B">
              <w:t>Present the following reports to school council each month for review:</w:t>
            </w:r>
          </w:p>
          <w:p w14:paraId="592908FB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Balance Sheet Specific Period (GL21161) – This report must be certified by the principal and the school council president</w:t>
            </w:r>
            <w:r>
              <w:t>;</w:t>
            </w:r>
          </w:p>
          <w:p w14:paraId="164A6B8A" w14:textId="77777777" w:rsidR="00972CF2" w:rsidRPr="0091756B" w:rsidRDefault="00972CF2" w:rsidP="00FA7ED2">
            <w:pPr>
              <w:pStyle w:val="ListBullet"/>
              <w:ind w:left="396"/>
            </w:pPr>
            <w:r w:rsidRPr="0091756B">
              <w:t>Operating Statement (detailed) (GL21150) – This report must be certified by the principal and the school council president.</w:t>
            </w:r>
          </w:p>
        </w:tc>
        <w:tc>
          <w:tcPr>
            <w:tcW w:w="930" w:type="dxa"/>
          </w:tcPr>
          <w:p w14:paraId="201F6919" w14:textId="77777777" w:rsidR="00972CF2" w:rsidRPr="0091756B" w:rsidRDefault="00972CF2" w:rsidP="00714E93"/>
        </w:tc>
      </w:tr>
      <w:tr w:rsidR="00972CF2" w:rsidRPr="0091756B" w14:paraId="36F289A0" w14:textId="700FAABD" w:rsidTr="00D0451D">
        <w:trPr>
          <w:trHeight w:hRule="exact" w:val="737"/>
        </w:trPr>
        <w:tc>
          <w:tcPr>
            <w:tcW w:w="1134" w:type="dxa"/>
            <w:shd w:val="clear" w:color="auto" w:fill="auto"/>
          </w:tcPr>
          <w:p w14:paraId="20981895" w14:textId="77777777" w:rsidR="00972CF2" w:rsidRPr="0091756B" w:rsidRDefault="00972CF2" w:rsidP="00714E93">
            <w:r>
              <w:t>16.3.1.3</w:t>
            </w:r>
          </w:p>
        </w:tc>
        <w:tc>
          <w:tcPr>
            <w:tcW w:w="7088" w:type="dxa"/>
            <w:shd w:val="clear" w:color="auto" w:fill="auto"/>
          </w:tcPr>
          <w:p w14:paraId="05F3CB39" w14:textId="77777777" w:rsidR="00972CF2" w:rsidRPr="0091756B" w:rsidRDefault="00972CF2" w:rsidP="00714E93">
            <w:r>
              <w:t>Inform school council of the overall Student Resource Package (SRP) position of the school.</w:t>
            </w:r>
          </w:p>
        </w:tc>
        <w:tc>
          <w:tcPr>
            <w:tcW w:w="930" w:type="dxa"/>
          </w:tcPr>
          <w:p w14:paraId="2415F984" w14:textId="77777777" w:rsidR="00972CF2" w:rsidRDefault="00972CF2" w:rsidP="00714E93"/>
        </w:tc>
      </w:tr>
      <w:tr w:rsidR="00972CF2" w:rsidRPr="0091756B" w14:paraId="61660652" w14:textId="7A12034F" w:rsidTr="00D0451D">
        <w:trPr>
          <w:trHeight w:hRule="exact" w:val="737"/>
        </w:trPr>
        <w:tc>
          <w:tcPr>
            <w:tcW w:w="1134" w:type="dxa"/>
            <w:shd w:val="clear" w:color="auto" w:fill="auto"/>
          </w:tcPr>
          <w:p w14:paraId="1196A10F" w14:textId="77777777" w:rsidR="00972CF2" w:rsidRDefault="00972CF2" w:rsidP="00714E93">
            <w:r>
              <w:t>16.3.1.4</w:t>
            </w:r>
          </w:p>
        </w:tc>
        <w:tc>
          <w:tcPr>
            <w:tcW w:w="7088" w:type="dxa"/>
            <w:shd w:val="clear" w:color="auto" w:fill="auto"/>
          </w:tcPr>
          <w:p w14:paraId="5AAD7F6F" w14:textId="77777777" w:rsidR="00972CF2" w:rsidRDefault="00972CF2" w:rsidP="00717522">
            <w:r>
              <w:t>As required, provide school council with reports on trading operations. (Refer to section 12 Trading Operations).</w:t>
            </w:r>
          </w:p>
        </w:tc>
        <w:tc>
          <w:tcPr>
            <w:tcW w:w="930" w:type="dxa"/>
          </w:tcPr>
          <w:p w14:paraId="2015DD0C" w14:textId="77777777" w:rsidR="00972CF2" w:rsidRDefault="00972CF2" w:rsidP="00717522"/>
        </w:tc>
      </w:tr>
      <w:tr w:rsidR="00972CF2" w:rsidRPr="0091756B" w14:paraId="799BE66F" w14:textId="01CDC5D8" w:rsidTr="00D0451D">
        <w:trPr>
          <w:trHeight w:hRule="exact" w:val="737"/>
        </w:trPr>
        <w:tc>
          <w:tcPr>
            <w:tcW w:w="1134" w:type="dxa"/>
            <w:shd w:val="clear" w:color="auto" w:fill="auto"/>
          </w:tcPr>
          <w:p w14:paraId="220D6D34" w14:textId="77777777" w:rsidR="00972CF2" w:rsidRDefault="00972CF2" w:rsidP="00714E93">
            <w:r>
              <w:t>16.3.1.5</w:t>
            </w:r>
          </w:p>
        </w:tc>
        <w:tc>
          <w:tcPr>
            <w:tcW w:w="7088" w:type="dxa"/>
            <w:shd w:val="clear" w:color="auto" w:fill="auto"/>
          </w:tcPr>
          <w:p w14:paraId="78232F91" w14:textId="45334A18" w:rsidR="00972CF2" w:rsidRDefault="00406B7E" w:rsidP="00714E93">
            <w:r>
              <w:t>P</w:t>
            </w:r>
            <w:r w:rsidR="00972CF2">
              <w:t xml:space="preserve">rovide school council with </w:t>
            </w:r>
            <w:r>
              <w:t xml:space="preserve">a </w:t>
            </w:r>
            <w:r w:rsidR="00972CF2">
              <w:t>report</w:t>
            </w:r>
            <w:r>
              <w:t xml:space="preserve"> outlining the financial outcome of all </w:t>
            </w:r>
            <w:r w:rsidR="00972CF2">
              <w:t>camps and excursions.</w:t>
            </w:r>
          </w:p>
        </w:tc>
        <w:tc>
          <w:tcPr>
            <w:tcW w:w="930" w:type="dxa"/>
          </w:tcPr>
          <w:p w14:paraId="4E2B9096" w14:textId="77777777" w:rsidR="00972CF2" w:rsidRDefault="00972CF2" w:rsidP="00714E93"/>
        </w:tc>
      </w:tr>
      <w:tr w:rsidR="00972CF2" w:rsidRPr="0091756B" w14:paraId="397793A6" w14:textId="7856AF45" w:rsidTr="00D0451D">
        <w:trPr>
          <w:trHeight w:hRule="exact" w:val="1021"/>
        </w:trPr>
        <w:tc>
          <w:tcPr>
            <w:tcW w:w="1134" w:type="dxa"/>
            <w:shd w:val="clear" w:color="auto" w:fill="auto"/>
          </w:tcPr>
          <w:p w14:paraId="6CE431DF" w14:textId="77777777" w:rsidR="00972CF2" w:rsidRPr="0091756B" w:rsidRDefault="00972CF2" w:rsidP="00714E93">
            <w:r w:rsidRPr="0091756B">
              <w:lastRenderedPageBreak/>
              <w:t>16.3.1.</w:t>
            </w:r>
            <w:r>
              <w:t>6</w:t>
            </w:r>
          </w:p>
        </w:tc>
        <w:tc>
          <w:tcPr>
            <w:tcW w:w="7088" w:type="dxa"/>
            <w:shd w:val="clear" w:color="auto" w:fill="auto"/>
          </w:tcPr>
          <w:p w14:paraId="095A3A77" w14:textId="77777777" w:rsidR="00972CF2" w:rsidRPr="0091756B" w:rsidRDefault="00972CF2" w:rsidP="00714E93">
            <w:r w:rsidRPr="0091756B">
              <w:t>Record in the minutes of school council that the reports have been presented and reviewed</w:t>
            </w:r>
            <w:r>
              <w:t xml:space="preserve"> and retain copies of the reports for audit purposes</w:t>
            </w:r>
            <w:r w:rsidRPr="0091756B">
              <w:t>.</w:t>
            </w:r>
          </w:p>
        </w:tc>
        <w:tc>
          <w:tcPr>
            <w:tcW w:w="930" w:type="dxa"/>
          </w:tcPr>
          <w:p w14:paraId="308EE6AC" w14:textId="77777777" w:rsidR="00972CF2" w:rsidRPr="0091756B" w:rsidRDefault="00972CF2" w:rsidP="00714E93"/>
        </w:tc>
      </w:tr>
    </w:tbl>
    <w:p w14:paraId="3058B175" w14:textId="10D91807" w:rsidR="005E01F3" w:rsidRDefault="005E01F3" w:rsidP="00D0451D">
      <w:pPr>
        <w:pStyle w:val="Heading2"/>
        <w:pBdr>
          <w:top w:val="single" w:sz="8" w:space="0" w:color="AF272F"/>
        </w:pBdr>
      </w:pPr>
      <w:r w:rsidRPr="005E01F3">
        <w:t>16.4 School annual report</w:t>
      </w:r>
    </w:p>
    <w:p w14:paraId="7629127B" w14:textId="1E590F9A" w:rsidR="000852D5" w:rsidRPr="00AD3210" w:rsidRDefault="000852D5" w:rsidP="00AD3210">
      <w:r w:rsidRPr="00AD3210">
        <w:t>The</w:t>
      </w:r>
      <w:r w:rsidR="003D4CFE">
        <w:t xml:space="preserve"> </w:t>
      </w:r>
      <w:r w:rsidRPr="00AD3210">
        <w:t>purpose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annual</w:t>
      </w:r>
      <w:r w:rsidR="003D4CFE">
        <w:t xml:space="preserve"> </w:t>
      </w:r>
      <w:r w:rsidRPr="00AD3210">
        <w:t>report</w:t>
      </w:r>
      <w:r w:rsidR="003D4CFE">
        <w:t xml:space="preserve"> </w:t>
      </w:r>
      <w:r w:rsidRPr="00AD3210">
        <w:t>is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inform</w:t>
      </w:r>
      <w:r w:rsidR="003D4CFE">
        <w:t xml:space="preserve"> </w:t>
      </w:r>
      <w:r w:rsidRPr="00AD3210">
        <w:t>parents</w:t>
      </w:r>
      <w:r w:rsidR="003D4CFE">
        <w:t xml:space="preserve"> </w:t>
      </w:r>
      <w:r w:rsidRPr="00AD3210">
        <w:t>and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wider</w:t>
      </w:r>
      <w:r w:rsidR="003D4CFE">
        <w:t xml:space="preserve"> </w:t>
      </w:r>
      <w:r w:rsidRPr="00AD3210">
        <w:t>school</w:t>
      </w:r>
      <w:r w:rsidR="003D4CFE">
        <w:t xml:space="preserve"> </w:t>
      </w:r>
      <w:r w:rsidRPr="00AD3210">
        <w:t>community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school's</w:t>
      </w:r>
      <w:r w:rsidR="003D4CFE">
        <w:t xml:space="preserve"> </w:t>
      </w:r>
      <w:r w:rsidRPr="00AD3210">
        <w:t>performance</w:t>
      </w:r>
      <w:r w:rsidR="003D4CFE">
        <w:t xml:space="preserve"> </w:t>
      </w:r>
      <w:r w:rsidRPr="00AD3210">
        <w:t>outcomes</w:t>
      </w:r>
      <w:r w:rsidR="006D7338" w:rsidRPr="00AD3210">
        <w:t>,</w:t>
      </w:r>
      <w:r w:rsidR="003D4CFE">
        <w:t xml:space="preserve"> </w:t>
      </w:r>
      <w:r w:rsidRPr="00AD3210">
        <w:t>its</w:t>
      </w:r>
      <w:r w:rsidR="003D4CFE">
        <w:t xml:space="preserve"> </w:t>
      </w:r>
      <w:r w:rsidRPr="00AD3210">
        <w:t>efforts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progress</w:t>
      </w:r>
      <w:r w:rsidR="003D4CFE">
        <w:t xml:space="preserve"> </w:t>
      </w:r>
      <w:r w:rsidRPr="00AD3210">
        <w:t>improved</w:t>
      </w:r>
      <w:r w:rsidR="003D4CFE">
        <w:t xml:space="preserve"> </w:t>
      </w:r>
      <w:r w:rsidRPr="00AD3210">
        <w:t>student</w:t>
      </w:r>
      <w:r w:rsidR="003D4CFE">
        <w:t xml:space="preserve"> </w:t>
      </w:r>
      <w:r w:rsidRPr="00AD3210">
        <w:t>achievement,</w:t>
      </w:r>
      <w:r w:rsidR="003D4CFE">
        <w:t xml:space="preserve"> </w:t>
      </w:r>
      <w:r w:rsidRPr="00AD3210">
        <w:t>and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meet</w:t>
      </w:r>
      <w:r w:rsidR="003D4CFE">
        <w:t xml:space="preserve"> </w:t>
      </w:r>
      <w:r w:rsidRPr="00AD3210">
        <w:t>legislative</w:t>
      </w:r>
      <w:r w:rsidR="003D4CFE">
        <w:t xml:space="preserve"> </w:t>
      </w:r>
      <w:r w:rsidRPr="00AD3210">
        <w:t>and</w:t>
      </w:r>
      <w:r w:rsidR="003D4CFE">
        <w:t xml:space="preserve"> </w:t>
      </w:r>
      <w:r w:rsidRPr="00AD3210">
        <w:t>regulatory</w:t>
      </w:r>
      <w:r w:rsidR="003D4CFE">
        <w:t xml:space="preserve"> </w:t>
      </w:r>
      <w:r w:rsidRPr="00AD3210">
        <w:t>requirements</w:t>
      </w:r>
      <w:r w:rsidR="003D4CFE">
        <w:t xml:space="preserve"> </w:t>
      </w:r>
      <w:r w:rsidRPr="00AD3210">
        <w:t>under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61125D">
        <w:rPr>
          <w:i/>
        </w:rPr>
        <w:t>Education</w:t>
      </w:r>
      <w:r w:rsidR="003D4CFE" w:rsidRPr="0061125D">
        <w:rPr>
          <w:i/>
        </w:rPr>
        <w:t xml:space="preserve"> </w:t>
      </w:r>
      <w:r w:rsidRPr="0061125D">
        <w:rPr>
          <w:i/>
        </w:rPr>
        <w:t>and</w:t>
      </w:r>
      <w:r w:rsidR="003D4CFE" w:rsidRPr="0061125D">
        <w:rPr>
          <w:i/>
        </w:rPr>
        <w:t xml:space="preserve"> </w:t>
      </w:r>
      <w:r w:rsidRPr="0061125D">
        <w:rPr>
          <w:i/>
        </w:rPr>
        <w:t>Training</w:t>
      </w:r>
      <w:r w:rsidR="003D4CFE" w:rsidRPr="0061125D">
        <w:rPr>
          <w:i/>
        </w:rPr>
        <w:t xml:space="preserve"> </w:t>
      </w:r>
      <w:r w:rsidRPr="0061125D">
        <w:rPr>
          <w:i/>
        </w:rPr>
        <w:t>Reform</w:t>
      </w:r>
      <w:r w:rsidR="003D4CFE" w:rsidRPr="0061125D">
        <w:rPr>
          <w:i/>
        </w:rPr>
        <w:t xml:space="preserve"> </w:t>
      </w:r>
      <w:r w:rsidRPr="0061125D">
        <w:rPr>
          <w:i/>
        </w:rPr>
        <w:t>Act</w:t>
      </w:r>
      <w:r w:rsidR="003D4CFE" w:rsidRPr="0061125D">
        <w:rPr>
          <w:i/>
        </w:rPr>
        <w:t xml:space="preserve"> </w:t>
      </w:r>
      <w:r w:rsidRPr="0061125D">
        <w:rPr>
          <w:i/>
        </w:rPr>
        <w:t>2006</w:t>
      </w:r>
      <w:r w:rsidR="00024F9A">
        <w:rPr>
          <w:i/>
        </w:rPr>
        <w:t>.</w:t>
      </w:r>
    </w:p>
    <w:p w14:paraId="20B6FD29" w14:textId="77777777" w:rsidR="000852D5" w:rsidRPr="00AD3210" w:rsidRDefault="000852D5" w:rsidP="00AD3210">
      <w:r w:rsidRPr="00AD3210">
        <w:t>Schools</w:t>
      </w:r>
      <w:r w:rsidR="003D4CFE">
        <w:t xml:space="preserve"> </w:t>
      </w:r>
      <w:r w:rsidRPr="00AD3210">
        <w:t>are</w:t>
      </w:r>
      <w:r w:rsidR="003D4CFE">
        <w:t xml:space="preserve"> </w:t>
      </w:r>
      <w:r w:rsidRPr="00AD3210">
        <w:t>required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submit</w:t>
      </w:r>
      <w:r w:rsidR="003D4CFE">
        <w:t xml:space="preserve"> </w:t>
      </w:r>
      <w:r w:rsidRPr="00AD3210">
        <w:t>a</w:t>
      </w:r>
      <w:r w:rsidR="003D4CFE">
        <w:t xml:space="preserve"> </w:t>
      </w:r>
      <w:r w:rsidRPr="00AD3210">
        <w:t>school</w:t>
      </w:r>
      <w:r w:rsidR="003D4CFE">
        <w:t xml:space="preserve"> </w:t>
      </w:r>
      <w:r w:rsidRPr="00AD3210">
        <w:t>annual</w:t>
      </w:r>
      <w:r w:rsidR="003D4CFE">
        <w:t xml:space="preserve"> </w:t>
      </w:r>
      <w:r w:rsidRPr="00AD3210">
        <w:t>report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Department</w:t>
      </w:r>
      <w:r w:rsidR="003D4CFE">
        <w:t xml:space="preserve"> </w:t>
      </w:r>
      <w:r w:rsidRPr="00AD3210">
        <w:t>by</w:t>
      </w:r>
      <w:r w:rsidR="003D4CFE">
        <w:t xml:space="preserve"> </w:t>
      </w:r>
      <w:r w:rsidRPr="00AD3210">
        <w:t>30</w:t>
      </w:r>
      <w:r w:rsidR="003D4CFE">
        <w:t xml:space="preserve"> </w:t>
      </w:r>
      <w:r w:rsidRPr="00AD3210">
        <w:t>April</w:t>
      </w:r>
      <w:r w:rsidR="003D4CFE">
        <w:t xml:space="preserve"> </w:t>
      </w:r>
      <w:r w:rsidRPr="00AD3210">
        <w:t>each</w:t>
      </w:r>
      <w:r w:rsidR="003D4CFE">
        <w:t xml:space="preserve"> </w:t>
      </w:r>
      <w:r w:rsidRPr="00AD3210">
        <w:t>year.</w:t>
      </w:r>
    </w:p>
    <w:p w14:paraId="271AC6C4" w14:textId="77777777" w:rsidR="000852D5" w:rsidRPr="00AD3210" w:rsidRDefault="000852D5" w:rsidP="00AD3210">
      <w:r w:rsidRPr="00AD3210">
        <w:t>Annual</w:t>
      </w:r>
      <w:r w:rsidR="003D4CFE">
        <w:t xml:space="preserve"> </w:t>
      </w:r>
      <w:r w:rsidRPr="00AD3210">
        <w:t>reports</w:t>
      </w:r>
      <w:r w:rsidR="003D4CFE">
        <w:t xml:space="preserve"> </w:t>
      </w:r>
      <w:r w:rsidRPr="00AD3210">
        <w:t>are</w:t>
      </w:r>
      <w:r w:rsidR="003D4CFE">
        <w:t xml:space="preserve"> </w:t>
      </w:r>
      <w:r w:rsidRPr="00AD3210">
        <w:t>made</w:t>
      </w:r>
      <w:r w:rsidR="003D4CFE">
        <w:t xml:space="preserve"> </w:t>
      </w:r>
      <w:r w:rsidRPr="00AD3210">
        <w:t>available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school</w:t>
      </w:r>
      <w:r w:rsidR="003D4CFE">
        <w:t xml:space="preserve"> </w:t>
      </w:r>
      <w:r w:rsidRPr="00AD3210">
        <w:t>community</w:t>
      </w:r>
      <w:r w:rsidR="003D4CFE">
        <w:t xml:space="preserve"> </w:t>
      </w:r>
      <w:r w:rsidRPr="00AD3210">
        <w:t>at</w:t>
      </w:r>
      <w:r w:rsidR="003D4CFE">
        <w:t xml:space="preserve"> </w:t>
      </w:r>
      <w:r w:rsidRPr="00AD3210">
        <w:t>a</w:t>
      </w:r>
      <w:r w:rsidR="003D4CFE">
        <w:t xml:space="preserve"> </w:t>
      </w:r>
      <w:r w:rsidRPr="00AD3210">
        <w:t>public</w:t>
      </w:r>
      <w:r w:rsidR="003D4CFE">
        <w:t xml:space="preserve"> </w:t>
      </w:r>
      <w:r w:rsidRPr="00AD3210">
        <w:t>meeting</w:t>
      </w:r>
      <w:r w:rsidR="003D4CFE">
        <w:t xml:space="preserve"> </w:t>
      </w:r>
      <w:r w:rsidRPr="00AD3210">
        <w:t>organised</w:t>
      </w:r>
      <w:r w:rsidR="003D4CFE">
        <w:t xml:space="preserve"> </w:t>
      </w:r>
      <w:r w:rsidRPr="00AD3210">
        <w:t>by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school</w:t>
      </w:r>
      <w:r w:rsidR="003D4CFE">
        <w:t xml:space="preserve"> </w:t>
      </w:r>
      <w:r w:rsidRPr="00AD3210">
        <w:t>principal,</w:t>
      </w:r>
      <w:r w:rsidR="003D4CFE">
        <w:t xml:space="preserve"> </w:t>
      </w:r>
      <w:r w:rsidRPr="00AD3210">
        <w:t>and</w:t>
      </w:r>
      <w:r w:rsidR="003D4CFE">
        <w:t xml:space="preserve"> </w:t>
      </w:r>
      <w:r w:rsidRPr="00AD3210">
        <w:t>on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VRQA</w:t>
      </w:r>
      <w:r w:rsidR="003D4CFE">
        <w:t xml:space="preserve"> </w:t>
      </w:r>
      <w:r w:rsidRPr="00AD3210">
        <w:t>State</w:t>
      </w:r>
      <w:r w:rsidR="003D4CFE">
        <w:t xml:space="preserve"> </w:t>
      </w:r>
      <w:r w:rsidRPr="00AD3210">
        <w:t>Register.</w:t>
      </w:r>
    </w:p>
    <w:p w14:paraId="494821DF" w14:textId="77777777" w:rsidR="000852D5" w:rsidRDefault="000852D5" w:rsidP="00AD3210">
      <w:r w:rsidRPr="00AD3210">
        <w:t>Each</w:t>
      </w:r>
      <w:r w:rsidR="003D4CFE">
        <w:t xml:space="preserve"> </w:t>
      </w:r>
      <w:r w:rsidRPr="00AD3210">
        <w:t>school’s</w:t>
      </w:r>
      <w:r w:rsidR="003D4CFE">
        <w:t xml:space="preserve"> </w:t>
      </w:r>
      <w:r w:rsidRPr="00AD3210">
        <w:t>annual</w:t>
      </w:r>
      <w:r w:rsidR="003D4CFE">
        <w:t xml:space="preserve"> report template can be accessed </w:t>
      </w:r>
      <w:r w:rsidRPr="00AD3210">
        <w:t>from</w:t>
      </w:r>
      <w:r w:rsidR="003D4CFE">
        <w:t xml:space="preserve"> </w:t>
      </w:r>
      <w:r w:rsidRPr="00AD3210">
        <w:t>the</w:t>
      </w:r>
      <w:r w:rsidR="003D4CFE">
        <w:t xml:space="preserve"> </w:t>
      </w:r>
      <w:hyperlink r:id="rId12" w:history="1">
        <w:r w:rsidRPr="00AD3210">
          <w:rPr>
            <w:rStyle w:val="Hyperlink"/>
          </w:rPr>
          <w:t>School</w:t>
        </w:r>
        <w:r w:rsidR="003D4CFE">
          <w:rPr>
            <w:rStyle w:val="Hyperlink"/>
          </w:rPr>
          <w:t xml:space="preserve"> </w:t>
        </w:r>
        <w:r w:rsidRPr="00AD3210">
          <w:rPr>
            <w:rStyle w:val="Hyperlink"/>
          </w:rPr>
          <w:t>Performance</w:t>
        </w:r>
        <w:r w:rsidR="003D4CFE">
          <w:rPr>
            <w:rStyle w:val="Hyperlink"/>
          </w:rPr>
          <w:t xml:space="preserve"> </w:t>
        </w:r>
        <w:r w:rsidRPr="00AD3210">
          <w:rPr>
            <w:rStyle w:val="Hyperlink"/>
          </w:rPr>
          <w:t>Reporting</w:t>
        </w:r>
      </w:hyperlink>
      <w:r w:rsidR="003D4CFE">
        <w:t xml:space="preserve"> </w:t>
      </w:r>
      <w:r w:rsidRPr="00AD3210">
        <w:t>website.</w:t>
      </w:r>
    </w:p>
    <w:p w14:paraId="6F484B97" w14:textId="77777777" w:rsidR="0051778F" w:rsidRPr="00AD3210" w:rsidRDefault="00114F00" w:rsidP="003D4CFE">
      <w:pPr>
        <w:pStyle w:val="Heading3"/>
      </w:pPr>
      <w:r w:rsidRPr="00AD3210">
        <w:t>16</w:t>
      </w:r>
      <w:r w:rsidR="0051778F" w:rsidRPr="00AD3210">
        <w:t>.4.1</w:t>
      </w:r>
      <w:r w:rsidR="003D4CFE">
        <w:tab/>
      </w:r>
      <w:r w:rsidR="0051778F" w:rsidRPr="00AD3210">
        <w:t>Mandatory</w:t>
      </w:r>
      <w:r w:rsidR="003D4CFE">
        <w:t xml:space="preserve"> </w:t>
      </w:r>
      <w:r w:rsidR="0051778F" w:rsidRPr="00AD3210">
        <w:t>policy</w:t>
      </w:r>
      <w:r w:rsidR="003D4CFE">
        <w:t xml:space="preserve"> </w:t>
      </w:r>
      <w:r w:rsidR="0051778F" w:rsidRPr="00AD3210">
        <w:t>(</w:t>
      </w:r>
      <w:r w:rsidR="00CF1CB9">
        <w:t>Must do</w:t>
      </w:r>
      <w:r w:rsidR="0051778F" w:rsidRPr="00AD3210">
        <w:t>)</w:t>
      </w:r>
      <w:r w:rsidR="002D0187">
        <w:t>:</w:t>
      </w:r>
    </w:p>
    <w:tbl>
      <w:tblPr>
        <w:tblStyle w:val="GridTable6Colorful1"/>
        <w:tblW w:w="91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214"/>
        <w:gridCol w:w="6946"/>
        <w:gridCol w:w="992"/>
      </w:tblGrid>
      <w:tr w:rsidR="00972CF2" w:rsidRPr="0091756B" w14:paraId="617ACC9E" w14:textId="075D0CCC" w:rsidTr="00D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bottom w:val="none" w:sz="0" w:space="0" w:color="auto"/>
            </w:tcBorders>
          </w:tcPr>
          <w:p w14:paraId="05CC7FA8" w14:textId="77777777" w:rsidR="00972CF2" w:rsidRPr="00D0451D" w:rsidRDefault="00972CF2" w:rsidP="0037676B">
            <w:pPr>
              <w:rPr>
                <w:sz w:val="18"/>
              </w:rPr>
            </w:pPr>
            <w:r w:rsidRPr="00B71B08">
              <w:rPr>
                <w:sz w:val="18"/>
              </w:rPr>
              <w:t>Sequence Numbers</w:t>
            </w:r>
          </w:p>
        </w:tc>
        <w:tc>
          <w:tcPr>
            <w:tcW w:w="6946" w:type="dxa"/>
            <w:tcBorders>
              <w:bottom w:val="none" w:sz="0" w:space="0" w:color="auto"/>
            </w:tcBorders>
          </w:tcPr>
          <w:p w14:paraId="114A10FF" w14:textId="77777777" w:rsidR="00972CF2" w:rsidRPr="00E93B21" w:rsidRDefault="00972CF2" w:rsidP="00376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B21">
              <w:rPr>
                <w:sz w:val="20"/>
                <w:szCs w:val="20"/>
              </w:rPr>
              <w:t>Information</w:t>
            </w:r>
          </w:p>
        </w:tc>
        <w:tc>
          <w:tcPr>
            <w:tcW w:w="992" w:type="dxa"/>
            <w:tcBorders>
              <w:top w:val="nil"/>
              <w:bottom w:val="none" w:sz="0" w:space="0" w:color="auto"/>
              <w:right w:val="nil"/>
            </w:tcBorders>
          </w:tcPr>
          <w:p w14:paraId="17C09C0B" w14:textId="77777777" w:rsidR="00972CF2" w:rsidRPr="00B71B08" w:rsidRDefault="00972CF2" w:rsidP="00376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CF2" w:rsidRPr="0091756B" w14:paraId="02BE25CC" w14:textId="532F12BC" w:rsidTr="00D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bottom w:val="none" w:sz="0" w:space="0" w:color="auto"/>
            </w:tcBorders>
          </w:tcPr>
          <w:p w14:paraId="4388C90E" w14:textId="77777777" w:rsidR="00972CF2" w:rsidRPr="0091756B" w:rsidRDefault="00972CF2" w:rsidP="00136338">
            <w:pPr>
              <w:rPr>
                <w:b w:val="0"/>
              </w:rPr>
            </w:pPr>
            <w:r w:rsidRPr="0091756B">
              <w:rPr>
                <w:b w:val="0"/>
              </w:rPr>
              <w:t>16.4.1.</w:t>
            </w:r>
            <w:r>
              <w:rPr>
                <w:b w:val="0"/>
              </w:rPr>
              <w:t>1</w:t>
            </w:r>
          </w:p>
        </w:tc>
        <w:tc>
          <w:tcPr>
            <w:tcW w:w="6946" w:type="dxa"/>
            <w:tcBorders>
              <w:bottom w:val="none" w:sz="0" w:space="0" w:color="auto"/>
            </w:tcBorders>
          </w:tcPr>
          <w:p w14:paraId="7195F8D2" w14:textId="77777777" w:rsidR="00972CF2" w:rsidRPr="0091756B" w:rsidRDefault="00972CF2" w:rsidP="00AD3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1756B">
              <w:rPr>
                <w:b w:val="0"/>
              </w:rPr>
              <w:t xml:space="preserve">Complete end of year procedures </w:t>
            </w:r>
            <w:r>
              <w:rPr>
                <w:b w:val="0"/>
              </w:rPr>
              <w:t xml:space="preserve">(31 December) </w:t>
            </w:r>
            <w:r w:rsidRPr="0091756B">
              <w:rPr>
                <w:b w:val="0"/>
              </w:rPr>
              <w:t>by the due date set for school annual report data collection.</w:t>
            </w:r>
          </w:p>
        </w:tc>
        <w:tc>
          <w:tcPr>
            <w:tcW w:w="992" w:type="dxa"/>
            <w:tcBorders>
              <w:bottom w:val="none" w:sz="0" w:space="0" w:color="auto"/>
            </w:tcBorders>
          </w:tcPr>
          <w:p w14:paraId="4FEE8DBD" w14:textId="77777777" w:rsidR="00972CF2" w:rsidRPr="0091756B" w:rsidRDefault="00972CF2" w:rsidP="00AD3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BCBD67" w14:textId="77777777" w:rsidR="008C0B02" w:rsidRPr="00AD3210" w:rsidRDefault="008C0B02" w:rsidP="00AD3210"/>
    <w:p w14:paraId="0ABAFE67" w14:textId="77777777" w:rsidR="0051778F" w:rsidRPr="00B71B08" w:rsidRDefault="003A4545">
      <w:pPr>
        <w:pStyle w:val="Heading2"/>
      </w:pPr>
      <w:r w:rsidRPr="00AD3210">
        <w:t>16</w:t>
      </w:r>
      <w:r w:rsidR="0051778F" w:rsidRPr="00AD3210">
        <w:t>.5</w:t>
      </w:r>
      <w:r w:rsidR="003D4CFE">
        <w:tab/>
      </w:r>
      <w:r w:rsidR="003D4CFE" w:rsidRPr="00B71B08">
        <w:t>F</w:t>
      </w:r>
      <w:r w:rsidRPr="00B71B08">
        <w:t>inancial</w:t>
      </w:r>
      <w:r w:rsidR="003D4CFE">
        <w:t xml:space="preserve"> </w:t>
      </w:r>
      <w:r w:rsidR="00087841">
        <w:t>C</w:t>
      </w:r>
      <w:r w:rsidRPr="00AD3210">
        <w:t>ommitment</w:t>
      </w:r>
      <w:r w:rsidR="003D4CFE">
        <w:t xml:space="preserve"> </w:t>
      </w:r>
      <w:r w:rsidR="00087841">
        <w:t>S</w:t>
      </w:r>
      <w:r w:rsidRPr="00AD3210">
        <w:t>ummary</w:t>
      </w:r>
    </w:p>
    <w:p w14:paraId="42BE61B3" w14:textId="13AA6DD0" w:rsidR="00E97212" w:rsidRDefault="00E97212" w:rsidP="00717522">
      <w:r w:rsidRPr="00AD3210">
        <w:t>The</w:t>
      </w:r>
      <w:r w:rsidR="003D4CFE">
        <w:t xml:space="preserve"> </w:t>
      </w:r>
      <w:r w:rsidRPr="00AD3210">
        <w:t>Financial</w:t>
      </w:r>
      <w:r w:rsidR="003D4CFE">
        <w:t xml:space="preserve"> </w:t>
      </w:r>
      <w:r w:rsidRPr="00AD3210">
        <w:t>Commitment</w:t>
      </w:r>
      <w:r w:rsidR="003D4CFE">
        <w:t xml:space="preserve"> </w:t>
      </w:r>
      <w:r w:rsidRPr="00AD3210">
        <w:t>Summary</w:t>
      </w:r>
      <w:r w:rsidR="003D4CFE">
        <w:t xml:space="preserve"> </w:t>
      </w:r>
      <w:r w:rsidRPr="00AD3210">
        <w:t>assists</w:t>
      </w:r>
      <w:r w:rsidR="003D4CFE">
        <w:t xml:space="preserve"> </w:t>
      </w:r>
      <w:r w:rsidRPr="00AD3210">
        <w:t>with</w:t>
      </w:r>
      <w:r w:rsidR="003D4CFE">
        <w:t xml:space="preserve"> </w:t>
      </w:r>
      <w:r w:rsidRPr="00AD3210">
        <w:t>identifying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end</w:t>
      </w:r>
      <w:r w:rsidR="003D4CFE">
        <w:t xml:space="preserve"> </w:t>
      </w:r>
      <w:r w:rsidRPr="00AD3210">
        <w:t>use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funds</w:t>
      </w:r>
      <w:r w:rsidR="003D4CFE">
        <w:t xml:space="preserve"> </w:t>
      </w:r>
      <w:r w:rsidRPr="00AD3210">
        <w:t>held</w:t>
      </w:r>
      <w:r w:rsidR="003D4CFE">
        <w:t xml:space="preserve"> </w:t>
      </w:r>
      <w:r w:rsidRPr="00AD3210">
        <w:t>by</w:t>
      </w:r>
      <w:r w:rsidR="003D4CFE">
        <w:t xml:space="preserve"> </w:t>
      </w:r>
      <w:r w:rsidRPr="00AD3210">
        <w:t>a</w:t>
      </w:r>
      <w:r w:rsidR="003D4CFE">
        <w:t xml:space="preserve"> </w:t>
      </w:r>
      <w:r w:rsidRPr="00AD3210">
        <w:t>school</w:t>
      </w:r>
      <w:r w:rsidR="003D4CFE">
        <w:t xml:space="preserve"> </w:t>
      </w:r>
      <w:r w:rsidRPr="00AD3210">
        <w:t>at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close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year.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pre-populated</w:t>
      </w:r>
      <w:r w:rsidR="003D4CFE">
        <w:t xml:space="preserve"> </w:t>
      </w:r>
      <w:r w:rsidRPr="00AD3210">
        <w:t>total</w:t>
      </w:r>
      <w:r w:rsidR="003D4CFE">
        <w:t xml:space="preserve"> </w:t>
      </w:r>
      <w:r w:rsidRPr="00AD3210">
        <w:t>bank</w:t>
      </w:r>
      <w:r w:rsidR="003D4CFE">
        <w:t xml:space="preserve"> </w:t>
      </w:r>
      <w:r w:rsidRPr="00AD3210">
        <w:t>account</w:t>
      </w:r>
      <w:r w:rsidR="003D4CFE">
        <w:t xml:space="preserve"> </w:t>
      </w:r>
      <w:r w:rsidRPr="00AD3210">
        <w:t>balance</w:t>
      </w:r>
      <w:r w:rsidR="003D4CFE">
        <w:t xml:space="preserve"> </w:t>
      </w:r>
      <w:r w:rsidRPr="00AD3210">
        <w:t>amount,</w:t>
      </w:r>
      <w:r w:rsidR="003D4CFE">
        <w:t xml:space="preserve"> </w:t>
      </w:r>
      <w:r w:rsidRPr="00AD3210">
        <w:t>less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operating</w:t>
      </w:r>
      <w:r w:rsidR="003D4CFE">
        <w:t xml:space="preserve"> </w:t>
      </w:r>
      <w:r w:rsidRPr="00AD3210">
        <w:t>reserve</w:t>
      </w:r>
      <w:r w:rsidR="003D4CFE">
        <w:t xml:space="preserve"> </w:t>
      </w:r>
      <w:r w:rsidRPr="00AD3210">
        <w:t>amount,</w:t>
      </w:r>
      <w:r w:rsidR="003D4CFE">
        <w:t xml:space="preserve"> </w:t>
      </w:r>
      <w:r w:rsidRPr="00AD3210">
        <w:t>is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amount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funds</w:t>
      </w:r>
      <w:r w:rsidR="003D4CFE">
        <w:t xml:space="preserve"> </w:t>
      </w:r>
      <w:r w:rsidRPr="00AD3210">
        <w:t>that</w:t>
      </w:r>
      <w:r w:rsidR="003D4CFE">
        <w:t xml:space="preserve"> </w:t>
      </w:r>
      <w:r w:rsidRPr="00AD3210">
        <w:t>are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be</w:t>
      </w:r>
      <w:r w:rsidR="003D4CFE">
        <w:t xml:space="preserve"> </w:t>
      </w:r>
      <w:r w:rsidRPr="00AD3210">
        <w:t>committed</w:t>
      </w:r>
      <w:r w:rsidR="003D4CFE">
        <w:t xml:space="preserve"> </w:t>
      </w:r>
      <w:r w:rsidRPr="00AD3210">
        <w:t>by</w:t>
      </w:r>
      <w:r w:rsidR="003D4CFE">
        <w:t xml:space="preserve"> </w:t>
      </w:r>
      <w:r w:rsidRPr="00AD3210">
        <w:t>way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Financial</w:t>
      </w:r>
      <w:r w:rsidR="003D4CFE">
        <w:t xml:space="preserve"> </w:t>
      </w:r>
      <w:r w:rsidRPr="00AD3210">
        <w:t>Commitment</w:t>
      </w:r>
      <w:r w:rsidR="003D4CFE">
        <w:t xml:space="preserve"> </w:t>
      </w:r>
      <w:r w:rsidRPr="00AD3210">
        <w:t>Summary.</w:t>
      </w:r>
      <w:r w:rsidR="003D4CFE">
        <w:t xml:space="preserve"> </w:t>
      </w:r>
      <w:r w:rsidRPr="00AD3210">
        <w:t>A</w:t>
      </w:r>
      <w:r w:rsidR="003D4CFE">
        <w:t xml:space="preserve"> </w:t>
      </w:r>
      <w:r w:rsidRPr="00AD3210">
        <w:t>Financial</w:t>
      </w:r>
      <w:r w:rsidR="003D4CFE">
        <w:t xml:space="preserve"> </w:t>
      </w:r>
      <w:r w:rsidRPr="00AD3210">
        <w:t>Commitment</w:t>
      </w:r>
      <w:r w:rsidR="003D4CFE">
        <w:t xml:space="preserve"> </w:t>
      </w:r>
      <w:r w:rsidRPr="00AD3210">
        <w:t>Worksheet</w:t>
      </w:r>
      <w:r w:rsidR="003D4CFE">
        <w:t xml:space="preserve"> </w:t>
      </w:r>
      <w:r w:rsidRPr="00AD3210">
        <w:t>is</w:t>
      </w:r>
      <w:r w:rsidR="003D4CFE">
        <w:t xml:space="preserve"> </w:t>
      </w:r>
      <w:r w:rsidRPr="00AD3210">
        <w:t>available</w:t>
      </w:r>
      <w:r w:rsidR="003D4CFE">
        <w:t xml:space="preserve"> </w:t>
      </w:r>
      <w:r w:rsidRPr="00AD3210">
        <w:t>to</w:t>
      </w:r>
      <w:r w:rsidR="003D4CFE">
        <w:t xml:space="preserve"> </w:t>
      </w:r>
      <w:r w:rsidRPr="00AD3210">
        <w:t>assist</w:t>
      </w:r>
      <w:r w:rsidR="003D4CFE">
        <w:t xml:space="preserve"> </w:t>
      </w:r>
      <w:r w:rsidRPr="00AD3210">
        <w:t>schools</w:t>
      </w:r>
      <w:r w:rsidR="003D4CFE">
        <w:t xml:space="preserve"> </w:t>
      </w:r>
      <w:r w:rsidRPr="00AD3210">
        <w:t>with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breakdown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available</w:t>
      </w:r>
      <w:r w:rsidR="003D4CFE">
        <w:t xml:space="preserve"> </w:t>
      </w:r>
      <w:r w:rsidRPr="00AD3210">
        <w:t>funds</w:t>
      </w:r>
      <w:r w:rsidR="003D4CFE">
        <w:t xml:space="preserve"> </w:t>
      </w:r>
      <w:r w:rsidR="006D7338" w:rsidRPr="00AD3210">
        <w:t>and</w:t>
      </w:r>
      <w:r w:rsidR="003D4CFE">
        <w:t xml:space="preserve"> </w:t>
      </w:r>
      <w:r w:rsidR="006D7338" w:rsidRPr="00AD3210">
        <w:t>how</w:t>
      </w:r>
      <w:r w:rsidR="003D4CFE">
        <w:t xml:space="preserve"> </w:t>
      </w:r>
      <w:r w:rsidR="006D7338" w:rsidRPr="00AD3210">
        <w:t>to</w:t>
      </w:r>
      <w:r w:rsidR="003D4CFE">
        <w:t xml:space="preserve"> </w:t>
      </w:r>
      <w:r w:rsidR="006D7338" w:rsidRPr="00AD3210">
        <w:t>allocate</w:t>
      </w:r>
      <w:r w:rsidR="003D4CFE">
        <w:t xml:space="preserve"> </w:t>
      </w:r>
      <w:r w:rsidR="006D7338" w:rsidRPr="00AD3210">
        <w:t>them</w:t>
      </w:r>
      <w:r w:rsidR="003D4CFE">
        <w:t xml:space="preserve"> </w:t>
      </w:r>
      <w:r w:rsidRPr="00AD3210">
        <w:t>into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various</w:t>
      </w:r>
      <w:r w:rsidR="003D4CFE">
        <w:t xml:space="preserve"> </w:t>
      </w:r>
      <w:r w:rsidRPr="00AD3210">
        <w:t>commitment</w:t>
      </w:r>
      <w:r w:rsidR="003D4CFE">
        <w:t xml:space="preserve"> </w:t>
      </w:r>
      <w:r w:rsidRPr="00AD3210">
        <w:t>categories</w:t>
      </w:r>
      <w:r w:rsidR="006D7338" w:rsidRPr="00AD3210">
        <w:t>.</w:t>
      </w:r>
    </w:p>
    <w:p w14:paraId="0C4375F2" w14:textId="60FC3D48" w:rsidR="00E526A5" w:rsidRDefault="00E526A5" w:rsidP="00717522"/>
    <w:p w14:paraId="47C7CF2B" w14:textId="4C60B81B" w:rsidR="00E526A5" w:rsidRDefault="00E526A5" w:rsidP="00717522"/>
    <w:p w14:paraId="3583CDAF" w14:textId="387D8D69" w:rsidR="00636B2A" w:rsidRDefault="00636B2A" w:rsidP="00717522"/>
    <w:p w14:paraId="43A6D594" w14:textId="77777777" w:rsidR="00636B2A" w:rsidRDefault="00636B2A" w:rsidP="00717522"/>
    <w:p w14:paraId="2ABA01A1" w14:textId="7676252E" w:rsidR="00E526A5" w:rsidRDefault="00E526A5" w:rsidP="00717522"/>
    <w:p w14:paraId="2D7D50F8" w14:textId="77777777" w:rsidR="005E01F3" w:rsidRDefault="005E01F3" w:rsidP="00717522"/>
    <w:p w14:paraId="1CB6F748" w14:textId="77777777" w:rsidR="00E97212" w:rsidRPr="00AD3210" w:rsidRDefault="003A4545" w:rsidP="003D4CFE">
      <w:pPr>
        <w:pStyle w:val="Heading3"/>
      </w:pPr>
      <w:r w:rsidRPr="00AD3210">
        <w:lastRenderedPageBreak/>
        <w:t>16</w:t>
      </w:r>
      <w:r w:rsidR="0051778F" w:rsidRPr="00AD3210">
        <w:t>.5.1</w:t>
      </w:r>
      <w:r w:rsidR="003D4CFE">
        <w:tab/>
      </w:r>
      <w:r w:rsidR="0051778F" w:rsidRPr="00AD3210">
        <w:t>Mandatory</w:t>
      </w:r>
      <w:r w:rsidR="003D4CFE">
        <w:t xml:space="preserve"> </w:t>
      </w:r>
      <w:r w:rsidR="0051778F" w:rsidRPr="00AD3210">
        <w:t>policy</w:t>
      </w:r>
      <w:r w:rsidR="003D4CFE">
        <w:t xml:space="preserve"> </w:t>
      </w:r>
      <w:r w:rsidR="0051778F" w:rsidRPr="00AD3210">
        <w:t>(</w:t>
      </w:r>
      <w:r w:rsidR="00CF1CB9">
        <w:t>Must do</w:t>
      </w:r>
      <w:r w:rsidR="0051778F" w:rsidRPr="00AD3210">
        <w:t>)</w:t>
      </w:r>
      <w:r w:rsidR="002D0187">
        <w:t>:</w:t>
      </w:r>
    </w:p>
    <w:tbl>
      <w:tblPr>
        <w:tblStyle w:val="GridTable6Colorful1"/>
        <w:tblW w:w="91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072"/>
        <w:gridCol w:w="7230"/>
        <w:gridCol w:w="850"/>
      </w:tblGrid>
      <w:tr w:rsidR="00972CF2" w:rsidRPr="0091756B" w14:paraId="6A07EE7F" w14:textId="5329D105" w:rsidTr="00D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none" w:sz="0" w:space="0" w:color="auto"/>
            </w:tcBorders>
          </w:tcPr>
          <w:p w14:paraId="6DB3B257" w14:textId="77777777" w:rsidR="00972CF2" w:rsidRPr="00D0451D" w:rsidRDefault="00972CF2" w:rsidP="0037676B">
            <w:pPr>
              <w:rPr>
                <w:sz w:val="18"/>
              </w:rPr>
            </w:pPr>
            <w:r w:rsidRPr="00B71B08">
              <w:rPr>
                <w:sz w:val="18"/>
              </w:rPr>
              <w:t>Sequence Numbers</w:t>
            </w:r>
          </w:p>
        </w:tc>
        <w:tc>
          <w:tcPr>
            <w:tcW w:w="7230" w:type="dxa"/>
            <w:tcBorders>
              <w:bottom w:val="none" w:sz="0" w:space="0" w:color="auto"/>
            </w:tcBorders>
          </w:tcPr>
          <w:p w14:paraId="21CDAA38" w14:textId="77777777" w:rsidR="00972CF2" w:rsidRPr="00E93B21" w:rsidRDefault="00972CF2" w:rsidP="00376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3B21">
              <w:rPr>
                <w:sz w:val="20"/>
                <w:szCs w:val="20"/>
              </w:rPr>
              <w:t>Information</w:t>
            </w:r>
          </w:p>
        </w:tc>
        <w:tc>
          <w:tcPr>
            <w:tcW w:w="850" w:type="dxa"/>
            <w:tcBorders>
              <w:top w:val="nil"/>
              <w:bottom w:val="none" w:sz="0" w:space="0" w:color="auto"/>
              <w:right w:val="nil"/>
            </w:tcBorders>
          </w:tcPr>
          <w:p w14:paraId="064498CB" w14:textId="77777777" w:rsidR="00972CF2" w:rsidRPr="00B71B08" w:rsidRDefault="00972CF2" w:rsidP="00376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CF2" w:rsidRPr="0091756B" w14:paraId="46F825FD" w14:textId="10A64D69" w:rsidTr="00D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none" w:sz="0" w:space="0" w:color="auto"/>
            </w:tcBorders>
          </w:tcPr>
          <w:p w14:paraId="3239442C" w14:textId="77777777" w:rsidR="00972CF2" w:rsidRPr="0091756B" w:rsidRDefault="00972CF2" w:rsidP="00AD3210">
            <w:pPr>
              <w:rPr>
                <w:b w:val="0"/>
              </w:rPr>
            </w:pPr>
            <w:r w:rsidRPr="0091756B">
              <w:rPr>
                <w:b w:val="0"/>
              </w:rPr>
              <w:t>16.5.1.1</w:t>
            </w:r>
          </w:p>
        </w:tc>
        <w:tc>
          <w:tcPr>
            <w:tcW w:w="7230" w:type="dxa"/>
            <w:tcBorders>
              <w:bottom w:val="none" w:sz="0" w:space="0" w:color="auto"/>
            </w:tcBorders>
          </w:tcPr>
          <w:p w14:paraId="59F91C9B" w14:textId="77777777" w:rsidR="00972CF2" w:rsidRPr="0091756B" w:rsidRDefault="00972CF2" w:rsidP="00AD3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1756B">
              <w:rPr>
                <w:b w:val="0"/>
              </w:rPr>
              <w:t>Complete the Financial Commitment Summary as part of CASES21 end of year procedures.</w:t>
            </w:r>
          </w:p>
        </w:tc>
        <w:tc>
          <w:tcPr>
            <w:tcW w:w="850" w:type="dxa"/>
            <w:tcBorders>
              <w:bottom w:val="none" w:sz="0" w:space="0" w:color="auto"/>
            </w:tcBorders>
          </w:tcPr>
          <w:p w14:paraId="56F46852" w14:textId="77777777" w:rsidR="00972CF2" w:rsidRPr="0091756B" w:rsidRDefault="00972CF2" w:rsidP="00AD3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CF2" w:rsidRPr="0091756B" w14:paraId="0B89D6DB" w14:textId="7952EDF3" w:rsidTr="00D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none" w:sz="0" w:space="0" w:color="auto"/>
            </w:tcBorders>
            <w:shd w:val="clear" w:color="auto" w:fill="auto"/>
          </w:tcPr>
          <w:p w14:paraId="38D647C8" w14:textId="77777777" w:rsidR="00972CF2" w:rsidRPr="0091756B" w:rsidRDefault="00972CF2" w:rsidP="00AD3210">
            <w:pPr>
              <w:rPr>
                <w:b w:val="0"/>
              </w:rPr>
            </w:pPr>
            <w:r w:rsidRPr="0091756B">
              <w:rPr>
                <w:b w:val="0"/>
              </w:rPr>
              <w:t>16.5.1.2</w:t>
            </w:r>
          </w:p>
        </w:tc>
        <w:tc>
          <w:tcPr>
            <w:tcW w:w="7230" w:type="dxa"/>
            <w:tcBorders>
              <w:bottom w:val="none" w:sz="0" w:space="0" w:color="auto"/>
            </w:tcBorders>
            <w:shd w:val="clear" w:color="auto" w:fill="auto"/>
          </w:tcPr>
          <w:p w14:paraId="0F8C9A94" w14:textId="77777777" w:rsidR="00972CF2" w:rsidRPr="00BE339D" w:rsidRDefault="00972CF2" w:rsidP="00AD3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339D">
              <w:rPr>
                <w:b w:val="0"/>
              </w:rPr>
              <w:t>Complete and retain the Financial Commitment Summary Worksheet as part of end of year procedures.</w:t>
            </w:r>
          </w:p>
        </w:tc>
        <w:tc>
          <w:tcPr>
            <w:tcW w:w="850" w:type="dxa"/>
            <w:tcBorders>
              <w:bottom w:val="none" w:sz="0" w:space="0" w:color="auto"/>
            </w:tcBorders>
          </w:tcPr>
          <w:p w14:paraId="7D7F6D26" w14:textId="77777777" w:rsidR="00972CF2" w:rsidRPr="00B71B08" w:rsidRDefault="00972CF2" w:rsidP="00AD3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2CF2" w:rsidRPr="0091756B" w14:paraId="375753A0" w14:textId="1C8B3DF9" w:rsidTr="00D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none" w:sz="0" w:space="0" w:color="auto"/>
            </w:tcBorders>
          </w:tcPr>
          <w:p w14:paraId="42044F2C" w14:textId="77777777" w:rsidR="00972CF2" w:rsidRPr="0091756B" w:rsidRDefault="00972CF2" w:rsidP="00AD3210">
            <w:pPr>
              <w:rPr>
                <w:b w:val="0"/>
              </w:rPr>
            </w:pPr>
            <w:r w:rsidRPr="0091756B">
              <w:rPr>
                <w:b w:val="0"/>
              </w:rPr>
              <w:t>16.5.1.3</w:t>
            </w:r>
          </w:p>
        </w:tc>
        <w:tc>
          <w:tcPr>
            <w:tcW w:w="7230" w:type="dxa"/>
            <w:tcBorders>
              <w:bottom w:val="none" w:sz="0" w:space="0" w:color="auto"/>
            </w:tcBorders>
          </w:tcPr>
          <w:p w14:paraId="3A5E2CFE" w14:textId="77777777" w:rsidR="00972CF2" w:rsidRPr="00BE339D" w:rsidRDefault="00972CF2" w:rsidP="00AD3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E339D">
              <w:rPr>
                <w:b w:val="0"/>
              </w:rPr>
              <w:t>Have the Financial Commitment Summary reviewed and signed by the principal and school council president and tabled at school council.</w:t>
            </w:r>
          </w:p>
        </w:tc>
        <w:tc>
          <w:tcPr>
            <w:tcW w:w="850" w:type="dxa"/>
            <w:tcBorders>
              <w:bottom w:val="none" w:sz="0" w:space="0" w:color="auto"/>
            </w:tcBorders>
          </w:tcPr>
          <w:p w14:paraId="24D533FA" w14:textId="77777777" w:rsidR="00972CF2" w:rsidRPr="00B71B08" w:rsidRDefault="00972CF2" w:rsidP="00AD3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2FF1D3" w14:textId="502266A7" w:rsidR="003A4545" w:rsidRPr="00AD3210" w:rsidRDefault="003A4545" w:rsidP="003D4CFE">
      <w:pPr>
        <w:pStyle w:val="Heading3"/>
      </w:pPr>
      <w:r w:rsidRPr="00AD3210">
        <w:t>16.5.2</w:t>
      </w:r>
      <w:r w:rsidR="003D4CFE">
        <w:t xml:space="preserve"> </w:t>
      </w:r>
      <w:r w:rsidR="003D4CFE">
        <w:tab/>
      </w:r>
      <w:r w:rsidRPr="00AD3210">
        <w:t>Prohibited</w:t>
      </w:r>
      <w:r w:rsidR="003D4CFE">
        <w:t xml:space="preserve"> </w:t>
      </w:r>
      <w:r w:rsidRPr="00AD3210">
        <w:t>policy</w:t>
      </w:r>
      <w:r w:rsidR="003D4CFE">
        <w:t xml:space="preserve"> </w:t>
      </w:r>
      <w:r w:rsidRPr="00AD3210">
        <w:t>(</w:t>
      </w:r>
      <w:r w:rsidR="00CF1CB9">
        <w:t>Must not do</w:t>
      </w:r>
      <w:r w:rsidRPr="00AD3210">
        <w:t>)</w:t>
      </w:r>
      <w:r w:rsidR="002D0187">
        <w:t>:</w:t>
      </w:r>
    </w:p>
    <w:tbl>
      <w:tblPr>
        <w:tblW w:w="91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containing sequence numbers and policy information"/>
      </w:tblPr>
      <w:tblGrid>
        <w:gridCol w:w="1101"/>
        <w:gridCol w:w="7201"/>
        <w:gridCol w:w="850"/>
      </w:tblGrid>
      <w:tr w:rsidR="00972CF2" w:rsidRPr="0091756B" w14:paraId="170DFCAE" w14:textId="2D0D1FEC" w:rsidTr="00D0451D">
        <w:trPr>
          <w:trHeight w:hRule="exact" w:val="73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1ED4" w14:textId="77777777" w:rsidR="00972CF2" w:rsidRPr="00D0451D" w:rsidRDefault="00972CF2" w:rsidP="0037676B">
            <w:pPr>
              <w:rPr>
                <w:b/>
                <w:sz w:val="18"/>
              </w:rPr>
            </w:pPr>
            <w:r w:rsidRPr="00D0451D">
              <w:rPr>
                <w:b/>
                <w:sz w:val="18"/>
              </w:rPr>
              <w:t>Sequence Numbers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5C9F" w14:textId="77777777" w:rsidR="00972CF2" w:rsidRPr="00E93B21" w:rsidRDefault="00972CF2" w:rsidP="0037676B">
            <w:pPr>
              <w:rPr>
                <w:b/>
                <w:sz w:val="20"/>
                <w:szCs w:val="20"/>
              </w:rPr>
            </w:pPr>
            <w:r w:rsidRPr="00E93B21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8E6644" w14:textId="77777777" w:rsidR="00972CF2" w:rsidRPr="00E526A5" w:rsidRDefault="00972CF2" w:rsidP="0037676B">
            <w:pPr>
              <w:rPr>
                <w:b/>
              </w:rPr>
            </w:pPr>
          </w:p>
        </w:tc>
      </w:tr>
      <w:tr w:rsidR="00972CF2" w:rsidRPr="0091756B" w14:paraId="5B32F07B" w14:textId="50F62E1F" w:rsidTr="00D0451D">
        <w:trPr>
          <w:trHeight w:hRule="exact" w:val="737"/>
        </w:trPr>
        <w:tc>
          <w:tcPr>
            <w:tcW w:w="1101" w:type="dxa"/>
            <w:shd w:val="clear" w:color="auto" w:fill="auto"/>
          </w:tcPr>
          <w:p w14:paraId="465CF72E" w14:textId="77777777" w:rsidR="00972CF2" w:rsidRPr="0091756B" w:rsidRDefault="00972CF2" w:rsidP="003D4CFE">
            <w:r w:rsidRPr="0091756B">
              <w:t>16.5.2.1</w:t>
            </w:r>
          </w:p>
        </w:tc>
        <w:tc>
          <w:tcPr>
            <w:tcW w:w="7201" w:type="dxa"/>
            <w:shd w:val="clear" w:color="auto" w:fill="auto"/>
          </w:tcPr>
          <w:p w14:paraId="77837D25" w14:textId="77777777" w:rsidR="00972CF2" w:rsidRPr="0091756B" w:rsidRDefault="00972CF2" w:rsidP="003D4CFE">
            <w:r w:rsidRPr="0091756B">
              <w:t>Increase the cash reserve benchmark in the Financial Commitment Summary beyond the system calculated amount.</w:t>
            </w:r>
          </w:p>
        </w:tc>
        <w:tc>
          <w:tcPr>
            <w:tcW w:w="850" w:type="dxa"/>
          </w:tcPr>
          <w:p w14:paraId="0F543900" w14:textId="77777777" w:rsidR="00972CF2" w:rsidRPr="0091756B" w:rsidRDefault="00972CF2" w:rsidP="003D4CFE"/>
        </w:tc>
      </w:tr>
    </w:tbl>
    <w:p w14:paraId="73D79025" w14:textId="77777777" w:rsidR="00B71B08" w:rsidRDefault="00B71B08" w:rsidP="00500B5D"/>
    <w:p w14:paraId="4C408CD4" w14:textId="70536021" w:rsidR="00500B5D" w:rsidRDefault="00500B5D" w:rsidP="00500B5D"/>
    <w:p w14:paraId="63677B4D" w14:textId="77777777" w:rsidR="0051778F" w:rsidRPr="00AD3210" w:rsidRDefault="0051778F" w:rsidP="003D4CFE">
      <w:pPr>
        <w:pStyle w:val="Heading2"/>
      </w:pPr>
      <w:r w:rsidRPr="00AD3210">
        <w:t>Legislative</w:t>
      </w:r>
      <w:r w:rsidR="003D4CFE">
        <w:t xml:space="preserve"> </w:t>
      </w:r>
      <w:r w:rsidRPr="00AD3210">
        <w:t>requirements</w:t>
      </w:r>
    </w:p>
    <w:p w14:paraId="13F23475" w14:textId="77777777" w:rsidR="0051778F" w:rsidRPr="00AD3210" w:rsidRDefault="0051778F" w:rsidP="003D4CFE">
      <w:pPr>
        <w:pStyle w:val="Heading3"/>
      </w:pPr>
      <w:r w:rsidRPr="00AD3210">
        <w:t>Legislation</w:t>
      </w:r>
    </w:p>
    <w:p w14:paraId="4DD32D2B" w14:textId="77777777" w:rsidR="0051778F" w:rsidRPr="00AD3210" w:rsidRDefault="0051778F" w:rsidP="00AD3210">
      <w:r w:rsidRPr="00AD3210">
        <w:t>The</w:t>
      </w:r>
      <w:r w:rsidR="003D4CFE">
        <w:t xml:space="preserve"> </w:t>
      </w:r>
      <w:r w:rsidRPr="00AD3210">
        <w:t>advice</w:t>
      </w:r>
      <w:r w:rsidR="003D4CFE">
        <w:t xml:space="preserve"> </w:t>
      </w:r>
      <w:r w:rsidRPr="00AD3210">
        <w:t>in</w:t>
      </w:r>
      <w:r w:rsidR="003D4CFE">
        <w:t xml:space="preserve"> </w:t>
      </w:r>
      <w:r w:rsidRPr="00AD3210">
        <w:t>this</w:t>
      </w:r>
      <w:r w:rsidR="003D4CFE">
        <w:t xml:space="preserve"> </w:t>
      </w:r>
      <w:r w:rsidRPr="00AD3210">
        <w:t>section</w:t>
      </w:r>
      <w:r w:rsidR="003D4CFE">
        <w:t xml:space="preserve"> </w:t>
      </w:r>
      <w:r w:rsidRPr="00AD3210">
        <w:t>was</w:t>
      </w:r>
      <w:r w:rsidR="003D4CFE">
        <w:t xml:space="preserve"> </w:t>
      </w:r>
      <w:r w:rsidRPr="00AD3210">
        <w:t>based</w:t>
      </w:r>
      <w:r w:rsidR="003D4CFE">
        <w:t xml:space="preserve"> </w:t>
      </w:r>
      <w:r w:rsidRPr="00AD3210">
        <w:t>on</w:t>
      </w:r>
      <w:r w:rsidR="003D4CFE">
        <w:t xml:space="preserve"> </w:t>
      </w:r>
      <w:r w:rsidRPr="00AD3210">
        <w:t>requirements</w:t>
      </w:r>
      <w:r w:rsidR="003D4CFE">
        <w:t xml:space="preserve"> </w:t>
      </w:r>
      <w:r w:rsidRPr="00AD3210">
        <w:t>outlined</w:t>
      </w:r>
      <w:r w:rsidR="003D4CFE">
        <w:t xml:space="preserve"> </w:t>
      </w:r>
      <w:r w:rsidRPr="00AD3210">
        <w:t>in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following</w:t>
      </w:r>
      <w:r w:rsidR="003D4CFE">
        <w:t xml:space="preserve"> </w:t>
      </w:r>
      <w:r w:rsidRPr="00AD3210">
        <w:t>legislation:</w:t>
      </w:r>
    </w:p>
    <w:p w14:paraId="39789B18" w14:textId="77777777" w:rsidR="0051778F" w:rsidRPr="00AD3210" w:rsidRDefault="0051778F" w:rsidP="003D4CFE">
      <w:pPr>
        <w:pStyle w:val="ListBullet"/>
      </w:pPr>
      <w:r w:rsidRPr="00717522">
        <w:rPr>
          <w:i/>
        </w:rPr>
        <w:t>Education</w:t>
      </w:r>
      <w:r w:rsidR="003D4CFE" w:rsidRPr="00717522">
        <w:rPr>
          <w:i/>
        </w:rPr>
        <w:t xml:space="preserve"> </w:t>
      </w:r>
      <w:r w:rsidRPr="00717522">
        <w:rPr>
          <w:i/>
        </w:rPr>
        <w:t>and</w:t>
      </w:r>
      <w:r w:rsidR="003D4CFE" w:rsidRPr="00717522">
        <w:rPr>
          <w:i/>
        </w:rPr>
        <w:t xml:space="preserve"> </w:t>
      </w:r>
      <w:r w:rsidRPr="00717522">
        <w:rPr>
          <w:i/>
        </w:rPr>
        <w:t>Training</w:t>
      </w:r>
      <w:r w:rsidR="003D4CFE" w:rsidRPr="00717522">
        <w:rPr>
          <w:i/>
        </w:rPr>
        <w:t xml:space="preserve"> </w:t>
      </w:r>
      <w:r w:rsidRPr="00717522">
        <w:rPr>
          <w:i/>
        </w:rPr>
        <w:t>Reform</w:t>
      </w:r>
      <w:r w:rsidR="003D4CFE" w:rsidRPr="00717522">
        <w:rPr>
          <w:i/>
        </w:rPr>
        <w:t xml:space="preserve"> </w:t>
      </w:r>
      <w:r w:rsidRPr="00717522">
        <w:rPr>
          <w:i/>
        </w:rPr>
        <w:t>Act</w:t>
      </w:r>
      <w:r w:rsidR="003D4CFE" w:rsidRPr="00717522">
        <w:rPr>
          <w:i/>
        </w:rPr>
        <w:t xml:space="preserve"> </w:t>
      </w:r>
      <w:r w:rsidRPr="00717522">
        <w:rPr>
          <w:i/>
        </w:rPr>
        <w:t>2006</w:t>
      </w:r>
      <w:r w:rsidR="003D4CFE">
        <w:t xml:space="preserve"> </w:t>
      </w:r>
      <w:r w:rsidRPr="00AD3210">
        <w:t>–</w:t>
      </w:r>
      <w:r w:rsidR="003D4CFE">
        <w:t xml:space="preserve"> </w:t>
      </w:r>
      <w:r w:rsidR="00CE1579" w:rsidRPr="00AD3210">
        <w:t>Part</w:t>
      </w:r>
      <w:r w:rsidR="003D4CFE">
        <w:t xml:space="preserve"> </w:t>
      </w:r>
      <w:r w:rsidR="00CE1579" w:rsidRPr="00AD3210">
        <w:t>2.3</w:t>
      </w:r>
      <w:r w:rsidR="003D4CFE">
        <w:t xml:space="preserve"> </w:t>
      </w:r>
      <w:r w:rsidR="00CE1579" w:rsidRPr="00AD3210">
        <w:t>–</w:t>
      </w:r>
      <w:r w:rsidR="003D4CFE">
        <w:t xml:space="preserve"> </w:t>
      </w:r>
      <w:r w:rsidR="00CE1579" w:rsidRPr="00AD3210">
        <w:t>Government</w:t>
      </w:r>
      <w:r w:rsidR="003D4CFE">
        <w:t xml:space="preserve"> </w:t>
      </w:r>
      <w:r w:rsidR="00CE1579" w:rsidRPr="00AD3210">
        <w:t>School</w:t>
      </w:r>
      <w:r w:rsidR="003D4CFE">
        <w:t xml:space="preserve"> </w:t>
      </w:r>
      <w:r w:rsidR="00CE1579" w:rsidRPr="00AD3210">
        <w:t>Councils</w:t>
      </w:r>
      <w:r w:rsidR="003D4CFE">
        <w:t xml:space="preserve"> </w:t>
      </w:r>
    </w:p>
    <w:p w14:paraId="62E2C4B4" w14:textId="77777777" w:rsidR="000C5AAD" w:rsidRPr="0008210B" w:rsidRDefault="000C5AAD" w:rsidP="000C5AAD">
      <w:pPr>
        <w:pStyle w:val="ListBullet"/>
      </w:pPr>
      <w:r w:rsidRPr="00F1501C">
        <w:rPr>
          <w:i/>
        </w:rPr>
        <w:t>Education and Training Regulations 20</w:t>
      </w:r>
      <w:r>
        <w:rPr>
          <w:i/>
        </w:rPr>
        <w:t>1</w:t>
      </w:r>
      <w:r w:rsidRPr="00F1501C">
        <w:rPr>
          <w:i/>
        </w:rPr>
        <w:t>7</w:t>
      </w:r>
      <w:r w:rsidRPr="0008210B">
        <w:t xml:space="preserve"> – Part </w:t>
      </w:r>
      <w:r>
        <w:t>4</w:t>
      </w:r>
      <w:r w:rsidRPr="0008210B">
        <w:t xml:space="preserve"> – Government School Councils</w:t>
      </w:r>
      <w:r>
        <w:t xml:space="preserve"> and Parents Clubs.</w:t>
      </w:r>
    </w:p>
    <w:p w14:paraId="30A11731" w14:textId="499BCA8C" w:rsidR="00136338" w:rsidRPr="00AD3210" w:rsidRDefault="00136338" w:rsidP="00C839E6">
      <w:pPr>
        <w:pStyle w:val="ListBullet"/>
      </w:pPr>
    </w:p>
    <w:p w14:paraId="2F03788F" w14:textId="186E8CDD" w:rsidR="0051778F" w:rsidRPr="00AD3210" w:rsidRDefault="0051778F" w:rsidP="003D4CFE">
      <w:pPr>
        <w:pStyle w:val="ListBullet"/>
      </w:pPr>
      <w:r w:rsidRPr="00AD3210">
        <w:t>Standing</w:t>
      </w:r>
      <w:r w:rsidR="003D4CFE">
        <w:t xml:space="preserve"> </w:t>
      </w:r>
      <w:r w:rsidRPr="00AD3210">
        <w:t>Directions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Minister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Finance</w:t>
      </w:r>
      <w:r w:rsidR="003D4CFE">
        <w:t xml:space="preserve"> </w:t>
      </w:r>
      <w:r w:rsidRPr="00AD3210">
        <w:t>201</w:t>
      </w:r>
      <w:r w:rsidR="00CA3B87">
        <w:t>8</w:t>
      </w:r>
      <w:r w:rsidR="0028031B">
        <w:t xml:space="preserve"> under the </w:t>
      </w:r>
      <w:r w:rsidR="0028031B" w:rsidRPr="0028031B">
        <w:rPr>
          <w:i/>
        </w:rPr>
        <w:t>Financial Management Act 1994</w:t>
      </w:r>
      <w:r w:rsidR="003D4CFE">
        <w:t xml:space="preserve"> </w:t>
      </w:r>
      <w:r w:rsidR="00096CA9" w:rsidRPr="00AD3210">
        <w:t>–</w:t>
      </w:r>
      <w:r w:rsidR="003D4CFE">
        <w:t xml:space="preserve"> </w:t>
      </w:r>
      <w:r w:rsidR="00096CA9" w:rsidRPr="00AD3210">
        <w:t>Section</w:t>
      </w:r>
      <w:r w:rsidR="003D4CFE">
        <w:t xml:space="preserve"> </w:t>
      </w:r>
      <w:r w:rsidR="00096CA9" w:rsidRPr="00AD3210">
        <w:t>4.1</w:t>
      </w:r>
      <w:r w:rsidR="003D4CFE">
        <w:t xml:space="preserve"> </w:t>
      </w:r>
      <w:r w:rsidR="00096CA9" w:rsidRPr="00AD3210">
        <w:t>Planning</w:t>
      </w:r>
      <w:r w:rsidR="003D4CFE">
        <w:t xml:space="preserve"> </w:t>
      </w:r>
      <w:r w:rsidR="00096CA9" w:rsidRPr="00AD3210">
        <w:t>and</w:t>
      </w:r>
      <w:r w:rsidR="003D4CFE">
        <w:t xml:space="preserve"> </w:t>
      </w:r>
      <w:r w:rsidR="00096CA9" w:rsidRPr="00AD3210">
        <w:t>managing</w:t>
      </w:r>
      <w:r w:rsidR="003D4CFE">
        <w:t xml:space="preserve"> </w:t>
      </w:r>
      <w:r w:rsidR="00096CA9" w:rsidRPr="00AD3210">
        <w:t>performance,</w:t>
      </w:r>
      <w:r w:rsidR="003D4CFE">
        <w:t xml:space="preserve"> </w:t>
      </w:r>
      <w:r w:rsidR="00096CA9" w:rsidRPr="00AD3210">
        <w:t>5.2</w:t>
      </w:r>
      <w:r w:rsidR="003D4CFE">
        <w:t xml:space="preserve"> </w:t>
      </w:r>
      <w:r w:rsidR="00096CA9" w:rsidRPr="00AD3210">
        <w:t>Annual</w:t>
      </w:r>
      <w:r w:rsidR="003D4CFE">
        <w:t xml:space="preserve"> </w:t>
      </w:r>
      <w:r w:rsidR="00096CA9" w:rsidRPr="00AD3210">
        <w:t>reporting</w:t>
      </w:r>
      <w:r w:rsidR="00424592">
        <w:t xml:space="preserve"> and</w:t>
      </w:r>
      <w:r w:rsidR="003D4CFE">
        <w:t xml:space="preserve"> </w:t>
      </w:r>
      <w:r w:rsidR="00096CA9" w:rsidRPr="00AD3210">
        <w:t>5.3</w:t>
      </w:r>
      <w:r w:rsidR="003D4CFE">
        <w:t xml:space="preserve"> </w:t>
      </w:r>
      <w:r w:rsidR="00096CA9" w:rsidRPr="00AD3210">
        <w:t>External</w:t>
      </w:r>
      <w:r w:rsidR="003D4CFE">
        <w:t xml:space="preserve"> </w:t>
      </w:r>
      <w:r w:rsidR="00096CA9" w:rsidRPr="00AD3210">
        <w:t>reporting</w:t>
      </w:r>
      <w:r w:rsidR="003D4CFE">
        <w:t xml:space="preserve"> </w:t>
      </w:r>
      <w:r w:rsidR="00096CA9" w:rsidRPr="00AD3210">
        <w:t>and</w:t>
      </w:r>
      <w:r w:rsidR="003D4CFE">
        <w:t xml:space="preserve"> </w:t>
      </w:r>
      <w:r w:rsidR="00096CA9" w:rsidRPr="00AD3210">
        <w:t>information</w:t>
      </w:r>
      <w:r w:rsidR="003D4CFE">
        <w:t xml:space="preserve"> </w:t>
      </w:r>
      <w:r w:rsidR="00096CA9" w:rsidRPr="00AD3210">
        <w:t>provision.</w:t>
      </w:r>
    </w:p>
    <w:p w14:paraId="3334E3E9" w14:textId="58C943BE" w:rsidR="0058443C" w:rsidRDefault="0058443C" w:rsidP="00AD3210"/>
    <w:p w14:paraId="3C38AD29" w14:textId="2AC1A8C2" w:rsidR="00107F85" w:rsidRDefault="00107F85" w:rsidP="00AD3210"/>
    <w:p w14:paraId="6273F331" w14:textId="037610C5" w:rsidR="00107F85" w:rsidRDefault="00107F85" w:rsidP="00AD3210"/>
    <w:p w14:paraId="636DF675" w14:textId="77777777" w:rsidR="00107F85" w:rsidRPr="00AD3210" w:rsidRDefault="00107F85" w:rsidP="00AD3210"/>
    <w:p w14:paraId="0F1832F2" w14:textId="77777777" w:rsidR="0051778F" w:rsidRPr="00AD3210" w:rsidRDefault="0051778F" w:rsidP="003D4CFE">
      <w:pPr>
        <w:pStyle w:val="Heading2"/>
      </w:pPr>
      <w:r w:rsidRPr="00AD3210">
        <w:lastRenderedPageBreak/>
        <w:t>Definitions</w:t>
      </w:r>
      <w:r w:rsidR="003D4CFE">
        <w:t xml:space="preserve"> 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981"/>
        <w:gridCol w:w="7026"/>
      </w:tblGrid>
      <w:tr w:rsidR="0051778F" w:rsidRPr="003D4CFE" w14:paraId="6F578DE7" w14:textId="77777777" w:rsidTr="00374E11">
        <w:trPr>
          <w:trHeight w:val="609"/>
        </w:trPr>
        <w:tc>
          <w:tcPr>
            <w:tcW w:w="1981" w:type="dxa"/>
            <w:shd w:val="clear" w:color="auto" w:fill="auto"/>
          </w:tcPr>
          <w:p w14:paraId="2E672477" w14:textId="77777777" w:rsidR="0051778F" w:rsidRPr="006B0F1E" w:rsidRDefault="005A1BE0" w:rsidP="002D0187">
            <w:pPr>
              <w:rPr>
                <w:b/>
              </w:rPr>
            </w:pPr>
            <w:r w:rsidRPr="006B0F1E">
              <w:rPr>
                <w:b/>
              </w:rPr>
              <w:t>Bank</w:t>
            </w:r>
            <w:r w:rsidR="003D4CFE" w:rsidRPr="006B0F1E">
              <w:rPr>
                <w:b/>
              </w:rPr>
              <w:t xml:space="preserve"> </w:t>
            </w:r>
            <w:r w:rsidRPr="006B0F1E">
              <w:rPr>
                <w:b/>
              </w:rPr>
              <w:t>reconciliation</w:t>
            </w:r>
          </w:p>
        </w:tc>
        <w:tc>
          <w:tcPr>
            <w:tcW w:w="7026" w:type="dxa"/>
            <w:shd w:val="clear" w:color="auto" w:fill="auto"/>
          </w:tcPr>
          <w:p w14:paraId="45EEA5B3" w14:textId="77777777" w:rsidR="0051778F" w:rsidRPr="003D4CFE" w:rsidRDefault="005A1BE0" w:rsidP="002D0187">
            <w:r w:rsidRPr="003D4CFE">
              <w:t>Process</w:t>
            </w:r>
            <w:r w:rsidR="003D4CFE" w:rsidRPr="003D4CFE">
              <w:t xml:space="preserve"> </w:t>
            </w:r>
            <w:r w:rsidRPr="003D4CFE">
              <w:t>whereby</w:t>
            </w:r>
            <w:r w:rsidR="003D4CFE" w:rsidRPr="003D4CFE">
              <w:t xml:space="preserve"> </w:t>
            </w:r>
            <w:r w:rsidRPr="003D4CFE">
              <w:t>differences</w:t>
            </w:r>
            <w:r w:rsidR="003D4CFE" w:rsidRPr="003D4CFE">
              <w:t xml:space="preserve"> </w:t>
            </w:r>
            <w:r w:rsidRPr="003D4CFE">
              <w:t>between</w:t>
            </w:r>
            <w:r w:rsidR="003D4CFE" w:rsidRPr="003D4CFE">
              <w:t xml:space="preserve"> </w:t>
            </w:r>
            <w:r w:rsidRPr="003D4CFE">
              <w:t>bank</w:t>
            </w:r>
            <w:r w:rsidR="003D4CFE" w:rsidRPr="003D4CFE">
              <w:t xml:space="preserve"> </w:t>
            </w:r>
            <w:r w:rsidRPr="003D4CFE">
              <w:t>account</w:t>
            </w:r>
            <w:r w:rsidR="003D4CFE" w:rsidRPr="003D4CFE">
              <w:t xml:space="preserve"> </w:t>
            </w:r>
            <w:r w:rsidRPr="003D4CFE">
              <w:t>balances</w:t>
            </w:r>
            <w:r w:rsidR="003D4CFE" w:rsidRPr="003D4CFE">
              <w:t xml:space="preserve"> </w:t>
            </w:r>
            <w:r w:rsidRPr="003D4CFE">
              <w:t>reported</w:t>
            </w:r>
            <w:r w:rsidR="003D4CFE" w:rsidRPr="003D4CFE">
              <w:t xml:space="preserve"> </w:t>
            </w:r>
            <w:r w:rsidRPr="003D4CFE">
              <w:t>on</w:t>
            </w:r>
            <w:r w:rsidR="003D4CFE" w:rsidRPr="003D4CFE">
              <w:t xml:space="preserve"> </w:t>
            </w:r>
            <w:r w:rsidRPr="003D4CFE">
              <w:t>the</w:t>
            </w:r>
            <w:r w:rsidR="003D4CFE" w:rsidRPr="003D4CFE">
              <w:t xml:space="preserve"> </w:t>
            </w:r>
            <w:r w:rsidRPr="003D4CFE">
              <w:t>bank</w:t>
            </w:r>
            <w:r w:rsidR="003D4CFE" w:rsidRPr="003D4CFE">
              <w:t xml:space="preserve"> </w:t>
            </w:r>
            <w:r w:rsidRPr="003D4CFE">
              <w:t>statement</w:t>
            </w:r>
            <w:r w:rsidR="003D4CFE" w:rsidRPr="003D4CFE">
              <w:t xml:space="preserve"> </w:t>
            </w:r>
            <w:r w:rsidRPr="003D4CFE">
              <w:t>and</w:t>
            </w:r>
            <w:r w:rsidR="003D4CFE" w:rsidRPr="003D4CFE">
              <w:t xml:space="preserve"> </w:t>
            </w:r>
            <w:r w:rsidRPr="003D4CFE">
              <w:t>bank</w:t>
            </w:r>
            <w:r w:rsidR="003D4CFE" w:rsidRPr="003D4CFE">
              <w:t xml:space="preserve"> </w:t>
            </w:r>
            <w:r w:rsidRPr="003D4CFE">
              <w:t>account</w:t>
            </w:r>
            <w:r w:rsidR="003D4CFE" w:rsidRPr="003D4CFE">
              <w:t xml:space="preserve"> </w:t>
            </w:r>
            <w:r w:rsidRPr="003D4CFE">
              <w:t>balances</w:t>
            </w:r>
            <w:r w:rsidR="003D4CFE" w:rsidRPr="003D4CFE">
              <w:t xml:space="preserve"> </w:t>
            </w:r>
            <w:r w:rsidRPr="003D4CFE">
              <w:t>reported</w:t>
            </w:r>
            <w:r w:rsidR="003D4CFE" w:rsidRPr="003D4CFE">
              <w:t xml:space="preserve"> </w:t>
            </w:r>
            <w:r w:rsidRPr="003D4CFE">
              <w:t>on</w:t>
            </w:r>
            <w:r w:rsidR="003D4CFE" w:rsidRPr="003D4CFE">
              <w:t xml:space="preserve"> </w:t>
            </w:r>
            <w:r w:rsidRPr="003D4CFE">
              <w:t>CASES21</w:t>
            </w:r>
            <w:r w:rsidR="003D4CFE" w:rsidRPr="003D4CFE">
              <w:t xml:space="preserve"> </w:t>
            </w:r>
            <w:r w:rsidRPr="003D4CFE">
              <w:t>are</w:t>
            </w:r>
            <w:r w:rsidR="003D4CFE" w:rsidRPr="003D4CFE">
              <w:t xml:space="preserve"> </w:t>
            </w:r>
            <w:r w:rsidRPr="003D4CFE">
              <w:t>identified</w:t>
            </w:r>
            <w:r w:rsidR="003D4CFE" w:rsidRPr="003D4CFE">
              <w:t xml:space="preserve"> </w:t>
            </w:r>
            <w:r w:rsidRPr="003D4CFE">
              <w:t>and</w:t>
            </w:r>
            <w:r w:rsidR="003D4CFE" w:rsidRPr="003D4CFE">
              <w:t xml:space="preserve"> </w:t>
            </w:r>
            <w:r w:rsidRPr="003D4CFE">
              <w:t>explained.</w:t>
            </w:r>
          </w:p>
        </w:tc>
      </w:tr>
      <w:tr w:rsidR="0051778F" w:rsidRPr="003D4CFE" w14:paraId="3DB6E59E" w14:textId="77777777" w:rsidTr="00136338">
        <w:trPr>
          <w:trHeight w:val="785"/>
        </w:trPr>
        <w:tc>
          <w:tcPr>
            <w:tcW w:w="1981" w:type="dxa"/>
            <w:shd w:val="clear" w:color="auto" w:fill="F2F2F2" w:themeFill="background1" w:themeFillShade="F2"/>
          </w:tcPr>
          <w:p w14:paraId="0CEBDADF" w14:textId="77777777" w:rsidR="0051778F" w:rsidRPr="006B0F1E" w:rsidRDefault="00FD7308" w:rsidP="002D0187">
            <w:pPr>
              <w:rPr>
                <w:b/>
              </w:rPr>
            </w:pPr>
            <w:r w:rsidRPr="006B0F1E">
              <w:rPr>
                <w:b/>
              </w:rPr>
              <w:t>CASES21</w:t>
            </w:r>
          </w:p>
        </w:tc>
        <w:tc>
          <w:tcPr>
            <w:tcW w:w="7026" w:type="dxa"/>
            <w:shd w:val="clear" w:color="auto" w:fill="F2F2F2" w:themeFill="background1" w:themeFillShade="F2"/>
          </w:tcPr>
          <w:p w14:paraId="4F384B8B" w14:textId="77777777" w:rsidR="0051778F" w:rsidRPr="003D4CFE" w:rsidRDefault="00F70CB4" w:rsidP="006A25CA">
            <w:r w:rsidRPr="003D4CFE">
              <w:t>CASES21</w:t>
            </w:r>
            <w:r w:rsidR="003D4CFE" w:rsidRPr="003D4CFE">
              <w:t xml:space="preserve"> </w:t>
            </w:r>
            <w:r w:rsidRPr="003D4CFE">
              <w:t>(Computerised</w:t>
            </w:r>
            <w:r w:rsidR="003D4CFE" w:rsidRPr="003D4CFE">
              <w:t xml:space="preserve"> </w:t>
            </w:r>
            <w:r w:rsidRPr="003D4CFE">
              <w:t>Administrative</w:t>
            </w:r>
            <w:r w:rsidR="003D4CFE" w:rsidRPr="003D4CFE">
              <w:t xml:space="preserve"> </w:t>
            </w:r>
            <w:r w:rsidRPr="003D4CFE">
              <w:t>System</w:t>
            </w:r>
            <w:r w:rsidR="003D4CFE" w:rsidRPr="003D4CFE">
              <w:t xml:space="preserve"> </w:t>
            </w:r>
            <w:r w:rsidRPr="003D4CFE">
              <w:t>Environment</w:t>
            </w:r>
            <w:r w:rsidR="003D4CFE" w:rsidRPr="003D4CFE">
              <w:t xml:space="preserve"> </w:t>
            </w:r>
            <w:r w:rsidRPr="003D4CFE">
              <w:t>in</w:t>
            </w:r>
            <w:r w:rsidR="003D4CFE" w:rsidRPr="003D4CFE">
              <w:t xml:space="preserve"> </w:t>
            </w:r>
            <w:r w:rsidRPr="003D4CFE">
              <w:t>Schools)</w:t>
            </w:r>
            <w:r w:rsidR="003D4CFE" w:rsidRPr="003D4CFE">
              <w:t xml:space="preserve"> </w:t>
            </w:r>
            <w:r w:rsidRPr="003D4CFE">
              <w:t>is</w:t>
            </w:r>
            <w:r w:rsidR="003D4CFE" w:rsidRPr="003D4CFE">
              <w:t xml:space="preserve"> </w:t>
            </w:r>
            <w:r w:rsidRPr="003D4CFE">
              <w:t>the</w:t>
            </w:r>
            <w:r w:rsidR="003D4CFE" w:rsidRPr="003D4CFE">
              <w:t xml:space="preserve"> </w:t>
            </w:r>
            <w:r w:rsidR="00E85D36">
              <w:t xml:space="preserve">software </w:t>
            </w:r>
            <w:r w:rsidRPr="003D4CFE">
              <w:t>package</w:t>
            </w:r>
            <w:r w:rsidR="003D4CFE" w:rsidRPr="003D4CFE">
              <w:t xml:space="preserve"> </w:t>
            </w:r>
            <w:r w:rsidRPr="003D4CFE">
              <w:t>provided</w:t>
            </w:r>
            <w:r w:rsidR="003D4CFE" w:rsidRPr="003D4CFE">
              <w:t xml:space="preserve"> </w:t>
            </w:r>
            <w:r w:rsidRPr="003D4CFE">
              <w:t>to</w:t>
            </w:r>
            <w:r w:rsidR="003D4CFE" w:rsidRPr="003D4CFE">
              <w:t xml:space="preserve"> </w:t>
            </w:r>
            <w:r w:rsidRPr="003D4CFE">
              <w:t>Victorian</w:t>
            </w:r>
            <w:r w:rsidR="003D4CFE" w:rsidRPr="003D4CFE">
              <w:t xml:space="preserve"> </w:t>
            </w:r>
            <w:r w:rsidR="006A25CA">
              <w:t>G</w:t>
            </w:r>
            <w:r w:rsidRPr="003D4CFE">
              <w:t>overnment</w:t>
            </w:r>
            <w:r w:rsidR="003D4CFE" w:rsidRPr="003D4CFE">
              <w:t xml:space="preserve"> </w:t>
            </w:r>
            <w:r w:rsidRPr="003D4CFE">
              <w:t>schools</w:t>
            </w:r>
            <w:r w:rsidR="003D4CFE" w:rsidRPr="003D4CFE">
              <w:t xml:space="preserve"> </w:t>
            </w:r>
            <w:r w:rsidRPr="003D4CFE">
              <w:t>to</w:t>
            </w:r>
            <w:r w:rsidR="003D4CFE" w:rsidRPr="003D4CFE">
              <w:t xml:space="preserve"> </w:t>
            </w:r>
            <w:r w:rsidRPr="003D4CFE">
              <w:t>support</w:t>
            </w:r>
            <w:r w:rsidR="003D4CFE" w:rsidRPr="003D4CFE">
              <w:t xml:space="preserve"> </w:t>
            </w:r>
            <w:r w:rsidRPr="003D4CFE">
              <w:t>school</w:t>
            </w:r>
            <w:r w:rsidR="003D4CFE" w:rsidRPr="003D4CFE">
              <w:t xml:space="preserve"> </w:t>
            </w:r>
            <w:r w:rsidRPr="003D4CFE">
              <w:t>administration,</w:t>
            </w:r>
            <w:r w:rsidR="003D4CFE" w:rsidRPr="003D4CFE">
              <w:t xml:space="preserve"> </w:t>
            </w:r>
            <w:r w:rsidRPr="003D4CFE">
              <w:t>finance</w:t>
            </w:r>
            <w:r w:rsidR="003D4CFE" w:rsidRPr="003D4CFE">
              <w:t xml:space="preserve"> </w:t>
            </w:r>
            <w:r w:rsidRPr="003D4CFE">
              <w:t>and</w:t>
            </w:r>
            <w:r w:rsidR="003D4CFE" w:rsidRPr="003D4CFE">
              <w:t xml:space="preserve"> </w:t>
            </w:r>
            <w:r w:rsidRPr="003D4CFE">
              <w:t>central</w:t>
            </w:r>
            <w:r w:rsidR="003D4CFE" w:rsidRPr="003D4CFE">
              <w:t xml:space="preserve"> </w:t>
            </w:r>
            <w:r w:rsidRPr="003D4CFE">
              <w:t>reporting</w:t>
            </w:r>
            <w:r w:rsidR="0003247C" w:rsidRPr="003D4CFE">
              <w:t>.</w:t>
            </w:r>
          </w:p>
        </w:tc>
      </w:tr>
      <w:tr w:rsidR="00374E11" w:rsidRPr="003D4CFE" w14:paraId="4658C965" w14:textId="77777777" w:rsidTr="00374E11">
        <w:trPr>
          <w:trHeight w:val="785"/>
        </w:trPr>
        <w:tc>
          <w:tcPr>
            <w:tcW w:w="1981" w:type="dxa"/>
            <w:shd w:val="clear" w:color="auto" w:fill="auto"/>
          </w:tcPr>
          <w:p w14:paraId="2C93BB3C" w14:textId="77777777" w:rsidR="00374E11" w:rsidRPr="00374E11" w:rsidRDefault="00374E11" w:rsidP="00374E11">
            <w:pPr>
              <w:rPr>
                <w:b/>
              </w:rPr>
            </w:pPr>
            <w:r w:rsidRPr="00374E11">
              <w:rPr>
                <w:b/>
              </w:rPr>
              <w:t>Operating Reserve</w:t>
            </w:r>
          </w:p>
        </w:tc>
        <w:tc>
          <w:tcPr>
            <w:tcW w:w="7026" w:type="dxa"/>
            <w:shd w:val="clear" w:color="auto" w:fill="auto"/>
          </w:tcPr>
          <w:p w14:paraId="3A82C8A9" w14:textId="77777777" w:rsidR="00374E11" w:rsidRPr="003D4CFE" w:rsidRDefault="00374E11" w:rsidP="00136338">
            <w:r w:rsidRPr="007B62D6">
              <w:t xml:space="preserve">Safety net of available funds that schools </w:t>
            </w:r>
            <w:r w:rsidR="00136338">
              <w:t>must</w:t>
            </w:r>
            <w:r w:rsidRPr="007B62D6">
              <w:t xml:space="preserve"> keep uncommitted to meet their </w:t>
            </w:r>
            <w:r w:rsidR="004979C9" w:rsidRPr="007B62D6">
              <w:t>day-to-day</w:t>
            </w:r>
            <w:r w:rsidRPr="007B62D6">
              <w:t xml:space="preserve"> financial obligations. This amount is calculated by obtaining the average of two months school calendar year recurrent expenditure (from a school’s Operating Statement GL21150) adjusted for expenditure on Building Works (86504), Ground Works (86505) and non-cash expenditure items such as Asset Write Downs (89591)</w:t>
            </w:r>
            <w:r w:rsidR="004979C9">
              <w:t>.</w:t>
            </w:r>
          </w:p>
        </w:tc>
      </w:tr>
      <w:tr w:rsidR="0051778F" w:rsidRPr="003D4CFE" w14:paraId="23DAC5BD" w14:textId="77777777" w:rsidTr="00136338">
        <w:tc>
          <w:tcPr>
            <w:tcW w:w="1981" w:type="dxa"/>
            <w:shd w:val="clear" w:color="auto" w:fill="F2F2F2" w:themeFill="background1" w:themeFillShade="F2"/>
          </w:tcPr>
          <w:p w14:paraId="573304E7" w14:textId="77777777" w:rsidR="0051778F" w:rsidRPr="006B0F1E" w:rsidRDefault="005A1BE0" w:rsidP="002D0187">
            <w:pPr>
              <w:rPr>
                <w:b/>
              </w:rPr>
            </w:pPr>
            <w:r w:rsidRPr="006B0F1E">
              <w:rPr>
                <w:b/>
              </w:rPr>
              <w:t>VRQA</w:t>
            </w:r>
          </w:p>
        </w:tc>
        <w:tc>
          <w:tcPr>
            <w:tcW w:w="7026" w:type="dxa"/>
            <w:shd w:val="clear" w:color="auto" w:fill="F2F2F2" w:themeFill="background1" w:themeFillShade="F2"/>
          </w:tcPr>
          <w:p w14:paraId="5B4FEA42" w14:textId="77777777" w:rsidR="0051778F" w:rsidRPr="003D4CFE" w:rsidRDefault="005A1BE0" w:rsidP="00136338">
            <w:r w:rsidRPr="003D4CFE">
              <w:t>Victorian</w:t>
            </w:r>
            <w:r w:rsidR="003D4CFE" w:rsidRPr="003D4CFE">
              <w:t xml:space="preserve"> </w:t>
            </w:r>
            <w:r w:rsidRPr="003D4CFE">
              <w:t>Registration</w:t>
            </w:r>
            <w:r w:rsidR="003D4CFE" w:rsidRPr="003D4CFE">
              <w:t xml:space="preserve"> </w:t>
            </w:r>
            <w:r w:rsidRPr="003D4CFE">
              <w:t>and</w:t>
            </w:r>
            <w:r w:rsidR="003D4CFE" w:rsidRPr="003D4CFE">
              <w:t xml:space="preserve"> </w:t>
            </w:r>
            <w:r w:rsidR="00544F79" w:rsidRPr="003D4CFE">
              <w:t>Qualifications</w:t>
            </w:r>
            <w:r w:rsidR="003D4CFE" w:rsidRPr="003D4CFE">
              <w:t xml:space="preserve"> </w:t>
            </w:r>
            <w:r w:rsidRPr="003D4CFE">
              <w:t>Authority</w:t>
            </w:r>
            <w:r w:rsidR="003D4CFE" w:rsidRPr="003D4CFE">
              <w:t xml:space="preserve"> </w:t>
            </w:r>
            <w:r w:rsidR="00544F79" w:rsidRPr="003D4CFE">
              <w:t>–</w:t>
            </w:r>
            <w:r w:rsidR="003D4CFE" w:rsidRPr="003D4CFE">
              <w:t xml:space="preserve"> </w:t>
            </w:r>
            <w:r w:rsidR="00E85D36">
              <w:t>A s</w:t>
            </w:r>
            <w:r w:rsidR="00544F79" w:rsidRPr="003D4CFE">
              <w:t>tatutory</w:t>
            </w:r>
            <w:r w:rsidR="003D4CFE" w:rsidRPr="003D4CFE">
              <w:t xml:space="preserve"> </w:t>
            </w:r>
            <w:r w:rsidR="00544F79" w:rsidRPr="003D4CFE">
              <w:t>authority</w:t>
            </w:r>
            <w:r w:rsidR="003D4CFE" w:rsidRPr="003D4CFE">
              <w:t xml:space="preserve"> </w:t>
            </w:r>
            <w:r w:rsidR="00136338">
              <w:t xml:space="preserve">of </w:t>
            </w:r>
            <w:r w:rsidR="00E85D36">
              <w:t xml:space="preserve">the Department </w:t>
            </w:r>
            <w:r w:rsidR="00544F79" w:rsidRPr="003D4CFE">
              <w:t>responsible</w:t>
            </w:r>
            <w:r w:rsidR="003D4CFE" w:rsidRPr="003D4CFE">
              <w:t xml:space="preserve"> </w:t>
            </w:r>
            <w:r w:rsidR="00544F79" w:rsidRPr="003D4CFE">
              <w:t>for</w:t>
            </w:r>
            <w:r w:rsidR="00E85D36">
              <w:t xml:space="preserve"> the</w:t>
            </w:r>
            <w:r w:rsidR="003D4CFE" w:rsidRPr="003D4CFE">
              <w:t xml:space="preserve"> </w:t>
            </w:r>
            <w:r w:rsidR="00544F79" w:rsidRPr="003D4CFE">
              <w:t>registration</w:t>
            </w:r>
            <w:r w:rsidR="003D4CFE" w:rsidRPr="003D4CFE">
              <w:t xml:space="preserve"> </w:t>
            </w:r>
            <w:r w:rsidR="00544F79" w:rsidRPr="003D4CFE">
              <w:t>of</w:t>
            </w:r>
            <w:r w:rsidR="003D4CFE" w:rsidRPr="003D4CFE">
              <w:t xml:space="preserve"> </w:t>
            </w:r>
            <w:r w:rsidR="00544F79" w:rsidRPr="003D4CFE">
              <w:t>schools</w:t>
            </w:r>
            <w:r w:rsidR="003D4CFE" w:rsidRPr="003D4CFE">
              <w:t xml:space="preserve"> </w:t>
            </w:r>
            <w:r w:rsidR="00544F79" w:rsidRPr="003D4CFE">
              <w:t>to</w:t>
            </w:r>
            <w:r w:rsidR="003D4CFE" w:rsidRPr="003D4CFE">
              <w:t xml:space="preserve"> </w:t>
            </w:r>
            <w:r w:rsidR="00544F79" w:rsidRPr="003D4CFE">
              <w:t>ensure</w:t>
            </w:r>
            <w:r w:rsidR="003D4CFE" w:rsidRPr="003D4CFE">
              <w:t xml:space="preserve"> </w:t>
            </w:r>
            <w:r w:rsidR="00544F79" w:rsidRPr="003D4CFE">
              <w:t>the</w:t>
            </w:r>
            <w:r w:rsidR="00711670" w:rsidRPr="003D4CFE">
              <w:t>y</w:t>
            </w:r>
            <w:r w:rsidR="003D4CFE" w:rsidRPr="003D4CFE">
              <w:t xml:space="preserve"> </w:t>
            </w:r>
            <w:r w:rsidR="00544F79" w:rsidRPr="003D4CFE">
              <w:t>meet</w:t>
            </w:r>
            <w:r w:rsidR="003D4CFE">
              <w:t xml:space="preserve"> </w:t>
            </w:r>
            <w:r w:rsidR="00711670" w:rsidRPr="003D4CFE">
              <w:t>expected</w:t>
            </w:r>
            <w:r w:rsidR="003D4CFE" w:rsidRPr="003D4CFE">
              <w:t xml:space="preserve"> </w:t>
            </w:r>
            <w:r w:rsidR="00544F79" w:rsidRPr="003D4CFE">
              <w:t>quality</w:t>
            </w:r>
            <w:r w:rsidR="003D4CFE" w:rsidRPr="003D4CFE">
              <w:t xml:space="preserve"> </w:t>
            </w:r>
            <w:r w:rsidR="00544F79" w:rsidRPr="003D4CFE">
              <w:t>standards.</w:t>
            </w:r>
          </w:p>
        </w:tc>
      </w:tr>
    </w:tbl>
    <w:p w14:paraId="1AE09C62" w14:textId="77777777" w:rsidR="0091756B" w:rsidRDefault="0091756B" w:rsidP="00AD3210"/>
    <w:p w14:paraId="35DC2256" w14:textId="78B640BC" w:rsidR="0091756B" w:rsidRDefault="0091756B">
      <w:pPr>
        <w:spacing w:before="0" w:line="240" w:lineRule="auto"/>
      </w:pPr>
    </w:p>
    <w:p w14:paraId="591E02B3" w14:textId="77777777" w:rsidR="0051778F" w:rsidRDefault="0051778F" w:rsidP="0091756B">
      <w:pPr>
        <w:pStyle w:val="Heading2"/>
      </w:pPr>
      <w:r w:rsidRPr="00AD3210">
        <w:t>Additional</w:t>
      </w:r>
      <w:r w:rsidR="003D4CFE">
        <w:t xml:space="preserve"> </w:t>
      </w:r>
      <w:r w:rsidR="00DC0883">
        <w:t>r</w:t>
      </w:r>
      <w:r w:rsidRPr="00AD3210">
        <w:t>esources</w:t>
      </w:r>
    </w:p>
    <w:p w14:paraId="6F5A757A" w14:textId="77777777" w:rsidR="00136338" w:rsidRPr="00717522" w:rsidRDefault="0020275F" w:rsidP="00136338">
      <w:pPr>
        <w:pStyle w:val="ListBullet"/>
        <w:rPr>
          <w:rStyle w:val="Hyperlink"/>
          <w:color w:val="auto"/>
          <w:u w:val="none"/>
        </w:rPr>
      </w:pPr>
      <w:hyperlink r:id="rId13" w:history="1">
        <w:r w:rsidR="00136338" w:rsidRPr="00E468CB">
          <w:rPr>
            <w:rStyle w:val="Hyperlink"/>
          </w:rPr>
          <w:t xml:space="preserve">CASES21 Finance Business Process Guide Section </w:t>
        </w:r>
        <w:r w:rsidR="00136338">
          <w:rPr>
            <w:rStyle w:val="Hyperlink"/>
          </w:rPr>
          <w:t>8</w:t>
        </w:r>
        <w:r w:rsidR="00136338" w:rsidRPr="00E468CB">
          <w:rPr>
            <w:rStyle w:val="Hyperlink"/>
          </w:rPr>
          <w:t xml:space="preserve"> – </w:t>
        </w:r>
        <w:r w:rsidR="00136338">
          <w:rPr>
            <w:rStyle w:val="Hyperlink"/>
          </w:rPr>
          <w:t>End of Period</w:t>
        </w:r>
      </w:hyperlink>
    </w:p>
    <w:p w14:paraId="6B1BA540" w14:textId="77777777" w:rsidR="00461C22" w:rsidRPr="00D0451D" w:rsidRDefault="0020275F" w:rsidP="00424592">
      <w:pPr>
        <w:pStyle w:val="ListBullet"/>
        <w:rPr>
          <w:color w:val="0000FF"/>
          <w:u w:val="single"/>
        </w:rPr>
      </w:pPr>
      <w:hyperlink r:id="rId14" w:history="1">
        <w:r w:rsidR="00104432" w:rsidRPr="00461C22">
          <w:rPr>
            <w:rStyle w:val="Hyperlink"/>
          </w:rPr>
          <w:t>Financial</w:t>
        </w:r>
        <w:r w:rsidR="003D4CFE" w:rsidRPr="00461C22">
          <w:rPr>
            <w:rStyle w:val="Hyperlink"/>
          </w:rPr>
          <w:t xml:space="preserve"> </w:t>
        </w:r>
        <w:r w:rsidR="00104432" w:rsidRPr="00461C22">
          <w:rPr>
            <w:rStyle w:val="Hyperlink"/>
          </w:rPr>
          <w:t>Reporting</w:t>
        </w:r>
        <w:r w:rsidR="003D4CFE" w:rsidRPr="00461C22">
          <w:rPr>
            <w:rStyle w:val="Hyperlink"/>
          </w:rPr>
          <w:t xml:space="preserve"> </w:t>
        </w:r>
        <w:r w:rsidR="00104432" w:rsidRPr="00461C22">
          <w:rPr>
            <w:rStyle w:val="Hyperlink"/>
          </w:rPr>
          <w:t>for</w:t>
        </w:r>
        <w:r w:rsidR="003D4CFE" w:rsidRPr="00461C22">
          <w:rPr>
            <w:rStyle w:val="Hyperlink"/>
          </w:rPr>
          <w:t xml:space="preserve"> </w:t>
        </w:r>
        <w:r w:rsidR="00104432" w:rsidRPr="00461C22">
          <w:rPr>
            <w:rStyle w:val="Hyperlink"/>
          </w:rPr>
          <w:t>Schools</w:t>
        </w:r>
      </w:hyperlink>
    </w:p>
    <w:p w14:paraId="5C544FCE" w14:textId="77777777" w:rsidR="00461C22" w:rsidRPr="00D0451D" w:rsidRDefault="0020275F" w:rsidP="00D462DB">
      <w:pPr>
        <w:pStyle w:val="ListBullet"/>
        <w:rPr>
          <w:color w:val="0000FF"/>
          <w:u w:val="single"/>
        </w:rPr>
      </w:pPr>
      <w:hyperlink r:id="rId15" w:history="1">
        <w:r w:rsidR="008919D9" w:rsidRPr="00461C22">
          <w:rPr>
            <w:rStyle w:val="Hyperlink"/>
          </w:rPr>
          <w:t>Financial</w:t>
        </w:r>
        <w:r w:rsidR="003D4CFE" w:rsidRPr="00461C22">
          <w:rPr>
            <w:rStyle w:val="Hyperlink"/>
          </w:rPr>
          <w:t xml:space="preserve"> </w:t>
        </w:r>
        <w:r w:rsidR="008919D9" w:rsidRPr="00461C22">
          <w:rPr>
            <w:rStyle w:val="Hyperlink"/>
          </w:rPr>
          <w:t>Commitment</w:t>
        </w:r>
        <w:r w:rsidR="003D4CFE" w:rsidRPr="00461C22">
          <w:rPr>
            <w:rStyle w:val="Hyperlink"/>
          </w:rPr>
          <w:t xml:space="preserve"> </w:t>
        </w:r>
        <w:r w:rsidR="008919D9" w:rsidRPr="00461C22">
          <w:rPr>
            <w:rStyle w:val="Hyperlink"/>
          </w:rPr>
          <w:t>Summary</w:t>
        </w:r>
        <w:r w:rsidR="003D4CFE" w:rsidRPr="00461C22">
          <w:rPr>
            <w:rStyle w:val="Hyperlink"/>
          </w:rPr>
          <w:t xml:space="preserve"> </w:t>
        </w:r>
        <w:r w:rsidR="0091756B" w:rsidRPr="00461C22">
          <w:rPr>
            <w:rStyle w:val="Hyperlink"/>
          </w:rPr>
          <w:t>Guidelines</w:t>
        </w:r>
      </w:hyperlink>
    </w:p>
    <w:p w14:paraId="576CA56C" w14:textId="69D10BF3" w:rsidR="00717522" w:rsidRPr="00424592" w:rsidRDefault="0020275F" w:rsidP="00364B66">
      <w:pPr>
        <w:pStyle w:val="ListBullet"/>
        <w:rPr>
          <w:rStyle w:val="Hyperlink"/>
        </w:rPr>
      </w:pPr>
      <w:hyperlink r:id="rId16" w:history="1">
        <w:r w:rsidR="00F84D08" w:rsidRPr="00461C22">
          <w:rPr>
            <w:rStyle w:val="Hyperlink"/>
          </w:rPr>
          <w:t>Financial</w:t>
        </w:r>
        <w:r w:rsidR="003D4CFE" w:rsidRPr="00461C22">
          <w:rPr>
            <w:rStyle w:val="Hyperlink"/>
          </w:rPr>
          <w:t xml:space="preserve"> </w:t>
        </w:r>
        <w:r w:rsidR="00F84D08" w:rsidRPr="00461C22">
          <w:rPr>
            <w:rStyle w:val="Hyperlink"/>
          </w:rPr>
          <w:t>Commitment</w:t>
        </w:r>
        <w:r w:rsidR="003D4CFE" w:rsidRPr="00461C22">
          <w:rPr>
            <w:rStyle w:val="Hyperlink"/>
          </w:rPr>
          <w:t xml:space="preserve"> </w:t>
        </w:r>
        <w:r w:rsidR="00F84D08" w:rsidRPr="00461C22">
          <w:rPr>
            <w:rStyle w:val="Hyperlink"/>
          </w:rPr>
          <w:t>Summary</w:t>
        </w:r>
        <w:r w:rsidR="003D4CFE" w:rsidRPr="00461C22">
          <w:rPr>
            <w:rStyle w:val="Hyperlink"/>
          </w:rPr>
          <w:t xml:space="preserve"> </w:t>
        </w:r>
        <w:r w:rsidR="00F84D08" w:rsidRPr="00461C22">
          <w:rPr>
            <w:rStyle w:val="Hyperlink"/>
          </w:rPr>
          <w:t>Worksheet</w:t>
        </w:r>
      </w:hyperlink>
      <w:r w:rsidR="0091756B">
        <w:br/>
      </w:r>
    </w:p>
    <w:p w14:paraId="7E12F2A7" w14:textId="77777777" w:rsidR="00717522" w:rsidRDefault="00717522" w:rsidP="00717522"/>
    <w:p w14:paraId="654C88EE" w14:textId="568D22D4" w:rsidR="00717522" w:rsidRDefault="00717522" w:rsidP="00717522"/>
    <w:p w14:paraId="442E00E8" w14:textId="7F261A17" w:rsidR="00717522" w:rsidRDefault="00717522" w:rsidP="00717522"/>
    <w:p w14:paraId="78333BA6" w14:textId="77777777" w:rsidR="005E01F3" w:rsidRPr="00AD3210" w:rsidRDefault="005E01F3" w:rsidP="00717522"/>
    <w:p w14:paraId="096EAE44" w14:textId="77777777" w:rsidR="00717522" w:rsidRPr="00B44818" w:rsidRDefault="00717522" w:rsidP="00717522">
      <w:pPr>
        <w:pStyle w:val="Heading2"/>
      </w:pPr>
      <w:r w:rsidRPr="00B44818">
        <w:t xml:space="preserve">Revision </w:t>
      </w:r>
      <w:r w:rsidR="00136338">
        <w:t xml:space="preserve">and </w:t>
      </w:r>
      <w:r w:rsidR="00DC0883">
        <w:t>v</w:t>
      </w:r>
      <w:r w:rsidRPr="00B44818">
        <w:t>ersion control</w:t>
      </w:r>
      <w:r w:rsidR="00136338">
        <w:t xml:space="preserve"> record</w:t>
      </w:r>
    </w:p>
    <w:tbl>
      <w:tblPr>
        <w:tblStyle w:val="GridTable6Colorful10"/>
        <w:tblW w:w="0" w:type="auto"/>
        <w:tblLook w:val="04A0" w:firstRow="1" w:lastRow="0" w:firstColumn="1" w:lastColumn="0" w:noHBand="0" w:noVBand="1"/>
        <w:tblDescription w:val="table containing version and revison control records"/>
      </w:tblPr>
      <w:tblGrid>
        <w:gridCol w:w="1318"/>
        <w:gridCol w:w="1133"/>
        <w:gridCol w:w="4914"/>
        <w:gridCol w:w="1689"/>
      </w:tblGrid>
      <w:tr w:rsidR="00717522" w:rsidRPr="00AD3210" w14:paraId="1783E85C" w14:textId="77777777" w:rsidTr="00D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2028DD" w14:textId="77777777" w:rsidR="00717522" w:rsidRPr="00725887" w:rsidRDefault="00717522" w:rsidP="00502494">
            <w:pPr>
              <w:rPr>
                <w:color w:val="auto"/>
              </w:rPr>
            </w:pPr>
            <w:r w:rsidRPr="00725887">
              <w:rPr>
                <w:color w:val="auto"/>
              </w:rPr>
              <w:t>Date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CC8F09" w14:textId="77777777" w:rsidR="00717522" w:rsidRPr="00725887" w:rsidRDefault="00717522" w:rsidP="00502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5887">
              <w:rPr>
                <w:color w:val="auto"/>
              </w:rPr>
              <w:t>Version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823B6" w14:textId="77777777" w:rsidR="00717522" w:rsidRPr="00725887" w:rsidRDefault="00717522" w:rsidP="00502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5887">
              <w:rPr>
                <w:color w:val="auto"/>
              </w:rPr>
              <w:t>Approver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9ED5FB" w14:textId="77777777" w:rsidR="00717522" w:rsidRPr="00725887" w:rsidRDefault="00717522" w:rsidP="00502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25887">
              <w:rPr>
                <w:color w:val="auto"/>
              </w:rPr>
              <w:t>Next Review</w:t>
            </w:r>
          </w:p>
        </w:tc>
      </w:tr>
      <w:tr w:rsidR="00717522" w:rsidRPr="00AD3210" w14:paraId="7CD92B87" w14:textId="77777777" w:rsidTr="00D0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75D3BC" w14:textId="373E2C23" w:rsidR="00717522" w:rsidRPr="005A2A30" w:rsidRDefault="00ED24C9" w:rsidP="00502494">
            <w:pPr>
              <w:rPr>
                <w:b w:val="0"/>
              </w:rPr>
            </w:pPr>
            <w:r>
              <w:rPr>
                <w:b w:val="0"/>
              </w:rPr>
              <w:t>01</w:t>
            </w:r>
            <w:r w:rsidR="003728E4">
              <w:rPr>
                <w:b w:val="0"/>
              </w:rPr>
              <w:t>/</w:t>
            </w:r>
            <w:r>
              <w:rPr>
                <w:b w:val="0"/>
              </w:rPr>
              <w:t>20</w:t>
            </w:r>
            <w:r w:rsidR="00630FCB">
              <w:rPr>
                <w:b w:val="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48A39E" w14:textId="3B2116CB" w:rsidR="00717522" w:rsidRPr="00E93B21" w:rsidRDefault="00ED24C9" w:rsidP="00502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1.</w:t>
            </w:r>
            <w:r w:rsidR="00630FCB">
              <w:rPr>
                <w:b w:val="0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B9D9CF" w14:textId="2B04493B" w:rsidR="00717522" w:rsidRPr="00E93B21" w:rsidRDefault="00717522" w:rsidP="00502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3B21">
              <w:rPr>
                <w:b w:val="0"/>
              </w:rPr>
              <w:t xml:space="preserve">Chief Finance Officer - </w:t>
            </w:r>
            <w:bookmarkStart w:id="3" w:name="_GoBack"/>
            <w:bookmarkEnd w:id="3"/>
            <w:r w:rsidRPr="00E93B21">
              <w:rPr>
                <w:b w:val="0"/>
              </w:rPr>
              <w:t>Financial Services Division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E5CC3E" w14:textId="281E3C84" w:rsidR="00717522" w:rsidRPr="00E93B21" w:rsidRDefault="00ED2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01</w:t>
            </w:r>
            <w:r w:rsidR="003728E4" w:rsidRPr="00E93B21">
              <w:rPr>
                <w:b w:val="0"/>
              </w:rPr>
              <w:t>/</w:t>
            </w:r>
            <w:r>
              <w:rPr>
                <w:b w:val="0"/>
              </w:rPr>
              <w:t>202</w:t>
            </w:r>
            <w:r w:rsidR="00630FCB">
              <w:rPr>
                <w:b w:val="0"/>
              </w:rPr>
              <w:t>1</w:t>
            </w:r>
          </w:p>
        </w:tc>
      </w:tr>
    </w:tbl>
    <w:p w14:paraId="3267E569" w14:textId="77777777" w:rsidR="00717522" w:rsidRPr="00AD3210" w:rsidRDefault="00717522" w:rsidP="00717522"/>
    <w:sectPr w:rsidR="00717522" w:rsidRPr="00AD3210" w:rsidSect="00AD3210">
      <w:footerReference w:type="default" r:id="rId17"/>
      <w:pgSz w:w="11900" w:h="16840" w:code="9"/>
      <w:pgMar w:top="1701" w:right="1418" w:bottom="1701" w:left="1418" w:header="567" w:footer="851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0FDC" w14:textId="77777777" w:rsidR="0020275F" w:rsidRDefault="0020275F" w:rsidP="008766A4">
      <w:r>
        <w:separator/>
      </w:r>
    </w:p>
  </w:endnote>
  <w:endnote w:type="continuationSeparator" w:id="0">
    <w:p w14:paraId="4C93F7B7" w14:textId="77777777" w:rsidR="0020275F" w:rsidRDefault="0020275F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4CD6" w14:textId="1D7E00B3" w:rsidR="003D4CFE" w:rsidRPr="003E29B5" w:rsidRDefault="003D4CFE" w:rsidP="00714E93">
    <w:pPr>
      <w:pStyle w:val="Footer"/>
    </w:pPr>
    <w:r w:rsidRPr="00006534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5BC8EAE" wp14:editId="4B628F2B">
          <wp:simplePos x="0" y="0"/>
          <wp:positionH relativeFrom="page">
            <wp:posOffset>762000</wp:posOffset>
          </wp:positionH>
          <wp:positionV relativeFrom="page">
            <wp:posOffset>9728200</wp:posOffset>
          </wp:positionV>
          <wp:extent cx="6627959" cy="721995"/>
          <wp:effectExtent l="0" t="0" r="1905" b="1905"/>
          <wp:wrapNone/>
          <wp:docPr id="1" name="Picture 1" descr="footer containing document name, page number, review date and department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959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38" w:rsidRPr="009F7CA2">
      <w:t xml:space="preserve">Section </w:t>
    </w:r>
    <w:r w:rsidR="00136338">
      <w:t>16</w:t>
    </w:r>
    <w:r w:rsidR="0028031B">
      <w:t>:</w:t>
    </w:r>
    <w:r w:rsidR="00136338" w:rsidRPr="009F7CA2">
      <w:t xml:space="preserve"> </w:t>
    </w:r>
    <w:r w:rsidR="00136338">
      <w:t xml:space="preserve">Reporting Performance </w:t>
    </w:r>
    <w:r w:rsidR="00136338" w:rsidRPr="009F7CA2">
      <w:t xml:space="preserve">| </w:t>
    </w:r>
    <w:r w:rsidR="00ED24C9">
      <w:t>January 20</w:t>
    </w:r>
    <w:r w:rsidR="00406B7E">
      <w:t>20</w:t>
    </w:r>
    <w:r>
      <w:rPr>
        <w:noProof/>
      </w:rPr>
      <w:tab/>
    </w:r>
    <w:sdt>
      <w:sdtPr>
        <w:rPr>
          <w:rFonts w:eastAsia="Arial" w:cs="Times New Roman"/>
        </w:rPr>
        <w:id w:val="2083842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eastAsia="Arial" w:cs="Times New Roman"/>
          </w:rPr>
          <w:t xml:space="preserve">Page </w:t>
        </w:r>
        <w:r w:rsidR="00F02898" w:rsidRPr="00006534">
          <w:rPr>
            <w:rFonts w:eastAsia="Arial" w:cs="Times New Roman"/>
          </w:rPr>
          <w:fldChar w:fldCharType="begin"/>
        </w:r>
        <w:r w:rsidRPr="00006534">
          <w:rPr>
            <w:rFonts w:eastAsia="Arial" w:cs="Times New Roman"/>
          </w:rPr>
          <w:instrText xml:space="preserve"> TITLE  \* MERGEFORMAT </w:instrText>
        </w:r>
        <w:r w:rsidR="00F02898" w:rsidRPr="00006534">
          <w:rPr>
            <w:rFonts w:eastAsia="Arial" w:cs="Times New Roman"/>
          </w:rPr>
          <w:fldChar w:fldCharType="end"/>
        </w:r>
        <w:r w:rsidR="00F02898" w:rsidRPr="007B2B29">
          <w:rPr>
            <w:rFonts w:eastAsia="Arial" w:cs="Times New Roman"/>
          </w:rPr>
          <w:fldChar w:fldCharType="begin"/>
        </w:r>
        <w:r w:rsidRPr="007B2B29">
          <w:rPr>
            <w:rFonts w:eastAsia="Arial" w:cs="Times New Roman"/>
          </w:rPr>
          <w:instrText xml:space="preserve"> PAGE   \* MERGEFORMAT </w:instrText>
        </w:r>
        <w:r w:rsidR="00F02898" w:rsidRPr="007B2B29">
          <w:rPr>
            <w:rFonts w:eastAsia="Arial" w:cs="Times New Roman"/>
          </w:rPr>
          <w:fldChar w:fldCharType="separate"/>
        </w:r>
        <w:r w:rsidR="00777145">
          <w:rPr>
            <w:rFonts w:eastAsia="Arial" w:cs="Times New Roman"/>
            <w:noProof/>
          </w:rPr>
          <w:t>1</w:t>
        </w:r>
        <w:r w:rsidR="00F02898" w:rsidRPr="007B2B29">
          <w:rPr>
            <w:rFonts w:eastAsia="Arial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3196" w14:textId="77777777" w:rsidR="0020275F" w:rsidRDefault="0020275F" w:rsidP="008766A4">
      <w:r>
        <w:separator/>
      </w:r>
    </w:p>
  </w:footnote>
  <w:footnote w:type="continuationSeparator" w:id="0">
    <w:p w14:paraId="3873B0CC" w14:textId="77777777" w:rsidR="0020275F" w:rsidRDefault="0020275F" w:rsidP="0087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5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8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9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E42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CCC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EB78D0"/>
    <w:multiLevelType w:val="hybridMultilevel"/>
    <w:tmpl w:val="4CEEBA86"/>
    <w:lvl w:ilvl="0" w:tplc="4F6C71B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7406E"/>
    <w:multiLevelType w:val="hybridMultilevel"/>
    <w:tmpl w:val="D4CE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64D5B"/>
    <w:multiLevelType w:val="hybridMultilevel"/>
    <w:tmpl w:val="60E837CE"/>
    <w:lvl w:ilvl="0" w:tplc="F3189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7A7B7D"/>
        <w:w w:val="14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17FD5"/>
    <w:multiLevelType w:val="hybridMultilevel"/>
    <w:tmpl w:val="A992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4CAE"/>
    <w:multiLevelType w:val="hybridMultilevel"/>
    <w:tmpl w:val="3662B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E2F49"/>
    <w:multiLevelType w:val="hybridMultilevel"/>
    <w:tmpl w:val="96106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796"/>
    <w:multiLevelType w:val="hybridMultilevel"/>
    <w:tmpl w:val="1D58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D749D"/>
    <w:multiLevelType w:val="hybridMultilevel"/>
    <w:tmpl w:val="ED64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E84301"/>
    <w:multiLevelType w:val="hybridMultilevel"/>
    <w:tmpl w:val="60064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6218B"/>
    <w:multiLevelType w:val="hybridMultilevel"/>
    <w:tmpl w:val="F120EB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6"/>
  </w:num>
  <w:num w:numId="14">
    <w:abstractNumId w:val="22"/>
  </w:num>
  <w:num w:numId="15">
    <w:abstractNumId w:val="24"/>
  </w:num>
  <w:num w:numId="16">
    <w:abstractNumId w:val="15"/>
  </w:num>
  <w:num w:numId="17">
    <w:abstractNumId w:val="17"/>
  </w:num>
  <w:num w:numId="18">
    <w:abstractNumId w:val="18"/>
  </w:num>
  <w:num w:numId="19">
    <w:abstractNumId w:val="25"/>
  </w:num>
  <w:num w:numId="20">
    <w:abstractNumId w:val="14"/>
  </w:num>
  <w:num w:numId="21">
    <w:abstractNumId w:val="13"/>
  </w:num>
  <w:num w:numId="22">
    <w:abstractNumId w:val="16"/>
  </w:num>
  <w:num w:numId="23">
    <w:abstractNumId w:val="20"/>
  </w:num>
  <w:num w:numId="24">
    <w:abstractNumId w:val="19"/>
  </w:num>
  <w:num w:numId="25">
    <w:abstractNumId w:val="21"/>
  </w:num>
  <w:num w:numId="26">
    <w:abstractNumId w:val="23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038D4"/>
    <w:rsid w:val="00024F9A"/>
    <w:rsid w:val="0003247C"/>
    <w:rsid w:val="00035071"/>
    <w:rsid w:val="00072C2A"/>
    <w:rsid w:val="000852D5"/>
    <w:rsid w:val="00087841"/>
    <w:rsid w:val="00096CA9"/>
    <w:rsid w:val="000A1C9A"/>
    <w:rsid w:val="000B0506"/>
    <w:rsid w:val="000B6F69"/>
    <w:rsid w:val="000C01B4"/>
    <w:rsid w:val="000C2B30"/>
    <w:rsid w:val="000C499D"/>
    <w:rsid w:val="000C5885"/>
    <w:rsid w:val="000C5AAD"/>
    <w:rsid w:val="000C68BB"/>
    <w:rsid w:val="000D780D"/>
    <w:rsid w:val="000E4999"/>
    <w:rsid w:val="000E4ACB"/>
    <w:rsid w:val="000F155E"/>
    <w:rsid w:val="000F4C22"/>
    <w:rsid w:val="00104432"/>
    <w:rsid w:val="00107F85"/>
    <w:rsid w:val="00114F00"/>
    <w:rsid w:val="00124DC1"/>
    <w:rsid w:val="00127682"/>
    <w:rsid w:val="00130301"/>
    <w:rsid w:val="00136338"/>
    <w:rsid w:val="0013716D"/>
    <w:rsid w:val="0014310A"/>
    <w:rsid w:val="001534D7"/>
    <w:rsid w:val="001574A3"/>
    <w:rsid w:val="00170377"/>
    <w:rsid w:val="00187894"/>
    <w:rsid w:val="00193A4B"/>
    <w:rsid w:val="001A6947"/>
    <w:rsid w:val="001B7ADE"/>
    <w:rsid w:val="001C5C38"/>
    <w:rsid w:val="001F639F"/>
    <w:rsid w:val="001F6885"/>
    <w:rsid w:val="0020275F"/>
    <w:rsid w:val="0022212D"/>
    <w:rsid w:val="00226B71"/>
    <w:rsid w:val="00231D0D"/>
    <w:rsid w:val="00232805"/>
    <w:rsid w:val="002525C5"/>
    <w:rsid w:val="00255E0C"/>
    <w:rsid w:val="00261E81"/>
    <w:rsid w:val="00271AB6"/>
    <w:rsid w:val="00271F77"/>
    <w:rsid w:val="0028031B"/>
    <w:rsid w:val="002839CA"/>
    <w:rsid w:val="002A494D"/>
    <w:rsid w:val="002B2D6F"/>
    <w:rsid w:val="002B37D8"/>
    <w:rsid w:val="002B407C"/>
    <w:rsid w:val="002D0187"/>
    <w:rsid w:val="002D5115"/>
    <w:rsid w:val="002F304C"/>
    <w:rsid w:val="002F4E54"/>
    <w:rsid w:val="00313358"/>
    <w:rsid w:val="00320E5E"/>
    <w:rsid w:val="00326F48"/>
    <w:rsid w:val="00347714"/>
    <w:rsid w:val="003514AD"/>
    <w:rsid w:val="00366BF2"/>
    <w:rsid w:val="003728E4"/>
    <w:rsid w:val="00374E11"/>
    <w:rsid w:val="003A4545"/>
    <w:rsid w:val="003B01B0"/>
    <w:rsid w:val="003B43EC"/>
    <w:rsid w:val="003C7FD3"/>
    <w:rsid w:val="003D4CFE"/>
    <w:rsid w:val="003E29B5"/>
    <w:rsid w:val="003E51EB"/>
    <w:rsid w:val="003E7FAC"/>
    <w:rsid w:val="003F3C92"/>
    <w:rsid w:val="003F5E75"/>
    <w:rsid w:val="00406B7E"/>
    <w:rsid w:val="004177BE"/>
    <w:rsid w:val="0042385D"/>
    <w:rsid w:val="00424592"/>
    <w:rsid w:val="00430361"/>
    <w:rsid w:val="00443FF4"/>
    <w:rsid w:val="004615C4"/>
    <w:rsid w:val="00461C22"/>
    <w:rsid w:val="004801D1"/>
    <w:rsid w:val="0048402B"/>
    <w:rsid w:val="00494BC1"/>
    <w:rsid w:val="00494EB8"/>
    <w:rsid w:val="004979C9"/>
    <w:rsid w:val="004B24FF"/>
    <w:rsid w:val="004C66DF"/>
    <w:rsid w:val="004D6461"/>
    <w:rsid w:val="004E6EF8"/>
    <w:rsid w:val="00500B5D"/>
    <w:rsid w:val="0051778F"/>
    <w:rsid w:val="00520E55"/>
    <w:rsid w:val="00544F79"/>
    <w:rsid w:val="00553170"/>
    <w:rsid w:val="005711D2"/>
    <w:rsid w:val="0057654B"/>
    <w:rsid w:val="005832B7"/>
    <w:rsid w:val="0058443C"/>
    <w:rsid w:val="00596923"/>
    <w:rsid w:val="005A0C09"/>
    <w:rsid w:val="005A1BE0"/>
    <w:rsid w:val="005A23F9"/>
    <w:rsid w:val="005B3B56"/>
    <w:rsid w:val="005C7903"/>
    <w:rsid w:val="005D1E06"/>
    <w:rsid w:val="005E01F3"/>
    <w:rsid w:val="00600EB1"/>
    <w:rsid w:val="0061125D"/>
    <w:rsid w:val="006143AF"/>
    <w:rsid w:val="00623F69"/>
    <w:rsid w:val="00630FCB"/>
    <w:rsid w:val="00636B2A"/>
    <w:rsid w:val="00651C93"/>
    <w:rsid w:val="0065637E"/>
    <w:rsid w:val="006724C4"/>
    <w:rsid w:val="00675AB7"/>
    <w:rsid w:val="006935C9"/>
    <w:rsid w:val="00694524"/>
    <w:rsid w:val="00694796"/>
    <w:rsid w:val="006A25CA"/>
    <w:rsid w:val="006A4F51"/>
    <w:rsid w:val="006B0F1E"/>
    <w:rsid w:val="006B5AAD"/>
    <w:rsid w:val="006B7939"/>
    <w:rsid w:val="006D7338"/>
    <w:rsid w:val="006E2451"/>
    <w:rsid w:val="007025F9"/>
    <w:rsid w:val="00711670"/>
    <w:rsid w:val="0071225A"/>
    <w:rsid w:val="00714E93"/>
    <w:rsid w:val="00717522"/>
    <w:rsid w:val="007178F0"/>
    <w:rsid w:val="00722DD0"/>
    <w:rsid w:val="00725687"/>
    <w:rsid w:val="0073072D"/>
    <w:rsid w:val="0073459D"/>
    <w:rsid w:val="00751081"/>
    <w:rsid w:val="007640BE"/>
    <w:rsid w:val="00777145"/>
    <w:rsid w:val="00784798"/>
    <w:rsid w:val="007A2121"/>
    <w:rsid w:val="007E2162"/>
    <w:rsid w:val="007E4AC7"/>
    <w:rsid w:val="007F4A35"/>
    <w:rsid w:val="00816ED5"/>
    <w:rsid w:val="00831BB4"/>
    <w:rsid w:val="00841F2A"/>
    <w:rsid w:val="00856E5A"/>
    <w:rsid w:val="00871EC0"/>
    <w:rsid w:val="008766A4"/>
    <w:rsid w:val="00877262"/>
    <w:rsid w:val="00887E2D"/>
    <w:rsid w:val="008919D9"/>
    <w:rsid w:val="00895870"/>
    <w:rsid w:val="00896FF2"/>
    <w:rsid w:val="008A5234"/>
    <w:rsid w:val="008B7F4D"/>
    <w:rsid w:val="008C0B02"/>
    <w:rsid w:val="008C6FA8"/>
    <w:rsid w:val="008D2D16"/>
    <w:rsid w:val="008D3BDE"/>
    <w:rsid w:val="008E53DE"/>
    <w:rsid w:val="008F185F"/>
    <w:rsid w:val="008F3046"/>
    <w:rsid w:val="009030AA"/>
    <w:rsid w:val="00912875"/>
    <w:rsid w:val="0091756B"/>
    <w:rsid w:val="00917F2A"/>
    <w:rsid w:val="009269FD"/>
    <w:rsid w:val="00927DEE"/>
    <w:rsid w:val="00933910"/>
    <w:rsid w:val="009478ED"/>
    <w:rsid w:val="009652F7"/>
    <w:rsid w:val="00967755"/>
    <w:rsid w:val="00972CF2"/>
    <w:rsid w:val="009731D8"/>
    <w:rsid w:val="0097421F"/>
    <w:rsid w:val="00980015"/>
    <w:rsid w:val="009A25B7"/>
    <w:rsid w:val="009A58A8"/>
    <w:rsid w:val="009E4078"/>
    <w:rsid w:val="009F2302"/>
    <w:rsid w:val="009F7497"/>
    <w:rsid w:val="00A04E5A"/>
    <w:rsid w:val="00A140E9"/>
    <w:rsid w:val="00A24325"/>
    <w:rsid w:val="00A33C93"/>
    <w:rsid w:val="00A57C27"/>
    <w:rsid w:val="00A62D1A"/>
    <w:rsid w:val="00A74400"/>
    <w:rsid w:val="00A817F7"/>
    <w:rsid w:val="00A8302C"/>
    <w:rsid w:val="00A94E33"/>
    <w:rsid w:val="00AB2A5C"/>
    <w:rsid w:val="00AD3210"/>
    <w:rsid w:val="00AD4561"/>
    <w:rsid w:val="00B11CC6"/>
    <w:rsid w:val="00B134F9"/>
    <w:rsid w:val="00B17AF7"/>
    <w:rsid w:val="00B230DB"/>
    <w:rsid w:val="00B239F0"/>
    <w:rsid w:val="00B40154"/>
    <w:rsid w:val="00B44818"/>
    <w:rsid w:val="00B5537C"/>
    <w:rsid w:val="00B71B08"/>
    <w:rsid w:val="00B81307"/>
    <w:rsid w:val="00B95F78"/>
    <w:rsid w:val="00BA142D"/>
    <w:rsid w:val="00BB1268"/>
    <w:rsid w:val="00BB5F6F"/>
    <w:rsid w:val="00BC3DEC"/>
    <w:rsid w:val="00BC4097"/>
    <w:rsid w:val="00BD2AD4"/>
    <w:rsid w:val="00BE339D"/>
    <w:rsid w:val="00BF6D05"/>
    <w:rsid w:val="00C03984"/>
    <w:rsid w:val="00C03DC3"/>
    <w:rsid w:val="00C052CB"/>
    <w:rsid w:val="00C1688C"/>
    <w:rsid w:val="00C412C9"/>
    <w:rsid w:val="00C75380"/>
    <w:rsid w:val="00C839E6"/>
    <w:rsid w:val="00C91AC2"/>
    <w:rsid w:val="00C92B6C"/>
    <w:rsid w:val="00C96775"/>
    <w:rsid w:val="00CA3B87"/>
    <w:rsid w:val="00CC7F0A"/>
    <w:rsid w:val="00CE1579"/>
    <w:rsid w:val="00CE6B2B"/>
    <w:rsid w:val="00CF1CB9"/>
    <w:rsid w:val="00D0451D"/>
    <w:rsid w:val="00D049D0"/>
    <w:rsid w:val="00D31299"/>
    <w:rsid w:val="00D61613"/>
    <w:rsid w:val="00D71081"/>
    <w:rsid w:val="00D74495"/>
    <w:rsid w:val="00D84C0F"/>
    <w:rsid w:val="00DA020D"/>
    <w:rsid w:val="00DB7AE5"/>
    <w:rsid w:val="00DC0883"/>
    <w:rsid w:val="00DC426F"/>
    <w:rsid w:val="00DD7D45"/>
    <w:rsid w:val="00DE0F00"/>
    <w:rsid w:val="00DE643D"/>
    <w:rsid w:val="00DF1C42"/>
    <w:rsid w:val="00E42E39"/>
    <w:rsid w:val="00E526A5"/>
    <w:rsid w:val="00E66300"/>
    <w:rsid w:val="00E67888"/>
    <w:rsid w:val="00E72D86"/>
    <w:rsid w:val="00E85D36"/>
    <w:rsid w:val="00E90E6F"/>
    <w:rsid w:val="00E93B21"/>
    <w:rsid w:val="00E97212"/>
    <w:rsid w:val="00EB6BC7"/>
    <w:rsid w:val="00EC4992"/>
    <w:rsid w:val="00EC718D"/>
    <w:rsid w:val="00ED24C9"/>
    <w:rsid w:val="00EF04D3"/>
    <w:rsid w:val="00EF1BC2"/>
    <w:rsid w:val="00F02460"/>
    <w:rsid w:val="00F02898"/>
    <w:rsid w:val="00F16129"/>
    <w:rsid w:val="00F27799"/>
    <w:rsid w:val="00F36897"/>
    <w:rsid w:val="00F37E0C"/>
    <w:rsid w:val="00F512FA"/>
    <w:rsid w:val="00F534C5"/>
    <w:rsid w:val="00F546B5"/>
    <w:rsid w:val="00F70CB4"/>
    <w:rsid w:val="00F7204D"/>
    <w:rsid w:val="00F83C29"/>
    <w:rsid w:val="00F84D08"/>
    <w:rsid w:val="00F85A04"/>
    <w:rsid w:val="00F85A39"/>
    <w:rsid w:val="00F91A79"/>
    <w:rsid w:val="00F97B56"/>
    <w:rsid w:val="00FA04D7"/>
    <w:rsid w:val="00FA6B94"/>
    <w:rsid w:val="00FA7ED2"/>
    <w:rsid w:val="00FB1204"/>
    <w:rsid w:val="00FB5C2D"/>
    <w:rsid w:val="00FC2F53"/>
    <w:rsid w:val="00FD7308"/>
    <w:rsid w:val="00FE26C9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3958A"/>
  <w15:docId w15:val="{62E8C001-9F44-4DDD-AA77-D1B69A8E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B71B08"/>
    <w:pPr>
      <w:spacing w:before="120" w:line="280" w:lineRule="atLeast"/>
    </w:pPr>
    <w:rPr>
      <w:rFonts w:ascii="Arial" w:hAnsi="Arial" w:cs="Arial"/>
      <w:sz w:val="22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D4CFE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F272F"/>
      <w:sz w:val="44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2D0187"/>
    <w:pPr>
      <w:pBdr>
        <w:top w:val="single" w:sz="8" w:space="3" w:color="AF272F"/>
      </w:pBdr>
      <w:ind w:left="851" w:hanging="851"/>
      <w:outlineLvl w:val="1"/>
    </w:pPr>
    <w:rPr>
      <w:bCs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D71081"/>
    <w:pPr>
      <w:tabs>
        <w:tab w:val="left" w:pos="851"/>
      </w:tabs>
      <w:spacing w:before="240" w:after="120"/>
      <w:outlineLvl w:val="2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CFE"/>
    <w:rPr>
      <w:rFonts w:ascii="Arial" w:eastAsiaTheme="majorEastAsia" w:hAnsi="Arial" w:cstheme="majorBidi"/>
      <w:b/>
      <w:bCs/>
      <w:color w:val="AF272F"/>
      <w:sz w:val="4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D0187"/>
    <w:rPr>
      <w:rFonts w:ascii="Arial" w:eastAsiaTheme="majorEastAsia" w:hAnsi="Arial" w:cstheme="majorBidi"/>
      <w:b/>
      <w:color w:val="AF272F"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71081"/>
    <w:rPr>
      <w:rFonts w:ascii="Arial" w:hAnsi="Arial" w:cs="Arial"/>
      <w:b/>
      <w:color w:val="000000" w:themeColor="text1"/>
      <w:szCs w:val="18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Footer">
    <w:name w:val="footer"/>
    <w:basedOn w:val="Normal"/>
    <w:link w:val="FooterChar"/>
    <w:uiPriority w:val="99"/>
    <w:rsid w:val="00714E93"/>
    <w:pPr>
      <w:tabs>
        <w:tab w:val="right" w:pos="6804"/>
      </w:tabs>
      <w:spacing w:before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4E93"/>
    <w:rPr>
      <w:rFonts w:ascii="Arial" w:hAnsi="Arial" w:cs="Arial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qFormat/>
    <w:locked/>
    <w:rsid w:val="00326F48"/>
    <w:rPr>
      <w:i/>
      <w:iCs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714E93"/>
    <w:pPr>
      <w:spacing w:before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14E93"/>
    <w:rPr>
      <w:rFonts w:ascii="Arial" w:hAnsi="Arial" w:cs="Arial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after="0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271F77"/>
    <w:pPr>
      <w:spacing w:after="40" w:line="240" w:lineRule="auto"/>
    </w:pPr>
    <w:rPr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210"/>
    <w:rPr>
      <w:rFonts w:ascii="Arial" w:hAnsi="Arial" w:cs="Arial"/>
      <w:sz w:val="11"/>
      <w:szCs w:val="11"/>
    </w:rPr>
  </w:style>
  <w:style w:type="paragraph" w:customStyle="1" w:styleId="NoteLevel1">
    <w:name w:val="Note Level 1"/>
    <w:basedOn w:val="Normal"/>
    <w:uiPriority w:val="99"/>
    <w:semiHidden/>
    <w:locked/>
    <w:rsid w:val="00895870"/>
    <w:pPr>
      <w:keepNext/>
      <w:ind w:left="284" w:hanging="36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locked/>
    <w:rsid w:val="00D84C0F"/>
    <w:pPr>
      <w:keepNext/>
      <w:tabs>
        <w:tab w:val="num" w:pos="-240"/>
      </w:tabs>
      <w:ind w:left="120"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locked/>
    <w:rsid w:val="00D84C0F"/>
    <w:pPr>
      <w:keepNext/>
      <w:tabs>
        <w:tab w:val="num" w:pos="480"/>
      </w:tabs>
      <w:ind w:left="840"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locked/>
    <w:rsid w:val="00D84C0F"/>
    <w:pPr>
      <w:keepNext/>
      <w:tabs>
        <w:tab w:val="num" w:pos="1200"/>
      </w:tabs>
      <w:ind w:left="1560"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locked/>
    <w:rsid w:val="00D84C0F"/>
    <w:pPr>
      <w:keepNext/>
      <w:numPr>
        <w:ilvl w:val="4"/>
        <w:numId w:val="11"/>
      </w:numPr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locked/>
    <w:rsid w:val="00D84C0F"/>
    <w:pPr>
      <w:keepNext/>
      <w:tabs>
        <w:tab w:val="num" w:pos="2640"/>
      </w:tabs>
      <w:ind w:left="3000"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semiHidden/>
    <w:locked/>
    <w:rsid w:val="00D84C0F"/>
    <w:pPr>
      <w:ind w:left="3402" w:firstLine="0"/>
    </w:pPr>
  </w:style>
  <w:style w:type="paragraph" w:customStyle="1" w:styleId="NoteLevel8">
    <w:name w:val="Note Level 8"/>
    <w:basedOn w:val="Normal"/>
    <w:uiPriority w:val="99"/>
    <w:semiHidden/>
    <w:locked/>
    <w:rsid w:val="00D84C0F"/>
    <w:pPr>
      <w:keepNext/>
      <w:numPr>
        <w:ilvl w:val="7"/>
        <w:numId w:val="11"/>
      </w:numPr>
      <w:contextualSpacing/>
      <w:outlineLvl w:val="7"/>
    </w:pPr>
  </w:style>
  <w:style w:type="character" w:styleId="FootnoteReference">
    <w:name w:val="footnote reference"/>
    <w:basedOn w:val="DefaultParagraphFont"/>
    <w:uiPriority w:val="99"/>
    <w:semiHidden/>
    <w:locked/>
    <w:rsid w:val="00271F77"/>
    <w:rPr>
      <w:color w:val="AF272F"/>
      <w:sz w:val="13"/>
      <w:szCs w:val="13"/>
      <w:vertAlign w:val="superscript"/>
    </w:rPr>
  </w:style>
  <w:style w:type="paragraph" w:customStyle="1" w:styleId="NoteLevel9">
    <w:name w:val="Note Level 9"/>
    <w:basedOn w:val="Normal"/>
    <w:uiPriority w:val="99"/>
    <w:semiHidden/>
    <w:locked/>
    <w:rsid w:val="00D84C0F"/>
    <w:pPr>
      <w:keepNext/>
      <w:numPr>
        <w:ilvl w:val="8"/>
        <w:numId w:val="11"/>
      </w:numPr>
      <w:contextualSpacing/>
      <w:outlineLvl w:val="8"/>
    </w:pPr>
  </w:style>
  <w:style w:type="paragraph" w:styleId="TOC3">
    <w:name w:val="toc 3"/>
    <w:basedOn w:val="Normal"/>
    <w:next w:val="Normal"/>
    <w:autoRedefine/>
    <w:uiPriority w:val="39"/>
    <w:semiHidden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semiHidden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semiHidden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semiHidden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semiHidden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semiHidden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semiHidden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semiHidden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semiHidden/>
    <w:locked/>
    <w:rsid w:val="00895870"/>
    <w:pPr>
      <w:ind w:left="1440"/>
    </w:pPr>
  </w:style>
  <w:style w:type="character" w:styleId="EndnoteReference">
    <w:name w:val="endnote reference"/>
    <w:uiPriority w:val="99"/>
    <w:semiHidden/>
    <w:locked/>
    <w:rsid w:val="00271F77"/>
    <w:rPr>
      <w:b w:val="0"/>
      <w:i w:val="0"/>
      <w:sz w:val="15"/>
      <w:szCs w:val="15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927DEE"/>
    <w:rPr>
      <w:color w:val="0000FF"/>
      <w:u w:val="single"/>
    </w:rPr>
  </w:style>
  <w:style w:type="paragraph" w:styleId="ListBullet">
    <w:name w:val="List Bullet"/>
    <w:basedOn w:val="Normal"/>
    <w:uiPriority w:val="99"/>
    <w:locked/>
    <w:rsid w:val="00714E93"/>
    <w:pPr>
      <w:numPr>
        <w:numId w:val="27"/>
      </w:numPr>
    </w:pPr>
    <w:rPr>
      <w:rFonts w:eastAsiaTheme="minorHAnsi" w:cstheme="minorBidi"/>
      <w:szCs w:val="22"/>
    </w:rPr>
  </w:style>
  <w:style w:type="paragraph" w:styleId="ListBullet2">
    <w:name w:val="List Bullet 2"/>
    <w:basedOn w:val="Normal"/>
    <w:uiPriority w:val="99"/>
    <w:locked/>
    <w:rsid w:val="00927DEE"/>
    <w:pPr>
      <w:spacing w:before="60"/>
      <w:ind w:left="568" w:hanging="284"/>
    </w:pPr>
    <w:rPr>
      <w:rFonts w:ascii="Candara" w:eastAsiaTheme="minorHAnsi" w:hAnsi="Candara" w:cstheme="minorBidi"/>
      <w:szCs w:val="22"/>
    </w:rPr>
  </w:style>
  <w:style w:type="table" w:styleId="LightList-Accent3">
    <w:name w:val="Light List Accent 3"/>
    <w:basedOn w:val="TableNormal"/>
    <w:uiPriority w:val="61"/>
    <w:locked/>
    <w:rsid w:val="00927DEE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semiHidden/>
    <w:locked/>
    <w:rsid w:val="0051778F"/>
    <w:rPr>
      <w:color w:val="0000FF"/>
      <w:u w:val="single"/>
    </w:rPr>
  </w:style>
  <w:style w:type="paragraph" w:styleId="ListContinue">
    <w:name w:val="List Continue"/>
    <w:basedOn w:val="Normal"/>
    <w:uiPriority w:val="99"/>
    <w:unhideWhenUsed/>
    <w:locked/>
    <w:rsid w:val="0051778F"/>
    <w:pPr>
      <w:ind w:left="284"/>
    </w:pPr>
    <w:rPr>
      <w:rFonts w:ascii="Candara" w:eastAsiaTheme="minorHAnsi" w:hAnsi="Candara" w:cstheme="minorBidi"/>
      <w:szCs w:val="22"/>
    </w:rPr>
  </w:style>
  <w:style w:type="paragraph" w:styleId="BodyText">
    <w:name w:val="Body Text"/>
    <w:basedOn w:val="Normal"/>
    <w:link w:val="BodyTextChar"/>
    <w:uiPriority w:val="99"/>
    <w:unhideWhenUsed/>
    <w:locked/>
    <w:rsid w:val="0051778F"/>
    <w:pPr>
      <w:pBdr>
        <w:top w:val="single" w:sz="2" w:space="1" w:color="F79646" w:themeColor="accent6" w:shadow="1"/>
        <w:left w:val="single" w:sz="2" w:space="4" w:color="F79646" w:themeColor="accent6" w:shadow="1"/>
        <w:bottom w:val="single" w:sz="2" w:space="1" w:color="F79646" w:themeColor="accent6" w:shadow="1"/>
        <w:right w:val="single" w:sz="2" w:space="4" w:color="F79646" w:themeColor="accent6" w:shadow="1"/>
      </w:pBdr>
      <w:ind w:left="567" w:right="567"/>
    </w:pPr>
    <w:rPr>
      <w:rFonts w:ascii="Candara" w:eastAsiaTheme="minorHAnsi" w:hAnsi="Candara" w:cstheme="minorBidi"/>
      <w:b/>
      <w:color w:val="F79646" w:themeColor="accent6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778F"/>
    <w:rPr>
      <w:rFonts w:ascii="Candara" w:eastAsiaTheme="minorHAnsi" w:hAnsi="Candara"/>
      <w:b/>
      <w:color w:val="F79646" w:themeColor="accent6"/>
      <w:szCs w:val="22"/>
      <w:lang w:val="en-AU"/>
    </w:rPr>
  </w:style>
  <w:style w:type="paragraph" w:styleId="BodyText2">
    <w:name w:val="Body Text 2"/>
    <w:basedOn w:val="Normal"/>
    <w:link w:val="BodyText2Char"/>
    <w:uiPriority w:val="99"/>
    <w:unhideWhenUsed/>
    <w:locked/>
    <w:rsid w:val="0051778F"/>
    <w:pPr>
      <w:pBdr>
        <w:top w:val="single" w:sz="2" w:space="1" w:color="F79646" w:themeColor="accent6" w:shadow="1"/>
        <w:left w:val="single" w:sz="2" w:space="4" w:color="F79646" w:themeColor="accent6" w:shadow="1"/>
        <w:bottom w:val="single" w:sz="2" w:space="1" w:color="F79646" w:themeColor="accent6" w:shadow="1"/>
        <w:right w:val="single" w:sz="2" w:space="4" w:color="F79646" w:themeColor="accent6" w:shadow="1"/>
      </w:pBdr>
      <w:ind w:left="567" w:right="567"/>
    </w:pPr>
    <w:rPr>
      <w:rFonts w:ascii="Candara" w:eastAsiaTheme="minorHAnsi" w:hAnsi="Candara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778F"/>
    <w:rPr>
      <w:rFonts w:ascii="Candara" w:eastAsiaTheme="minorHAnsi" w:hAnsi="Candara"/>
      <w:sz w:val="22"/>
      <w:szCs w:val="22"/>
      <w:lang w:val="en-AU"/>
    </w:rPr>
  </w:style>
  <w:style w:type="paragraph" w:styleId="NoSpacing">
    <w:name w:val="No Spacing"/>
    <w:uiPriority w:val="1"/>
    <w:qFormat/>
    <w:locked/>
    <w:rsid w:val="0051778F"/>
    <w:rPr>
      <w:rFonts w:ascii="Candara" w:eastAsiaTheme="minorHAnsi" w:hAnsi="Candara"/>
      <w:sz w:val="22"/>
      <w:szCs w:val="22"/>
      <w:lang w:val="en-AU"/>
    </w:rPr>
  </w:style>
  <w:style w:type="table" w:customStyle="1" w:styleId="GridTable6Colorful1">
    <w:name w:val="Grid Table 6 Colorful1"/>
    <w:basedOn w:val="TableNormal"/>
    <w:uiPriority w:val="51"/>
    <w:locked/>
    <w:rsid w:val="0051778F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3FF4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28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91756B"/>
    <w:rPr>
      <w:color w:val="2B579A"/>
      <w:shd w:val="clear" w:color="auto" w:fill="E6E6E6"/>
    </w:rPr>
  </w:style>
  <w:style w:type="table" w:customStyle="1" w:styleId="GridTable6Colorful10">
    <w:name w:val="Grid Table 6 Colorful1"/>
    <w:basedOn w:val="TableNormal"/>
    <w:uiPriority w:val="51"/>
    <w:locked/>
    <w:rsid w:val="00717522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6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6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37E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6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37E"/>
    <w:rPr>
      <w:rFonts w:ascii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6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567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2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gate.eduweb.vic.gov.au/edulibrary/Schools/Forms/AllItems.aspx?RootFolder=%2fedulibrary%2fSchools%2fCASES21%2fCASES21%20Finance%2fFinance%20Business%20Process%20Guide&amp;FolderCTID=&amp;View=%7b393E28AF%2d9188%2d49EC%2d9B2F%2d5B1CA6BF217D%7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web.vic.gov.au/forms/school/spreports/default.asp" TargetMode="External"/><Relationship Id="rId17" Type="http://schemas.openxmlformats.org/officeDocument/2006/relationships/footer" Target="footer1.xml"/><Relationship Id="rId16" Type="http://schemas.openxmlformats.org/officeDocument/2006/relationships/hyperlink" Target="http://www.education.vic.gov.au/school/teachers/management/finance/Pages/cases21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teachers/management/finance/Pages/cases21.aspx%23link58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teachers/management/finance/Pages/cases21.aspx%23link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9A5FE64567849B3D74FDCA5171CB6" ma:contentTypeVersion="5" ma:contentTypeDescription="Create a new document." ma:contentTypeScope="" ma:versionID="91e065d7f5b636a171005a9a1f4a2847">
  <xsd:schema xmlns:xsd="http://www.w3.org/2001/XMLSchema" xmlns:xs="http://www.w3.org/2001/XMLSchema" xmlns:p="http://schemas.microsoft.com/office/2006/metadata/properties" xmlns:ns2="500c308d-f2fb-4fe0-9990-16f1afa0b8fb" targetNamespace="http://schemas.microsoft.com/office/2006/metadata/properties" ma:root="true" ma:fieldsID="9624786d58ec92ad544c6ef6fa536cf3" ns2:_="">
    <xsd:import namespace="500c308d-f2fb-4fe0-9990-16f1afa0b8f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ic" minOccurs="0"/>
                <xsd:element ref="ns2:Sub_x002d_Topic" minOccurs="0"/>
                <xsd:element ref="ns2:Status" minOccurs="0"/>
                <xsd:element ref="ns2:Date_x0020_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308d-f2fb-4fe0-9990-16f1afa0b8fb" elementFormDefault="qualified">
    <xsd:import namespace="http://schemas.microsoft.com/office/2006/documentManagement/types"/>
    <xsd:import namespace="http://schemas.microsoft.com/office/infopath/2007/PartnerControls"/>
    <xsd:element name="Category" ma:index="1" nillable="true" ma:displayName="Category" ma:description="What is this document about?" ma:format="Dropdown" ma:internalName="Category">
      <xsd:simpleType>
        <xsd:union memberTypes="dms:Text">
          <xsd:simpleType>
            <xsd:restriction base="dms:Choice">
              <xsd:enumeration value="2016 CASES21 Documents"/>
              <xsd:enumeration value="2017 CASES21 Documents"/>
              <xsd:enumeration value="2018 CASES21 Documents"/>
              <xsd:enumeration value="2019 CASES21 Documents"/>
              <xsd:enumeration value="Article"/>
              <xsd:enumeration value="Briefing"/>
              <xsd:enumeration value="Forms"/>
              <xsd:enumeration value="Policy and Guidelines"/>
              <xsd:enumeration value="Finance Document Review process"/>
              <xsd:enumeration value="Register"/>
              <xsd:enumeration value="Report"/>
              <xsd:enumeration value="Template"/>
            </xsd:restriction>
          </xsd:simpleType>
        </xsd:union>
      </xsd:simpleType>
    </xsd:element>
    <xsd:element name="Topic" ma:index="2" nillable="true" ma:displayName="Topic" ma:description="Petty Cash changes" ma:format="Dropdown" ma:internalName="Topic">
      <xsd:simpleType>
        <xsd:restriction base="dms:Choice">
          <xsd:enumeration value="Asset Management"/>
          <xsd:enumeration value="Budget Management"/>
          <xsd:enumeration value="Business Continuity"/>
          <xsd:enumeration value="2016 CASES21"/>
          <xsd:enumeration value="2017 CASES21"/>
          <xsd:enumeration value="2018 CASES21"/>
          <xsd:enumeration value="2019 CASES21"/>
          <xsd:enumeration value="CASES21"/>
          <xsd:enumeration value="Document Review"/>
          <xsd:enumeration value="Electronic Funds Management"/>
          <xsd:enumeration value="Finance Manual"/>
          <xsd:enumeration value="Financial Commitment Summary"/>
          <xsd:enumeration value="High Yield Investment Account"/>
          <xsd:enumeration value="Internal Controls"/>
          <xsd:enumeration value="New Business Managers"/>
          <xsd:enumeration value="New Merged Closed Schools"/>
          <xsd:enumeration value="Petty Cash"/>
          <xsd:enumeration value="School Cash Reserve"/>
          <xsd:enumeration value="School Council"/>
          <xsd:enumeration value="School Investment"/>
          <xsd:enumeration value="School Level Payroll"/>
          <xsd:enumeration value="School Trading Operations"/>
          <xsd:enumeration value="Schools Purchasing Card"/>
          <xsd:enumeration value="Unclaimed monies"/>
          <xsd:enumeration value="2020 Pending PPP Changes"/>
          <xsd:enumeration value="2020 CASES21"/>
        </xsd:restriction>
      </xsd:simpleType>
    </xsd:element>
    <xsd:element name="Sub_x002d_Topic" ma:index="3" nillable="true" ma:displayName="Sub-Topic" ma:description="More information about this if required" ma:internalName="Sub_x002d_Topic">
      <xsd:simpleType>
        <xsd:restriction base="dms:Text">
          <xsd:maxLength value="255"/>
        </xsd:restriction>
      </xsd:simpleType>
    </xsd:element>
    <xsd:element name="Status" ma:index="4" nillable="true" ma:displayName="Status" ma:description="What is the status of this document?" ma:format="Dropdown" ma:internalName="Status">
      <xsd:simpleType>
        <xsd:restriction base="dms:Choice">
          <xsd:enumeration value="Archive"/>
          <xsd:enumeration value="Editing"/>
          <xsd:enumeration value="Final review"/>
          <xsd:enumeration value="Published"/>
        </xsd:restriction>
      </xsd:simpleType>
    </xsd:element>
    <xsd:element name="Date_x0020_published" ma:index="5" nillable="true" ma:displayName="Date published" ma:description="When was this document published?" ma:format="DateOnly" ma:internalName="Date_x0020_publish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Finance manual for Victorian Government 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C298D-232B-4E6E-9AD5-A30B110E8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308d-f2fb-4fe0-9990-16f1afa0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E46E4-D081-48AA-8BF1-1CA9BABA0336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500c308d-f2fb-4fe0-9990-16f1afa0b8fb"/>
  </ds:schemaRefs>
</ds:datastoreItem>
</file>

<file path=customXml/itemProps5.xml><?xml version="1.0" encoding="utf-8"?>
<ds:datastoreItem xmlns:ds="http://schemas.openxmlformats.org/officeDocument/2006/customXml" ds:itemID="{E0D253AA-9EF3-4CF2-B935-8F0B901D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Stacey, Kimberley C</cp:lastModifiedBy>
  <cp:revision>4</cp:revision>
  <cp:lastPrinted>2019-02-01T01:08:00Z</cp:lastPrinted>
  <dcterms:created xsi:type="dcterms:W3CDTF">2020-02-14T00:16:00Z</dcterms:created>
  <dcterms:modified xsi:type="dcterms:W3CDTF">2020-02-14T01:16:00Z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