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A6FC" w14:textId="77777777" w:rsidR="006554DD" w:rsidRPr="007B6B53" w:rsidRDefault="00E97774" w:rsidP="006554DD">
      <w:pPr>
        <w:pStyle w:val="Heading1"/>
        <w:rPr>
          <w:rFonts w:cs="Arial"/>
          <w:b w:val="0"/>
          <w:szCs w:val="44"/>
        </w:rPr>
      </w:pPr>
      <w:bookmarkStart w:id="0" w:name="_Toc455499267"/>
      <w:bookmarkStart w:id="1" w:name="_Toc455499461"/>
      <w:bookmarkStart w:id="2" w:name="_Toc455501167"/>
      <w:r w:rsidRPr="007B6B53">
        <w:rPr>
          <w:rFonts w:cs="Arial"/>
          <w:szCs w:val="44"/>
        </w:rPr>
        <w:t>Section 13</w:t>
      </w:r>
      <w:r w:rsidR="006554DD" w:rsidRPr="007B6B53">
        <w:rPr>
          <w:rFonts w:cs="Arial"/>
          <w:szCs w:val="44"/>
        </w:rPr>
        <w:t xml:space="preserve">: </w:t>
      </w:r>
      <w:r w:rsidRPr="007B6B53">
        <w:rPr>
          <w:rFonts w:cs="Arial"/>
          <w:szCs w:val="44"/>
        </w:rPr>
        <w:t>Asset and Inventory Management</w:t>
      </w:r>
    </w:p>
    <w:p w14:paraId="7EA9F6D9" w14:textId="1FBDCC4A" w:rsidR="006554DD" w:rsidRPr="009F57A3" w:rsidRDefault="00E97774" w:rsidP="006554DD">
      <w:pPr>
        <w:pStyle w:val="Heading2"/>
      </w:pPr>
      <w:r>
        <w:t>13</w:t>
      </w:r>
      <w:r w:rsidR="006554DD" w:rsidRPr="009F57A3">
        <w:t>.1</w:t>
      </w:r>
      <w:r w:rsidR="00B04F7A">
        <w:tab/>
      </w:r>
      <w:r w:rsidR="006554DD" w:rsidRPr="006554DD">
        <w:t>Overview</w:t>
      </w:r>
    </w:p>
    <w:p w14:paraId="596FD2D9" w14:textId="77777777" w:rsidR="00E97774" w:rsidRPr="00284372" w:rsidRDefault="00E97774" w:rsidP="00DB6664">
      <w:r w:rsidRPr="00284372">
        <w:t xml:space="preserve">Schools have substantial investments in stores, equipment, furniture, books and other learning materials. Although most items are covered by insurance administered within the Department, proper asset management procedures must be followed on purchases, custody, loss or disposal of these items to ensure accurate and up-to-date information is maintained. </w:t>
      </w:r>
    </w:p>
    <w:p w14:paraId="31F8BDF4" w14:textId="77777777" w:rsidR="00E97774" w:rsidRPr="00284372" w:rsidRDefault="00E97774" w:rsidP="00DB6664">
      <w:r w:rsidRPr="00284372">
        <w:t>This policy is aimed to guide schools in accounting for assets in accordance with relevant accounting standards and legislation.</w:t>
      </w:r>
    </w:p>
    <w:p w14:paraId="2E9BFB6E" w14:textId="77777777" w:rsidR="00E97774" w:rsidRPr="00284372" w:rsidRDefault="00E97774" w:rsidP="00DB6664">
      <w:r w:rsidRPr="00284372">
        <w:t>By keeping appropriate records and identifying valuable items of school equipment and furniture, losses can be minimised</w:t>
      </w:r>
      <w:r w:rsidR="00284372">
        <w:t xml:space="preserve"> and the value of the assets can be used to deliver educational services</w:t>
      </w:r>
      <w:r w:rsidR="007456EE">
        <w:t xml:space="preserve"> for the school</w:t>
      </w:r>
      <w:r w:rsidRPr="00284372">
        <w:t>.</w:t>
      </w:r>
    </w:p>
    <w:p w14:paraId="310970DF" w14:textId="77777777" w:rsidR="00E97774" w:rsidRPr="00284372" w:rsidRDefault="00E97774" w:rsidP="00DB6664">
      <w:r w:rsidRPr="00284372">
        <w:t>It is crucial that schools strictly follow asset management policy and guidelines to ensure accurate reporting and accountability of assets are recorded in CASES21 Finance system.</w:t>
      </w:r>
    </w:p>
    <w:p w14:paraId="5E2223EA" w14:textId="0D27352B" w:rsidR="006554DD" w:rsidRDefault="00E97774" w:rsidP="006554DD">
      <w:pPr>
        <w:pStyle w:val="Heading2"/>
      </w:pPr>
      <w:r>
        <w:t>13</w:t>
      </w:r>
      <w:r w:rsidR="006554DD" w:rsidRPr="009F57A3">
        <w:t>.2</w:t>
      </w:r>
      <w:r w:rsidR="00B04F7A">
        <w:tab/>
      </w:r>
      <w:r>
        <w:t>Asset acquisition, recognition and recording</w:t>
      </w:r>
    </w:p>
    <w:p w14:paraId="5EC8A5AB" w14:textId="77777777" w:rsidR="00E97774" w:rsidRPr="00284372" w:rsidRDefault="00E97774" w:rsidP="00DB6664">
      <w:r w:rsidRPr="00284372">
        <w:t>An asset is a resource that</w:t>
      </w:r>
      <w:r w:rsidR="00E274A2">
        <w:t xml:space="preserve">, according to the Statement of Accounting Concepts 4 </w:t>
      </w:r>
      <w:r w:rsidR="003B0ACA">
        <w:t>–</w:t>
      </w:r>
      <w:r w:rsidR="00E274A2">
        <w:t xml:space="preserve"> Def</w:t>
      </w:r>
      <w:r w:rsidR="003B0ACA">
        <w:t>initions and Recognition of the Elements of Financial Statements</w:t>
      </w:r>
      <w:r w:rsidRPr="00284372">
        <w:t xml:space="preserve"> “represents service potential or future economic benefits controlled by the entity (government department which includes schools) as a result of past transactions or other past events”. </w:t>
      </w:r>
      <w:r w:rsidR="00DB6664" w:rsidRPr="00DB6664">
        <w:t xml:space="preserve">This is the minimum dollar value of an item as determined under the </w:t>
      </w:r>
      <w:r w:rsidR="00DB6664" w:rsidRPr="007B6B53">
        <w:rPr>
          <w:i/>
        </w:rPr>
        <w:t>Financial Management Act 1994</w:t>
      </w:r>
      <w:r w:rsidR="00DB6664" w:rsidRPr="00DB6664">
        <w:t>, Part 5 Financial Responsibility.</w:t>
      </w:r>
    </w:p>
    <w:p w14:paraId="52886CE8" w14:textId="2DE73A58" w:rsidR="006554DD" w:rsidRPr="009F57A3" w:rsidRDefault="00E97774" w:rsidP="00E97774">
      <w:pPr>
        <w:pStyle w:val="Heading3"/>
      </w:pPr>
      <w:r>
        <w:t>13</w:t>
      </w:r>
      <w:r w:rsidR="006554DD" w:rsidRPr="009F57A3">
        <w:t>.2.1</w:t>
      </w:r>
      <w:r w:rsidR="00B04F7A">
        <w:tab/>
      </w:r>
      <w:r w:rsidR="006554DD" w:rsidRPr="009F57A3">
        <w:t>Mandatory policy (</w:t>
      </w:r>
      <w:r>
        <w:t>Must do</w:t>
      </w:r>
      <w:r w:rsidR="006554DD" w:rsidRPr="009F57A3">
        <w:t>)</w:t>
      </w:r>
      <w:r w:rsidR="00D864EC">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B669A0" w:rsidRPr="0091756B" w14:paraId="2FC43EE0" w14:textId="4B8A3534" w:rsidTr="00B669A0">
        <w:trPr>
          <w:trHeight w:val="649"/>
          <w:tblHeader/>
        </w:trPr>
        <w:tc>
          <w:tcPr>
            <w:tcW w:w="1134" w:type="dxa"/>
            <w:tcBorders>
              <w:bottom w:val="single" w:sz="4" w:space="0" w:color="auto"/>
            </w:tcBorders>
            <w:shd w:val="clear" w:color="auto" w:fill="FFFFFF" w:themeFill="background1"/>
          </w:tcPr>
          <w:p w14:paraId="3BE6FA44" w14:textId="1F82C2FF" w:rsidR="00B669A0" w:rsidRPr="005A6DE8" w:rsidRDefault="00B669A0" w:rsidP="00284372">
            <w:pPr>
              <w:rPr>
                <w:b/>
                <w:sz w:val="18"/>
              </w:rPr>
            </w:pPr>
            <w:r>
              <w:rPr>
                <w:b/>
                <w:sz w:val="18"/>
              </w:rPr>
              <w:t>Sequence</w:t>
            </w:r>
            <w:r w:rsidRPr="005A6DE8">
              <w:rPr>
                <w:b/>
                <w:sz w:val="18"/>
              </w:rPr>
              <w:t xml:space="preserve"> Numbers</w:t>
            </w:r>
          </w:p>
        </w:tc>
        <w:tc>
          <w:tcPr>
            <w:tcW w:w="7088" w:type="dxa"/>
            <w:tcBorders>
              <w:bottom w:val="single" w:sz="4" w:space="0" w:color="auto"/>
            </w:tcBorders>
            <w:shd w:val="clear" w:color="auto" w:fill="auto"/>
          </w:tcPr>
          <w:p w14:paraId="271BE4DC" w14:textId="6B83969E" w:rsidR="00B669A0" w:rsidRPr="00E12C68" w:rsidRDefault="00B669A0" w:rsidP="00284372">
            <w:pPr>
              <w:rPr>
                <w:b/>
                <w:sz w:val="20"/>
                <w:szCs w:val="20"/>
              </w:rPr>
            </w:pPr>
            <w:r w:rsidRPr="00E12C68">
              <w:rPr>
                <w:b/>
                <w:sz w:val="20"/>
                <w:szCs w:val="20"/>
              </w:rPr>
              <w:t>Information</w:t>
            </w:r>
          </w:p>
        </w:tc>
        <w:tc>
          <w:tcPr>
            <w:tcW w:w="930" w:type="dxa"/>
            <w:tcBorders>
              <w:top w:val="nil"/>
              <w:bottom w:val="single" w:sz="4" w:space="0" w:color="auto"/>
              <w:right w:val="nil"/>
            </w:tcBorders>
          </w:tcPr>
          <w:p w14:paraId="1027FA30" w14:textId="77777777" w:rsidR="00B669A0" w:rsidRPr="000D2D95" w:rsidRDefault="00B669A0" w:rsidP="00284372">
            <w:pPr>
              <w:rPr>
                <w:b/>
                <w:szCs w:val="22"/>
              </w:rPr>
            </w:pPr>
          </w:p>
        </w:tc>
      </w:tr>
      <w:tr w:rsidR="00B669A0" w:rsidRPr="0091756B" w14:paraId="2BF6DE49" w14:textId="68B5C54C" w:rsidTr="00B669A0">
        <w:trPr>
          <w:trHeight w:val="1358"/>
        </w:trPr>
        <w:tc>
          <w:tcPr>
            <w:tcW w:w="1134" w:type="dxa"/>
            <w:tcBorders>
              <w:bottom w:val="single" w:sz="4" w:space="0" w:color="auto"/>
            </w:tcBorders>
            <w:shd w:val="clear" w:color="auto" w:fill="FFFFFF" w:themeFill="background1"/>
          </w:tcPr>
          <w:p w14:paraId="56C6EDAD" w14:textId="77777777" w:rsidR="00B669A0" w:rsidRPr="00284372" w:rsidRDefault="00B669A0" w:rsidP="00284372">
            <w:r w:rsidRPr="00284372">
              <w:t>13.2.1.1</w:t>
            </w:r>
          </w:p>
        </w:tc>
        <w:tc>
          <w:tcPr>
            <w:tcW w:w="7088" w:type="dxa"/>
            <w:tcBorders>
              <w:bottom w:val="single" w:sz="4" w:space="0" w:color="auto"/>
            </w:tcBorders>
            <w:shd w:val="clear" w:color="auto" w:fill="auto"/>
          </w:tcPr>
          <w:p w14:paraId="2898E72E" w14:textId="3923C594" w:rsidR="00B669A0" w:rsidRPr="00284372" w:rsidRDefault="00B669A0" w:rsidP="00284372">
            <w:r>
              <w:t xml:space="preserve">Purchases </w:t>
            </w:r>
            <w:r w:rsidRPr="00284372">
              <w:t xml:space="preserve">must be </w:t>
            </w:r>
            <w:r>
              <w:t xml:space="preserve">made in compliance with </w:t>
            </w:r>
            <w:r w:rsidRPr="00284372">
              <w:t xml:space="preserve">the </w:t>
            </w:r>
            <w:hyperlink r:id="rId11" w:anchor="/app/content/2089/support_and_service_(schools)%252Fprocurement,_funding_and_travel%252Fprocurement%252Fprocurement_procedure" w:history="1">
              <w:r>
                <w:rPr>
                  <w:rStyle w:val="Hyperlink"/>
                </w:rPr>
                <w:t>Procurement Policy for Victorian Government Schools</w:t>
              </w:r>
            </w:hyperlink>
            <w:r w:rsidRPr="00284372">
              <w:t xml:space="preserve"> </w:t>
            </w:r>
          </w:p>
          <w:p w14:paraId="7AD27B20" w14:textId="77777777" w:rsidR="00B669A0" w:rsidRPr="00284372" w:rsidRDefault="00B669A0" w:rsidP="00284372">
            <w:r w:rsidRPr="00284372">
              <w:t>Depending on the value of the goods purchased, oral or written quotations or tenders are required when acquisitions are being made.</w:t>
            </w:r>
          </w:p>
        </w:tc>
        <w:tc>
          <w:tcPr>
            <w:tcW w:w="930" w:type="dxa"/>
            <w:tcBorders>
              <w:bottom w:val="single" w:sz="4" w:space="0" w:color="auto"/>
            </w:tcBorders>
          </w:tcPr>
          <w:p w14:paraId="205EE7DA" w14:textId="77777777" w:rsidR="00B669A0" w:rsidRDefault="00B669A0" w:rsidP="00284372"/>
        </w:tc>
      </w:tr>
      <w:tr w:rsidR="00B669A0" w:rsidRPr="0091756B" w14:paraId="7F34C4E8" w14:textId="73F1579B" w:rsidTr="00B669A0">
        <w:trPr>
          <w:trHeight w:val="737"/>
        </w:trPr>
        <w:tc>
          <w:tcPr>
            <w:tcW w:w="1134" w:type="dxa"/>
            <w:tcBorders>
              <w:bottom w:val="single" w:sz="4" w:space="0" w:color="auto"/>
            </w:tcBorders>
            <w:shd w:val="clear" w:color="auto" w:fill="FFFFFF" w:themeFill="background1"/>
          </w:tcPr>
          <w:p w14:paraId="33073162" w14:textId="3208FCA4" w:rsidR="00B669A0" w:rsidRPr="00284372" w:rsidRDefault="00B669A0" w:rsidP="00284372">
            <w:r>
              <w:t>13.2.1.2</w:t>
            </w:r>
          </w:p>
        </w:tc>
        <w:tc>
          <w:tcPr>
            <w:tcW w:w="7088" w:type="dxa"/>
            <w:tcBorders>
              <w:bottom w:val="single" w:sz="4" w:space="0" w:color="auto"/>
            </w:tcBorders>
            <w:shd w:val="clear" w:color="auto" w:fill="auto"/>
          </w:tcPr>
          <w:p w14:paraId="35FE3972" w14:textId="71C8EC97" w:rsidR="00B669A0" w:rsidRDefault="00B669A0" w:rsidP="00BB0B81">
            <w:r>
              <w:t>School councils have authority to enter into construction contracts for building structure improvements for up to $50,000.</w:t>
            </w:r>
          </w:p>
        </w:tc>
        <w:tc>
          <w:tcPr>
            <w:tcW w:w="930" w:type="dxa"/>
            <w:tcBorders>
              <w:bottom w:val="single" w:sz="4" w:space="0" w:color="auto"/>
            </w:tcBorders>
          </w:tcPr>
          <w:p w14:paraId="0CBAC51B" w14:textId="77777777" w:rsidR="00B669A0" w:rsidRDefault="00B669A0" w:rsidP="00BB0B81"/>
        </w:tc>
      </w:tr>
      <w:tr w:rsidR="00B669A0" w:rsidRPr="0091756B" w14:paraId="797A8D2F" w14:textId="74285095" w:rsidTr="00B669A0">
        <w:trPr>
          <w:trHeight w:hRule="exact" w:val="1361"/>
        </w:trPr>
        <w:tc>
          <w:tcPr>
            <w:tcW w:w="1134" w:type="dxa"/>
            <w:tcBorders>
              <w:bottom w:val="single" w:sz="4" w:space="0" w:color="auto"/>
            </w:tcBorders>
            <w:shd w:val="clear" w:color="auto" w:fill="FFFFFF" w:themeFill="background1"/>
          </w:tcPr>
          <w:p w14:paraId="25485019" w14:textId="3B36896E" w:rsidR="00B669A0" w:rsidRDefault="00B669A0" w:rsidP="00284372">
            <w:r>
              <w:t>13.2.1.3</w:t>
            </w:r>
          </w:p>
        </w:tc>
        <w:tc>
          <w:tcPr>
            <w:tcW w:w="7088" w:type="dxa"/>
            <w:tcBorders>
              <w:bottom w:val="single" w:sz="4" w:space="0" w:color="auto"/>
            </w:tcBorders>
            <w:shd w:val="clear" w:color="auto" w:fill="auto"/>
          </w:tcPr>
          <w:p w14:paraId="623588B3" w14:textId="3AC2FA60" w:rsidR="000002BF" w:rsidRDefault="00B669A0" w:rsidP="00BB0B81">
            <w:r w:rsidRPr="00B04F7A">
              <w:t xml:space="preserve">If </w:t>
            </w:r>
            <w:r>
              <w:t>a</w:t>
            </w:r>
            <w:r w:rsidRPr="00B04F7A">
              <w:t xml:space="preserve"> </w:t>
            </w:r>
            <w:r>
              <w:t>school is considering building structure improvements g</w:t>
            </w:r>
            <w:r w:rsidRPr="00B04F7A">
              <w:t xml:space="preserve">reater than $50,000, the school must discuss </w:t>
            </w:r>
            <w:r>
              <w:t xml:space="preserve">this </w:t>
            </w:r>
            <w:r w:rsidRPr="00B04F7A">
              <w:t xml:space="preserve">with the Victorian Schools Building Authority first through an email request to </w:t>
            </w:r>
            <w:hyperlink r:id="rId12" w:history="1">
              <w:r w:rsidRPr="009C647B">
                <w:rPr>
                  <w:rStyle w:val="Hyperlink"/>
                </w:rPr>
                <w:t>sams@edumail.vic.gov.au</w:t>
              </w:r>
            </w:hyperlink>
            <w:r w:rsidRPr="00B04F7A">
              <w:t>.</w:t>
            </w:r>
          </w:p>
          <w:p w14:paraId="423E7DB6" w14:textId="77777777" w:rsidR="000002BF" w:rsidRPr="000002BF" w:rsidRDefault="000002BF" w:rsidP="000002BF"/>
          <w:p w14:paraId="5797FB14" w14:textId="77777777" w:rsidR="000002BF" w:rsidRPr="000002BF" w:rsidRDefault="000002BF" w:rsidP="000002BF"/>
          <w:p w14:paraId="650C0BDD" w14:textId="50EA9A3B" w:rsidR="00B669A0" w:rsidRPr="000002BF" w:rsidRDefault="000002BF" w:rsidP="000002BF">
            <w:pPr>
              <w:tabs>
                <w:tab w:val="left" w:pos="2970"/>
              </w:tabs>
            </w:pPr>
            <w:r>
              <w:tab/>
            </w:r>
          </w:p>
        </w:tc>
        <w:tc>
          <w:tcPr>
            <w:tcW w:w="930" w:type="dxa"/>
            <w:tcBorders>
              <w:bottom w:val="single" w:sz="4" w:space="0" w:color="auto"/>
            </w:tcBorders>
          </w:tcPr>
          <w:p w14:paraId="49A851AC" w14:textId="77777777" w:rsidR="00B669A0" w:rsidRPr="00B04F7A" w:rsidRDefault="00B669A0" w:rsidP="00BB0B81"/>
        </w:tc>
      </w:tr>
      <w:tr w:rsidR="00B669A0" w:rsidRPr="0091756B" w14:paraId="65B377B8" w14:textId="595222E7" w:rsidTr="00B669A0">
        <w:trPr>
          <w:trHeight w:val="1554"/>
        </w:trPr>
        <w:tc>
          <w:tcPr>
            <w:tcW w:w="1134" w:type="dxa"/>
            <w:tcBorders>
              <w:top w:val="single" w:sz="4" w:space="0" w:color="auto"/>
              <w:left w:val="single" w:sz="4" w:space="0" w:color="auto"/>
              <w:bottom w:val="single" w:sz="4" w:space="0" w:color="auto"/>
            </w:tcBorders>
            <w:shd w:val="clear" w:color="auto" w:fill="FFFFFF" w:themeFill="background1"/>
          </w:tcPr>
          <w:p w14:paraId="38BA6DA9" w14:textId="3F107146" w:rsidR="00B669A0" w:rsidRPr="00284372" w:rsidRDefault="00B669A0" w:rsidP="00284372">
            <w:r w:rsidRPr="00284372">
              <w:lastRenderedPageBreak/>
              <w:t>13</w:t>
            </w:r>
            <w:r>
              <w:t>.2.1.4</w:t>
            </w:r>
          </w:p>
        </w:tc>
        <w:tc>
          <w:tcPr>
            <w:tcW w:w="7088" w:type="dxa"/>
            <w:tcBorders>
              <w:top w:val="single" w:sz="4" w:space="0" w:color="auto"/>
              <w:bottom w:val="single" w:sz="4" w:space="0" w:color="auto"/>
            </w:tcBorders>
            <w:shd w:val="clear" w:color="auto" w:fill="auto"/>
          </w:tcPr>
          <w:p w14:paraId="630DCFBF" w14:textId="77777777" w:rsidR="00B669A0" w:rsidRPr="00284372" w:rsidRDefault="00B669A0" w:rsidP="00284372">
            <w:r w:rsidRPr="00284372">
              <w:t xml:space="preserve">Apply the following recognition criteria as per </w:t>
            </w:r>
            <w:r w:rsidRPr="00CD3608">
              <w:rPr>
                <w:i/>
              </w:rPr>
              <w:t>Australian Accounting Standard AASB 116 Property, Plant and Equipment</w:t>
            </w:r>
            <w:r w:rsidRPr="00284372">
              <w:t xml:space="preserve"> to items purchased to determine if they are to be recognised as assets:</w:t>
            </w:r>
          </w:p>
          <w:p w14:paraId="23E7CD0C" w14:textId="77777777" w:rsidR="00B669A0" w:rsidRPr="00F8472C" w:rsidRDefault="00B669A0" w:rsidP="00F8472C">
            <w:pPr>
              <w:pStyle w:val="ListBullet"/>
            </w:pPr>
            <w:r w:rsidRPr="00F8472C">
              <w:t>The school must benefit from the asset item</w:t>
            </w:r>
            <w:r>
              <w:t>;</w:t>
            </w:r>
          </w:p>
          <w:p w14:paraId="0EB2061A" w14:textId="77777777" w:rsidR="00B669A0" w:rsidRPr="00F8472C" w:rsidRDefault="00B669A0" w:rsidP="00F8472C">
            <w:pPr>
              <w:pStyle w:val="ListBullet"/>
            </w:pPr>
            <w:r w:rsidRPr="00F8472C">
              <w:t>The item has a useful life of 12 months or more</w:t>
            </w:r>
            <w:r>
              <w:t>;</w:t>
            </w:r>
          </w:p>
          <w:p w14:paraId="5EA0C486" w14:textId="77777777" w:rsidR="00B669A0" w:rsidRPr="00F8472C" w:rsidRDefault="00B669A0" w:rsidP="00F8472C">
            <w:pPr>
              <w:pStyle w:val="ListBullet"/>
            </w:pPr>
            <w:r w:rsidRPr="00F8472C">
              <w:t>The cost of the item can be measured</w:t>
            </w:r>
            <w:r>
              <w:t>;</w:t>
            </w:r>
          </w:p>
          <w:p w14:paraId="58A0218B" w14:textId="6BC31906" w:rsidR="00B669A0" w:rsidRPr="00F8472C" w:rsidRDefault="00B669A0" w:rsidP="00F8472C">
            <w:pPr>
              <w:pStyle w:val="ListBullet"/>
            </w:pPr>
            <w:r w:rsidRPr="00F8472C">
              <w:t>The item has a GST exclusive purchase cost greater than or equal to $5,000. (The purchase cost must include any delivery and installation costs. Where the delivery and installation charge covers multiple items, the costs must be apportioned to each item.</w:t>
            </w:r>
            <w:r>
              <w:t>)</w:t>
            </w:r>
          </w:p>
        </w:tc>
        <w:tc>
          <w:tcPr>
            <w:tcW w:w="930" w:type="dxa"/>
            <w:tcBorders>
              <w:top w:val="single" w:sz="4" w:space="0" w:color="auto"/>
              <w:bottom w:val="single" w:sz="4" w:space="0" w:color="auto"/>
            </w:tcBorders>
          </w:tcPr>
          <w:p w14:paraId="3F11D594" w14:textId="77777777" w:rsidR="00B669A0" w:rsidRPr="00284372" w:rsidRDefault="00B669A0" w:rsidP="00284372"/>
        </w:tc>
      </w:tr>
      <w:tr w:rsidR="00B669A0" w:rsidRPr="0091756B" w14:paraId="1A8DB53A" w14:textId="2A3B6A8E" w:rsidTr="00B669A0">
        <w:trPr>
          <w:trHeight w:hRule="exact" w:val="737"/>
        </w:trPr>
        <w:tc>
          <w:tcPr>
            <w:tcW w:w="1134" w:type="dxa"/>
            <w:tcBorders>
              <w:top w:val="single" w:sz="4" w:space="0" w:color="auto"/>
              <w:left w:val="single" w:sz="4" w:space="0" w:color="auto"/>
              <w:bottom w:val="single" w:sz="4" w:space="0" w:color="auto"/>
            </w:tcBorders>
            <w:shd w:val="clear" w:color="auto" w:fill="FFFFFF" w:themeFill="background1"/>
          </w:tcPr>
          <w:p w14:paraId="3104BD90" w14:textId="344D35D9" w:rsidR="00B669A0" w:rsidRPr="00284372" w:rsidRDefault="00B669A0" w:rsidP="00B04F7A">
            <w:r w:rsidRPr="00284372">
              <w:t>13.2.1.</w:t>
            </w:r>
            <w:r>
              <w:t>5</w:t>
            </w:r>
          </w:p>
        </w:tc>
        <w:tc>
          <w:tcPr>
            <w:tcW w:w="7088" w:type="dxa"/>
            <w:tcBorders>
              <w:top w:val="single" w:sz="4" w:space="0" w:color="auto"/>
              <w:bottom w:val="single" w:sz="4" w:space="0" w:color="auto"/>
            </w:tcBorders>
            <w:shd w:val="clear" w:color="auto" w:fill="auto"/>
          </w:tcPr>
          <w:p w14:paraId="1DE9107C" w14:textId="39A59418" w:rsidR="00B669A0" w:rsidRPr="00284372" w:rsidRDefault="00B669A0" w:rsidP="00CD3608">
            <w:pPr>
              <w:pStyle w:val="ListBullet"/>
              <w:numPr>
                <w:ilvl w:val="0"/>
                <w:numId w:val="0"/>
              </w:numPr>
              <w:ind w:left="66"/>
            </w:pPr>
            <w:r w:rsidRPr="00284372">
              <w:t>Items determined to be assets must be entered into the CASES21 Finance Asset Register</w:t>
            </w:r>
            <w:r>
              <w:t>.</w:t>
            </w:r>
          </w:p>
        </w:tc>
        <w:tc>
          <w:tcPr>
            <w:tcW w:w="930" w:type="dxa"/>
            <w:tcBorders>
              <w:top w:val="single" w:sz="4" w:space="0" w:color="auto"/>
              <w:bottom w:val="single" w:sz="4" w:space="0" w:color="auto"/>
            </w:tcBorders>
          </w:tcPr>
          <w:p w14:paraId="4473909E" w14:textId="77777777" w:rsidR="00B669A0" w:rsidRPr="00284372" w:rsidRDefault="00B669A0" w:rsidP="00CD3608">
            <w:pPr>
              <w:pStyle w:val="ListBullet"/>
              <w:numPr>
                <w:ilvl w:val="0"/>
                <w:numId w:val="0"/>
              </w:numPr>
              <w:ind w:left="66"/>
            </w:pPr>
          </w:p>
        </w:tc>
      </w:tr>
      <w:tr w:rsidR="00B669A0" w:rsidRPr="0091756B" w14:paraId="4B722D4F" w14:textId="207FDEBC" w:rsidTr="00B669A0">
        <w:trPr>
          <w:trHeight w:hRule="exact" w:val="737"/>
        </w:trPr>
        <w:tc>
          <w:tcPr>
            <w:tcW w:w="1134" w:type="dxa"/>
            <w:tcBorders>
              <w:top w:val="single" w:sz="4" w:space="0" w:color="auto"/>
              <w:left w:val="single" w:sz="4" w:space="0" w:color="auto"/>
              <w:bottom w:val="single" w:sz="4" w:space="0" w:color="auto"/>
            </w:tcBorders>
            <w:shd w:val="clear" w:color="auto" w:fill="FFFFFF" w:themeFill="background1"/>
          </w:tcPr>
          <w:p w14:paraId="496E4551" w14:textId="58F87EF9" w:rsidR="00B669A0" w:rsidRPr="00284372" w:rsidRDefault="00B669A0" w:rsidP="00B04F7A">
            <w:r w:rsidRPr="00284372">
              <w:t>13.2.1.</w:t>
            </w:r>
            <w:r>
              <w:t>6</w:t>
            </w:r>
          </w:p>
        </w:tc>
        <w:tc>
          <w:tcPr>
            <w:tcW w:w="7088" w:type="dxa"/>
            <w:tcBorders>
              <w:top w:val="single" w:sz="4" w:space="0" w:color="auto"/>
              <w:bottom w:val="single" w:sz="4" w:space="0" w:color="auto"/>
            </w:tcBorders>
            <w:shd w:val="clear" w:color="auto" w:fill="auto"/>
          </w:tcPr>
          <w:p w14:paraId="266606B3" w14:textId="77777777" w:rsidR="00B669A0" w:rsidRPr="00284372" w:rsidRDefault="00B669A0" w:rsidP="00284372">
            <w:r>
              <w:t>I</w:t>
            </w:r>
            <w:r w:rsidRPr="00284372">
              <w:t>tems that meet the asset recognition criteria are capital acquisitions and must be recorded with a GST code of G10.</w:t>
            </w:r>
          </w:p>
        </w:tc>
        <w:tc>
          <w:tcPr>
            <w:tcW w:w="930" w:type="dxa"/>
            <w:tcBorders>
              <w:top w:val="single" w:sz="4" w:space="0" w:color="auto"/>
              <w:bottom w:val="single" w:sz="4" w:space="0" w:color="auto"/>
            </w:tcBorders>
          </w:tcPr>
          <w:p w14:paraId="649083E6" w14:textId="77777777" w:rsidR="00B669A0" w:rsidRDefault="00B669A0" w:rsidP="00284372"/>
        </w:tc>
      </w:tr>
      <w:tr w:rsidR="00B669A0" w:rsidRPr="0091756B" w14:paraId="618B9D07" w14:textId="1720F1D6" w:rsidTr="00B669A0">
        <w:trPr>
          <w:trHeight w:hRule="exact" w:val="737"/>
        </w:trPr>
        <w:tc>
          <w:tcPr>
            <w:tcW w:w="1134" w:type="dxa"/>
            <w:tcBorders>
              <w:top w:val="single" w:sz="4" w:space="0" w:color="auto"/>
              <w:left w:val="single" w:sz="4" w:space="0" w:color="auto"/>
              <w:bottom w:val="single" w:sz="4" w:space="0" w:color="auto"/>
            </w:tcBorders>
            <w:shd w:val="clear" w:color="auto" w:fill="FFFFFF" w:themeFill="background1"/>
          </w:tcPr>
          <w:p w14:paraId="7640FE72" w14:textId="2DA2E019" w:rsidR="00B669A0" w:rsidRPr="00284372" w:rsidRDefault="00B669A0" w:rsidP="00B04F7A">
            <w:r w:rsidRPr="00284372">
              <w:t>13.2.1.</w:t>
            </w:r>
            <w:r>
              <w:t>7</w:t>
            </w:r>
          </w:p>
        </w:tc>
        <w:tc>
          <w:tcPr>
            <w:tcW w:w="7088" w:type="dxa"/>
            <w:tcBorders>
              <w:top w:val="single" w:sz="4" w:space="0" w:color="auto"/>
              <w:bottom w:val="single" w:sz="4" w:space="0" w:color="auto"/>
            </w:tcBorders>
            <w:shd w:val="clear" w:color="auto" w:fill="auto"/>
          </w:tcPr>
          <w:p w14:paraId="366E57F2" w14:textId="77777777" w:rsidR="00B669A0" w:rsidRPr="00284372" w:rsidRDefault="00B669A0" w:rsidP="00284372">
            <w:r w:rsidRPr="00284372">
              <w:t>New assets must be added to the CASES21 Finance Asset Register within 30 days of acquisition.</w:t>
            </w:r>
          </w:p>
        </w:tc>
        <w:tc>
          <w:tcPr>
            <w:tcW w:w="930" w:type="dxa"/>
            <w:tcBorders>
              <w:top w:val="single" w:sz="4" w:space="0" w:color="auto"/>
              <w:bottom w:val="single" w:sz="4" w:space="0" w:color="auto"/>
            </w:tcBorders>
          </w:tcPr>
          <w:p w14:paraId="65EA6C11" w14:textId="77777777" w:rsidR="00B669A0" w:rsidRPr="00284372" w:rsidRDefault="00B669A0" w:rsidP="00284372"/>
        </w:tc>
      </w:tr>
      <w:tr w:rsidR="00B669A0" w:rsidRPr="0091756B" w14:paraId="29F418EC" w14:textId="6D40B365" w:rsidTr="00B669A0">
        <w:trPr>
          <w:trHeight w:val="1865"/>
        </w:trPr>
        <w:tc>
          <w:tcPr>
            <w:tcW w:w="1134" w:type="dxa"/>
            <w:tcBorders>
              <w:top w:val="single" w:sz="4" w:space="0" w:color="auto"/>
              <w:bottom w:val="single" w:sz="4" w:space="0" w:color="auto"/>
            </w:tcBorders>
            <w:shd w:val="clear" w:color="auto" w:fill="FFFFFF" w:themeFill="background1"/>
          </w:tcPr>
          <w:p w14:paraId="4413EF88" w14:textId="19D5A359" w:rsidR="00B669A0" w:rsidRPr="00284372" w:rsidRDefault="00B669A0" w:rsidP="00B04F7A">
            <w:r w:rsidRPr="00284372">
              <w:t>13.2.1.</w:t>
            </w:r>
            <w:r>
              <w:t>8</w:t>
            </w:r>
          </w:p>
        </w:tc>
        <w:tc>
          <w:tcPr>
            <w:tcW w:w="7088" w:type="dxa"/>
            <w:tcBorders>
              <w:top w:val="single" w:sz="4" w:space="0" w:color="auto"/>
              <w:bottom w:val="single" w:sz="4" w:space="0" w:color="auto"/>
            </w:tcBorders>
            <w:shd w:val="clear" w:color="auto" w:fill="auto"/>
          </w:tcPr>
          <w:p w14:paraId="4BD91404" w14:textId="77777777" w:rsidR="00B669A0" w:rsidRPr="00284372" w:rsidRDefault="00B669A0" w:rsidP="00284372">
            <w:r w:rsidRPr="00284372">
              <w:t>Portable and attractive items, which may be subject to risk of loss/theft that fall under the asset recognition threshold of greater than or equal to $5,000 must also be recorded. These items are recorded as expenses with a GST code of G11 and recorded in the Asset Register using the “AA” categories. For example, computers, audio-visual and photographic equipment.</w:t>
            </w:r>
          </w:p>
        </w:tc>
        <w:tc>
          <w:tcPr>
            <w:tcW w:w="930" w:type="dxa"/>
            <w:tcBorders>
              <w:top w:val="single" w:sz="4" w:space="0" w:color="auto"/>
              <w:bottom w:val="single" w:sz="4" w:space="0" w:color="auto"/>
            </w:tcBorders>
          </w:tcPr>
          <w:p w14:paraId="662F271F" w14:textId="77777777" w:rsidR="00B669A0" w:rsidRPr="00284372" w:rsidRDefault="00B669A0" w:rsidP="00284372"/>
        </w:tc>
      </w:tr>
    </w:tbl>
    <w:bookmarkEnd w:id="0"/>
    <w:bookmarkEnd w:id="1"/>
    <w:bookmarkEnd w:id="2"/>
    <w:p w14:paraId="2F05108C" w14:textId="4D11F8CE" w:rsidR="00577EC4" w:rsidRDefault="00577EC4" w:rsidP="00577EC4">
      <w:pPr>
        <w:pStyle w:val="Heading2"/>
      </w:pPr>
      <w:r>
        <w:t>13.3</w:t>
      </w:r>
      <w:r w:rsidR="00B04F7A">
        <w:tab/>
      </w:r>
      <w:r>
        <w:t>Identification of assets</w:t>
      </w:r>
    </w:p>
    <w:p w14:paraId="7058891F" w14:textId="20F7C25D" w:rsidR="002732E7" w:rsidRDefault="002732E7" w:rsidP="00DB6664">
      <w:r w:rsidRPr="00821910">
        <w:t>Identification of an asset or asset tagging is vital for schools. A good asset label</w:t>
      </w:r>
      <w:r w:rsidR="005C7EB3">
        <w:t>ling</w:t>
      </w:r>
      <w:r w:rsidRPr="00821910">
        <w:t xml:space="preserve"> system with ID numbers enable clear identification of </w:t>
      </w:r>
      <w:r w:rsidR="00C85453" w:rsidRPr="00821910">
        <w:t>assets, which</w:t>
      </w:r>
      <w:r w:rsidRPr="00821910">
        <w:t xml:space="preserve"> facilitates the process of asset verification and loss prevention. A standard </w:t>
      </w:r>
      <w:r w:rsidR="001F7D5C">
        <w:t xml:space="preserve">and consistent </w:t>
      </w:r>
      <w:r w:rsidRPr="00821910">
        <w:t>approach must be adopted across all schools.</w:t>
      </w:r>
    </w:p>
    <w:p w14:paraId="0F91684B" w14:textId="293EA241" w:rsidR="002732E7" w:rsidRPr="009F57A3" w:rsidRDefault="002732E7" w:rsidP="002732E7">
      <w:pPr>
        <w:pStyle w:val="Heading3"/>
      </w:pPr>
      <w:r>
        <w:t>13.3</w:t>
      </w:r>
      <w:r w:rsidRPr="009F57A3">
        <w:t>.1</w:t>
      </w:r>
      <w:r w:rsidR="00B04F7A">
        <w:tab/>
      </w:r>
      <w:r w:rsidRPr="009F57A3">
        <w:t>Mandatory policy (</w:t>
      </w:r>
      <w:r>
        <w:t>Must do</w:t>
      </w:r>
      <w:r w:rsidRPr="009F57A3">
        <w:t>)</w:t>
      </w:r>
      <w:r w:rsidR="00D864EC">
        <w:t>:</w:t>
      </w: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704"/>
      </w:tblGrid>
      <w:tr w:rsidR="00B669A0" w:rsidRPr="0091756B" w14:paraId="5D9D0861" w14:textId="7C6DDDC4" w:rsidTr="0007324E">
        <w:trPr>
          <w:trHeight w:val="649"/>
        </w:trPr>
        <w:tc>
          <w:tcPr>
            <w:tcW w:w="1134" w:type="dxa"/>
            <w:tcBorders>
              <w:bottom w:val="single" w:sz="4" w:space="0" w:color="auto"/>
            </w:tcBorders>
            <w:shd w:val="clear" w:color="auto" w:fill="FFFFFF" w:themeFill="background1"/>
          </w:tcPr>
          <w:p w14:paraId="06FCB7C6" w14:textId="1B1F9A1E" w:rsidR="00B669A0" w:rsidRPr="000D2D95" w:rsidRDefault="00B669A0" w:rsidP="000D2D95">
            <w:pPr>
              <w:rPr>
                <w:b/>
                <w:sz w:val="20"/>
                <w:szCs w:val="20"/>
              </w:rPr>
            </w:pPr>
            <w:r>
              <w:rPr>
                <w:b/>
                <w:sz w:val="18"/>
              </w:rPr>
              <w:t>Sequence</w:t>
            </w:r>
            <w:r w:rsidRPr="005A6DE8">
              <w:rPr>
                <w:b/>
                <w:sz w:val="18"/>
              </w:rPr>
              <w:t xml:space="preserve"> Numbers</w:t>
            </w:r>
          </w:p>
        </w:tc>
        <w:tc>
          <w:tcPr>
            <w:tcW w:w="7088" w:type="dxa"/>
            <w:tcBorders>
              <w:bottom w:val="single" w:sz="4" w:space="0" w:color="auto"/>
            </w:tcBorders>
            <w:shd w:val="clear" w:color="auto" w:fill="auto"/>
          </w:tcPr>
          <w:p w14:paraId="2822E44C" w14:textId="77777777" w:rsidR="00B669A0" w:rsidRPr="00E12C68" w:rsidRDefault="00B669A0" w:rsidP="000D2D95">
            <w:pPr>
              <w:rPr>
                <w:b/>
                <w:sz w:val="20"/>
                <w:szCs w:val="20"/>
              </w:rPr>
            </w:pPr>
            <w:r w:rsidRPr="00E12C68">
              <w:rPr>
                <w:b/>
                <w:sz w:val="20"/>
                <w:szCs w:val="20"/>
              </w:rPr>
              <w:t>Information</w:t>
            </w:r>
          </w:p>
        </w:tc>
        <w:tc>
          <w:tcPr>
            <w:tcW w:w="704" w:type="dxa"/>
            <w:tcBorders>
              <w:top w:val="nil"/>
              <w:bottom w:val="single" w:sz="4" w:space="0" w:color="auto"/>
              <w:right w:val="nil"/>
            </w:tcBorders>
          </w:tcPr>
          <w:p w14:paraId="1DE1A4E3" w14:textId="77777777" w:rsidR="00B669A0" w:rsidRPr="000D2D95" w:rsidRDefault="00B669A0" w:rsidP="000D2D95">
            <w:pPr>
              <w:rPr>
                <w:b/>
                <w:szCs w:val="22"/>
              </w:rPr>
            </w:pPr>
          </w:p>
        </w:tc>
      </w:tr>
      <w:tr w:rsidR="00B669A0" w:rsidRPr="0091756B" w14:paraId="50A2558E" w14:textId="747F5587" w:rsidTr="00B669A0">
        <w:trPr>
          <w:trHeight w:val="1276"/>
        </w:trPr>
        <w:tc>
          <w:tcPr>
            <w:tcW w:w="1134" w:type="dxa"/>
            <w:shd w:val="clear" w:color="auto" w:fill="FFFFFF" w:themeFill="background1"/>
          </w:tcPr>
          <w:p w14:paraId="585ACCCD" w14:textId="77777777" w:rsidR="00B669A0" w:rsidRPr="00284372" w:rsidRDefault="00B669A0" w:rsidP="000D2D95">
            <w:r w:rsidRPr="00284372">
              <w:t>13.3.1.1</w:t>
            </w:r>
          </w:p>
        </w:tc>
        <w:tc>
          <w:tcPr>
            <w:tcW w:w="7088" w:type="dxa"/>
            <w:shd w:val="clear" w:color="auto" w:fill="auto"/>
          </w:tcPr>
          <w:p w14:paraId="2E6FC039" w14:textId="248C5A77" w:rsidR="00B669A0" w:rsidRPr="00284372" w:rsidRDefault="00B669A0" w:rsidP="000D2D95">
            <w:r w:rsidRPr="00284372">
              <w:t xml:space="preserve">The identification of assets must form part of the start to end process of asset creation. Schools must tag an asset as soon as it has been created in CASES21 Finance Asset register and assigned a </w:t>
            </w:r>
            <w:r>
              <w:t xml:space="preserve">CASES21 asset code </w:t>
            </w:r>
            <w:r w:rsidRPr="00284372">
              <w:t>number.</w:t>
            </w:r>
          </w:p>
        </w:tc>
        <w:tc>
          <w:tcPr>
            <w:tcW w:w="704" w:type="dxa"/>
          </w:tcPr>
          <w:p w14:paraId="54011DAB" w14:textId="77777777" w:rsidR="00B669A0" w:rsidRPr="00284372" w:rsidRDefault="00B669A0" w:rsidP="000D2D95"/>
        </w:tc>
      </w:tr>
      <w:tr w:rsidR="0007324E" w:rsidRPr="0091756B" w14:paraId="2B33AD35" w14:textId="77777777" w:rsidTr="000F5524">
        <w:trPr>
          <w:trHeight w:val="649"/>
        </w:trPr>
        <w:tc>
          <w:tcPr>
            <w:tcW w:w="1134" w:type="dxa"/>
            <w:tcBorders>
              <w:bottom w:val="single" w:sz="4" w:space="0" w:color="auto"/>
            </w:tcBorders>
            <w:shd w:val="clear" w:color="auto" w:fill="FFFFFF" w:themeFill="background1"/>
          </w:tcPr>
          <w:p w14:paraId="52A4C536" w14:textId="77777777" w:rsidR="0007324E" w:rsidRPr="000D2D95" w:rsidRDefault="0007324E" w:rsidP="0007324E">
            <w:pPr>
              <w:rPr>
                <w:b/>
                <w:sz w:val="20"/>
                <w:szCs w:val="20"/>
              </w:rPr>
            </w:pPr>
            <w:r>
              <w:rPr>
                <w:b/>
                <w:sz w:val="18"/>
              </w:rPr>
              <w:lastRenderedPageBreak/>
              <w:t>Sequence</w:t>
            </w:r>
            <w:r w:rsidRPr="005A6DE8">
              <w:rPr>
                <w:b/>
                <w:sz w:val="18"/>
              </w:rPr>
              <w:t xml:space="preserve"> Numbers</w:t>
            </w:r>
          </w:p>
        </w:tc>
        <w:tc>
          <w:tcPr>
            <w:tcW w:w="7088" w:type="dxa"/>
            <w:tcBorders>
              <w:bottom w:val="single" w:sz="4" w:space="0" w:color="auto"/>
            </w:tcBorders>
            <w:shd w:val="clear" w:color="auto" w:fill="auto"/>
          </w:tcPr>
          <w:p w14:paraId="162E7EB6" w14:textId="77777777" w:rsidR="0007324E" w:rsidRPr="00E12C68" w:rsidRDefault="0007324E" w:rsidP="0007324E">
            <w:pPr>
              <w:rPr>
                <w:b/>
                <w:sz w:val="20"/>
                <w:szCs w:val="20"/>
              </w:rPr>
            </w:pPr>
            <w:r w:rsidRPr="00E12C68">
              <w:rPr>
                <w:b/>
                <w:sz w:val="20"/>
                <w:szCs w:val="20"/>
              </w:rPr>
              <w:t>Information</w:t>
            </w:r>
          </w:p>
        </w:tc>
        <w:tc>
          <w:tcPr>
            <w:tcW w:w="704" w:type="dxa"/>
            <w:tcBorders>
              <w:top w:val="nil"/>
              <w:bottom w:val="single" w:sz="4" w:space="0" w:color="auto"/>
              <w:right w:val="nil"/>
            </w:tcBorders>
          </w:tcPr>
          <w:p w14:paraId="10BFDAA5" w14:textId="77777777" w:rsidR="0007324E" w:rsidRPr="000D2D95" w:rsidRDefault="0007324E" w:rsidP="0007324E">
            <w:pPr>
              <w:rPr>
                <w:b/>
                <w:szCs w:val="22"/>
              </w:rPr>
            </w:pPr>
          </w:p>
        </w:tc>
      </w:tr>
      <w:tr w:rsidR="00B669A0" w:rsidRPr="0091756B" w14:paraId="2A5132B7" w14:textId="49DC0C40" w:rsidTr="00B669A0">
        <w:trPr>
          <w:trHeight w:val="1024"/>
        </w:trPr>
        <w:tc>
          <w:tcPr>
            <w:tcW w:w="1134" w:type="dxa"/>
            <w:shd w:val="clear" w:color="auto" w:fill="FFFFFF" w:themeFill="background1"/>
          </w:tcPr>
          <w:p w14:paraId="7EB9039F" w14:textId="77777777" w:rsidR="00B669A0" w:rsidRPr="00284372" w:rsidRDefault="00B669A0" w:rsidP="000D2D95">
            <w:r w:rsidRPr="00284372">
              <w:t>13.3.1.2</w:t>
            </w:r>
          </w:p>
        </w:tc>
        <w:tc>
          <w:tcPr>
            <w:tcW w:w="7088" w:type="dxa"/>
            <w:shd w:val="clear" w:color="auto" w:fill="auto"/>
          </w:tcPr>
          <w:p w14:paraId="1ACCDF34" w14:textId="4245047D" w:rsidR="00B669A0" w:rsidRPr="00284372" w:rsidRDefault="00B669A0" w:rsidP="000D2D95">
            <w:r w:rsidRPr="00284372">
              <w:t xml:space="preserve">Where appropriate, every asset must be </w:t>
            </w:r>
            <w:r>
              <w:t xml:space="preserve">bar coded with stickers (preferable method), </w:t>
            </w:r>
            <w:r w:rsidRPr="00284372">
              <w:t>engraved</w:t>
            </w:r>
            <w:r>
              <w:t xml:space="preserve"> or </w:t>
            </w:r>
            <w:r w:rsidRPr="00284372">
              <w:t>stamped</w:t>
            </w:r>
            <w:r>
              <w:t xml:space="preserve"> </w:t>
            </w:r>
            <w:r w:rsidRPr="00284372">
              <w:t>with the name of the school and asset number at the earliest practica</w:t>
            </w:r>
            <w:r>
              <w:t>l</w:t>
            </w:r>
            <w:r w:rsidRPr="00284372">
              <w:t xml:space="preserve"> date.</w:t>
            </w:r>
          </w:p>
        </w:tc>
        <w:tc>
          <w:tcPr>
            <w:tcW w:w="704" w:type="dxa"/>
          </w:tcPr>
          <w:p w14:paraId="19CED901" w14:textId="77777777" w:rsidR="00B669A0" w:rsidRPr="00284372" w:rsidRDefault="00B669A0" w:rsidP="000D2D95"/>
        </w:tc>
      </w:tr>
    </w:tbl>
    <w:p w14:paraId="5B76C73E" w14:textId="5A3C19BF" w:rsidR="00577EC4" w:rsidRDefault="00577EC4" w:rsidP="00577EC4">
      <w:pPr>
        <w:pStyle w:val="Heading2"/>
      </w:pPr>
      <w:r>
        <w:t>13.4</w:t>
      </w:r>
      <w:r w:rsidR="00B04F7A">
        <w:tab/>
      </w:r>
      <w:r>
        <w:t>Repairs and maintenance</w:t>
      </w:r>
    </w:p>
    <w:p w14:paraId="76C66C70" w14:textId="63FEF28F" w:rsidR="005C2693" w:rsidRDefault="00577EC4" w:rsidP="00DB6664">
      <w:r w:rsidRPr="0096434A">
        <w:t xml:space="preserve">During the </w:t>
      </w:r>
      <w:r>
        <w:t xml:space="preserve">school </w:t>
      </w:r>
      <w:r w:rsidRPr="0096434A">
        <w:t xml:space="preserve">year, various works </w:t>
      </w:r>
      <w:r>
        <w:t xml:space="preserve">will be performed </w:t>
      </w:r>
      <w:r w:rsidRPr="0096434A">
        <w:t xml:space="preserve">around the </w:t>
      </w:r>
      <w:r w:rsidR="001F7D5C">
        <w:t>school’s</w:t>
      </w:r>
      <w:r>
        <w:t xml:space="preserve"> </w:t>
      </w:r>
      <w:r w:rsidRPr="0096434A">
        <w:t xml:space="preserve">premises which would generally be classified under repairs and maintenance. It is crucial </w:t>
      </w:r>
      <w:r w:rsidR="005C2693" w:rsidRPr="0096434A">
        <w:t>that schools understand the nature of</w:t>
      </w:r>
      <w:r w:rsidR="00D94EEA">
        <w:t xml:space="preserve"> these</w:t>
      </w:r>
      <w:r w:rsidR="005C2693" w:rsidRPr="0096434A">
        <w:t xml:space="preserve"> transactions.</w:t>
      </w:r>
      <w:r w:rsidR="005C2693" w:rsidRPr="00EF3CFF">
        <w:t xml:space="preserve"> Repairs and maintenance is necessary to allow the continued use of existing assets.</w:t>
      </w:r>
    </w:p>
    <w:p w14:paraId="353AF980" w14:textId="77777777" w:rsidR="005C2693" w:rsidRPr="00284372" w:rsidRDefault="005C2693" w:rsidP="00DB6664">
      <w:r w:rsidRPr="00284372">
        <w:t>Repairs and maintenance works merely maintain assets in their original state. The works do not enhance the use of the asset, nor do they extend the expected useful life of the asset.</w:t>
      </w:r>
    </w:p>
    <w:p w14:paraId="3282843C" w14:textId="638C453B" w:rsidR="005C2693" w:rsidRPr="009F57A3" w:rsidRDefault="005C2693" w:rsidP="005C2693">
      <w:pPr>
        <w:pStyle w:val="Heading3"/>
      </w:pPr>
      <w:r>
        <w:t>13</w:t>
      </w:r>
      <w:r w:rsidR="00474BCB">
        <w:t>.4</w:t>
      </w:r>
      <w:r w:rsidRPr="009F57A3">
        <w:t>.</w:t>
      </w:r>
      <w:r w:rsidR="005B05C1">
        <w:t>1</w:t>
      </w:r>
      <w:r w:rsidR="005B05C1">
        <w:tab/>
      </w:r>
      <w:r w:rsidRPr="009F57A3">
        <w:t>Mandatory policy (</w:t>
      </w:r>
      <w:r>
        <w:t>Must do</w:t>
      </w:r>
      <w:r w:rsidRPr="009F57A3">
        <w:t>)</w:t>
      </w:r>
      <w:r w:rsidR="00D864EC">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647"/>
      </w:tblGrid>
      <w:tr w:rsidR="00B669A0" w:rsidRPr="0091756B" w14:paraId="7AE74535" w14:textId="01995F45" w:rsidTr="00B669A0">
        <w:trPr>
          <w:trHeight w:val="609"/>
        </w:trPr>
        <w:tc>
          <w:tcPr>
            <w:tcW w:w="1134" w:type="dxa"/>
            <w:tcBorders>
              <w:bottom w:val="single" w:sz="4" w:space="0" w:color="auto"/>
            </w:tcBorders>
            <w:shd w:val="clear" w:color="auto" w:fill="FFFFFF" w:themeFill="background1"/>
          </w:tcPr>
          <w:p w14:paraId="314AFAB5" w14:textId="164AEC4A" w:rsidR="00B669A0" w:rsidRPr="00284372" w:rsidRDefault="00B669A0" w:rsidP="00B81DC2">
            <w:r>
              <w:rPr>
                <w:b/>
                <w:sz w:val="18"/>
              </w:rPr>
              <w:t>Sequence</w:t>
            </w:r>
            <w:r w:rsidRPr="005A6DE8">
              <w:rPr>
                <w:b/>
                <w:sz w:val="18"/>
              </w:rPr>
              <w:t xml:space="preserve"> Numbers</w:t>
            </w:r>
          </w:p>
        </w:tc>
        <w:tc>
          <w:tcPr>
            <w:tcW w:w="7088" w:type="dxa"/>
            <w:tcBorders>
              <w:bottom w:val="single" w:sz="4" w:space="0" w:color="auto"/>
            </w:tcBorders>
            <w:shd w:val="clear" w:color="auto" w:fill="auto"/>
          </w:tcPr>
          <w:p w14:paraId="2480C3E1" w14:textId="6ED26E4B" w:rsidR="00B669A0" w:rsidRPr="00E12C68" w:rsidRDefault="00B669A0" w:rsidP="00B81DC2">
            <w:pPr>
              <w:rPr>
                <w:sz w:val="20"/>
                <w:szCs w:val="20"/>
              </w:rPr>
            </w:pPr>
            <w:r w:rsidRPr="00E12C68">
              <w:rPr>
                <w:b/>
                <w:sz w:val="20"/>
                <w:szCs w:val="20"/>
              </w:rPr>
              <w:t>Information</w:t>
            </w:r>
          </w:p>
        </w:tc>
        <w:tc>
          <w:tcPr>
            <w:tcW w:w="647" w:type="dxa"/>
            <w:tcBorders>
              <w:top w:val="nil"/>
              <w:bottom w:val="single" w:sz="4" w:space="0" w:color="auto"/>
              <w:right w:val="nil"/>
            </w:tcBorders>
          </w:tcPr>
          <w:p w14:paraId="73E89C3A" w14:textId="77777777" w:rsidR="00B669A0" w:rsidRPr="000D2D95" w:rsidRDefault="00B669A0" w:rsidP="00B81DC2">
            <w:pPr>
              <w:rPr>
                <w:b/>
                <w:szCs w:val="22"/>
              </w:rPr>
            </w:pPr>
          </w:p>
        </w:tc>
      </w:tr>
      <w:tr w:rsidR="00B669A0" w:rsidRPr="0091756B" w14:paraId="3D7809AC" w14:textId="3DBE45D2" w:rsidTr="00B669A0">
        <w:trPr>
          <w:trHeight w:val="1053"/>
        </w:trPr>
        <w:tc>
          <w:tcPr>
            <w:tcW w:w="1134" w:type="dxa"/>
            <w:tcBorders>
              <w:bottom w:val="single" w:sz="4" w:space="0" w:color="auto"/>
            </w:tcBorders>
            <w:shd w:val="clear" w:color="auto" w:fill="FFFFFF" w:themeFill="background1"/>
          </w:tcPr>
          <w:p w14:paraId="5417B861" w14:textId="77777777" w:rsidR="00B669A0" w:rsidRPr="00284372" w:rsidRDefault="00B669A0" w:rsidP="00B81DC2">
            <w:r w:rsidRPr="00284372">
              <w:t>13.4.1.1</w:t>
            </w:r>
          </w:p>
        </w:tc>
        <w:tc>
          <w:tcPr>
            <w:tcW w:w="7088" w:type="dxa"/>
            <w:tcBorders>
              <w:bottom w:val="single" w:sz="4" w:space="0" w:color="auto"/>
            </w:tcBorders>
            <w:shd w:val="clear" w:color="auto" w:fill="auto"/>
          </w:tcPr>
          <w:p w14:paraId="2D093F20" w14:textId="5A120BBC" w:rsidR="00B669A0" w:rsidRPr="00284372" w:rsidRDefault="00B669A0" w:rsidP="00B81DC2">
            <w:r w:rsidRPr="00284372">
              <w:t>A repairs and maintenance related work is not capital in nature, as it does not provide future economic benefits. Therefore, all repairs and maintenance costs are to be expensed.</w:t>
            </w:r>
            <w:r>
              <w:t xml:space="preserve"> (</w:t>
            </w:r>
            <w:proofErr w:type="gramStart"/>
            <w:r>
              <w:t>i.e</w:t>
            </w:r>
            <w:proofErr w:type="gramEnd"/>
            <w:r>
              <w:t>. using GL Chart of Account codes 86XXX other than asset codes beginning with 26XXX.</w:t>
            </w:r>
          </w:p>
        </w:tc>
        <w:tc>
          <w:tcPr>
            <w:tcW w:w="647" w:type="dxa"/>
            <w:tcBorders>
              <w:bottom w:val="single" w:sz="4" w:space="0" w:color="auto"/>
            </w:tcBorders>
          </w:tcPr>
          <w:p w14:paraId="47896C1F" w14:textId="77777777" w:rsidR="00B669A0" w:rsidRPr="00284372" w:rsidRDefault="00B669A0" w:rsidP="00B81DC2"/>
        </w:tc>
      </w:tr>
    </w:tbl>
    <w:p w14:paraId="7DE023F8" w14:textId="77777777" w:rsidR="0007324E" w:rsidRDefault="0007324E" w:rsidP="00941DFA">
      <w:pPr>
        <w:pStyle w:val="Heading3"/>
        <w:ind w:left="851" w:hanging="851"/>
      </w:pPr>
    </w:p>
    <w:p w14:paraId="2A7545A2" w14:textId="77777777" w:rsidR="0007324E" w:rsidRDefault="0007324E" w:rsidP="00941DFA">
      <w:pPr>
        <w:pStyle w:val="Heading3"/>
        <w:ind w:left="851" w:hanging="851"/>
      </w:pPr>
    </w:p>
    <w:p w14:paraId="35F9B0B3" w14:textId="77777777" w:rsidR="0007324E" w:rsidRDefault="0007324E" w:rsidP="00941DFA">
      <w:pPr>
        <w:pStyle w:val="Heading3"/>
        <w:ind w:left="851" w:hanging="851"/>
      </w:pPr>
    </w:p>
    <w:p w14:paraId="58BAA294" w14:textId="77777777" w:rsidR="0007324E" w:rsidRDefault="0007324E" w:rsidP="00941DFA">
      <w:pPr>
        <w:pStyle w:val="Heading3"/>
        <w:ind w:left="851" w:hanging="851"/>
      </w:pPr>
    </w:p>
    <w:p w14:paraId="474E756F" w14:textId="77777777" w:rsidR="0007324E" w:rsidRDefault="0007324E" w:rsidP="00941DFA">
      <w:pPr>
        <w:pStyle w:val="Heading3"/>
        <w:ind w:left="851" w:hanging="851"/>
      </w:pPr>
    </w:p>
    <w:p w14:paraId="0071CDDF" w14:textId="77777777" w:rsidR="0007324E" w:rsidRDefault="0007324E" w:rsidP="00941DFA">
      <w:pPr>
        <w:pStyle w:val="Heading3"/>
        <w:ind w:left="851" w:hanging="851"/>
      </w:pPr>
    </w:p>
    <w:p w14:paraId="3C423AF6" w14:textId="77777777" w:rsidR="0007324E" w:rsidRDefault="0007324E" w:rsidP="00941DFA">
      <w:pPr>
        <w:pStyle w:val="Heading3"/>
        <w:ind w:left="851" w:hanging="851"/>
      </w:pPr>
    </w:p>
    <w:p w14:paraId="4E0E656D" w14:textId="77777777" w:rsidR="0007324E" w:rsidRDefault="0007324E" w:rsidP="00941DFA">
      <w:pPr>
        <w:pStyle w:val="Heading3"/>
        <w:ind w:left="851" w:hanging="851"/>
      </w:pPr>
    </w:p>
    <w:p w14:paraId="2FA05B66" w14:textId="77777777" w:rsidR="0007324E" w:rsidRDefault="0007324E" w:rsidP="00941DFA">
      <w:pPr>
        <w:pStyle w:val="Heading3"/>
        <w:ind w:left="851" w:hanging="851"/>
      </w:pPr>
    </w:p>
    <w:p w14:paraId="6BF98443" w14:textId="77777777" w:rsidR="0007324E" w:rsidRDefault="0007324E" w:rsidP="00941DFA">
      <w:pPr>
        <w:pStyle w:val="Heading3"/>
        <w:ind w:left="851" w:hanging="851"/>
      </w:pPr>
    </w:p>
    <w:p w14:paraId="58F65454" w14:textId="77777777" w:rsidR="0007324E" w:rsidRDefault="0007324E" w:rsidP="00941DFA">
      <w:pPr>
        <w:pStyle w:val="Heading3"/>
        <w:ind w:left="851" w:hanging="851"/>
      </w:pPr>
    </w:p>
    <w:p w14:paraId="02BC2B08" w14:textId="77777777" w:rsidR="0007324E" w:rsidRDefault="0007324E" w:rsidP="00941DFA">
      <w:pPr>
        <w:pStyle w:val="Heading3"/>
        <w:ind w:left="851" w:hanging="851"/>
      </w:pPr>
    </w:p>
    <w:p w14:paraId="4117EDF1" w14:textId="30409534" w:rsidR="005C2693" w:rsidRDefault="005C2693" w:rsidP="00941DFA">
      <w:pPr>
        <w:pStyle w:val="Heading3"/>
        <w:ind w:left="851" w:hanging="851"/>
      </w:pPr>
      <w:r>
        <w:lastRenderedPageBreak/>
        <w:t>13</w:t>
      </w:r>
      <w:r w:rsidR="00474BCB">
        <w:t>.4</w:t>
      </w:r>
      <w:r>
        <w:t>.2</w:t>
      </w:r>
      <w:r w:rsidR="00B04F7A">
        <w:tab/>
      </w:r>
      <w:r w:rsidRPr="00614BEA">
        <w:t xml:space="preserve">Examples </w:t>
      </w:r>
      <w:r>
        <w:t>that differentiate between capital assets and operating expenses</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7"/>
        <w:gridCol w:w="1286"/>
        <w:gridCol w:w="1286"/>
      </w:tblGrid>
      <w:tr w:rsidR="005C2693" w:rsidRPr="004D6B0E" w14:paraId="783BABE4" w14:textId="77777777" w:rsidTr="004E2ED2">
        <w:trPr>
          <w:trHeight w:val="567"/>
          <w:tblHeader/>
        </w:trPr>
        <w:tc>
          <w:tcPr>
            <w:tcW w:w="6727" w:type="dxa"/>
            <w:shd w:val="clear" w:color="auto" w:fill="D9D9D9" w:themeFill="background1" w:themeFillShade="D9"/>
          </w:tcPr>
          <w:p w14:paraId="4E1003F4" w14:textId="110A2150" w:rsidR="005C2693" w:rsidRPr="00BD5232" w:rsidRDefault="0007324E" w:rsidP="00284372">
            <w:pPr>
              <w:rPr>
                <w:b/>
              </w:rPr>
            </w:pPr>
            <w:r>
              <w:rPr>
                <w:b/>
              </w:rPr>
              <w:t>D</w:t>
            </w:r>
            <w:r w:rsidR="005C2693" w:rsidRPr="00BD5232">
              <w:rPr>
                <w:b/>
              </w:rPr>
              <w:t>escription</w:t>
            </w:r>
          </w:p>
        </w:tc>
        <w:tc>
          <w:tcPr>
            <w:tcW w:w="1286" w:type="dxa"/>
            <w:shd w:val="clear" w:color="auto" w:fill="D9D9D9" w:themeFill="background1" w:themeFillShade="D9"/>
          </w:tcPr>
          <w:p w14:paraId="57747378" w14:textId="77777777" w:rsidR="005C2693" w:rsidRPr="00BD5232" w:rsidRDefault="005C2693" w:rsidP="00284372">
            <w:pPr>
              <w:rPr>
                <w:b/>
              </w:rPr>
            </w:pPr>
            <w:r w:rsidRPr="00BD5232">
              <w:rPr>
                <w:b/>
              </w:rPr>
              <w:t>Capital</w:t>
            </w:r>
          </w:p>
        </w:tc>
        <w:tc>
          <w:tcPr>
            <w:tcW w:w="1286" w:type="dxa"/>
            <w:shd w:val="clear" w:color="auto" w:fill="D9D9D9" w:themeFill="background1" w:themeFillShade="D9"/>
          </w:tcPr>
          <w:p w14:paraId="297E958B" w14:textId="77777777" w:rsidR="005C2693" w:rsidRPr="00BD5232" w:rsidRDefault="005C2693" w:rsidP="00284372">
            <w:pPr>
              <w:rPr>
                <w:b/>
              </w:rPr>
            </w:pPr>
            <w:r w:rsidRPr="00BD5232">
              <w:rPr>
                <w:b/>
              </w:rPr>
              <w:t>Operating</w:t>
            </w:r>
          </w:p>
        </w:tc>
      </w:tr>
      <w:tr w:rsidR="005C2693" w:rsidRPr="004D6B0E" w14:paraId="2E6CAA44" w14:textId="77777777" w:rsidTr="00CD3608">
        <w:trPr>
          <w:trHeight w:val="1126"/>
          <w:tblHeader/>
        </w:trPr>
        <w:tc>
          <w:tcPr>
            <w:tcW w:w="6727" w:type="dxa"/>
          </w:tcPr>
          <w:p w14:paraId="243E4516" w14:textId="6252B367" w:rsidR="005C2693" w:rsidRPr="00284372" w:rsidRDefault="005C2693" w:rsidP="00284372">
            <w:r w:rsidRPr="00284372">
              <w:t>Individual cost of an item that meets the asset definition and recognition criteria</w:t>
            </w:r>
            <w:r w:rsidR="001F7D5C">
              <w:t>,</w:t>
            </w:r>
            <w:r w:rsidRPr="00284372">
              <w:t xml:space="preserve"> and the Department’s capital threshold of </w:t>
            </w:r>
            <w:r w:rsidR="00FC771C">
              <w:t xml:space="preserve">greater than or equal to </w:t>
            </w:r>
            <w:r w:rsidRPr="00284372">
              <w:t>$5,000</w:t>
            </w:r>
            <w:r w:rsidR="001F7D5C">
              <w:t>.</w:t>
            </w:r>
          </w:p>
        </w:tc>
        <w:tc>
          <w:tcPr>
            <w:tcW w:w="1286" w:type="dxa"/>
          </w:tcPr>
          <w:p w14:paraId="03ED2F31" w14:textId="77777777" w:rsidR="005C2693" w:rsidRPr="00284372" w:rsidRDefault="005C2693" w:rsidP="00284372">
            <w:r w:rsidRPr="00284372">
              <w:t>Yes</w:t>
            </w:r>
          </w:p>
        </w:tc>
        <w:tc>
          <w:tcPr>
            <w:tcW w:w="1286" w:type="dxa"/>
          </w:tcPr>
          <w:p w14:paraId="3D38283E" w14:textId="77777777" w:rsidR="005C2693" w:rsidRPr="00284372" w:rsidRDefault="005C2693" w:rsidP="00284372">
            <w:r w:rsidRPr="00284372">
              <w:t>No</w:t>
            </w:r>
          </w:p>
        </w:tc>
      </w:tr>
      <w:tr w:rsidR="00D94EEA" w:rsidRPr="004D6B0E" w14:paraId="78EEE34A" w14:textId="77777777" w:rsidTr="00CD3608">
        <w:trPr>
          <w:trHeight w:val="703"/>
          <w:tblHeader/>
        </w:trPr>
        <w:tc>
          <w:tcPr>
            <w:tcW w:w="6727" w:type="dxa"/>
            <w:tcBorders>
              <w:top w:val="single" w:sz="4" w:space="0" w:color="auto"/>
              <w:left w:val="single" w:sz="4" w:space="0" w:color="auto"/>
              <w:bottom w:val="single" w:sz="4" w:space="0" w:color="auto"/>
              <w:right w:val="single" w:sz="4" w:space="0" w:color="auto"/>
            </w:tcBorders>
          </w:tcPr>
          <w:p w14:paraId="19CCC115" w14:textId="77777777" w:rsidR="00D94EEA" w:rsidRPr="00284372" w:rsidRDefault="00D94EEA" w:rsidP="00D94EEA">
            <w:r w:rsidRPr="00284372">
              <w:t>Individual cost of an item that do</w:t>
            </w:r>
            <w:r>
              <w:t>es</w:t>
            </w:r>
            <w:r w:rsidRPr="00284372">
              <w:t xml:space="preserve"> not meet the Department’s capital threshold of </w:t>
            </w:r>
            <w:r>
              <w:t xml:space="preserve">greater than or equal to </w:t>
            </w:r>
            <w:r w:rsidRPr="00284372">
              <w:t>$5,000</w:t>
            </w:r>
            <w:r>
              <w:t>.</w:t>
            </w:r>
          </w:p>
        </w:tc>
        <w:tc>
          <w:tcPr>
            <w:tcW w:w="1286" w:type="dxa"/>
            <w:tcBorders>
              <w:top w:val="single" w:sz="4" w:space="0" w:color="auto"/>
              <w:left w:val="single" w:sz="4" w:space="0" w:color="auto"/>
              <w:bottom w:val="single" w:sz="4" w:space="0" w:color="auto"/>
              <w:right w:val="single" w:sz="4" w:space="0" w:color="auto"/>
            </w:tcBorders>
          </w:tcPr>
          <w:p w14:paraId="5F17F5F4" w14:textId="77777777" w:rsidR="00D94EEA" w:rsidRPr="00284372" w:rsidRDefault="00D94EEA" w:rsidP="00D94EEA">
            <w:r w:rsidRPr="00284372">
              <w:t>No</w:t>
            </w:r>
          </w:p>
        </w:tc>
        <w:tc>
          <w:tcPr>
            <w:tcW w:w="1286" w:type="dxa"/>
            <w:tcBorders>
              <w:top w:val="single" w:sz="4" w:space="0" w:color="auto"/>
              <w:left w:val="single" w:sz="4" w:space="0" w:color="auto"/>
              <w:bottom w:val="single" w:sz="4" w:space="0" w:color="auto"/>
              <w:right w:val="single" w:sz="4" w:space="0" w:color="auto"/>
            </w:tcBorders>
          </w:tcPr>
          <w:p w14:paraId="35437BBD" w14:textId="77777777" w:rsidR="00D94EEA" w:rsidRPr="00284372" w:rsidRDefault="00D94EEA" w:rsidP="00D94EEA">
            <w:r w:rsidRPr="00284372">
              <w:t>Yes</w:t>
            </w:r>
          </w:p>
        </w:tc>
      </w:tr>
      <w:tr w:rsidR="00D94EEA" w:rsidRPr="004D6B0E" w14:paraId="338D343A"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7F9281B8" w14:textId="77777777" w:rsidR="00D94EEA" w:rsidRPr="00284372" w:rsidRDefault="00D94EEA" w:rsidP="00D94EEA">
            <w:r w:rsidRPr="00284372">
              <w:t>Training cost – relates to training of team member which does not contribute to the asset directly</w:t>
            </w:r>
            <w:r>
              <w:t>.</w:t>
            </w:r>
          </w:p>
        </w:tc>
        <w:tc>
          <w:tcPr>
            <w:tcW w:w="1286" w:type="dxa"/>
            <w:tcBorders>
              <w:top w:val="single" w:sz="4" w:space="0" w:color="auto"/>
              <w:left w:val="single" w:sz="4" w:space="0" w:color="auto"/>
              <w:bottom w:val="single" w:sz="4" w:space="0" w:color="auto"/>
              <w:right w:val="single" w:sz="4" w:space="0" w:color="auto"/>
            </w:tcBorders>
          </w:tcPr>
          <w:p w14:paraId="32876927" w14:textId="77777777" w:rsidR="00D94EEA" w:rsidRPr="00284372" w:rsidRDefault="00D94EEA" w:rsidP="00D94EEA">
            <w:r w:rsidRPr="00284372">
              <w:t>No</w:t>
            </w:r>
          </w:p>
        </w:tc>
        <w:tc>
          <w:tcPr>
            <w:tcW w:w="1286" w:type="dxa"/>
            <w:tcBorders>
              <w:top w:val="single" w:sz="4" w:space="0" w:color="auto"/>
              <w:left w:val="single" w:sz="4" w:space="0" w:color="auto"/>
              <w:bottom w:val="single" w:sz="4" w:space="0" w:color="auto"/>
              <w:right w:val="single" w:sz="4" w:space="0" w:color="auto"/>
            </w:tcBorders>
          </w:tcPr>
          <w:p w14:paraId="0FD9DA02" w14:textId="77777777" w:rsidR="00D94EEA" w:rsidRPr="00284372" w:rsidRDefault="00D94EEA" w:rsidP="00D94EEA">
            <w:r w:rsidRPr="00284372">
              <w:t>Yes</w:t>
            </w:r>
          </w:p>
        </w:tc>
      </w:tr>
      <w:tr w:rsidR="00D94EEA" w:rsidRPr="004D6B0E" w14:paraId="7943EE1C"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4B196312" w14:textId="77777777" w:rsidR="00D94EEA" w:rsidRPr="00284372" w:rsidRDefault="00D94EEA" w:rsidP="00D94EEA">
            <w:r w:rsidRPr="00284372">
              <w:t>Painting (internal and external)</w:t>
            </w:r>
            <w:r>
              <w:t>.</w:t>
            </w:r>
          </w:p>
        </w:tc>
        <w:tc>
          <w:tcPr>
            <w:tcW w:w="1286" w:type="dxa"/>
            <w:tcBorders>
              <w:top w:val="single" w:sz="4" w:space="0" w:color="auto"/>
              <w:left w:val="single" w:sz="4" w:space="0" w:color="auto"/>
              <w:bottom w:val="single" w:sz="4" w:space="0" w:color="auto"/>
              <w:right w:val="single" w:sz="4" w:space="0" w:color="auto"/>
            </w:tcBorders>
          </w:tcPr>
          <w:p w14:paraId="27FA86C0" w14:textId="77777777" w:rsidR="00D94EEA" w:rsidRPr="00284372" w:rsidRDefault="00D94EEA" w:rsidP="00D94EEA">
            <w:r w:rsidRPr="00284372">
              <w:t>No</w:t>
            </w:r>
          </w:p>
        </w:tc>
        <w:tc>
          <w:tcPr>
            <w:tcW w:w="1286" w:type="dxa"/>
            <w:tcBorders>
              <w:top w:val="single" w:sz="4" w:space="0" w:color="auto"/>
              <w:left w:val="single" w:sz="4" w:space="0" w:color="auto"/>
              <w:bottom w:val="single" w:sz="4" w:space="0" w:color="auto"/>
              <w:right w:val="single" w:sz="4" w:space="0" w:color="auto"/>
            </w:tcBorders>
          </w:tcPr>
          <w:p w14:paraId="51104C17" w14:textId="77777777" w:rsidR="00D94EEA" w:rsidRPr="00284372" w:rsidRDefault="00D94EEA" w:rsidP="00D94EEA">
            <w:r w:rsidRPr="00284372">
              <w:t>Yes</w:t>
            </w:r>
          </w:p>
        </w:tc>
      </w:tr>
      <w:tr w:rsidR="004A4B1B" w:rsidRPr="004D6B0E" w14:paraId="44095892"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4ACE06EF" w14:textId="015910FB" w:rsidR="004A4B1B" w:rsidRPr="00284372" w:rsidRDefault="004A4B1B" w:rsidP="004A4B1B">
            <w:r w:rsidRPr="0037338E">
              <w:t xml:space="preserve">Fit out </w:t>
            </w:r>
            <w:r>
              <w:t>c</w:t>
            </w:r>
            <w:r w:rsidRPr="0037338E">
              <w:t>osts for affixed items greater than or equal to $5,000; for example, converting a small room to a theatre.</w:t>
            </w:r>
          </w:p>
        </w:tc>
        <w:tc>
          <w:tcPr>
            <w:tcW w:w="1286" w:type="dxa"/>
            <w:tcBorders>
              <w:top w:val="single" w:sz="4" w:space="0" w:color="auto"/>
              <w:left w:val="single" w:sz="4" w:space="0" w:color="auto"/>
              <w:bottom w:val="single" w:sz="4" w:space="0" w:color="auto"/>
              <w:right w:val="single" w:sz="4" w:space="0" w:color="auto"/>
            </w:tcBorders>
          </w:tcPr>
          <w:p w14:paraId="5CECD883" w14:textId="3BC8CCF1" w:rsidR="004A4B1B" w:rsidRPr="00284372" w:rsidRDefault="004A4B1B" w:rsidP="004A4B1B">
            <w:r w:rsidRPr="0037338E">
              <w:t>Yes</w:t>
            </w:r>
          </w:p>
        </w:tc>
        <w:tc>
          <w:tcPr>
            <w:tcW w:w="1286" w:type="dxa"/>
            <w:tcBorders>
              <w:top w:val="single" w:sz="4" w:space="0" w:color="auto"/>
              <w:left w:val="single" w:sz="4" w:space="0" w:color="auto"/>
              <w:bottom w:val="single" w:sz="4" w:space="0" w:color="auto"/>
              <w:right w:val="single" w:sz="4" w:space="0" w:color="auto"/>
            </w:tcBorders>
          </w:tcPr>
          <w:p w14:paraId="053B03B1" w14:textId="216B0E12" w:rsidR="004A4B1B" w:rsidRPr="00284372" w:rsidRDefault="004A4B1B" w:rsidP="004A4B1B">
            <w:r w:rsidRPr="0037338E">
              <w:t>No</w:t>
            </w:r>
          </w:p>
        </w:tc>
      </w:tr>
      <w:tr w:rsidR="004A4B1B" w:rsidRPr="004D6B0E" w14:paraId="449CAD17"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6CAB6E53" w14:textId="23079E2F" w:rsidR="004A4B1B" w:rsidRPr="00284372" w:rsidRDefault="004A4B1B" w:rsidP="004A4B1B">
            <w:r w:rsidRPr="0037338E">
              <w:t>Cost of replacing tables and chairs for a room if individually less than $5,000.</w:t>
            </w:r>
          </w:p>
        </w:tc>
        <w:tc>
          <w:tcPr>
            <w:tcW w:w="1286" w:type="dxa"/>
            <w:tcBorders>
              <w:top w:val="single" w:sz="4" w:space="0" w:color="auto"/>
              <w:left w:val="single" w:sz="4" w:space="0" w:color="auto"/>
              <w:bottom w:val="single" w:sz="4" w:space="0" w:color="auto"/>
              <w:right w:val="single" w:sz="4" w:space="0" w:color="auto"/>
            </w:tcBorders>
          </w:tcPr>
          <w:p w14:paraId="07B46AA1" w14:textId="764C3C26" w:rsidR="004A4B1B" w:rsidRPr="00284372" w:rsidRDefault="004A4B1B" w:rsidP="004A4B1B">
            <w:r w:rsidRPr="0037338E">
              <w:t>No</w:t>
            </w:r>
          </w:p>
        </w:tc>
        <w:tc>
          <w:tcPr>
            <w:tcW w:w="1286" w:type="dxa"/>
            <w:tcBorders>
              <w:top w:val="single" w:sz="4" w:space="0" w:color="auto"/>
              <w:left w:val="single" w:sz="4" w:space="0" w:color="auto"/>
              <w:bottom w:val="single" w:sz="4" w:space="0" w:color="auto"/>
              <w:right w:val="single" w:sz="4" w:space="0" w:color="auto"/>
            </w:tcBorders>
          </w:tcPr>
          <w:p w14:paraId="2F6B5B5C" w14:textId="65AC7E28" w:rsidR="004A4B1B" w:rsidRPr="00284372" w:rsidRDefault="004A4B1B" w:rsidP="004A4B1B">
            <w:r w:rsidRPr="0037338E">
              <w:t>Yes</w:t>
            </w:r>
          </w:p>
        </w:tc>
      </w:tr>
      <w:tr w:rsidR="004A4B1B" w:rsidRPr="004D6B0E" w14:paraId="166B4BF6"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56E14FE1" w14:textId="2570A437" w:rsidR="004A4B1B" w:rsidRPr="00284372" w:rsidRDefault="004A4B1B" w:rsidP="004A4B1B">
            <w:r w:rsidRPr="0037338E">
              <w:t>Major classroom, canteen, hall refurbishments greater than or equal to $5,000.</w:t>
            </w:r>
          </w:p>
        </w:tc>
        <w:tc>
          <w:tcPr>
            <w:tcW w:w="1286" w:type="dxa"/>
            <w:tcBorders>
              <w:top w:val="single" w:sz="4" w:space="0" w:color="auto"/>
              <w:left w:val="single" w:sz="4" w:space="0" w:color="auto"/>
              <w:bottom w:val="single" w:sz="4" w:space="0" w:color="auto"/>
              <w:right w:val="single" w:sz="4" w:space="0" w:color="auto"/>
            </w:tcBorders>
          </w:tcPr>
          <w:p w14:paraId="1CC24D92" w14:textId="6D58AA18" w:rsidR="004A4B1B" w:rsidRPr="00284372" w:rsidRDefault="004A4B1B" w:rsidP="004A4B1B">
            <w:r w:rsidRPr="0037338E">
              <w:t>Yes</w:t>
            </w:r>
          </w:p>
        </w:tc>
        <w:tc>
          <w:tcPr>
            <w:tcW w:w="1286" w:type="dxa"/>
            <w:tcBorders>
              <w:top w:val="single" w:sz="4" w:space="0" w:color="auto"/>
              <w:left w:val="single" w:sz="4" w:space="0" w:color="auto"/>
              <w:bottom w:val="single" w:sz="4" w:space="0" w:color="auto"/>
              <w:right w:val="single" w:sz="4" w:space="0" w:color="auto"/>
            </w:tcBorders>
          </w:tcPr>
          <w:p w14:paraId="6526A3EB" w14:textId="7D824BEF" w:rsidR="004A4B1B" w:rsidRPr="00284372" w:rsidRDefault="004A4B1B" w:rsidP="004A4B1B">
            <w:r w:rsidRPr="0037338E">
              <w:t>No</w:t>
            </w:r>
          </w:p>
        </w:tc>
      </w:tr>
      <w:tr w:rsidR="004A4B1B" w:rsidRPr="004D6B0E" w14:paraId="5BA74704"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735BA046" w14:textId="50ED0CF4" w:rsidR="004A4B1B" w:rsidRPr="00284372" w:rsidRDefault="004A4B1B" w:rsidP="004A4B1B">
            <w:r w:rsidRPr="0037338E">
              <w:t>Purchase of Information Technology equipment less than $5,000.</w:t>
            </w:r>
          </w:p>
        </w:tc>
        <w:tc>
          <w:tcPr>
            <w:tcW w:w="1286" w:type="dxa"/>
            <w:tcBorders>
              <w:top w:val="single" w:sz="4" w:space="0" w:color="auto"/>
              <w:left w:val="single" w:sz="4" w:space="0" w:color="auto"/>
              <w:bottom w:val="single" w:sz="4" w:space="0" w:color="auto"/>
              <w:right w:val="single" w:sz="4" w:space="0" w:color="auto"/>
            </w:tcBorders>
          </w:tcPr>
          <w:p w14:paraId="1D2096D1" w14:textId="696251FB" w:rsidR="004A4B1B" w:rsidRPr="00284372" w:rsidRDefault="004A4B1B" w:rsidP="004A4B1B">
            <w:r w:rsidRPr="0037338E">
              <w:t>No</w:t>
            </w:r>
          </w:p>
        </w:tc>
        <w:tc>
          <w:tcPr>
            <w:tcW w:w="1286" w:type="dxa"/>
            <w:tcBorders>
              <w:top w:val="single" w:sz="4" w:space="0" w:color="auto"/>
              <w:left w:val="single" w:sz="4" w:space="0" w:color="auto"/>
              <w:bottom w:val="single" w:sz="4" w:space="0" w:color="auto"/>
              <w:right w:val="single" w:sz="4" w:space="0" w:color="auto"/>
            </w:tcBorders>
          </w:tcPr>
          <w:p w14:paraId="06468D4C" w14:textId="7BF0036A" w:rsidR="004A4B1B" w:rsidRPr="00284372" w:rsidRDefault="004A4B1B" w:rsidP="004A4B1B">
            <w:r w:rsidRPr="0037338E">
              <w:t>Yes</w:t>
            </w:r>
          </w:p>
        </w:tc>
      </w:tr>
      <w:tr w:rsidR="004A4B1B" w:rsidRPr="004D6B0E" w14:paraId="432BF924" w14:textId="77777777" w:rsidTr="00D94EEA">
        <w:trPr>
          <w:trHeight w:val="567"/>
          <w:tblHeader/>
        </w:trPr>
        <w:tc>
          <w:tcPr>
            <w:tcW w:w="6727" w:type="dxa"/>
            <w:tcBorders>
              <w:top w:val="single" w:sz="4" w:space="0" w:color="auto"/>
              <w:left w:val="single" w:sz="4" w:space="0" w:color="auto"/>
              <w:bottom w:val="single" w:sz="4" w:space="0" w:color="auto"/>
              <w:right w:val="single" w:sz="4" w:space="0" w:color="auto"/>
            </w:tcBorders>
          </w:tcPr>
          <w:p w14:paraId="3B9414B9" w14:textId="3116C715" w:rsidR="004A4B1B" w:rsidRPr="00284372" w:rsidRDefault="004A4B1B" w:rsidP="004A4B1B">
            <w:r w:rsidRPr="0050730C">
              <w:t>Complete replacement of carpet greater than or equal to $5,000.</w:t>
            </w:r>
          </w:p>
        </w:tc>
        <w:tc>
          <w:tcPr>
            <w:tcW w:w="1286" w:type="dxa"/>
            <w:tcBorders>
              <w:top w:val="single" w:sz="4" w:space="0" w:color="auto"/>
              <w:left w:val="single" w:sz="4" w:space="0" w:color="auto"/>
              <w:bottom w:val="single" w:sz="4" w:space="0" w:color="auto"/>
              <w:right w:val="single" w:sz="4" w:space="0" w:color="auto"/>
            </w:tcBorders>
          </w:tcPr>
          <w:p w14:paraId="3AEBD9E5" w14:textId="33C83C7D" w:rsidR="004A4B1B" w:rsidRPr="00284372" w:rsidRDefault="004A4B1B" w:rsidP="004A4B1B">
            <w:r w:rsidRPr="0050730C">
              <w:t>Yes</w:t>
            </w:r>
          </w:p>
        </w:tc>
        <w:tc>
          <w:tcPr>
            <w:tcW w:w="1286" w:type="dxa"/>
            <w:tcBorders>
              <w:top w:val="single" w:sz="4" w:space="0" w:color="auto"/>
              <w:left w:val="single" w:sz="4" w:space="0" w:color="auto"/>
              <w:bottom w:val="single" w:sz="4" w:space="0" w:color="auto"/>
              <w:right w:val="single" w:sz="4" w:space="0" w:color="auto"/>
            </w:tcBorders>
          </w:tcPr>
          <w:p w14:paraId="0512F41F" w14:textId="23C552B7" w:rsidR="004A4B1B" w:rsidRPr="00284372" w:rsidRDefault="004A4B1B" w:rsidP="004A4B1B">
            <w:r w:rsidRPr="0050730C">
              <w:t>No</w:t>
            </w:r>
          </w:p>
        </w:tc>
      </w:tr>
      <w:tr w:rsidR="00645C57" w:rsidRPr="004D6B0E" w14:paraId="64833575" w14:textId="77777777" w:rsidTr="006C1202">
        <w:trPr>
          <w:trHeight w:hRule="exact" w:val="454"/>
          <w:tblHeader/>
        </w:trPr>
        <w:tc>
          <w:tcPr>
            <w:tcW w:w="6727" w:type="dxa"/>
          </w:tcPr>
          <w:p w14:paraId="5AAB056C" w14:textId="7BBD2A2C" w:rsidR="00645C57" w:rsidRPr="00284372" w:rsidRDefault="00D94EEA" w:rsidP="00284372">
            <w:r>
              <w:br w:type="page"/>
            </w:r>
            <w:r w:rsidR="00645C57" w:rsidRPr="00284372">
              <w:t>Replacement of a section of carpet</w:t>
            </w:r>
            <w:r w:rsidR="00026035">
              <w:t>.</w:t>
            </w:r>
          </w:p>
        </w:tc>
        <w:tc>
          <w:tcPr>
            <w:tcW w:w="1286" w:type="dxa"/>
          </w:tcPr>
          <w:p w14:paraId="6DFBECCE" w14:textId="77777777" w:rsidR="00645C57" w:rsidRPr="00284372" w:rsidRDefault="00645C57" w:rsidP="00284372">
            <w:r w:rsidRPr="00284372">
              <w:t>No</w:t>
            </w:r>
          </w:p>
        </w:tc>
        <w:tc>
          <w:tcPr>
            <w:tcW w:w="1286" w:type="dxa"/>
          </w:tcPr>
          <w:p w14:paraId="74B87C3D" w14:textId="77777777" w:rsidR="00645C57" w:rsidRPr="00284372" w:rsidRDefault="00645C57" w:rsidP="00284372">
            <w:r w:rsidRPr="00284372">
              <w:t>Yes</w:t>
            </w:r>
          </w:p>
        </w:tc>
      </w:tr>
      <w:tr w:rsidR="00645C57" w:rsidRPr="004D6B0E" w14:paraId="3009BAEB" w14:textId="77777777" w:rsidTr="00CD3608">
        <w:trPr>
          <w:trHeight w:val="1066"/>
          <w:tblHeader/>
        </w:trPr>
        <w:tc>
          <w:tcPr>
            <w:tcW w:w="6727" w:type="dxa"/>
          </w:tcPr>
          <w:p w14:paraId="18A6A8BE" w14:textId="1C08D63D" w:rsidR="00645C57" w:rsidRPr="00284372" w:rsidRDefault="00645C57" w:rsidP="00441B70">
            <w:r w:rsidRPr="00284372">
              <w:t xml:space="preserve">Replacing a roof that incorporates new materials, or new technology (e.g. more durable or weather-resistant materials are used) </w:t>
            </w:r>
            <w:r w:rsidR="00441B70">
              <w:t>greater than or equal to $</w:t>
            </w:r>
            <w:r w:rsidRPr="00284372">
              <w:t>5,000</w:t>
            </w:r>
            <w:r w:rsidR="00026035">
              <w:t>.</w:t>
            </w:r>
          </w:p>
        </w:tc>
        <w:tc>
          <w:tcPr>
            <w:tcW w:w="1286" w:type="dxa"/>
          </w:tcPr>
          <w:p w14:paraId="4CA42F54" w14:textId="77777777" w:rsidR="00645C57" w:rsidRPr="00284372" w:rsidRDefault="00645C57" w:rsidP="00284372">
            <w:r w:rsidRPr="00284372">
              <w:t>Yes</w:t>
            </w:r>
          </w:p>
        </w:tc>
        <w:tc>
          <w:tcPr>
            <w:tcW w:w="1286" w:type="dxa"/>
          </w:tcPr>
          <w:p w14:paraId="51B88D18" w14:textId="77777777" w:rsidR="00645C57" w:rsidRPr="00284372" w:rsidRDefault="00645C57" w:rsidP="00284372">
            <w:r w:rsidRPr="00284372">
              <w:t>No</w:t>
            </w:r>
          </w:p>
        </w:tc>
      </w:tr>
      <w:tr w:rsidR="00645C57" w:rsidRPr="004D6B0E" w14:paraId="2C6C6C7A" w14:textId="77777777" w:rsidTr="006C1202">
        <w:trPr>
          <w:trHeight w:val="454"/>
          <w:tblHeader/>
        </w:trPr>
        <w:tc>
          <w:tcPr>
            <w:tcW w:w="6727" w:type="dxa"/>
          </w:tcPr>
          <w:p w14:paraId="0054A41D" w14:textId="77777777" w:rsidR="00645C57" w:rsidRPr="00284372" w:rsidRDefault="00645C57" w:rsidP="00284372">
            <w:r w:rsidRPr="00284372">
              <w:t>Repairs for any damage to a section of a roof</w:t>
            </w:r>
            <w:r w:rsidR="00026035">
              <w:t>.</w:t>
            </w:r>
          </w:p>
        </w:tc>
        <w:tc>
          <w:tcPr>
            <w:tcW w:w="1286" w:type="dxa"/>
          </w:tcPr>
          <w:p w14:paraId="4A289EBD" w14:textId="77777777" w:rsidR="00645C57" w:rsidRPr="00284372" w:rsidRDefault="00645C57" w:rsidP="00284372">
            <w:r w:rsidRPr="00284372">
              <w:t>No</w:t>
            </w:r>
          </w:p>
        </w:tc>
        <w:tc>
          <w:tcPr>
            <w:tcW w:w="1286" w:type="dxa"/>
          </w:tcPr>
          <w:p w14:paraId="135E86F7" w14:textId="77777777" w:rsidR="00645C57" w:rsidRPr="00284372" w:rsidRDefault="00645C57" w:rsidP="00284372">
            <w:r w:rsidRPr="00284372">
              <w:t>Yes</w:t>
            </w:r>
          </w:p>
        </w:tc>
      </w:tr>
    </w:tbl>
    <w:p w14:paraId="568A4761" w14:textId="77777777" w:rsidR="001D40A0" w:rsidRDefault="00975863" w:rsidP="00577EC4">
      <w:pPr>
        <w:pStyle w:val="Heading3"/>
      </w:pPr>
      <w:r>
        <w:t>13.4.3</w:t>
      </w:r>
      <w:r>
        <w:tab/>
      </w:r>
      <w:r w:rsidRPr="00614BEA">
        <w:t xml:space="preserve">Examples </w:t>
      </w:r>
      <w:r>
        <w:t>of common repairs and maintenance expenses</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7"/>
        <w:gridCol w:w="1286"/>
        <w:gridCol w:w="1286"/>
      </w:tblGrid>
      <w:tr w:rsidR="00975863" w:rsidRPr="004D6B0E" w14:paraId="45CDECFF" w14:textId="77777777" w:rsidTr="00E12C68">
        <w:trPr>
          <w:trHeight w:val="567"/>
          <w:tblHeader/>
        </w:trPr>
        <w:tc>
          <w:tcPr>
            <w:tcW w:w="6521" w:type="dxa"/>
            <w:shd w:val="clear" w:color="auto" w:fill="D9D9D9" w:themeFill="background1" w:themeFillShade="D9"/>
          </w:tcPr>
          <w:p w14:paraId="11E143E2" w14:textId="77777777" w:rsidR="00975863" w:rsidRPr="00BD5232" w:rsidRDefault="00975863" w:rsidP="00284372">
            <w:pPr>
              <w:rPr>
                <w:b/>
              </w:rPr>
            </w:pPr>
            <w:r w:rsidRPr="00BD5232">
              <w:rPr>
                <w:b/>
              </w:rPr>
              <w:t>Description</w:t>
            </w:r>
          </w:p>
        </w:tc>
        <w:tc>
          <w:tcPr>
            <w:tcW w:w="1247" w:type="dxa"/>
            <w:shd w:val="clear" w:color="auto" w:fill="D9D9D9" w:themeFill="background1" w:themeFillShade="D9"/>
          </w:tcPr>
          <w:p w14:paraId="09F6014F" w14:textId="77777777" w:rsidR="00975863" w:rsidRPr="00BD5232" w:rsidRDefault="00975863" w:rsidP="00284372">
            <w:pPr>
              <w:rPr>
                <w:b/>
              </w:rPr>
            </w:pPr>
            <w:r w:rsidRPr="00BD5232">
              <w:rPr>
                <w:b/>
              </w:rPr>
              <w:t>Capital</w:t>
            </w:r>
          </w:p>
        </w:tc>
        <w:tc>
          <w:tcPr>
            <w:tcW w:w="1247" w:type="dxa"/>
            <w:shd w:val="clear" w:color="auto" w:fill="D9D9D9" w:themeFill="background1" w:themeFillShade="D9"/>
          </w:tcPr>
          <w:p w14:paraId="3D9CDCC3" w14:textId="77777777" w:rsidR="00975863" w:rsidRPr="00BD5232" w:rsidRDefault="00975863" w:rsidP="00284372">
            <w:pPr>
              <w:rPr>
                <w:b/>
              </w:rPr>
            </w:pPr>
            <w:r w:rsidRPr="00BD5232">
              <w:rPr>
                <w:b/>
              </w:rPr>
              <w:t>Operating</w:t>
            </w:r>
          </w:p>
        </w:tc>
      </w:tr>
      <w:tr w:rsidR="00975863" w:rsidRPr="004D6B0E" w14:paraId="5F72B1AB" w14:textId="77777777" w:rsidTr="006B7C22">
        <w:trPr>
          <w:trHeight w:val="567"/>
        </w:trPr>
        <w:tc>
          <w:tcPr>
            <w:tcW w:w="6521" w:type="dxa"/>
          </w:tcPr>
          <w:p w14:paraId="0809C968" w14:textId="77777777" w:rsidR="00975863" w:rsidRPr="00284372" w:rsidRDefault="00975863" w:rsidP="00284372">
            <w:r w:rsidRPr="00284372">
              <w:t>Patchwork for leaking roofs, damaged sections of walls, worn sections of walkways, potholes and bike</w:t>
            </w:r>
            <w:r w:rsidR="00FE02FE" w:rsidRPr="00284372">
              <w:t xml:space="preserve"> </w:t>
            </w:r>
            <w:r w:rsidRPr="00284372">
              <w:t>tracks</w:t>
            </w:r>
            <w:r w:rsidR="00026035">
              <w:t>.</w:t>
            </w:r>
          </w:p>
        </w:tc>
        <w:tc>
          <w:tcPr>
            <w:tcW w:w="1247" w:type="dxa"/>
          </w:tcPr>
          <w:p w14:paraId="7A805B4B" w14:textId="77777777" w:rsidR="00975863" w:rsidRPr="00284372" w:rsidRDefault="00975863" w:rsidP="00284372">
            <w:r w:rsidRPr="00284372">
              <w:t>No</w:t>
            </w:r>
          </w:p>
        </w:tc>
        <w:tc>
          <w:tcPr>
            <w:tcW w:w="1247" w:type="dxa"/>
          </w:tcPr>
          <w:p w14:paraId="293B3526" w14:textId="77777777" w:rsidR="00975863" w:rsidRPr="00284372" w:rsidRDefault="00975863" w:rsidP="00284372">
            <w:r w:rsidRPr="00284372">
              <w:t>Yes</w:t>
            </w:r>
          </w:p>
        </w:tc>
      </w:tr>
      <w:tr w:rsidR="00A3736C" w:rsidRPr="004D6B0E" w14:paraId="4A54E791" w14:textId="77777777" w:rsidTr="00CD3608">
        <w:trPr>
          <w:trHeight w:val="454"/>
        </w:trPr>
        <w:tc>
          <w:tcPr>
            <w:tcW w:w="6521" w:type="dxa"/>
          </w:tcPr>
          <w:p w14:paraId="4E16D62C" w14:textId="77777777" w:rsidR="00A3736C" w:rsidRPr="00284372" w:rsidRDefault="00A3736C" w:rsidP="00284372">
            <w:r w:rsidRPr="00284372">
              <w:t>Maintenance for block</w:t>
            </w:r>
            <w:r w:rsidR="00026035">
              <w:t>ed</w:t>
            </w:r>
            <w:r w:rsidRPr="00284372">
              <w:t xml:space="preserve"> drains</w:t>
            </w:r>
            <w:r w:rsidR="00026035">
              <w:t>.</w:t>
            </w:r>
          </w:p>
        </w:tc>
        <w:tc>
          <w:tcPr>
            <w:tcW w:w="1247" w:type="dxa"/>
          </w:tcPr>
          <w:p w14:paraId="5D2322C9" w14:textId="77777777" w:rsidR="00A3736C" w:rsidRPr="00284372" w:rsidRDefault="00A3736C" w:rsidP="00284372">
            <w:r w:rsidRPr="00284372">
              <w:t>No</w:t>
            </w:r>
          </w:p>
        </w:tc>
        <w:tc>
          <w:tcPr>
            <w:tcW w:w="1247" w:type="dxa"/>
          </w:tcPr>
          <w:p w14:paraId="27FA59D4" w14:textId="77777777" w:rsidR="00A3736C" w:rsidRPr="00284372" w:rsidRDefault="00A3736C" w:rsidP="00284372">
            <w:r w:rsidRPr="00284372">
              <w:t>Yes</w:t>
            </w:r>
          </w:p>
        </w:tc>
      </w:tr>
      <w:tr w:rsidR="00A3736C" w:rsidRPr="004D6B0E" w14:paraId="2FA288FA" w14:textId="77777777" w:rsidTr="00CD3608">
        <w:trPr>
          <w:trHeight w:val="454"/>
        </w:trPr>
        <w:tc>
          <w:tcPr>
            <w:tcW w:w="6521" w:type="dxa"/>
          </w:tcPr>
          <w:p w14:paraId="36447F71" w14:textId="77777777" w:rsidR="00A3736C" w:rsidRPr="00284372" w:rsidRDefault="00A3736C" w:rsidP="00284372">
            <w:r w:rsidRPr="00284372">
              <w:t>Replacing broken sections of pipes</w:t>
            </w:r>
            <w:r w:rsidR="00026035">
              <w:t>.</w:t>
            </w:r>
          </w:p>
        </w:tc>
        <w:tc>
          <w:tcPr>
            <w:tcW w:w="1247" w:type="dxa"/>
          </w:tcPr>
          <w:p w14:paraId="7CD9DCC0" w14:textId="77777777" w:rsidR="00A3736C" w:rsidRPr="00284372" w:rsidRDefault="00A3736C" w:rsidP="00284372">
            <w:r w:rsidRPr="00284372">
              <w:t>No</w:t>
            </w:r>
          </w:p>
        </w:tc>
        <w:tc>
          <w:tcPr>
            <w:tcW w:w="1247" w:type="dxa"/>
          </w:tcPr>
          <w:p w14:paraId="4CF6B5A0" w14:textId="77777777" w:rsidR="00A3736C" w:rsidRPr="00284372" w:rsidRDefault="00A3736C" w:rsidP="00284372">
            <w:r w:rsidRPr="00284372">
              <w:t>Yes</w:t>
            </w:r>
          </w:p>
        </w:tc>
      </w:tr>
      <w:tr w:rsidR="00970B06" w:rsidRPr="004D6B0E" w14:paraId="0BD8B250" w14:textId="77777777" w:rsidTr="00CD3608">
        <w:trPr>
          <w:trHeight w:val="454"/>
        </w:trPr>
        <w:tc>
          <w:tcPr>
            <w:tcW w:w="6521" w:type="dxa"/>
          </w:tcPr>
          <w:p w14:paraId="096DAE19" w14:textId="77777777" w:rsidR="00970B06" w:rsidRPr="00284372" w:rsidRDefault="00970B06" w:rsidP="00284372">
            <w:r w:rsidRPr="00284372">
              <w:t>Chemical treatment of pipes for tree root intrusion</w:t>
            </w:r>
            <w:r w:rsidR="00026035">
              <w:t>.</w:t>
            </w:r>
          </w:p>
        </w:tc>
        <w:tc>
          <w:tcPr>
            <w:tcW w:w="1247" w:type="dxa"/>
          </w:tcPr>
          <w:p w14:paraId="4FBCAF4D" w14:textId="77777777" w:rsidR="00970B06" w:rsidRPr="00284372" w:rsidRDefault="00970B06" w:rsidP="00284372">
            <w:r w:rsidRPr="00284372">
              <w:t>No</w:t>
            </w:r>
          </w:p>
        </w:tc>
        <w:tc>
          <w:tcPr>
            <w:tcW w:w="1247" w:type="dxa"/>
          </w:tcPr>
          <w:p w14:paraId="149DFBFC" w14:textId="77777777" w:rsidR="00970B06" w:rsidRPr="00284372" w:rsidRDefault="00970B06" w:rsidP="00284372">
            <w:r w:rsidRPr="00284372">
              <w:t>Yes</w:t>
            </w:r>
          </w:p>
        </w:tc>
      </w:tr>
      <w:tr w:rsidR="00970B06" w:rsidRPr="004D6B0E" w14:paraId="09CA3C1D" w14:textId="77777777" w:rsidTr="00CD3608">
        <w:trPr>
          <w:trHeight w:val="454"/>
        </w:trPr>
        <w:tc>
          <w:tcPr>
            <w:tcW w:w="6521" w:type="dxa"/>
          </w:tcPr>
          <w:p w14:paraId="133D70A5" w14:textId="77777777" w:rsidR="00970B06" w:rsidRPr="00284372" w:rsidRDefault="00970B06" w:rsidP="00284372">
            <w:r w:rsidRPr="00284372">
              <w:t>Grinding footpath trip hazards</w:t>
            </w:r>
            <w:r w:rsidR="00026035">
              <w:t>.</w:t>
            </w:r>
          </w:p>
        </w:tc>
        <w:tc>
          <w:tcPr>
            <w:tcW w:w="1247" w:type="dxa"/>
          </w:tcPr>
          <w:p w14:paraId="37172BA8" w14:textId="77777777" w:rsidR="00970B06" w:rsidRPr="00284372" w:rsidRDefault="00970B06" w:rsidP="00284372">
            <w:r w:rsidRPr="00284372">
              <w:t>No</w:t>
            </w:r>
          </w:p>
        </w:tc>
        <w:tc>
          <w:tcPr>
            <w:tcW w:w="1247" w:type="dxa"/>
          </w:tcPr>
          <w:p w14:paraId="0EF28AF9" w14:textId="77777777" w:rsidR="00970B06" w:rsidRPr="00284372" w:rsidRDefault="00970B06" w:rsidP="00284372">
            <w:r w:rsidRPr="00284372">
              <w:t>Yes</w:t>
            </w:r>
          </w:p>
        </w:tc>
      </w:tr>
      <w:tr w:rsidR="00970B06" w:rsidRPr="004D6B0E" w14:paraId="3AF9750B" w14:textId="77777777" w:rsidTr="00CD3608">
        <w:trPr>
          <w:trHeight w:val="454"/>
        </w:trPr>
        <w:tc>
          <w:tcPr>
            <w:tcW w:w="6521" w:type="dxa"/>
          </w:tcPr>
          <w:p w14:paraId="2E70ED38" w14:textId="77777777" w:rsidR="00970B06" w:rsidRPr="00284372" w:rsidRDefault="00970B06" w:rsidP="00284372">
            <w:r w:rsidRPr="00284372">
              <w:lastRenderedPageBreak/>
              <w:t>Gutter cleaning</w:t>
            </w:r>
            <w:r w:rsidR="00026035">
              <w:t>.</w:t>
            </w:r>
          </w:p>
        </w:tc>
        <w:tc>
          <w:tcPr>
            <w:tcW w:w="1247" w:type="dxa"/>
          </w:tcPr>
          <w:p w14:paraId="3D49382A" w14:textId="77777777" w:rsidR="00970B06" w:rsidRPr="00284372" w:rsidRDefault="00970B06" w:rsidP="00284372">
            <w:r w:rsidRPr="00284372">
              <w:t>No</w:t>
            </w:r>
          </w:p>
        </w:tc>
        <w:tc>
          <w:tcPr>
            <w:tcW w:w="1247" w:type="dxa"/>
          </w:tcPr>
          <w:p w14:paraId="3CFC6D4A" w14:textId="77777777" w:rsidR="00970B06" w:rsidRPr="00284372" w:rsidRDefault="00970B06" w:rsidP="00284372">
            <w:r w:rsidRPr="00284372">
              <w:t>Yes</w:t>
            </w:r>
          </w:p>
        </w:tc>
      </w:tr>
      <w:tr w:rsidR="00970B06" w:rsidRPr="004D6B0E" w14:paraId="72AEFBE3" w14:textId="77777777" w:rsidTr="00CD3608">
        <w:trPr>
          <w:trHeight w:val="454"/>
        </w:trPr>
        <w:tc>
          <w:tcPr>
            <w:tcW w:w="6521" w:type="dxa"/>
          </w:tcPr>
          <w:p w14:paraId="0F0BF393" w14:textId="77777777" w:rsidR="00970B06" w:rsidRPr="00284372" w:rsidRDefault="00970B06" w:rsidP="00284372">
            <w:r w:rsidRPr="00284372">
              <w:t>Maintenance of electrical hazards</w:t>
            </w:r>
            <w:r w:rsidR="00026035">
              <w:t>.</w:t>
            </w:r>
          </w:p>
        </w:tc>
        <w:tc>
          <w:tcPr>
            <w:tcW w:w="1247" w:type="dxa"/>
          </w:tcPr>
          <w:p w14:paraId="588C1A4E" w14:textId="77777777" w:rsidR="00970B06" w:rsidRPr="00284372" w:rsidRDefault="00970B06" w:rsidP="00284372">
            <w:r w:rsidRPr="00284372">
              <w:t>No</w:t>
            </w:r>
          </w:p>
        </w:tc>
        <w:tc>
          <w:tcPr>
            <w:tcW w:w="1247" w:type="dxa"/>
          </w:tcPr>
          <w:p w14:paraId="11D9FC41" w14:textId="77777777" w:rsidR="00970B06" w:rsidRPr="00284372" w:rsidRDefault="00970B06" w:rsidP="00284372">
            <w:r w:rsidRPr="00284372">
              <w:t>Yes</w:t>
            </w:r>
          </w:p>
        </w:tc>
      </w:tr>
      <w:tr w:rsidR="00970B06" w:rsidRPr="004D6B0E" w14:paraId="71E48D80" w14:textId="77777777" w:rsidTr="006B7C22">
        <w:trPr>
          <w:trHeight w:val="567"/>
        </w:trPr>
        <w:tc>
          <w:tcPr>
            <w:tcW w:w="6521" w:type="dxa"/>
          </w:tcPr>
          <w:p w14:paraId="3E022F19" w14:textId="77777777" w:rsidR="00970B06" w:rsidRPr="00284372" w:rsidRDefault="00970B06" w:rsidP="00284372">
            <w:r w:rsidRPr="00284372">
              <w:t xml:space="preserve">Maintenance of water leaks from taps, toilets and </w:t>
            </w:r>
            <w:r w:rsidR="00BD5232">
              <w:t>student drinking fountains (</w:t>
            </w:r>
            <w:r w:rsidRPr="00284372">
              <w:t>bubblers</w:t>
            </w:r>
            <w:r w:rsidR="00BD5232">
              <w:t>)</w:t>
            </w:r>
            <w:r w:rsidR="00026035">
              <w:t>.</w:t>
            </w:r>
          </w:p>
        </w:tc>
        <w:tc>
          <w:tcPr>
            <w:tcW w:w="1247" w:type="dxa"/>
          </w:tcPr>
          <w:p w14:paraId="74D5A0D4" w14:textId="77777777" w:rsidR="00970B06" w:rsidRPr="00284372" w:rsidRDefault="00970B06" w:rsidP="00284372">
            <w:r w:rsidRPr="00284372">
              <w:t>No</w:t>
            </w:r>
          </w:p>
        </w:tc>
        <w:tc>
          <w:tcPr>
            <w:tcW w:w="1247" w:type="dxa"/>
          </w:tcPr>
          <w:p w14:paraId="4287E18C" w14:textId="77777777" w:rsidR="00970B06" w:rsidRPr="00284372" w:rsidRDefault="00970B06" w:rsidP="00284372">
            <w:r w:rsidRPr="00284372">
              <w:t>Yes</w:t>
            </w:r>
          </w:p>
        </w:tc>
      </w:tr>
      <w:tr w:rsidR="00970B06" w:rsidRPr="004D6B0E" w14:paraId="53CBFDF4" w14:textId="77777777" w:rsidTr="00CD3608">
        <w:trPr>
          <w:trHeight w:val="454"/>
        </w:trPr>
        <w:tc>
          <w:tcPr>
            <w:tcW w:w="6521" w:type="dxa"/>
          </w:tcPr>
          <w:p w14:paraId="681558F0" w14:textId="77777777" w:rsidR="00970B06" w:rsidRPr="00284372" w:rsidRDefault="00970B06" w:rsidP="00284372">
            <w:r w:rsidRPr="00284372">
              <w:t>Water testing</w:t>
            </w:r>
            <w:r w:rsidR="00026035">
              <w:t>.</w:t>
            </w:r>
          </w:p>
        </w:tc>
        <w:tc>
          <w:tcPr>
            <w:tcW w:w="1247" w:type="dxa"/>
          </w:tcPr>
          <w:p w14:paraId="1601EFB1" w14:textId="77777777" w:rsidR="00970B06" w:rsidRPr="00284372" w:rsidRDefault="00970B06" w:rsidP="00284372">
            <w:r w:rsidRPr="00284372">
              <w:t>No</w:t>
            </w:r>
          </w:p>
        </w:tc>
        <w:tc>
          <w:tcPr>
            <w:tcW w:w="1247" w:type="dxa"/>
          </w:tcPr>
          <w:p w14:paraId="6355207B" w14:textId="77777777" w:rsidR="00970B06" w:rsidRPr="00284372" w:rsidRDefault="00970B06" w:rsidP="00284372">
            <w:r w:rsidRPr="00284372">
              <w:t>Yes</w:t>
            </w:r>
          </w:p>
        </w:tc>
      </w:tr>
      <w:tr w:rsidR="00970B06" w:rsidRPr="004D6B0E" w14:paraId="5FCBA9C7" w14:textId="77777777" w:rsidTr="00CD3608">
        <w:trPr>
          <w:trHeight w:val="454"/>
        </w:trPr>
        <w:tc>
          <w:tcPr>
            <w:tcW w:w="6521" w:type="dxa"/>
          </w:tcPr>
          <w:p w14:paraId="53DA495D" w14:textId="77777777" w:rsidR="00970B06" w:rsidRPr="00284372" w:rsidRDefault="00970B06" w:rsidP="00284372">
            <w:r w:rsidRPr="00284372">
              <w:t>Street cleaning</w:t>
            </w:r>
            <w:r w:rsidR="00026035">
              <w:t>.</w:t>
            </w:r>
          </w:p>
        </w:tc>
        <w:tc>
          <w:tcPr>
            <w:tcW w:w="1247" w:type="dxa"/>
          </w:tcPr>
          <w:p w14:paraId="783D58D0" w14:textId="77777777" w:rsidR="00970B06" w:rsidRPr="00284372" w:rsidRDefault="00970B06" w:rsidP="00284372">
            <w:r w:rsidRPr="00284372">
              <w:t>No</w:t>
            </w:r>
          </w:p>
        </w:tc>
        <w:tc>
          <w:tcPr>
            <w:tcW w:w="1247" w:type="dxa"/>
          </w:tcPr>
          <w:p w14:paraId="64851035" w14:textId="77777777" w:rsidR="00970B06" w:rsidRPr="00284372" w:rsidRDefault="00970B06" w:rsidP="00284372">
            <w:r w:rsidRPr="00284372">
              <w:t>Yes</w:t>
            </w:r>
          </w:p>
        </w:tc>
      </w:tr>
      <w:tr w:rsidR="00970B06" w:rsidRPr="004D6B0E" w14:paraId="0319799E" w14:textId="77777777" w:rsidTr="00CD3608">
        <w:trPr>
          <w:trHeight w:val="454"/>
        </w:trPr>
        <w:tc>
          <w:tcPr>
            <w:tcW w:w="6521" w:type="dxa"/>
          </w:tcPr>
          <w:p w14:paraId="233D200B" w14:textId="77777777" w:rsidR="00970B06" w:rsidRPr="00284372" w:rsidRDefault="00970B06" w:rsidP="00284372">
            <w:r w:rsidRPr="00284372">
              <w:t>Annual cleaning</w:t>
            </w:r>
            <w:r w:rsidR="00026035">
              <w:t>.</w:t>
            </w:r>
          </w:p>
        </w:tc>
        <w:tc>
          <w:tcPr>
            <w:tcW w:w="1247" w:type="dxa"/>
          </w:tcPr>
          <w:p w14:paraId="7B031D49" w14:textId="77777777" w:rsidR="00970B06" w:rsidRPr="00284372" w:rsidRDefault="00970B06" w:rsidP="00284372">
            <w:r w:rsidRPr="00284372">
              <w:t>No</w:t>
            </w:r>
          </w:p>
        </w:tc>
        <w:tc>
          <w:tcPr>
            <w:tcW w:w="1247" w:type="dxa"/>
          </w:tcPr>
          <w:p w14:paraId="41876AD0" w14:textId="77777777" w:rsidR="00970B06" w:rsidRPr="00284372" w:rsidRDefault="00970B06" w:rsidP="00284372">
            <w:r w:rsidRPr="00284372">
              <w:t>Yes</w:t>
            </w:r>
          </w:p>
        </w:tc>
      </w:tr>
      <w:tr w:rsidR="00FE02FE" w:rsidRPr="004D6B0E" w14:paraId="75DD9B2D" w14:textId="77777777" w:rsidTr="00CD3608">
        <w:trPr>
          <w:trHeight w:val="454"/>
        </w:trPr>
        <w:tc>
          <w:tcPr>
            <w:tcW w:w="6521" w:type="dxa"/>
          </w:tcPr>
          <w:p w14:paraId="035B63E4" w14:textId="77777777" w:rsidR="00FE02FE" w:rsidRPr="00284372" w:rsidRDefault="00FE02FE" w:rsidP="00284372">
            <w:r w:rsidRPr="00284372">
              <w:t>Scheduled and ongoing preventative maintenance</w:t>
            </w:r>
            <w:r w:rsidR="00026035">
              <w:t>.</w:t>
            </w:r>
          </w:p>
        </w:tc>
        <w:tc>
          <w:tcPr>
            <w:tcW w:w="1247" w:type="dxa"/>
          </w:tcPr>
          <w:p w14:paraId="6413CBDD" w14:textId="77777777" w:rsidR="00FE02FE" w:rsidRPr="00284372" w:rsidRDefault="00FE02FE" w:rsidP="00284372">
            <w:r w:rsidRPr="00284372">
              <w:t>No</w:t>
            </w:r>
          </w:p>
        </w:tc>
        <w:tc>
          <w:tcPr>
            <w:tcW w:w="1247" w:type="dxa"/>
          </w:tcPr>
          <w:p w14:paraId="6680CA4B" w14:textId="77777777" w:rsidR="00FE02FE" w:rsidRPr="00284372" w:rsidRDefault="00FE02FE" w:rsidP="00284372">
            <w:r w:rsidRPr="00284372">
              <w:t>Yes</w:t>
            </w:r>
          </w:p>
        </w:tc>
      </w:tr>
    </w:tbl>
    <w:p w14:paraId="5196F7D2" w14:textId="77777777" w:rsidR="001D40A0" w:rsidRPr="00284372" w:rsidRDefault="001D40A0" w:rsidP="00284372"/>
    <w:p w14:paraId="27AE117A" w14:textId="4C4D892F" w:rsidR="00970B06" w:rsidRPr="009A27D3" w:rsidRDefault="008C1830" w:rsidP="001D40A0">
      <w:pPr>
        <w:pStyle w:val="Heading2"/>
      </w:pPr>
      <w:r w:rsidRPr="008C1830">
        <w:t>13.5</w:t>
      </w:r>
      <w:r w:rsidR="00B04F7A">
        <w:tab/>
      </w:r>
      <w:r w:rsidR="009A27D3" w:rsidRPr="009A27D3">
        <w:t>Asset renewals and u</w:t>
      </w:r>
      <w:r w:rsidRPr="008C1830">
        <w:t>pgr</w:t>
      </w:r>
      <w:r w:rsidR="009A27D3" w:rsidRPr="009A27D3">
        <w:t>ades</w:t>
      </w:r>
    </w:p>
    <w:p w14:paraId="5BE13528" w14:textId="77777777" w:rsidR="00026035" w:rsidRDefault="00026035" w:rsidP="00DB6664">
      <w:r w:rsidRPr="00284372">
        <w:t>Asset renewals relate to the complete replacement that restores the asset to a ‘like new’ condition’. Asset upgrades relate to expenditure that enhances an existing asset and increases the life of the asset beyond its original life.</w:t>
      </w:r>
    </w:p>
    <w:p w14:paraId="69C13671" w14:textId="1175913D" w:rsidR="001D40A0" w:rsidRDefault="001D40A0" w:rsidP="001E677C">
      <w:pPr>
        <w:jc w:val="both"/>
      </w:pPr>
      <w:r w:rsidRPr="00284372">
        <w:t xml:space="preserve">Asset renewals and upgrades occur </w:t>
      </w:r>
      <w:r w:rsidR="002A73C5" w:rsidRPr="00284372">
        <w:t>after</w:t>
      </w:r>
      <w:r w:rsidR="002A73C5">
        <w:t xml:space="preserve"> the</w:t>
      </w:r>
      <w:r w:rsidRPr="00284372">
        <w:t xml:space="preserve"> initial asset acquisition</w:t>
      </w:r>
      <w:r w:rsidR="002A73C5">
        <w:t>. It</w:t>
      </w:r>
      <w:r w:rsidRPr="00284372">
        <w:t xml:space="preserve"> must be treated as capital </w:t>
      </w:r>
      <w:r w:rsidR="002A73C5">
        <w:t xml:space="preserve">as </w:t>
      </w:r>
      <w:r w:rsidRPr="00284372">
        <w:t>these activities enhance the use of the asset, its service potential, extend its expected useful life (beyond 12 months) and provide future economic benefits. Asset renewals are</w:t>
      </w:r>
      <w:r w:rsidR="00B70984" w:rsidRPr="00284372">
        <w:t xml:space="preserve"> </w:t>
      </w:r>
      <w:r w:rsidRPr="00284372">
        <w:t>distinguished from general repairs relating to reactive/planned maintenance that merely restore the assets through ‘wear and tear’.</w:t>
      </w:r>
    </w:p>
    <w:p w14:paraId="34527102" w14:textId="77777777" w:rsidR="00970B06" w:rsidRDefault="00970B06" w:rsidP="00970B06">
      <w:pPr>
        <w:pStyle w:val="Heading3"/>
      </w:pPr>
      <w:r w:rsidRPr="00DE4DB9">
        <w:t>1</w:t>
      </w:r>
      <w:r>
        <w:t>3</w:t>
      </w:r>
      <w:r w:rsidRPr="00DE4DB9">
        <w:t>.</w:t>
      </w:r>
      <w:r>
        <w:t>5.1</w:t>
      </w:r>
      <w:r>
        <w:tab/>
      </w:r>
      <w:r w:rsidRPr="00DE4DB9">
        <w:t>Mandatory policy (</w:t>
      </w:r>
      <w:r>
        <w:t>Must do</w:t>
      </w:r>
      <w:r w:rsidRPr="00DE4DB9">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B669A0" w:rsidRPr="0091756B" w14:paraId="4ED9C04D" w14:textId="2436E42F" w:rsidTr="00B669A0">
        <w:trPr>
          <w:trHeight w:val="596"/>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6FA84E" w14:textId="77777777" w:rsidR="00B669A0" w:rsidRPr="00B81DC2" w:rsidRDefault="00B669A0" w:rsidP="003C7CAC">
            <w:pPr>
              <w:rPr>
                <w:b/>
                <w:sz w:val="20"/>
                <w:szCs w:val="20"/>
              </w:rPr>
            </w:pPr>
            <w:r w:rsidRPr="00B81DC2">
              <w:rPr>
                <w:b/>
                <w:sz w:val="20"/>
                <w:szCs w:val="20"/>
              </w:rPr>
              <w:t>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2987C00" w14:textId="77777777" w:rsidR="00B669A0" w:rsidRPr="00E12C68" w:rsidRDefault="00B669A0" w:rsidP="003C7CAC">
            <w:pPr>
              <w:rPr>
                <w:b/>
                <w:sz w:val="20"/>
                <w:szCs w:val="20"/>
              </w:rPr>
            </w:pPr>
            <w:r w:rsidRPr="00E12C68">
              <w:rPr>
                <w:b/>
                <w:sz w:val="20"/>
                <w:szCs w:val="20"/>
              </w:rPr>
              <w:t>Information</w:t>
            </w:r>
          </w:p>
        </w:tc>
        <w:tc>
          <w:tcPr>
            <w:tcW w:w="930" w:type="dxa"/>
            <w:tcBorders>
              <w:top w:val="nil"/>
              <w:left w:val="single" w:sz="4" w:space="0" w:color="auto"/>
              <w:bottom w:val="single" w:sz="4" w:space="0" w:color="auto"/>
              <w:right w:val="nil"/>
            </w:tcBorders>
          </w:tcPr>
          <w:p w14:paraId="68DCB7A3" w14:textId="77777777" w:rsidR="00B669A0" w:rsidRPr="00B81DC2" w:rsidRDefault="00B669A0" w:rsidP="003C7CAC">
            <w:pPr>
              <w:rPr>
                <w:b/>
              </w:rPr>
            </w:pPr>
          </w:p>
        </w:tc>
      </w:tr>
      <w:tr w:rsidR="00B669A0" w:rsidRPr="0091756B" w14:paraId="2C519DA8" w14:textId="767DDCE0" w:rsidTr="00B669A0">
        <w:trPr>
          <w:trHeight w:val="1375"/>
        </w:trPr>
        <w:tc>
          <w:tcPr>
            <w:tcW w:w="1134" w:type="dxa"/>
            <w:tcBorders>
              <w:bottom w:val="single" w:sz="4" w:space="0" w:color="auto"/>
            </w:tcBorders>
            <w:shd w:val="clear" w:color="auto" w:fill="FFFFFF" w:themeFill="background1"/>
          </w:tcPr>
          <w:p w14:paraId="59C6190A" w14:textId="77777777" w:rsidR="00B669A0" w:rsidRPr="00284372" w:rsidRDefault="00B669A0" w:rsidP="00284372">
            <w:r w:rsidRPr="00284372">
              <w:t>13.5.1.1</w:t>
            </w:r>
          </w:p>
        </w:tc>
        <w:tc>
          <w:tcPr>
            <w:tcW w:w="7088" w:type="dxa"/>
            <w:tcBorders>
              <w:bottom w:val="single" w:sz="4" w:space="0" w:color="auto"/>
            </w:tcBorders>
            <w:shd w:val="clear" w:color="auto" w:fill="auto"/>
          </w:tcPr>
          <w:p w14:paraId="1FBB8122" w14:textId="77777777" w:rsidR="00B669A0" w:rsidRPr="00284372" w:rsidRDefault="00B669A0" w:rsidP="00284372">
            <w:r w:rsidRPr="00284372">
              <w:t>Asset renewals and upgrades are to be capitalised if the item has a useful life of 12 months or more and has a GST exclusive purchase cost greater than or equal to $5,000. It is also essential that the replaced/renewed asset is derecognised (disposed).</w:t>
            </w:r>
          </w:p>
        </w:tc>
        <w:tc>
          <w:tcPr>
            <w:tcW w:w="930" w:type="dxa"/>
            <w:tcBorders>
              <w:bottom w:val="single" w:sz="4" w:space="0" w:color="auto"/>
            </w:tcBorders>
          </w:tcPr>
          <w:p w14:paraId="558F7675" w14:textId="77777777" w:rsidR="00B669A0" w:rsidRPr="00284372" w:rsidRDefault="00B669A0" w:rsidP="00284372"/>
        </w:tc>
      </w:tr>
    </w:tbl>
    <w:p w14:paraId="5219EE9A" w14:textId="77777777" w:rsidR="001D40A0" w:rsidRDefault="00970B06" w:rsidP="00941DFA">
      <w:pPr>
        <w:pStyle w:val="Heading3"/>
        <w:ind w:left="851" w:hanging="851"/>
      </w:pPr>
      <w:r>
        <w:t>13.5.2</w:t>
      </w:r>
      <w:r>
        <w:tab/>
      </w:r>
      <w:r w:rsidRPr="00614BEA">
        <w:t xml:space="preserve">Examples </w:t>
      </w:r>
      <w:r>
        <w:t>that differentiate between capital assets and operating expenses for asset renewals</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1262"/>
        <w:gridCol w:w="1262"/>
      </w:tblGrid>
      <w:tr w:rsidR="00970B06" w:rsidRPr="00F672DB" w14:paraId="786874EB" w14:textId="77777777" w:rsidTr="00E12C68">
        <w:trPr>
          <w:trHeight w:val="567"/>
          <w:tblHeader/>
        </w:trPr>
        <w:tc>
          <w:tcPr>
            <w:tcW w:w="6691" w:type="dxa"/>
            <w:shd w:val="clear" w:color="auto" w:fill="D9D9D9" w:themeFill="background1" w:themeFillShade="D9"/>
          </w:tcPr>
          <w:p w14:paraId="47E3691B" w14:textId="77777777" w:rsidR="00970B06" w:rsidRPr="00BD5232" w:rsidRDefault="00970B06" w:rsidP="00284372">
            <w:pPr>
              <w:rPr>
                <w:b/>
              </w:rPr>
            </w:pPr>
            <w:r w:rsidRPr="00BD5232">
              <w:rPr>
                <w:b/>
              </w:rPr>
              <w:t>Description</w:t>
            </w:r>
          </w:p>
        </w:tc>
        <w:tc>
          <w:tcPr>
            <w:tcW w:w="1247" w:type="dxa"/>
            <w:shd w:val="clear" w:color="auto" w:fill="D9D9D9" w:themeFill="background1" w:themeFillShade="D9"/>
          </w:tcPr>
          <w:p w14:paraId="7A43FE82" w14:textId="77777777" w:rsidR="00970B06" w:rsidRPr="00BD5232" w:rsidRDefault="00970B06" w:rsidP="00284372">
            <w:pPr>
              <w:rPr>
                <w:b/>
              </w:rPr>
            </w:pPr>
            <w:r w:rsidRPr="00BD5232">
              <w:rPr>
                <w:b/>
              </w:rPr>
              <w:t>Capital</w:t>
            </w:r>
          </w:p>
        </w:tc>
        <w:tc>
          <w:tcPr>
            <w:tcW w:w="1247" w:type="dxa"/>
            <w:shd w:val="clear" w:color="auto" w:fill="D9D9D9" w:themeFill="background1" w:themeFillShade="D9"/>
          </w:tcPr>
          <w:p w14:paraId="1D87A8EE" w14:textId="77777777" w:rsidR="00970B06" w:rsidRPr="00BD5232" w:rsidRDefault="00970B06" w:rsidP="00284372">
            <w:pPr>
              <w:rPr>
                <w:b/>
              </w:rPr>
            </w:pPr>
            <w:r w:rsidRPr="00BD5232">
              <w:rPr>
                <w:b/>
              </w:rPr>
              <w:t>Operating</w:t>
            </w:r>
          </w:p>
        </w:tc>
      </w:tr>
      <w:tr w:rsidR="00970B06" w14:paraId="2EC82D38" w14:textId="77777777" w:rsidTr="006B7C22">
        <w:trPr>
          <w:trHeight w:val="567"/>
        </w:trPr>
        <w:tc>
          <w:tcPr>
            <w:tcW w:w="6691" w:type="dxa"/>
          </w:tcPr>
          <w:p w14:paraId="5A5A5FFE" w14:textId="51E038C9" w:rsidR="00970B06" w:rsidRPr="00284372" w:rsidRDefault="00970B06" w:rsidP="006C1202">
            <w:r w:rsidRPr="00284372">
              <w:t>Carpet, Tiling and Linoleum replacement for entire area (Complete renewal)</w:t>
            </w:r>
            <w:r w:rsidR="00781803" w:rsidRPr="00284372">
              <w:t xml:space="preserve"> </w:t>
            </w:r>
            <w:r w:rsidR="00441B70">
              <w:t xml:space="preserve">greater than or equal to </w:t>
            </w:r>
            <w:r w:rsidR="00781803" w:rsidRPr="00284372">
              <w:t>$5,000</w:t>
            </w:r>
            <w:r w:rsidR="005C5CDD">
              <w:t>.</w:t>
            </w:r>
          </w:p>
        </w:tc>
        <w:tc>
          <w:tcPr>
            <w:tcW w:w="1247" w:type="dxa"/>
          </w:tcPr>
          <w:p w14:paraId="58218098" w14:textId="77777777" w:rsidR="00970B06" w:rsidRPr="00284372" w:rsidRDefault="00970B06" w:rsidP="00284372">
            <w:r w:rsidRPr="00284372">
              <w:t>Yes</w:t>
            </w:r>
          </w:p>
        </w:tc>
        <w:tc>
          <w:tcPr>
            <w:tcW w:w="1247" w:type="dxa"/>
          </w:tcPr>
          <w:p w14:paraId="184F2196" w14:textId="77777777" w:rsidR="00970B06" w:rsidRPr="00284372" w:rsidRDefault="00970B06" w:rsidP="00284372">
            <w:r w:rsidRPr="00284372">
              <w:t>No</w:t>
            </w:r>
          </w:p>
        </w:tc>
      </w:tr>
      <w:tr w:rsidR="00970B06" w14:paraId="3CE2683D" w14:textId="77777777" w:rsidTr="006B7C22">
        <w:trPr>
          <w:trHeight w:val="567"/>
        </w:trPr>
        <w:tc>
          <w:tcPr>
            <w:tcW w:w="6691" w:type="dxa"/>
          </w:tcPr>
          <w:p w14:paraId="507B79E3" w14:textId="77777777" w:rsidR="00970B06" w:rsidRPr="00284372" w:rsidRDefault="00970B06" w:rsidP="00284372">
            <w:r w:rsidRPr="00284372">
              <w:t>Carpet, Tiling and Linoleum replacement for part of area (Part renewal)</w:t>
            </w:r>
            <w:r w:rsidR="005C5CDD">
              <w:t>.</w:t>
            </w:r>
          </w:p>
        </w:tc>
        <w:tc>
          <w:tcPr>
            <w:tcW w:w="1247" w:type="dxa"/>
          </w:tcPr>
          <w:p w14:paraId="2BFFCA50" w14:textId="77777777" w:rsidR="00970B06" w:rsidRPr="00284372" w:rsidRDefault="00970B06" w:rsidP="00284372">
            <w:r w:rsidRPr="00284372">
              <w:t>No</w:t>
            </w:r>
          </w:p>
        </w:tc>
        <w:tc>
          <w:tcPr>
            <w:tcW w:w="1247" w:type="dxa"/>
          </w:tcPr>
          <w:p w14:paraId="0F013888" w14:textId="77777777" w:rsidR="00970B06" w:rsidRPr="00284372" w:rsidRDefault="00970B06" w:rsidP="00284372">
            <w:r w:rsidRPr="00284372">
              <w:t>Yes</w:t>
            </w:r>
          </w:p>
        </w:tc>
      </w:tr>
      <w:tr w:rsidR="00970B06" w14:paraId="19AE975F" w14:textId="77777777" w:rsidTr="006B7C22">
        <w:trPr>
          <w:trHeight w:val="567"/>
        </w:trPr>
        <w:tc>
          <w:tcPr>
            <w:tcW w:w="6691" w:type="dxa"/>
          </w:tcPr>
          <w:p w14:paraId="54C5B3CA" w14:textId="21EF4DCA" w:rsidR="00970B06" w:rsidRPr="00284372" w:rsidRDefault="004E4D5B" w:rsidP="00284372">
            <w:r w:rsidRPr="00284372">
              <w:lastRenderedPageBreak/>
              <w:t>Landscape development renewals for entire area</w:t>
            </w:r>
            <w:r w:rsidR="00781803" w:rsidRPr="00284372">
              <w:t xml:space="preserve"> </w:t>
            </w:r>
            <w:r w:rsidRPr="00284372">
              <w:t xml:space="preserve">(Complete renewal) </w:t>
            </w:r>
            <w:r w:rsidR="00441B70">
              <w:t xml:space="preserve">greater than or equal to </w:t>
            </w:r>
            <w:r w:rsidR="00781803" w:rsidRPr="00284372">
              <w:t>$5,000</w:t>
            </w:r>
            <w:r w:rsidR="005C5CDD">
              <w:t>, including</w:t>
            </w:r>
            <w:r w:rsidR="00837B32">
              <w:t>:</w:t>
            </w:r>
          </w:p>
          <w:p w14:paraId="3F8F3F19" w14:textId="54D6036C" w:rsidR="001D40A0" w:rsidRPr="00F8472C" w:rsidRDefault="00970B06" w:rsidP="00F8472C">
            <w:pPr>
              <w:pStyle w:val="ListBullet"/>
            </w:pPr>
            <w:r w:rsidRPr="00F8472C">
              <w:t>Complete wall replacement</w:t>
            </w:r>
            <w:r w:rsidR="006C1202">
              <w:t>;</w:t>
            </w:r>
          </w:p>
          <w:p w14:paraId="75747F71" w14:textId="107C67A0" w:rsidR="001D40A0" w:rsidRPr="00F8472C" w:rsidRDefault="00970B06" w:rsidP="00F8472C">
            <w:pPr>
              <w:pStyle w:val="ListBullet"/>
            </w:pPr>
            <w:r w:rsidRPr="00F8472C">
              <w:t>Re</w:t>
            </w:r>
            <w:r w:rsidR="001656E7">
              <w:t>-</w:t>
            </w:r>
            <w:r w:rsidRPr="00F8472C">
              <w:t>pavement of entire area</w:t>
            </w:r>
            <w:r w:rsidR="006C1202">
              <w:t>;</w:t>
            </w:r>
          </w:p>
          <w:p w14:paraId="1149F855" w14:textId="05849BFD" w:rsidR="001D40A0" w:rsidRPr="00F8472C" w:rsidRDefault="00970B06" w:rsidP="00F8472C">
            <w:pPr>
              <w:pStyle w:val="ListBullet"/>
            </w:pPr>
            <w:r w:rsidRPr="00F8472C">
              <w:t>Re-sewing/re-sodding of entire area</w:t>
            </w:r>
            <w:r w:rsidR="006C1202">
              <w:t>;</w:t>
            </w:r>
          </w:p>
          <w:p w14:paraId="5DC8861B" w14:textId="77777777" w:rsidR="001D40A0" w:rsidRPr="00F8472C" w:rsidRDefault="00781803" w:rsidP="00F8472C">
            <w:pPr>
              <w:pStyle w:val="ListBullet"/>
            </w:pPr>
            <w:r w:rsidRPr="00F8472C">
              <w:t>Asphalt resurfacing of entire area</w:t>
            </w:r>
            <w:r w:rsidR="005C5CDD" w:rsidRPr="00F8472C">
              <w:t>.</w:t>
            </w:r>
          </w:p>
        </w:tc>
        <w:tc>
          <w:tcPr>
            <w:tcW w:w="1247" w:type="dxa"/>
          </w:tcPr>
          <w:p w14:paraId="70CDA09C" w14:textId="77777777" w:rsidR="00970B06" w:rsidRPr="00284372" w:rsidRDefault="00781803" w:rsidP="00284372">
            <w:r w:rsidRPr="00284372">
              <w:t>Yes</w:t>
            </w:r>
          </w:p>
        </w:tc>
        <w:tc>
          <w:tcPr>
            <w:tcW w:w="1247" w:type="dxa"/>
          </w:tcPr>
          <w:p w14:paraId="1B97629B" w14:textId="77777777" w:rsidR="00970B06" w:rsidRPr="00284372" w:rsidRDefault="00781803" w:rsidP="00284372">
            <w:r w:rsidRPr="00284372">
              <w:t>No</w:t>
            </w:r>
          </w:p>
        </w:tc>
      </w:tr>
      <w:tr w:rsidR="00781803" w14:paraId="2EBE57A8" w14:textId="77777777" w:rsidTr="006B7C22">
        <w:trPr>
          <w:trHeight w:val="567"/>
        </w:trPr>
        <w:tc>
          <w:tcPr>
            <w:tcW w:w="6691" w:type="dxa"/>
          </w:tcPr>
          <w:p w14:paraId="59F1E0CA" w14:textId="64BA657D" w:rsidR="00781803" w:rsidRPr="00284372" w:rsidRDefault="004E4D5B" w:rsidP="00284372">
            <w:r w:rsidRPr="00284372">
              <w:t>Landscape maintenance</w:t>
            </w:r>
            <w:r w:rsidR="00781803" w:rsidRPr="00284372">
              <w:t xml:space="preserve"> (section/ part of </w:t>
            </w:r>
            <w:r w:rsidR="000607EB" w:rsidRPr="00284372">
              <w:t>repair</w:t>
            </w:r>
            <w:r w:rsidR="00781803" w:rsidRPr="00284372">
              <w:t>)</w:t>
            </w:r>
            <w:r w:rsidR="006C1202">
              <w:t>:</w:t>
            </w:r>
          </w:p>
          <w:p w14:paraId="2F4997F3" w14:textId="6F513CCC" w:rsidR="00781803" w:rsidRPr="00F8472C" w:rsidRDefault="00781803" w:rsidP="00F8472C">
            <w:pPr>
              <w:pStyle w:val="ListBullet"/>
            </w:pPr>
            <w:r w:rsidRPr="00F8472C">
              <w:t>Section of wall replacement</w:t>
            </w:r>
            <w:r w:rsidR="006C1202">
              <w:t>;</w:t>
            </w:r>
          </w:p>
          <w:p w14:paraId="355714B4" w14:textId="32741A3B" w:rsidR="00781803" w:rsidRPr="00F8472C" w:rsidRDefault="00781803" w:rsidP="00F8472C">
            <w:pPr>
              <w:pStyle w:val="ListBullet"/>
            </w:pPr>
            <w:r w:rsidRPr="00F8472C">
              <w:t>Re</w:t>
            </w:r>
            <w:r w:rsidR="001656E7">
              <w:t>-</w:t>
            </w:r>
            <w:r w:rsidRPr="00F8472C">
              <w:t>pavement of section</w:t>
            </w:r>
            <w:r w:rsidR="006C1202">
              <w:t>;</w:t>
            </w:r>
          </w:p>
          <w:p w14:paraId="68C2058B" w14:textId="0E91A103" w:rsidR="001D40A0" w:rsidRPr="00F8472C" w:rsidRDefault="00781803" w:rsidP="00F8472C">
            <w:pPr>
              <w:pStyle w:val="ListBullet"/>
            </w:pPr>
            <w:r w:rsidRPr="00F8472C">
              <w:t>Re-sewing/re-sodding of section</w:t>
            </w:r>
            <w:r w:rsidR="006C1202">
              <w:t>;</w:t>
            </w:r>
          </w:p>
          <w:p w14:paraId="765BA2A0" w14:textId="7487FEE5" w:rsidR="001D40A0" w:rsidRPr="00F8472C" w:rsidRDefault="00781803" w:rsidP="006C1202">
            <w:pPr>
              <w:pStyle w:val="ListBullet"/>
            </w:pPr>
            <w:r w:rsidRPr="00F8472C">
              <w:t>Asphalt resurfacing of section</w:t>
            </w:r>
            <w:r w:rsidR="005C5CDD" w:rsidRPr="00F8472C">
              <w:t>.</w:t>
            </w:r>
          </w:p>
        </w:tc>
        <w:tc>
          <w:tcPr>
            <w:tcW w:w="1247" w:type="dxa"/>
          </w:tcPr>
          <w:p w14:paraId="347ABB01" w14:textId="77777777" w:rsidR="00781803" w:rsidRPr="00284372" w:rsidRDefault="00781803" w:rsidP="00284372">
            <w:r w:rsidRPr="00284372">
              <w:t>No</w:t>
            </w:r>
          </w:p>
        </w:tc>
        <w:tc>
          <w:tcPr>
            <w:tcW w:w="1247" w:type="dxa"/>
          </w:tcPr>
          <w:p w14:paraId="6364D7F9" w14:textId="77777777" w:rsidR="00781803" w:rsidRPr="00284372" w:rsidRDefault="00781803" w:rsidP="00284372">
            <w:r w:rsidRPr="00284372">
              <w:t>Yes</w:t>
            </w:r>
          </w:p>
        </w:tc>
      </w:tr>
      <w:tr w:rsidR="00970B06" w14:paraId="300D7283" w14:textId="77777777" w:rsidTr="006B7C22">
        <w:trPr>
          <w:trHeight w:val="567"/>
        </w:trPr>
        <w:tc>
          <w:tcPr>
            <w:tcW w:w="6691" w:type="dxa"/>
          </w:tcPr>
          <w:p w14:paraId="57358698" w14:textId="204A8018" w:rsidR="00A55989" w:rsidRPr="00284372" w:rsidRDefault="004E4D5B" w:rsidP="00284372">
            <w:r w:rsidRPr="00284372">
              <w:t>Oval/Court and Pitch resurfacing (complete renewal)</w:t>
            </w:r>
            <w:r w:rsidR="00A55989" w:rsidRPr="00284372">
              <w:t xml:space="preserve"> </w:t>
            </w:r>
            <w:r w:rsidR="00441B70">
              <w:t xml:space="preserve">greater than or equal to </w:t>
            </w:r>
            <w:r w:rsidR="00A55989" w:rsidRPr="00284372">
              <w:t>$5,000</w:t>
            </w:r>
            <w:r w:rsidR="006C1202">
              <w:t>:</w:t>
            </w:r>
          </w:p>
          <w:p w14:paraId="3B7968C2" w14:textId="36A3BD8D" w:rsidR="001D40A0" w:rsidRPr="00F8472C" w:rsidRDefault="00A55989" w:rsidP="00F8472C">
            <w:pPr>
              <w:pStyle w:val="ListBullet"/>
            </w:pPr>
            <w:r w:rsidRPr="00F8472C">
              <w:t>R</w:t>
            </w:r>
            <w:r w:rsidR="004E4D5B" w:rsidRPr="00F8472C">
              <w:t xml:space="preserve">esurfacing </w:t>
            </w:r>
            <w:r w:rsidRPr="00F8472C">
              <w:t>for entire oval</w:t>
            </w:r>
            <w:r w:rsidR="004E4D5B" w:rsidRPr="00F8472C">
              <w:t xml:space="preserve"> (renewing old synthetic grass with new synthetic grass</w:t>
            </w:r>
            <w:r w:rsidRPr="00F8472C">
              <w:t>)</w:t>
            </w:r>
            <w:r w:rsidR="006C1202">
              <w:t>;</w:t>
            </w:r>
          </w:p>
          <w:p w14:paraId="3BB4B7C3" w14:textId="77777777" w:rsidR="001D40A0" w:rsidRPr="00F8472C" w:rsidRDefault="00A55989" w:rsidP="00F8472C">
            <w:pPr>
              <w:pStyle w:val="ListBullet"/>
            </w:pPr>
            <w:r w:rsidRPr="00F8472C">
              <w:t>Resurfacing for entire court</w:t>
            </w:r>
            <w:r w:rsidR="00FE7871" w:rsidRPr="00F8472C">
              <w:t>/pitch</w:t>
            </w:r>
            <w:r w:rsidRPr="00F8472C">
              <w:t xml:space="preserve"> area</w:t>
            </w:r>
            <w:r w:rsidR="005C5CDD" w:rsidRPr="00F8472C">
              <w:t>.</w:t>
            </w:r>
          </w:p>
        </w:tc>
        <w:tc>
          <w:tcPr>
            <w:tcW w:w="1247" w:type="dxa"/>
          </w:tcPr>
          <w:p w14:paraId="1EFA9327" w14:textId="77777777" w:rsidR="00970B06" w:rsidRPr="00284372" w:rsidRDefault="00A55989" w:rsidP="00284372">
            <w:r w:rsidRPr="00284372">
              <w:t>Yes</w:t>
            </w:r>
          </w:p>
        </w:tc>
        <w:tc>
          <w:tcPr>
            <w:tcW w:w="1247" w:type="dxa"/>
          </w:tcPr>
          <w:p w14:paraId="0DEBF472" w14:textId="77777777" w:rsidR="00970B06" w:rsidRPr="00284372" w:rsidRDefault="00A55989" w:rsidP="00284372">
            <w:r w:rsidRPr="00284372">
              <w:t>No</w:t>
            </w:r>
          </w:p>
        </w:tc>
      </w:tr>
      <w:tr w:rsidR="002A6AA4" w14:paraId="52B1ADF0" w14:textId="77777777" w:rsidTr="006B7C22">
        <w:trPr>
          <w:trHeight w:val="567"/>
        </w:trPr>
        <w:tc>
          <w:tcPr>
            <w:tcW w:w="6691" w:type="dxa"/>
          </w:tcPr>
          <w:p w14:paraId="0EEECECE" w14:textId="77777777" w:rsidR="002A6AA4" w:rsidRPr="00284372" w:rsidRDefault="002A6AA4" w:rsidP="00284372">
            <w:r w:rsidRPr="00284372">
              <w:t xml:space="preserve">Oval/ Court and Pitch maintenance </w:t>
            </w:r>
            <w:r w:rsidR="000607EB" w:rsidRPr="00284372">
              <w:t>(section/ part of repair)</w:t>
            </w:r>
          </w:p>
          <w:p w14:paraId="7A8065B0" w14:textId="77777777" w:rsidR="001D40A0" w:rsidRDefault="002A6AA4" w:rsidP="00BD5232">
            <w:pPr>
              <w:rPr>
                <w:b/>
                <w:bCs/>
                <w:color w:val="5A5A59"/>
              </w:rPr>
            </w:pPr>
            <w:r>
              <w:t xml:space="preserve">Resurfacing </w:t>
            </w:r>
            <w:r w:rsidR="005C5CDD">
              <w:t xml:space="preserve">or part repair of a </w:t>
            </w:r>
            <w:r w:rsidR="00D4008A">
              <w:t>section of</w:t>
            </w:r>
            <w:r>
              <w:t xml:space="preserve"> </w:t>
            </w:r>
            <w:r w:rsidR="005C5CDD">
              <w:t xml:space="preserve">the </w:t>
            </w:r>
            <w:r>
              <w:t>oval</w:t>
            </w:r>
            <w:r w:rsidR="00FE7871">
              <w:t xml:space="preserve"> / court / pitch area</w:t>
            </w:r>
            <w:r w:rsidR="005C5CDD">
              <w:t>.</w:t>
            </w:r>
          </w:p>
        </w:tc>
        <w:tc>
          <w:tcPr>
            <w:tcW w:w="1247" w:type="dxa"/>
          </w:tcPr>
          <w:p w14:paraId="2AC9FB43" w14:textId="77777777" w:rsidR="002A6AA4" w:rsidRPr="00284372" w:rsidRDefault="00D4008A" w:rsidP="00284372">
            <w:r w:rsidRPr="00284372">
              <w:t>No</w:t>
            </w:r>
          </w:p>
        </w:tc>
        <w:tc>
          <w:tcPr>
            <w:tcW w:w="1247" w:type="dxa"/>
          </w:tcPr>
          <w:p w14:paraId="21B90997" w14:textId="77777777" w:rsidR="002A6AA4" w:rsidRPr="00284372" w:rsidRDefault="00D4008A" w:rsidP="00284372">
            <w:r w:rsidRPr="00284372">
              <w:t>Yes</w:t>
            </w:r>
          </w:p>
        </w:tc>
      </w:tr>
      <w:tr w:rsidR="00D23240" w14:paraId="03EB0A92" w14:textId="77777777" w:rsidTr="006B7C22">
        <w:trPr>
          <w:trHeight w:val="567"/>
        </w:trPr>
        <w:tc>
          <w:tcPr>
            <w:tcW w:w="6691" w:type="dxa"/>
          </w:tcPr>
          <w:p w14:paraId="056A9FFD" w14:textId="6520D795" w:rsidR="001D40A0" w:rsidRDefault="00D23240" w:rsidP="006C1202">
            <w:r w:rsidRPr="005C5CDD">
              <w:t>Replacement</w:t>
            </w:r>
            <w:r>
              <w:t xml:space="preserve"> of entire roof </w:t>
            </w:r>
            <w:r w:rsidR="00441B70">
              <w:t xml:space="preserve">greater than or equal to </w:t>
            </w:r>
            <w:r>
              <w:t>$5,000</w:t>
            </w:r>
            <w:r w:rsidR="005C5CDD">
              <w:t>.</w:t>
            </w:r>
          </w:p>
        </w:tc>
        <w:tc>
          <w:tcPr>
            <w:tcW w:w="1247" w:type="dxa"/>
          </w:tcPr>
          <w:p w14:paraId="6688718B" w14:textId="77777777" w:rsidR="00D23240" w:rsidRPr="00284372" w:rsidRDefault="00D23240" w:rsidP="00284372">
            <w:r w:rsidRPr="00284372">
              <w:t>Yes</w:t>
            </w:r>
          </w:p>
        </w:tc>
        <w:tc>
          <w:tcPr>
            <w:tcW w:w="1247" w:type="dxa"/>
          </w:tcPr>
          <w:p w14:paraId="1B78CA06" w14:textId="77777777" w:rsidR="00D23240" w:rsidRPr="00284372" w:rsidRDefault="00D23240" w:rsidP="00284372">
            <w:r w:rsidRPr="00284372">
              <w:t>No</w:t>
            </w:r>
          </w:p>
        </w:tc>
      </w:tr>
      <w:tr w:rsidR="00D23240" w14:paraId="0E73C54A" w14:textId="77777777" w:rsidTr="006B7C22">
        <w:trPr>
          <w:trHeight w:val="567"/>
        </w:trPr>
        <w:tc>
          <w:tcPr>
            <w:tcW w:w="6691" w:type="dxa"/>
          </w:tcPr>
          <w:p w14:paraId="6B0133F7" w14:textId="77777777" w:rsidR="001D40A0" w:rsidRDefault="00D23240" w:rsidP="0088781B">
            <w:r w:rsidRPr="00284372">
              <w:t>Maintenance of roof</w:t>
            </w:r>
            <w:r w:rsidR="0088781B">
              <w:t xml:space="preserve"> - </w:t>
            </w:r>
            <w:r>
              <w:t xml:space="preserve">Replacement of </w:t>
            </w:r>
            <w:r w:rsidR="005C5CDD">
              <w:t xml:space="preserve">a </w:t>
            </w:r>
            <w:r>
              <w:t xml:space="preserve">section of </w:t>
            </w:r>
            <w:r w:rsidR="005C5CDD">
              <w:t xml:space="preserve">the </w:t>
            </w:r>
            <w:r>
              <w:t>roof</w:t>
            </w:r>
            <w:r w:rsidR="005C5CDD">
              <w:t>.</w:t>
            </w:r>
          </w:p>
        </w:tc>
        <w:tc>
          <w:tcPr>
            <w:tcW w:w="1247" w:type="dxa"/>
          </w:tcPr>
          <w:p w14:paraId="28337C06" w14:textId="77777777" w:rsidR="00D23240" w:rsidRPr="00284372" w:rsidRDefault="00D23240" w:rsidP="00284372">
            <w:r w:rsidRPr="00284372">
              <w:t>No</w:t>
            </w:r>
          </w:p>
        </w:tc>
        <w:tc>
          <w:tcPr>
            <w:tcW w:w="1247" w:type="dxa"/>
          </w:tcPr>
          <w:p w14:paraId="5A29BE3B" w14:textId="77777777" w:rsidR="00D23240" w:rsidRPr="00284372" w:rsidRDefault="00D23240" w:rsidP="00284372">
            <w:r w:rsidRPr="00284372">
              <w:t>Yes</w:t>
            </w:r>
          </w:p>
        </w:tc>
      </w:tr>
      <w:tr w:rsidR="00D51424" w14:paraId="6EC76AD9" w14:textId="77777777" w:rsidTr="00CD3608">
        <w:trPr>
          <w:trHeight w:val="778"/>
        </w:trPr>
        <w:tc>
          <w:tcPr>
            <w:tcW w:w="6691" w:type="dxa"/>
          </w:tcPr>
          <w:p w14:paraId="0A6451EC" w14:textId="6AC4720B" w:rsidR="00D51424" w:rsidRPr="00284372" w:rsidRDefault="00D51424" w:rsidP="00441B70">
            <w:r w:rsidRPr="00284372">
              <w:t xml:space="preserve">Replacement of performing arts room equipment where individual equipment is </w:t>
            </w:r>
            <w:r w:rsidR="00441B70">
              <w:t xml:space="preserve">greater than or equal to </w:t>
            </w:r>
            <w:r w:rsidRPr="00284372">
              <w:t>$5,000</w:t>
            </w:r>
          </w:p>
        </w:tc>
        <w:tc>
          <w:tcPr>
            <w:tcW w:w="1247" w:type="dxa"/>
          </w:tcPr>
          <w:p w14:paraId="45A77A64" w14:textId="77777777" w:rsidR="00D51424" w:rsidRPr="00284372" w:rsidRDefault="00D51424" w:rsidP="00284372">
            <w:r w:rsidRPr="00284372">
              <w:t>Yes</w:t>
            </w:r>
          </w:p>
        </w:tc>
        <w:tc>
          <w:tcPr>
            <w:tcW w:w="1247" w:type="dxa"/>
          </w:tcPr>
          <w:p w14:paraId="450F15E2" w14:textId="77777777" w:rsidR="00D51424" w:rsidRPr="00284372" w:rsidRDefault="00D51424" w:rsidP="00284372">
            <w:r w:rsidRPr="00284372">
              <w:t>No</w:t>
            </w:r>
          </w:p>
        </w:tc>
      </w:tr>
      <w:tr w:rsidR="00D51424" w14:paraId="12EF3D68" w14:textId="77777777" w:rsidTr="006B7C22">
        <w:trPr>
          <w:trHeight w:val="567"/>
        </w:trPr>
        <w:tc>
          <w:tcPr>
            <w:tcW w:w="6691" w:type="dxa"/>
          </w:tcPr>
          <w:p w14:paraId="735AE850" w14:textId="0A251DE2" w:rsidR="001D40A0" w:rsidRDefault="00552029" w:rsidP="00441B70">
            <w:r>
              <w:t xml:space="preserve">Resealing for </w:t>
            </w:r>
            <w:r w:rsidR="005C5CDD">
              <w:t xml:space="preserve">the </w:t>
            </w:r>
            <w:r w:rsidR="00D51424">
              <w:t>entire</w:t>
            </w:r>
            <w:r>
              <w:t xml:space="preserve"> </w:t>
            </w:r>
            <w:r w:rsidR="00D51424">
              <w:t xml:space="preserve">road surface </w:t>
            </w:r>
            <w:r w:rsidR="00441B70">
              <w:t>greater than or equal to $</w:t>
            </w:r>
            <w:r w:rsidR="00D51424">
              <w:t>5,000</w:t>
            </w:r>
            <w:r w:rsidR="005C5CDD">
              <w:t>.</w:t>
            </w:r>
          </w:p>
        </w:tc>
        <w:tc>
          <w:tcPr>
            <w:tcW w:w="1247" w:type="dxa"/>
          </w:tcPr>
          <w:p w14:paraId="018F2B0B" w14:textId="77777777" w:rsidR="00D51424" w:rsidRPr="00284372" w:rsidRDefault="00D51424" w:rsidP="00284372">
            <w:r w:rsidRPr="00284372">
              <w:t>Yes</w:t>
            </w:r>
          </w:p>
        </w:tc>
        <w:tc>
          <w:tcPr>
            <w:tcW w:w="1247" w:type="dxa"/>
          </w:tcPr>
          <w:p w14:paraId="6C7300B6" w14:textId="77777777" w:rsidR="00D51424" w:rsidRPr="00284372" w:rsidRDefault="00D51424" w:rsidP="00284372">
            <w:r w:rsidRPr="00284372">
              <w:t>No</w:t>
            </w:r>
          </w:p>
        </w:tc>
      </w:tr>
      <w:tr w:rsidR="00D51424" w14:paraId="655BD7F5" w14:textId="77777777" w:rsidTr="006B7C22">
        <w:trPr>
          <w:trHeight w:val="567"/>
        </w:trPr>
        <w:tc>
          <w:tcPr>
            <w:tcW w:w="6691" w:type="dxa"/>
          </w:tcPr>
          <w:p w14:paraId="7F138463" w14:textId="77777777" w:rsidR="001D40A0" w:rsidRDefault="00552029" w:rsidP="0088781B">
            <w:r>
              <w:t>Resealing for part</w:t>
            </w:r>
            <w:r w:rsidR="005C5CDD">
              <w:t xml:space="preserve"> or </w:t>
            </w:r>
            <w:r>
              <w:t xml:space="preserve">short section of </w:t>
            </w:r>
            <w:r w:rsidR="005C5CDD">
              <w:t xml:space="preserve">the </w:t>
            </w:r>
            <w:r>
              <w:t>road</w:t>
            </w:r>
            <w:r w:rsidR="005C5CDD">
              <w:t>.</w:t>
            </w:r>
          </w:p>
        </w:tc>
        <w:tc>
          <w:tcPr>
            <w:tcW w:w="1247" w:type="dxa"/>
          </w:tcPr>
          <w:p w14:paraId="2ACAC05A" w14:textId="77777777" w:rsidR="00D51424" w:rsidRPr="00284372" w:rsidRDefault="00D51424" w:rsidP="00284372">
            <w:r w:rsidRPr="00284372">
              <w:t>No</w:t>
            </w:r>
          </w:p>
        </w:tc>
        <w:tc>
          <w:tcPr>
            <w:tcW w:w="1247" w:type="dxa"/>
          </w:tcPr>
          <w:p w14:paraId="3F42163C" w14:textId="77777777" w:rsidR="00D51424" w:rsidRPr="00284372" w:rsidRDefault="00D51424" w:rsidP="00284372">
            <w:r w:rsidRPr="00284372">
              <w:t>Yes</w:t>
            </w:r>
          </w:p>
        </w:tc>
      </w:tr>
      <w:tr w:rsidR="00552029" w14:paraId="6E9C6235" w14:textId="77777777" w:rsidTr="006B7C22">
        <w:trPr>
          <w:trHeight w:val="567"/>
        </w:trPr>
        <w:tc>
          <w:tcPr>
            <w:tcW w:w="6691" w:type="dxa"/>
          </w:tcPr>
          <w:p w14:paraId="0F78BBE2" w14:textId="5E3929D9" w:rsidR="001D40A0" w:rsidRDefault="00552029" w:rsidP="00441B70">
            <w:r>
              <w:t xml:space="preserve">Gravel re-sheeting for entire road length </w:t>
            </w:r>
            <w:r w:rsidR="00441B70">
              <w:t xml:space="preserve">greater than or equal to </w:t>
            </w:r>
            <w:r>
              <w:t>$5,000</w:t>
            </w:r>
            <w:r w:rsidR="005C5CDD">
              <w:t>.</w:t>
            </w:r>
          </w:p>
        </w:tc>
        <w:tc>
          <w:tcPr>
            <w:tcW w:w="1247" w:type="dxa"/>
          </w:tcPr>
          <w:p w14:paraId="25CC7377" w14:textId="77777777" w:rsidR="00552029" w:rsidRPr="00284372" w:rsidRDefault="00552029" w:rsidP="00284372">
            <w:r w:rsidRPr="00284372">
              <w:t>Yes</w:t>
            </w:r>
          </w:p>
        </w:tc>
        <w:tc>
          <w:tcPr>
            <w:tcW w:w="1247" w:type="dxa"/>
          </w:tcPr>
          <w:p w14:paraId="2F767612" w14:textId="77777777" w:rsidR="00552029" w:rsidRPr="00284372" w:rsidRDefault="00552029" w:rsidP="00284372">
            <w:r w:rsidRPr="00284372">
              <w:t>No</w:t>
            </w:r>
          </w:p>
        </w:tc>
      </w:tr>
      <w:tr w:rsidR="00552029" w14:paraId="0D3EF11A" w14:textId="77777777" w:rsidTr="006B7C22">
        <w:trPr>
          <w:trHeight w:val="567"/>
        </w:trPr>
        <w:tc>
          <w:tcPr>
            <w:tcW w:w="6691" w:type="dxa"/>
          </w:tcPr>
          <w:p w14:paraId="00708B03" w14:textId="77777777" w:rsidR="001D40A0" w:rsidRDefault="00552029" w:rsidP="0088781B">
            <w:r>
              <w:t>Gravel re-sheeting for part</w:t>
            </w:r>
            <w:r w:rsidR="005C5CDD">
              <w:t xml:space="preserve"> of or </w:t>
            </w:r>
            <w:r>
              <w:t>short section</w:t>
            </w:r>
            <w:r w:rsidR="005C5CDD">
              <w:t>s</w:t>
            </w:r>
            <w:r>
              <w:t xml:space="preserve"> of </w:t>
            </w:r>
            <w:r w:rsidR="005C5CDD">
              <w:t xml:space="preserve">the </w:t>
            </w:r>
            <w:r>
              <w:t>road length</w:t>
            </w:r>
            <w:r w:rsidR="005C5CDD">
              <w:t>.</w:t>
            </w:r>
          </w:p>
        </w:tc>
        <w:tc>
          <w:tcPr>
            <w:tcW w:w="1247" w:type="dxa"/>
          </w:tcPr>
          <w:p w14:paraId="78919A06" w14:textId="77777777" w:rsidR="00552029" w:rsidRPr="00284372" w:rsidRDefault="00552029" w:rsidP="00284372">
            <w:r w:rsidRPr="00284372">
              <w:t>No</w:t>
            </w:r>
          </w:p>
        </w:tc>
        <w:tc>
          <w:tcPr>
            <w:tcW w:w="1247" w:type="dxa"/>
          </w:tcPr>
          <w:p w14:paraId="04CED145" w14:textId="77777777" w:rsidR="00552029" w:rsidRPr="00284372" w:rsidRDefault="00552029" w:rsidP="00284372">
            <w:r w:rsidRPr="00284372">
              <w:t>Yes</w:t>
            </w:r>
          </w:p>
        </w:tc>
      </w:tr>
    </w:tbl>
    <w:p w14:paraId="698BAD77" w14:textId="77777777" w:rsidR="00E12C68" w:rsidRDefault="00E12C68" w:rsidP="004E4D5B">
      <w:pPr>
        <w:pStyle w:val="Heading3"/>
      </w:pPr>
    </w:p>
    <w:p w14:paraId="0E72B497" w14:textId="77777777" w:rsidR="00E12C68" w:rsidRDefault="00E12C68" w:rsidP="004E4D5B">
      <w:pPr>
        <w:pStyle w:val="Heading3"/>
      </w:pPr>
    </w:p>
    <w:p w14:paraId="42B42C4A" w14:textId="24F60D8E" w:rsidR="004E4D5B" w:rsidRDefault="004E4D5B" w:rsidP="004E4D5B">
      <w:pPr>
        <w:pStyle w:val="Heading3"/>
      </w:pPr>
      <w:r>
        <w:lastRenderedPageBreak/>
        <w:t>13.5.</w:t>
      </w:r>
      <w:r w:rsidR="00441B70">
        <w:t>3</w:t>
      </w:r>
      <w:r>
        <w:tab/>
      </w:r>
      <w:r w:rsidRPr="00614BEA">
        <w:t xml:space="preserve">Examples </w:t>
      </w:r>
      <w:r>
        <w:t>of common asset upgrades</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5"/>
        <w:gridCol w:w="1262"/>
        <w:gridCol w:w="1262"/>
      </w:tblGrid>
      <w:tr w:rsidR="00153E8B" w:rsidRPr="00F672DB" w14:paraId="1790BABD" w14:textId="77777777" w:rsidTr="00E12C68">
        <w:trPr>
          <w:trHeight w:val="567"/>
        </w:trPr>
        <w:tc>
          <w:tcPr>
            <w:tcW w:w="6775" w:type="dxa"/>
            <w:shd w:val="clear" w:color="auto" w:fill="D9D9D9" w:themeFill="background1" w:themeFillShade="D9"/>
          </w:tcPr>
          <w:p w14:paraId="1513F56B" w14:textId="77777777" w:rsidR="00153E8B" w:rsidRPr="00837B32" w:rsidRDefault="00153E8B" w:rsidP="00284372">
            <w:pPr>
              <w:rPr>
                <w:b/>
              </w:rPr>
            </w:pPr>
            <w:r w:rsidRPr="00837B32">
              <w:rPr>
                <w:b/>
              </w:rPr>
              <w:t>Description</w:t>
            </w:r>
          </w:p>
        </w:tc>
        <w:tc>
          <w:tcPr>
            <w:tcW w:w="1262" w:type="dxa"/>
            <w:shd w:val="clear" w:color="auto" w:fill="D9D9D9" w:themeFill="background1" w:themeFillShade="D9"/>
          </w:tcPr>
          <w:p w14:paraId="39BAB7E1" w14:textId="77777777" w:rsidR="00153E8B" w:rsidRPr="00837B32" w:rsidRDefault="00153E8B" w:rsidP="00284372">
            <w:pPr>
              <w:rPr>
                <w:b/>
              </w:rPr>
            </w:pPr>
            <w:r w:rsidRPr="00837B32">
              <w:rPr>
                <w:b/>
              </w:rPr>
              <w:t>Capital</w:t>
            </w:r>
          </w:p>
        </w:tc>
        <w:tc>
          <w:tcPr>
            <w:tcW w:w="1262" w:type="dxa"/>
            <w:shd w:val="clear" w:color="auto" w:fill="D9D9D9" w:themeFill="background1" w:themeFillShade="D9"/>
          </w:tcPr>
          <w:p w14:paraId="4B2CFA72" w14:textId="77777777" w:rsidR="00153E8B" w:rsidRPr="00837B32" w:rsidRDefault="00153E8B" w:rsidP="00284372">
            <w:pPr>
              <w:rPr>
                <w:b/>
              </w:rPr>
            </w:pPr>
            <w:r w:rsidRPr="00837B32">
              <w:rPr>
                <w:b/>
              </w:rPr>
              <w:t>Operating</w:t>
            </w:r>
          </w:p>
        </w:tc>
      </w:tr>
      <w:tr w:rsidR="00153E8B" w14:paraId="3B3A0AAA" w14:textId="77777777" w:rsidTr="00E12C68">
        <w:trPr>
          <w:trHeight w:val="567"/>
        </w:trPr>
        <w:tc>
          <w:tcPr>
            <w:tcW w:w="6775" w:type="dxa"/>
          </w:tcPr>
          <w:p w14:paraId="2658978A" w14:textId="52533C77" w:rsidR="00153E8B" w:rsidRPr="00284372" w:rsidRDefault="003E2B3E" w:rsidP="00441B70">
            <w:r w:rsidRPr="00284372">
              <w:t>E</w:t>
            </w:r>
            <w:r w:rsidR="00334D5A" w:rsidRPr="00284372">
              <w:t>lectrical system upgrade</w:t>
            </w:r>
            <w:r w:rsidRPr="00284372">
              <w:t xml:space="preserve"> </w:t>
            </w:r>
            <w:r w:rsidR="00441B70">
              <w:t xml:space="preserve">greater than or equal to </w:t>
            </w:r>
            <w:r w:rsidRPr="00284372">
              <w:t>$5,000</w:t>
            </w:r>
            <w:r w:rsidR="005C5CDD">
              <w:t>.</w:t>
            </w:r>
          </w:p>
        </w:tc>
        <w:tc>
          <w:tcPr>
            <w:tcW w:w="1262" w:type="dxa"/>
          </w:tcPr>
          <w:p w14:paraId="2FBA496C" w14:textId="77777777" w:rsidR="00153E8B" w:rsidRPr="00284372" w:rsidRDefault="00153E8B" w:rsidP="00284372">
            <w:r w:rsidRPr="00284372">
              <w:t>Yes</w:t>
            </w:r>
          </w:p>
        </w:tc>
        <w:tc>
          <w:tcPr>
            <w:tcW w:w="1262" w:type="dxa"/>
          </w:tcPr>
          <w:p w14:paraId="189F883B" w14:textId="77777777" w:rsidR="00153E8B" w:rsidRPr="00284372" w:rsidRDefault="00153E8B" w:rsidP="00284372">
            <w:r w:rsidRPr="00284372">
              <w:t>No</w:t>
            </w:r>
          </w:p>
        </w:tc>
      </w:tr>
      <w:tr w:rsidR="00B66391" w14:paraId="2A2A0DF8" w14:textId="77777777" w:rsidTr="00E12C68">
        <w:trPr>
          <w:trHeight w:val="567"/>
        </w:trPr>
        <w:tc>
          <w:tcPr>
            <w:tcW w:w="6775" w:type="dxa"/>
          </w:tcPr>
          <w:p w14:paraId="3CB7DD52" w14:textId="0857ECB2" w:rsidR="001D40A0" w:rsidRPr="00284372" w:rsidRDefault="00B66391" w:rsidP="00441B70">
            <w:r w:rsidRPr="00284372">
              <w:t>Drainage and grounds upgrades</w:t>
            </w:r>
            <w:r w:rsidR="00FE02FE" w:rsidRPr="00284372">
              <w:t xml:space="preserve"> </w:t>
            </w:r>
            <w:r w:rsidR="00441B70">
              <w:t xml:space="preserve">greater than or equal to </w:t>
            </w:r>
            <w:r w:rsidR="00FE02FE" w:rsidRPr="00284372">
              <w:t>$5,000</w:t>
            </w:r>
            <w:r w:rsidR="005C5CDD">
              <w:t>.</w:t>
            </w:r>
          </w:p>
        </w:tc>
        <w:tc>
          <w:tcPr>
            <w:tcW w:w="1262" w:type="dxa"/>
          </w:tcPr>
          <w:p w14:paraId="74B26A27" w14:textId="77777777" w:rsidR="00B66391" w:rsidRPr="00284372" w:rsidRDefault="00B66391" w:rsidP="00284372">
            <w:r w:rsidRPr="00284372">
              <w:t>Yes</w:t>
            </w:r>
          </w:p>
        </w:tc>
        <w:tc>
          <w:tcPr>
            <w:tcW w:w="1262" w:type="dxa"/>
          </w:tcPr>
          <w:p w14:paraId="7B9F526D" w14:textId="77777777" w:rsidR="00B66391" w:rsidRPr="00284372" w:rsidRDefault="00B66391" w:rsidP="00284372">
            <w:r w:rsidRPr="00284372">
              <w:t>No</w:t>
            </w:r>
          </w:p>
        </w:tc>
      </w:tr>
      <w:tr w:rsidR="000607EB" w14:paraId="7167D671" w14:textId="77777777" w:rsidTr="00E12C68">
        <w:trPr>
          <w:trHeight w:val="567"/>
        </w:trPr>
        <w:tc>
          <w:tcPr>
            <w:tcW w:w="6775" w:type="dxa"/>
          </w:tcPr>
          <w:p w14:paraId="2A66AC00" w14:textId="3ECBCCE5" w:rsidR="000607EB" w:rsidRPr="00284372" w:rsidRDefault="00FE7871" w:rsidP="00441B70">
            <w:r w:rsidRPr="00284372">
              <w:t xml:space="preserve">Building/Structural extensions or enhancements </w:t>
            </w:r>
            <w:r w:rsidR="00441B70">
              <w:t xml:space="preserve">greater than or equal to </w:t>
            </w:r>
            <w:r w:rsidRPr="00284372">
              <w:t>$5,000 (</w:t>
            </w:r>
            <w:r w:rsidR="005C5CDD">
              <w:t>for example,</w:t>
            </w:r>
            <w:r w:rsidRPr="00284372">
              <w:t xml:space="preserve"> </w:t>
            </w:r>
            <w:r w:rsidR="000607EB" w:rsidRPr="00284372">
              <w:t>changing domestic kitchen to a commercial kitchen)</w:t>
            </w:r>
            <w:r w:rsidR="005C5CDD">
              <w:t>.</w:t>
            </w:r>
            <w:r w:rsidR="00BE358E" w:rsidRPr="00284372">
              <w:t xml:space="preserve"> </w:t>
            </w:r>
          </w:p>
        </w:tc>
        <w:tc>
          <w:tcPr>
            <w:tcW w:w="1262" w:type="dxa"/>
          </w:tcPr>
          <w:p w14:paraId="3FE14BB9" w14:textId="77777777" w:rsidR="000607EB" w:rsidRPr="00284372" w:rsidRDefault="000607EB" w:rsidP="00284372">
            <w:r w:rsidRPr="00284372">
              <w:t>Yes</w:t>
            </w:r>
          </w:p>
        </w:tc>
        <w:tc>
          <w:tcPr>
            <w:tcW w:w="1262" w:type="dxa"/>
          </w:tcPr>
          <w:p w14:paraId="4122DC3D" w14:textId="77777777" w:rsidR="000607EB" w:rsidRPr="00284372" w:rsidRDefault="000607EB" w:rsidP="00284372">
            <w:r w:rsidRPr="00284372">
              <w:t>No</w:t>
            </w:r>
          </w:p>
        </w:tc>
      </w:tr>
      <w:tr w:rsidR="000607EB" w14:paraId="719B2F47" w14:textId="77777777" w:rsidTr="00E12C68">
        <w:trPr>
          <w:trHeight w:val="567"/>
        </w:trPr>
        <w:tc>
          <w:tcPr>
            <w:tcW w:w="6775" w:type="dxa"/>
          </w:tcPr>
          <w:p w14:paraId="379A956D" w14:textId="03107018" w:rsidR="000607EB" w:rsidRPr="00284372" w:rsidRDefault="000607EB" w:rsidP="00441B70">
            <w:r w:rsidRPr="00284372">
              <w:t>Car park extensions</w:t>
            </w:r>
            <w:r w:rsidR="00BE358E" w:rsidRPr="00284372">
              <w:t xml:space="preserve"> </w:t>
            </w:r>
            <w:r w:rsidR="00441B70">
              <w:t xml:space="preserve">greater than or equal to </w:t>
            </w:r>
            <w:r w:rsidR="00BE358E" w:rsidRPr="00284372">
              <w:t>$5,000</w:t>
            </w:r>
            <w:r w:rsidR="005C5CDD">
              <w:t>.</w:t>
            </w:r>
          </w:p>
        </w:tc>
        <w:tc>
          <w:tcPr>
            <w:tcW w:w="1262" w:type="dxa"/>
          </w:tcPr>
          <w:p w14:paraId="4063517C" w14:textId="77777777" w:rsidR="000607EB" w:rsidRPr="00284372" w:rsidRDefault="000607EB" w:rsidP="00284372">
            <w:r w:rsidRPr="00284372">
              <w:t>Yes</w:t>
            </w:r>
          </w:p>
        </w:tc>
        <w:tc>
          <w:tcPr>
            <w:tcW w:w="1262" w:type="dxa"/>
          </w:tcPr>
          <w:p w14:paraId="3D39E88D" w14:textId="77777777" w:rsidR="000607EB" w:rsidRPr="00284372" w:rsidRDefault="000607EB" w:rsidP="00284372">
            <w:r w:rsidRPr="00284372">
              <w:t>No</w:t>
            </w:r>
          </w:p>
        </w:tc>
      </w:tr>
      <w:tr w:rsidR="000607EB" w14:paraId="21A7FAA4" w14:textId="77777777" w:rsidTr="00E12C68">
        <w:trPr>
          <w:trHeight w:val="567"/>
        </w:trPr>
        <w:tc>
          <w:tcPr>
            <w:tcW w:w="6775" w:type="dxa"/>
          </w:tcPr>
          <w:p w14:paraId="6971B0A0" w14:textId="37FB582E" w:rsidR="000607EB" w:rsidRPr="00284372" w:rsidRDefault="000607EB" w:rsidP="00284372">
            <w:r w:rsidRPr="00284372">
              <w:t xml:space="preserve">Oval/Court and Pitch resurfacing </w:t>
            </w:r>
            <w:r w:rsidR="00441B70">
              <w:t xml:space="preserve">greater than or equal to </w:t>
            </w:r>
            <w:r w:rsidRPr="00284372">
              <w:t>$5,000</w:t>
            </w:r>
          </w:p>
          <w:p w14:paraId="4991D173" w14:textId="4072A983" w:rsidR="000607EB" w:rsidRPr="00F8472C" w:rsidRDefault="000607EB" w:rsidP="00F8472C">
            <w:pPr>
              <w:pStyle w:val="ListBullet"/>
            </w:pPr>
            <w:r w:rsidRPr="00F8472C">
              <w:t xml:space="preserve">Changing from natural grass </w:t>
            </w:r>
            <w:r w:rsidR="00A134EA" w:rsidRPr="00F8472C">
              <w:t xml:space="preserve">to </w:t>
            </w:r>
            <w:r w:rsidRPr="00F8472C">
              <w:t>synthetic grass</w:t>
            </w:r>
            <w:r w:rsidR="006C1202">
              <w:t>;</w:t>
            </w:r>
          </w:p>
          <w:p w14:paraId="7A1D151F" w14:textId="77777777" w:rsidR="000607EB" w:rsidRPr="00F8472C" w:rsidRDefault="000607EB" w:rsidP="00F8472C">
            <w:pPr>
              <w:pStyle w:val="ListBullet"/>
            </w:pPr>
            <w:r w:rsidRPr="00F8472C">
              <w:t>Changing from asphalt to rubber</w:t>
            </w:r>
            <w:r w:rsidR="00A134EA" w:rsidRPr="00F8472C">
              <w:t>.</w:t>
            </w:r>
          </w:p>
        </w:tc>
        <w:tc>
          <w:tcPr>
            <w:tcW w:w="1262" w:type="dxa"/>
          </w:tcPr>
          <w:p w14:paraId="48C03920" w14:textId="77777777" w:rsidR="000607EB" w:rsidRPr="00284372" w:rsidRDefault="000607EB" w:rsidP="00284372">
            <w:r w:rsidRPr="00284372">
              <w:t>Yes</w:t>
            </w:r>
          </w:p>
        </w:tc>
        <w:tc>
          <w:tcPr>
            <w:tcW w:w="1262" w:type="dxa"/>
          </w:tcPr>
          <w:p w14:paraId="115C6C00" w14:textId="77777777" w:rsidR="000607EB" w:rsidRPr="00284372" w:rsidRDefault="000607EB" w:rsidP="00284372">
            <w:r w:rsidRPr="00284372">
              <w:t>No</w:t>
            </w:r>
          </w:p>
        </w:tc>
      </w:tr>
      <w:tr w:rsidR="000607EB" w14:paraId="23A6415B" w14:textId="77777777" w:rsidTr="00E12C68">
        <w:trPr>
          <w:trHeight w:val="567"/>
        </w:trPr>
        <w:tc>
          <w:tcPr>
            <w:tcW w:w="6775" w:type="dxa"/>
          </w:tcPr>
          <w:p w14:paraId="444739B9" w14:textId="30D627FD" w:rsidR="001D40A0" w:rsidRPr="00284372" w:rsidRDefault="000607EB" w:rsidP="00441B70">
            <w:r w:rsidRPr="00284372">
              <w:t xml:space="preserve">Replacing pumps with greater capacity </w:t>
            </w:r>
            <w:r w:rsidR="00441B70">
              <w:t xml:space="preserve">greater than or equal to </w:t>
            </w:r>
            <w:r w:rsidRPr="00284372">
              <w:t>$5,000</w:t>
            </w:r>
            <w:r w:rsidR="00A134EA">
              <w:t>.</w:t>
            </w:r>
          </w:p>
        </w:tc>
        <w:tc>
          <w:tcPr>
            <w:tcW w:w="1262" w:type="dxa"/>
          </w:tcPr>
          <w:p w14:paraId="7B7E475E" w14:textId="77777777" w:rsidR="000607EB" w:rsidRPr="00284372" w:rsidRDefault="000607EB" w:rsidP="00284372">
            <w:r w:rsidRPr="00284372">
              <w:t>Yes</w:t>
            </w:r>
          </w:p>
        </w:tc>
        <w:tc>
          <w:tcPr>
            <w:tcW w:w="1262" w:type="dxa"/>
          </w:tcPr>
          <w:p w14:paraId="3684E732" w14:textId="77777777" w:rsidR="000607EB" w:rsidRPr="00284372" w:rsidRDefault="000607EB" w:rsidP="00284372">
            <w:r w:rsidRPr="00284372">
              <w:t>No</w:t>
            </w:r>
          </w:p>
        </w:tc>
      </w:tr>
      <w:tr w:rsidR="000607EB" w14:paraId="06D3E766" w14:textId="77777777" w:rsidTr="00E12C68">
        <w:trPr>
          <w:trHeight w:val="567"/>
        </w:trPr>
        <w:tc>
          <w:tcPr>
            <w:tcW w:w="6775" w:type="dxa"/>
          </w:tcPr>
          <w:p w14:paraId="3C2611E1" w14:textId="2233E4E2" w:rsidR="001D40A0" w:rsidRPr="00284372" w:rsidRDefault="000607EB" w:rsidP="00441B70">
            <w:r w:rsidRPr="00284372">
              <w:t xml:space="preserve">Replacing timber with concrete </w:t>
            </w:r>
            <w:r w:rsidR="00441B70">
              <w:t xml:space="preserve">greater than or equal to </w:t>
            </w:r>
            <w:r w:rsidRPr="00284372">
              <w:t>$5,000</w:t>
            </w:r>
            <w:r w:rsidR="00A134EA">
              <w:t>.</w:t>
            </w:r>
          </w:p>
        </w:tc>
        <w:tc>
          <w:tcPr>
            <w:tcW w:w="1262" w:type="dxa"/>
          </w:tcPr>
          <w:p w14:paraId="1B88CC11" w14:textId="77777777" w:rsidR="000607EB" w:rsidRPr="00284372" w:rsidRDefault="000607EB" w:rsidP="00284372">
            <w:r w:rsidRPr="00284372">
              <w:t>Yes</w:t>
            </w:r>
          </w:p>
        </w:tc>
        <w:tc>
          <w:tcPr>
            <w:tcW w:w="1262" w:type="dxa"/>
          </w:tcPr>
          <w:p w14:paraId="6A096E28" w14:textId="77777777" w:rsidR="000607EB" w:rsidRPr="00284372" w:rsidRDefault="000607EB" w:rsidP="00284372">
            <w:r w:rsidRPr="00284372">
              <w:t>No</w:t>
            </w:r>
          </w:p>
        </w:tc>
      </w:tr>
      <w:tr w:rsidR="000607EB" w14:paraId="74810080" w14:textId="77777777" w:rsidTr="00E12C68">
        <w:trPr>
          <w:trHeight w:val="567"/>
        </w:trPr>
        <w:tc>
          <w:tcPr>
            <w:tcW w:w="6775" w:type="dxa"/>
          </w:tcPr>
          <w:p w14:paraId="0A60F8FE" w14:textId="0D581167" w:rsidR="001D40A0" w:rsidRPr="00284372" w:rsidRDefault="00FE7871" w:rsidP="00441B70">
            <w:r w:rsidRPr="00284372">
              <w:t>Sprinkler</w:t>
            </w:r>
            <w:r w:rsidR="000607EB" w:rsidRPr="00284372">
              <w:t xml:space="preserve"> system upgrades </w:t>
            </w:r>
            <w:r w:rsidR="00441B70">
              <w:t xml:space="preserve">greater than or equal to </w:t>
            </w:r>
            <w:r w:rsidR="000607EB" w:rsidRPr="00284372">
              <w:t>$5,000</w:t>
            </w:r>
            <w:r w:rsidR="00A134EA">
              <w:t>.</w:t>
            </w:r>
          </w:p>
        </w:tc>
        <w:tc>
          <w:tcPr>
            <w:tcW w:w="1262" w:type="dxa"/>
          </w:tcPr>
          <w:p w14:paraId="453CDFF2" w14:textId="77777777" w:rsidR="000607EB" w:rsidRPr="00284372" w:rsidRDefault="000607EB" w:rsidP="00284372">
            <w:r w:rsidRPr="00284372">
              <w:t>Yes</w:t>
            </w:r>
          </w:p>
        </w:tc>
        <w:tc>
          <w:tcPr>
            <w:tcW w:w="1262" w:type="dxa"/>
          </w:tcPr>
          <w:p w14:paraId="4B681F2E" w14:textId="77777777" w:rsidR="000607EB" w:rsidRPr="00284372" w:rsidRDefault="000607EB" w:rsidP="00284372">
            <w:r w:rsidRPr="00284372">
              <w:t>No</w:t>
            </w:r>
          </w:p>
        </w:tc>
      </w:tr>
      <w:tr w:rsidR="000607EB" w14:paraId="789A86CB" w14:textId="77777777" w:rsidTr="00E12C68">
        <w:trPr>
          <w:trHeight w:val="567"/>
        </w:trPr>
        <w:tc>
          <w:tcPr>
            <w:tcW w:w="6775" w:type="dxa"/>
          </w:tcPr>
          <w:p w14:paraId="13FD11B5" w14:textId="06A04435" w:rsidR="001D40A0" w:rsidRPr="00284372" w:rsidRDefault="000607EB" w:rsidP="00441B70">
            <w:r w:rsidRPr="00284372">
              <w:t xml:space="preserve">Widening footpaths </w:t>
            </w:r>
            <w:r w:rsidR="00441B70">
              <w:t xml:space="preserve">greater than or equal to </w:t>
            </w:r>
            <w:r w:rsidR="00645C57" w:rsidRPr="00284372">
              <w:t>$5,000</w:t>
            </w:r>
            <w:r w:rsidR="00A134EA">
              <w:t>.</w:t>
            </w:r>
          </w:p>
        </w:tc>
        <w:tc>
          <w:tcPr>
            <w:tcW w:w="1262" w:type="dxa"/>
          </w:tcPr>
          <w:p w14:paraId="6E9D131C" w14:textId="77777777" w:rsidR="000607EB" w:rsidRPr="00284372" w:rsidRDefault="000607EB" w:rsidP="00284372">
            <w:r w:rsidRPr="00284372">
              <w:t>Yes</w:t>
            </w:r>
          </w:p>
        </w:tc>
        <w:tc>
          <w:tcPr>
            <w:tcW w:w="1262" w:type="dxa"/>
          </w:tcPr>
          <w:p w14:paraId="1AF30885" w14:textId="77777777" w:rsidR="000607EB" w:rsidRPr="00284372" w:rsidRDefault="000607EB" w:rsidP="00284372">
            <w:r w:rsidRPr="00284372">
              <w:t>No</w:t>
            </w:r>
          </w:p>
        </w:tc>
      </w:tr>
      <w:tr w:rsidR="00645C57" w14:paraId="3E3AA773" w14:textId="77777777" w:rsidTr="00E12C68">
        <w:trPr>
          <w:trHeight w:val="737"/>
        </w:trPr>
        <w:tc>
          <w:tcPr>
            <w:tcW w:w="6775" w:type="dxa"/>
          </w:tcPr>
          <w:p w14:paraId="5B320797" w14:textId="4D656A0A" w:rsidR="001D40A0" w:rsidRPr="00284372" w:rsidRDefault="00645C57" w:rsidP="00441B70">
            <w:r w:rsidRPr="00284372">
              <w:t>Pavement upgrade – higher standard</w:t>
            </w:r>
            <w:r w:rsidR="00BE358E" w:rsidRPr="00284372">
              <w:t xml:space="preserve"> </w:t>
            </w:r>
            <w:r w:rsidR="00441B70">
              <w:t xml:space="preserve">greater than or equal to </w:t>
            </w:r>
            <w:r w:rsidR="00BE358E" w:rsidRPr="00284372">
              <w:t>$5,000</w:t>
            </w:r>
            <w:r w:rsidR="00FE7871" w:rsidRPr="00284372">
              <w:t xml:space="preserve"> (</w:t>
            </w:r>
            <w:r w:rsidR="00A134EA">
              <w:t>for example,</w:t>
            </w:r>
            <w:r w:rsidR="00FE7871" w:rsidRPr="00284372">
              <w:t xml:space="preserve"> upgrad</w:t>
            </w:r>
            <w:r w:rsidR="00A134EA">
              <w:t>ing</w:t>
            </w:r>
            <w:r w:rsidR="00FE7871" w:rsidRPr="00284372">
              <w:t xml:space="preserve"> from gravel surface to concrete)</w:t>
            </w:r>
            <w:r w:rsidR="00A134EA">
              <w:t>.</w:t>
            </w:r>
          </w:p>
        </w:tc>
        <w:tc>
          <w:tcPr>
            <w:tcW w:w="1262" w:type="dxa"/>
          </w:tcPr>
          <w:p w14:paraId="295A10C9" w14:textId="77777777" w:rsidR="00645C57" w:rsidRPr="00284372" w:rsidRDefault="00645C57" w:rsidP="00284372">
            <w:r w:rsidRPr="00284372">
              <w:t>Yes</w:t>
            </w:r>
          </w:p>
        </w:tc>
        <w:tc>
          <w:tcPr>
            <w:tcW w:w="1262" w:type="dxa"/>
          </w:tcPr>
          <w:p w14:paraId="7F42BC31" w14:textId="77777777" w:rsidR="00645C57" w:rsidRPr="00284372" w:rsidRDefault="00645C57" w:rsidP="00284372">
            <w:r w:rsidRPr="00284372">
              <w:t>No</w:t>
            </w:r>
          </w:p>
        </w:tc>
      </w:tr>
      <w:tr w:rsidR="00645C57" w14:paraId="53039DB1" w14:textId="77777777" w:rsidTr="00E12C68">
        <w:trPr>
          <w:trHeight w:val="737"/>
        </w:trPr>
        <w:tc>
          <w:tcPr>
            <w:tcW w:w="6775" w:type="dxa"/>
          </w:tcPr>
          <w:p w14:paraId="6B36C629" w14:textId="46A1D1BB" w:rsidR="001D40A0" w:rsidRPr="00284372" w:rsidRDefault="00645C57" w:rsidP="00441B70">
            <w:r w:rsidRPr="00284372">
              <w:t>Enlarging a grandstand at a sporting facility</w:t>
            </w:r>
            <w:r w:rsidR="00BE358E" w:rsidRPr="00284372">
              <w:t xml:space="preserve"> </w:t>
            </w:r>
            <w:r w:rsidR="00441B70">
              <w:t xml:space="preserve">greater than or equal to </w:t>
            </w:r>
            <w:r w:rsidR="00BE358E" w:rsidRPr="00284372">
              <w:t>$5,000</w:t>
            </w:r>
            <w:r w:rsidR="00A134EA">
              <w:t>.</w:t>
            </w:r>
          </w:p>
        </w:tc>
        <w:tc>
          <w:tcPr>
            <w:tcW w:w="1262" w:type="dxa"/>
          </w:tcPr>
          <w:p w14:paraId="2F5CF580" w14:textId="77777777" w:rsidR="00645C57" w:rsidRPr="00284372" w:rsidRDefault="00645C57" w:rsidP="00284372">
            <w:r w:rsidRPr="00284372">
              <w:t>Yes</w:t>
            </w:r>
          </w:p>
        </w:tc>
        <w:tc>
          <w:tcPr>
            <w:tcW w:w="1262" w:type="dxa"/>
          </w:tcPr>
          <w:p w14:paraId="1C430AD7" w14:textId="77777777" w:rsidR="00645C57" w:rsidRPr="00284372" w:rsidRDefault="00645C57" w:rsidP="00284372">
            <w:r w:rsidRPr="00284372">
              <w:t>No</w:t>
            </w:r>
          </w:p>
        </w:tc>
      </w:tr>
    </w:tbl>
    <w:p w14:paraId="4B73A65B" w14:textId="34600555" w:rsidR="00384B07" w:rsidRDefault="00384B07" w:rsidP="001D40A0">
      <w:pPr>
        <w:pStyle w:val="Heading2"/>
      </w:pPr>
      <w:r w:rsidRPr="005F4B9A">
        <w:t>13</w:t>
      </w:r>
      <w:r>
        <w:t>.6</w:t>
      </w:r>
      <w:r w:rsidR="00B04F7A">
        <w:tab/>
      </w:r>
      <w:r w:rsidR="00BE358E">
        <w:t>Fit out costs</w:t>
      </w:r>
    </w:p>
    <w:p w14:paraId="2EC1C31B" w14:textId="66776E17" w:rsidR="001D40A0" w:rsidRPr="00284372" w:rsidRDefault="001D40A0" w:rsidP="00DB6664">
      <w:r w:rsidRPr="00284372">
        <w:t>The purchase price and installation of fit</w:t>
      </w:r>
      <w:r w:rsidR="00D10694">
        <w:t xml:space="preserve"> </w:t>
      </w:r>
      <w:r w:rsidRPr="00284372">
        <w:t xml:space="preserve">out items (e.g. office partitioning) are capitalised as their own separately identifiable fit out if has a GST exclusive purchase cost greater than or equal to $5,000. Installations are capitalised as they are ‘directly attributable’ in bringing the fit-out items to the condition and location ready for use. </w:t>
      </w:r>
    </w:p>
    <w:p w14:paraId="5A66B8AD" w14:textId="35368A83" w:rsidR="001D40A0" w:rsidRDefault="001D40A0" w:rsidP="00DB6664">
      <w:r w:rsidRPr="00284372">
        <w:t xml:space="preserve">Only items that are ‘affixed’ </w:t>
      </w:r>
      <w:r w:rsidR="00A134EA">
        <w:t>(</w:t>
      </w:r>
      <w:r w:rsidRPr="00284372">
        <w:t xml:space="preserve">for example carpet, blackboard (if </w:t>
      </w:r>
      <w:r w:rsidR="00A134EA">
        <w:t>fixed to the wall</w:t>
      </w:r>
      <w:r w:rsidRPr="00284372">
        <w:t>), blinds and curtains</w:t>
      </w:r>
      <w:r w:rsidR="00A134EA">
        <w:t>)</w:t>
      </w:r>
      <w:r w:rsidRPr="00284372">
        <w:t xml:space="preserve"> are to form part of the initial fit out. All moveable items </w:t>
      </w:r>
      <w:r w:rsidR="00A134EA">
        <w:t>(</w:t>
      </w:r>
      <w:r w:rsidRPr="00284372">
        <w:t>such as tables, chairs, desks, shelves and moveable whiteboards</w:t>
      </w:r>
      <w:r w:rsidR="00A134EA">
        <w:t>)</w:t>
      </w:r>
      <w:r w:rsidRPr="00284372">
        <w:t xml:space="preserve"> are capitalised separately if they individually meet the Department’s threshold of </w:t>
      </w:r>
      <w:r w:rsidR="00D10694">
        <w:t xml:space="preserve">greater than or equal to </w:t>
      </w:r>
      <w:r w:rsidRPr="00284372">
        <w:t>$5,000</w:t>
      </w:r>
      <w:r w:rsidR="00B70984" w:rsidRPr="00284372">
        <w:t>.</w:t>
      </w:r>
    </w:p>
    <w:p w14:paraId="086C8A8D" w14:textId="78A6166F" w:rsidR="00F12CF6" w:rsidRDefault="00F12CF6" w:rsidP="00DB6664"/>
    <w:p w14:paraId="16B7AB8B" w14:textId="77777777" w:rsidR="00F12CF6" w:rsidRPr="00284372" w:rsidRDefault="00F12CF6" w:rsidP="00DB6664"/>
    <w:p w14:paraId="31C7A4D5" w14:textId="4F71B8E6" w:rsidR="001D40A0" w:rsidRDefault="001D40A0" w:rsidP="00941DFA">
      <w:pPr>
        <w:pStyle w:val="Heading3"/>
        <w:ind w:left="851" w:hanging="851"/>
      </w:pPr>
      <w:r>
        <w:lastRenderedPageBreak/>
        <w:t>13.6.1</w:t>
      </w:r>
      <w:r>
        <w:tab/>
      </w:r>
      <w:r w:rsidRPr="00614BEA">
        <w:t xml:space="preserve">Examples </w:t>
      </w:r>
      <w:r>
        <w:t>that differentiate between assets that are part of initial fit out cost and separately identifiable plant and equipment</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7"/>
        <w:gridCol w:w="1286"/>
        <w:gridCol w:w="1286"/>
      </w:tblGrid>
      <w:tr w:rsidR="003D7F75" w:rsidRPr="00F672DB" w14:paraId="62AAA8CB" w14:textId="77777777" w:rsidTr="006B7C22">
        <w:trPr>
          <w:trHeight w:val="567"/>
        </w:trPr>
        <w:tc>
          <w:tcPr>
            <w:tcW w:w="6521" w:type="dxa"/>
            <w:shd w:val="clear" w:color="auto" w:fill="D9D9D9" w:themeFill="background1" w:themeFillShade="D9"/>
          </w:tcPr>
          <w:p w14:paraId="530B4D01" w14:textId="77777777" w:rsidR="003D7F75" w:rsidRPr="00837B32" w:rsidRDefault="003D7F75" w:rsidP="00284372">
            <w:pPr>
              <w:rPr>
                <w:b/>
              </w:rPr>
            </w:pPr>
            <w:r w:rsidRPr="00837B32">
              <w:rPr>
                <w:b/>
              </w:rPr>
              <w:t>Description</w:t>
            </w:r>
          </w:p>
        </w:tc>
        <w:tc>
          <w:tcPr>
            <w:tcW w:w="1247" w:type="dxa"/>
            <w:shd w:val="clear" w:color="auto" w:fill="D9D9D9" w:themeFill="background1" w:themeFillShade="D9"/>
          </w:tcPr>
          <w:p w14:paraId="73960018" w14:textId="77777777" w:rsidR="003D7F75" w:rsidRPr="00837B32" w:rsidRDefault="00105997" w:rsidP="00284372">
            <w:pPr>
              <w:rPr>
                <w:b/>
              </w:rPr>
            </w:pPr>
            <w:r w:rsidRPr="00837B32">
              <w:rPr>
                <w:b/>
              </w:rPr>
              <w:t>Initial Fit Out</w:t>
            </w:r>
          </w:p>
        </w:tc>
        <w:tc>
          <w:tcPr>
            <w:tcW w:w="1247" w:type="dxa"/>
            <w:shd w:val="clear" w:color="auto" w:fill="D9D9D9" w:themeFill="background1" w:themeFillShade="D9"/>
          </w:tcPr>
          <w:p w14:paraId="5C8E85AA" w14:textId="77777777" w:rsidR="003D7F75" w:rsidRPr="00837B32" w:rsidRDefault="00105997" w:rsidP="00284372">
            <w:pPr>
              <w:rPr>
                <w:b/>
              </w:rPr>
            </w:pPr>
            <w:r w:rsidRPr="00837B32">
              <w:rPr>
                <w:b/>
              </w:rPr>
              <w:t>Separate asset</w:t>
            </w:r>
          </w:p>
        </w:tc>
      </w:tr>
      <w:tr w:rsidR="003D7F75" w14:paraId="00AD5B47" w14:textId="77777777" w:rsidTr="006C1202">
        <w:trPr>
          <w:trHeight w:val="510"/>
        </w:trPr>
        <w:tc>
          <w:tcPr>
            <w:tcW w:w="6521" w:type="dxa"/>
          </w:tcPr>
          <w:p w14:paraId="481A4C03" w14:textId="77777777" w:rsidR="003D7F75" w:rsidRPr="00284372" w:rsidRDefault="003D7F75" w:rsidP="00284372">
            <w:r w:rsidRPr="00284372">
              <w:t>Partitions</w:t>
            </w:r>
            <w:r w:rsidR="00B05D8A">
              <w:t>.</w:t>
            </w:r>
            <w:r w:rsidRPr="00284372">
              <w:t xml:space="preserve"> </w:t>
            </w:r>
          </w:p>
        </w:tc>
        <w:tc>
          <w:tcPr>
            <w:tcW w:w="1247" w:type="dxa"/>
          </w:tcPr>
          <w:p w14:paraId="33E2E7E2" w14:textId="77777777" w:rsidR="003D7F75" w:rsidRPr="00284372" w:rsidRDefault="003D7F75" w:rsidP="00284372">
            <w:r w:rsidRPr="00284372">
              <w:t>Yes</w:t>
            </w:r>
          </w:p>
        </w:tc>
        <w:tc>
          <w:tcPr>
            <w:tcW w:w="1247" w:type="dxa"/>
          </w:tcPr>
          <w:p w14:paraId="22E685F2" w14:textId="77777777" w:rsidR="003D7F75" w:rsidRPr="00284372" w:rsidRDefault="003D7F75" w:rsidP="00284372">
            <w:r w:rsidRPr="00284372">
              <w:t>No</w:t>
            </w:r>
          </w:p>
        </w:tc>
      </w:tr>
      <w:tr w:rsidR="004B0960" w14:paraId="0C79E171" w14:textId="77777777" w:rsidTr="006C1202">
        <w:trPr>
          <w:trHeight w:val="510"/>
        </w:trPr>
        <w:tc>
          <w:tcPr>
            <w:tcW w:w="6521" w:type="dxa"/>
          </w:tcPr>
          <w:p w14:paraId="1593556A" w14:textId="77777777" w:rsidR="004B0960" w:rsidRPr="00284372" w:rsidRDefault="004B0960" w:rsidP="00284372">
            <w:r w:rsidRPr="00284372">
              <w:t>Affixed cabinets</w:t>
            </w:r>
            <w:r w:rsidR="00B05D8A">
              <w:t>.</w:t>
            </w:r>
          </w:p>
        </w:tc>
        <w:tc>
          <w:tcPr>
            <w:tcW w:w="1247" w:type="dxa"/>
          </w:tcPr>
          <w:p w14:paraId="504073D6" w14:textId="77777777" w:rsidR="004B0960" w:rsidRPr="00284372" w:rsidRDefault="004B0960" w:rsidP="00284372">
            <w:r w:rsidRPr="00284372">
              <w:t>Yes</w:t>
            </w:r>
          </w:p>
        </w:tc>
        <w:tc>
          <w:tcPr>
            <w:tcW w:w="1247" w:type="dxa"/>
          </w:tcPr>
          <w:p w14:paraId="53A8C427" w14:textId="77777777" w:rsidR="004B0960" w:rsidRPr="00284372" w:rsidRDefault="004B0960" w:rsidP="00284372">
            <w:r w:rsidRPr="00284372">
              <w:t>No</w:t>
            </w:r>
          </w:p>
        </w:tc>
      </w:tr>
      <w:tr w:rsidR="004B0960" w14:paraId="385092E6" w14:textId="77777777" w:rsidTr="006C1202">
        <w:trPr>
          <w:trHeight w:val="510"/>
        </w:trPr>
        <w:tc>
          <w:tcPr>
            <w:tcW w:w="6521" w:type="dxa"/>
          </w:tcPr>
          <w:p w14:paraId="3ACA544A" w14:textId="77777777" w:rsidR="004B0960" w:rsidRPr="00284372" w:rsidRDefault="004B0960" w:rsidP="00284372">
            <w:r w:rsidRPr="00284372">
              <w:t>Blinds and curtains</w:t>
            </w:r>
            <w:r w:rsidR="00B05D8A">
              <w:t>.</w:t>
            </w:r>
          </w:p>
        </w:tc>
        <w:tc>
          <w:tcPr>
            <w:tcW w:w="1247" w:type="dxa"/>
          </w:tcPr>
          <w:p w14:paraId="7F10631C" w14:textId="77777777" w:rsidR="004B0960" w:rsidRPr="00284372" w:rsidRDefault="004B0960" w:rsidP="00284372">
            <w:r w:rsidRPr="00284372">
              <w:t>Yes</w:t>
            </w:r>
          </w:p>
        </w:tc>
        <w:tc>
          <w:tcPr>
            <w:tcW w:w="1247" w:type="dxa"/>
          </w:tcPr>
          <w:p w14:paraId="32B72D46" w14:textId="77777777" w:rsidR="004B0960" w:rsidRPr="00284372" w:rsidRDefault="004B0960" w:rsidP="00284372">
            <w:r w:rsidRPr="00284372">
              <w:t>No</w:t>
            </w:r>
          </w:p>
        </w:tc>
      </w:tr>
      <w:tr w:rsidR="004B0960" w14:paraId="0DF63163" w14:textId="77777777" w:rsidTr="006C1202">
        <w:trPr>
          <w:trHeight w:val="510"/>
        </w:trPr>
        <w:tc>
          <w:tcPr>
            <w:tcW w:w="6521" w:type="dxa"/>
          </w:tcPr>
          <w:p w14:paraId="06204B70" w14:textId="77777777" w:rsidR="004B0960" w:rsidRPr="00284372" w:rsidRDefault="004B0960" w:rsidP="00284372">
            <w:r w:rsidRPr="00284372">
              <w:t>Affixed projectors</w:t>
            </w:r>
            <w:r w:rsidR="00B05D8A">
              <w:t>.</w:t>
            </w:r>
          </w:p>
        </w:tc>
        <w:tc>
          <w:tcPr>
            <w:tcW w:w="1247" w:type="dxa"/>
          </w:tcPr>
          <w:p w14:paraId="1FFABEE9" w14:textId="77777777" w:rsidR="004B0960" w:rsidRPr="00284372" w:rsidRDefault="004B0960" w:rsidP="00284372">
            <w:r w:rsidRPr="00284372">
              <w:t>Yes</w:t>
            </w:r>
          </w:p>
        </w:tc>
        <w:tc>
          <w:tcPr>
            <w:tcW w:w="1247" w:type="dxa"/>
          </w:tcPr>
          <w:p w14:paraId="717AC576" w14:textId="77777777" w:rsidR="004B0960" w:rsidRPr="00284372" w:rsidRDefault="004B0960" w:rsidP="00284372">
            <w:r w:rsidRPr="00284372">
              <w:t>No</w:t>
            </w:r>
          </w:p>
        </w:tc>
      </w:tr>
      <w:tr w:rsidR="00105997" w14:paraId="458D4746" w14:textId="77777777" w:rsidTr="006C1202">
        <w:trPr>
          <w:trHeight w:val="510"/>
        </w:trPr>
        <w:tc>
          <w:tcPr>
            <w:tcW w:w="6521" w:type="dxa"/>
          </w:tcPr>
          <w:p w14:paraId="38D15DA2" w14:textId="0EC7529B" w:rsidR="00105997" w:rsidRPr="00284372" w:rsidRDefault="00105997" w:rsidP="00D10694">
            <w:r w:rsidRPr="00284372">
              <w:t xml:space="preserve">Portable projectors </w:t>
            </w:r>
            <w:r w:rsidR="00D10694">
              <w:t xml:space="preserve">greater than or equal to </w:t>
            </w:r>
            <w:r w:rsidRPr="00284372">
              <w:t>$5,000</w:t>
            </w:r>
            <w:r w:rsidR="00B05D8A">
              <w:t>.</w:t>
            </w:r>
          </w:p>
        </w:tc>
        <w:tc>
          <w:tcPr>
            <w:tcW w:w="1247" w:type="dxa"/>
          </w:tcPr>
          <w:p w14:paraId="5301F24E" w14:textId="77777777" w:rsidR="00105997" w:rsidRPr="00284372" w:rsidRDefault="00105997" w:rsidP="00284372">
            <w:r w:rsidRPr="00284372">
              <w:t>No</w:t>
            </w:r>
          </w:p>
        </w:tc>
        <w:tc>
          <w:tcPr>
            <w:tcW w:w="1247" w:type="dxa"/>
          </w:tcPr>
          <w:p w14:paraId="0CB98E1B" w14:textId="77777777" w:rsidR="00105997" w:rsidRPr="00284372" w:rsidRDefault="00105997" w:rsidP="00284372">
            <w:r w:rsidRPr="00284372">
              <w:t>Yes</w:t>
            </w:r>
          </w:p>
        </w:tc>
      </w:tr>
      <w:tr w:rsidR="004B0960" w14:paraId="1429FC4C" w14:textId="77777777" w:rsidTr="006C1202">
        <w:trPr>
          <w:trHeight w:val="510"/>
        </w:trPr>
        <w:tc>
          <w:tcPr>
            <w:tcW w:w="6521" w:type="dxa"/>
          </w:tcPr>
          <w:p w14:paraId="57F41B60" w14:textId="77777777" w:rsidR="004B0960" w:rsidRPr="00284372" w:rsidRDefault="004B0960" w:rsidP="00284372">
            <w:r w:rsidRPr="00284372">
              <w:t>Affixed digital boards</w:t>
            </w:r>
            <w:r w:rsidR="00B05D8A">
              <w:t>.</w:t>
            </w:r>
          </w:p>
        </w:tc>
        <w:tc>
          <w:tcPr>
            <w:tcW w:w="1247" w:type="dxa"/>
          </w:tcPr>
          <w:p w14:paraId="4ACB0EA3" w14:textId="77777777" w:rsidR="004B0960" w:rsidRPr="00284372" w:rsidRDefault="004B0960" w:rsidP="00284372">
            <w:r w:rsidRPr="00284372">
              <w:t>Yes</w:t>
            </w:r>
          </w:p>
        </w:tc>
        <w:tc>
          <w:tcPr>
            <w:tcW w:w="1247" w:type="dxa"/>
          </w:tcPr>
          <w:p w14:paraId="6AFD581B" w14:textId="77777777" w:rsidR="004B0960" w:rsidRPr="00284372" w:rsidRDefault="004B0960" w:rsidP="00284372">
            <w:r w:rsidRPr="00284372">
              <w:t>No</w:t>
            </w:r>
          </w:p>
        </w:tc>
      </w:tr>
      <w:tr w:rsidR="00105997" w14:paraId="1D682325" w14:textId="77777777" w:rsidTr="006C1202">
        <w:trPr>
          <w:trHeight w:val="510"/>
        </w:trPr>
        <w:tc>
          <w:tcPr>
            <w:tcW w:w="6521" w:type="dxa"/>
          </w:tcPr>
          <w:p w14:paraId="29C0A615" w14:textId="0FB8CD84" w:rsidR="00105997" w:rsidRPr="00284372" w:rsidRDefault="00105997" w:rsidP="00D10694">
            <w:r w:rsidRPr="00284372">
              <w:t xml:space="preserve">Portable digital boards </w:t>
            </w:r>
            <w:r w:rsidR="00D10694">
              <w:t xml:space="preserve">greater than or equal to </w:t>
            </w:r>
            <w:r w:rsidRPr="00284372">
              <w:t>$5,000</w:t>
            </w:r>
            <w:r w:rsidR="00B05D8A">
              <w:t>.</w:t>
            </w:r>
          </w:p>
        </w:tc>
        <w:tc>
          <w:tcPr>
            <w:tcW w:w="1247" w:type="dxa"/>
          </w:tcPr>
          <w:p w14:paraId="5EB04F7D" w14:textId="77777777" w:rsidR="00105997" w:rsidRPr="00284372" w:rsidRDefault="00105997" w:rsidP="00284372">
            <w:r w:rsidRPr="00284372">
              <w:t>No</w:t>
            </w:r>
          </w:p>
        </w:tc>
        <w:tc>
          <w:tcPr>
            <w:tcW w:w="1247" w:type="dxa"/>
          </w:tcPr>
          <w:p w14:paraId="2CE662C6" w14:textId="77777777" w:rsidR="00105997" w:rsidRPr="00284372" w:rsidRDefault="00105997" w:rsidP="00284372">
            <w:r w:rsidRPr="00284372">
              <w:t>Yes</w:t>
            </w:r>
          </w:p>
        </w:tc>
      </w:tr>
      <w:tr w:rsidR="004B0960" w14:paraId="04845D23" w14:textId="77777777" w:rsidTr="006C1202">
        <w:trPr>
          <w:trHeight w:val="510"/>
        </w:trPr>
        <w:tc>
          <w:tcPr>
            <w:tcW w:w="6521" w:type="dxa"/>
          </w:tcPr>
          <w:p w14:paraId="3F18F46B" w14:textId="77777777" w:rsidR="004B0960" w:rsidRPr="00284372" w:rsidRDefault="004B0960" w:rsidP="00284372">
            <w:r w:rsidRPr="00284372">
              <w:t>Carpet for entire room</w:t>
            </w:r>
            <w:r w:rsidR="00B05D8A">
              <w:t>.</w:t>
            </w:r>
          </w:p>
        </w:tc>
        <w:tc>
          <w:tcPr>
            <w:tcW w:w="1247" w:type="dxa"/>
          </w:tcPr>
          <w:p w14:paraId="3B658CA1" w14:textId="77777777" w:rsidR="004B0960" w:rsidRPr="00284372" w:rsidRDefault="004B0960" w:rsidP="00284372">
            <w:r w:rsidRPr="00284372">
              <w:t>Yes</w:t>
            </w:r>
          </w:p>
        </w:tc>
        <w:tc>
          <w:tcPr>
            <w:tcW w:w="1247" w:type="dxa"/>
          </w:tcPr>
          <w:p w14:paraId="41D0DB93" w14:textId="77777777" w:rsidR="004B0960" w:rsidRPr="00284372" w:rsidRDefault="004B0960" w:rsidP="00284372">
            <w:r w:rsidRPr="00284372">
              <w:t>No</w:t>
            </w:r>
          </w:p>
        </w:tc>
      </w:tr>
      <w:tr w:rsidR="004B0960" w14:paraId="76265C38" w14:textId="77777777" w:rsidTr="006C1202">
        <w:trPr>
          <w:trHeight w:val="510"/>
        </w:trPr>
        <w:tc>
          <w:tcPr>
            <w:tcW w:w="6521" w:type="dxa"/>
          </w:tcPr>
          <w:p w14:paraId="64F5CD2C" w14:textId="3FB10630" w:rsidR="004B0960" w:rsidRPr="00284372" w:rsidRDefault="004B0960" w:rsidP="00D10694">
            <w:r w:rsidRPr="00284372">
              <w:t>Tables an</w:t>
            </w:r>
            <w:r w:rsidR="00105997" w:rsidRPr="00284372">
              <w:t xml:space="preserve">d chairs individually </w:t>
            </w:r>
            <w:r w:rsidR="00D10694">
              <w:t xml:space="preserve">greater than or equal to </w:t>
            </w:r>
            <w:r w:rsidR="00105997" w:rsidRPr="00284372">
              <w:t>$5,000</w:t>
            </w:r>
            <w:r w:rsidR="00B05D8A">
              <w:t>.</w:t>
            </w:r>
          </w:p>
        </w:tc>
        <w:tc>
          <w:tcPr>
            <w:tcW w:w="1247" w:type="dxa"/>
          </w:tcPr>
          <w:p w14:paraId="44CCF96F" w14:textId="77777777" w:rsidR="004B0960" w:rsidRPr="00284372" w:rsidRDefault="00105997" w:rsidP="00284372">
            <w:r w:rsidRPr="00284372">
              <w:t>No</w:t>
            </w:r>
          </w:p>
        </w:tc>
        <w:tc>
          <w:tcPr>
            <w:tcW w:w="1247" w:type="dxa"/>
          </w:tcPr>
          <w:p w14:paraId="0689F91C" w14:textId="77777777" w:rsidR="004B0960" w:rsidRPr="00284372" w:rsidRDefault="00105997" w:rsidP="00284372">
            <w:r w:rsidRPr="00284372">
              <w:t>Yes</w:t>
            </w:r>
          </w:p>
        </w:tc>
      </w:tr>
      <w:tr w:rsidR="00105997" w14:paraId="35552EDD" w14:textId="77777777" w:rsidTr="006C1202">
        <w:trPr>
          <w:trHeight w:val="510"/>
        </w:trPr>
        <w:tc>
          <w:tcPr>
            <w:tcW w:w="6521" w:type="dxa"/>
          </w:tcPr>
          <w:p w14:paraId="38ACC143" w14:textId="054732FD" w:rsidR="00105997" w:rsidRPr="00284372" w:rsidRDefault="00105997" w:rsidP="00D10694">
            <w:r w:rsidRPr="00284372">
              <w:t xml:space="preserve">Moveable shelves individually </w:t>
            </w:r>
            <w:r w:rsidR="00D10694">
              <w:t xml:space="preserve">greater than or equal to </w:t>
            </w:r>
            <w:r w:rsidRPr="00284372">
              <w:t>$5,000</w:t>
            </w:r>
            <w:r w:rsidR="00B05D8A">
              <w:t>.</w:t>
            </w:r>
          </w:p>
        </w:tc>
        <w:tc>
          <w:tcPr>
            <w:tcW w:w="1247" w:type="dxa"/>
          </w:tcPr>
          <w:p w14:paraId="567EF6FD" w14:textId="77777777" w:rsidR="00105997" w:rsidRPr="00284372" w:rsidRDefault="00105997" w:rsidP="00284372">
            <w:r w:rsidRPr="00284372">
              <w:t>No</w:t>
            </w:r>
          </w:p>
        </w:tc>
        <w:tc>
          <w:tcPr>
            <w:tcW w:w="1247" w:type="dxa"/>
          </w:tcPr>
          <w:p w14:paraId="5FD624F8" w14:textId="77777777" w:rsidR="00105997" w:rsidRPr="00284372" w:rsidRDefault="00105997" w:rsidP="00284372">
            <w:r w:rsidRPr="00284372">
              <w:t>Yes</w:t>
            </w:r>
          </w:p>
        </w:tc>
      </w:tr>
      <w:tr w:rsidR="00105997" w14:paraId="310F70BC" w14:textId="77777777" w:rsidTr="006C1202">
        <w:trPr>
          <w:trHeight w:val="510"/>
        </w:trPr>
        <w:tc>
          <w:tcPr>
            <w:tcW w:w="6521" w:type="dxa"/>
          </w:tcPr>
          <w:p w14:paraId="1FF395ED" w14:textId="77777777" w:rsidR="00105997" w:rsidRPr="00284372" w:rsidRDefault="00105997" w:rsidP="00284372">
            <w:r w:rsidRPr="00284372">
              <w:t>Affixed shelves</w:t>
            </w:r>
            <w:r w:rsidR="00B05D8A">
              <w:t>.</w:t>
            </w:r>
          </w:p>
        </w:tc>
        <w:tc>
          <w:tcPr>
            <w:tcW w:w="1247" w:type="dxa"/>
          </w:tcPr>
          <w:p w14:paraId="5ECB5D11" w14:textId="77777777" w:rsidR="00105997" w:rsidRPr="00284372" w:rsidRDefault="00105997" w:rsidP="00284372">
            <w:r w:rsidRPr="00284372">
              <w:t>Yes</w:t>
            </w:r>
          </w:p>
        </w:tc>
        <w:tc>
          <w:tcPr>
            <w:tcW w:w="1247" w:type="dxa"/>
          </w:tcPr>
          <w:p w14:paraId="3ABE4951" w14:textId="77777777" w:rsidR="00105997" w:rsidRPr="00284372" w:rsidRDefault="00105997" w:rsidP="00284372">
            <w:r w:rsidRPr="00284372">
              <w:t>No</w:t>
            </w:r>
          </w:p>
        </w:tc>
      </w:tr>
    </w:tbl>
    <w:p w14:paraId="068D3DDA" w14:textId="47A8A266" w:rsidR="001D40A0" w:rsidRDefault="001D40A0" w:rsidP="00E12C68">
      <w:pPr>
        <w:pStyle w:val="Heading3"/>
      </w:pPr>
      <w:r w:rsidRPr="00B05D8A">
        <w:t>1</w:t>
      </w:r>
      <w:r w:rsidR="004C0967" w:rsidRPr="00B05D8A">
        <w:t>3.6.2</w:t>
      </w:r>
      <w:r w:rsidR="004C0967" w:rsidRPr="00B05D8A">
        <w:tab/>
      </w:r>
      <w:r w:rsidRPr="00B05D8A">
        <w:t xml:space="preserve">Case Studies of </w:t>
      </w:r>
      <w:r w:rsidR="004C0967" w:rsidRPr="00B05D8A">
        <w:t>initial Fit Out of a school classroom</w:t>
      </w:r>
    </w:p>
    <w:p w14:paraId="738A977A" w14:textId="77777777" w:rsidR="00595EAB" w:rsidRPr="00F12CF6" w:rsidRDefault="00595EAB" w:rsidP="00D10694">
      <w:pPr>
        <w:pStyle w:val="BodyText"/>
        <w:pBdr>
          <w:top w:val="single" w:sz="8" w:space="1" w:color="C00000" w:shadow="1"/>
          <w:left w:val="single" w:sz="8" w:space="4" w:color="C00000" w:shadow="1"/>
          <w:bottom w:val="single" w:sz="8" w:space="1" w:color="C00000" w:shadow="1"/>
          <w:right w:val="single" w:sz="8" w:space="4" w:color="C00000" w:shadow="1"/>
        </w:pBdr>
        <w:rPr>
          <w:color w:val="C00000"/>
          <w:sz w:val="20"/>
          <w:szCs w:val="20"/>
          <w:lang w:val="en-US"/>
        </w:rPr>
      </w:pPr>
      <w:r w:rsidRPr="00F12CF6">
        <w:rPr>
          <w:color w:val="C00000"/>
          <w:sz w:val="20"/>
          <w:szCs w:val="20"/>
          <w:lang w:val="en-US"/>
        </w:rPr>
        <w:t>Case Study – Initial Fit Out of a school classroom</w:t>
      </w:r>
    </w:p>
    <w:p w14:paraId="26E227DF"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 xml:space="preserve">As an example, if you had a classroom that has: </w:t>
      </w:r>
    </w:p>
    <w:p w14:paraId="4D2055ED"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t xml:space="preserve">18 tables @ $118.00 each </w:t>
      </w:r>
    </w:p>
    <w:p w14:paraId="6C8D3C9D"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t xml:space="preserve">24 chairs @ $23.00 each </w:t>
      </w:r>
    </w:p>
    <w:p w14:paraId="015B32DF"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r>
      <w:proofErr w:type="gramStart"/>
      <w:r w:rsidRPr="00F12CF6">
        <w:rPr>
          <w:w w:val="110"/>
          <w:sz w:val="20"/>
          <w:szCs w:val="20"/>
        </w:rPr>
        <w:t>a</w:t>
      </w:r>
      <w:proofErr w:type="gramEnd"/>
      <w:r w:rsidRPr="00F12CF6">
        <w:rPr>
          <w:w w:val="110"/>
          <w:sz w:val="20"/>
          <w:szCs w:val="20"/>
        </w:rPr>
        <w:t xml:space="preserve"> desk and chair for the teacher @ $249.00 and $68.00</w:t>
      </w:r>
    </w:p>
    <w:p w14:paraId="22BB54C7"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r>
      <w:proofErr w:type="gramStart"/>
      <w:r w:rsidRPr="00F12CF6">
        <w:rPr>
          <w:w w:val="110"/>
          <w:sz w:val="20"/>
          <w:szCs w:val="20"/>
        </w:rPr>
        <w:t>two</w:t>
      </w:r>
      <w:proofErr w:type="gramEnd"/>
      <w:r w:rsidRPr="00F12CF6">
        <w:rPr>
          <w:w w:val="110"/>
          <w:sz w:val="20"/>
          <w:szCs w:val="20"/>
        </w:rPr>
        <w:t xml:space="preserve"> sets of book shelves @ $350.00</w:t>
      </w:r>
    </w:p>
    <w:p w14:paraId="07B01FE1"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r>
      <w:proofErr w:type="gramStart"/>
      <w:r w:rsidRPr="00F12CF6">
        <w:rPr>
          <w:w w:val="110"/>
          <w:sz w:val="20"/>
          <w:szCs w:val="20"/>
        </w:rPr>
        <w:t>a</w:t>
      </w:r>
      <w:proofErr w:type="gramEnd"/>
      <w:r w:rsidRPr="00F12CF6">
        <w:rPr>
          <w:w w:val="110"/>
          <w:sz w:val="20"/>
          <w:szCs w:val="20"/>
        </w:rPr>
        <w:t xml:space="preserve"> blackboard @ $450.00</w:t>
      </w:r>
    </w:p>
    <w:p w14:paraId="0AC3A198"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t>a whiteboard (mobile) @ $250.00</w:t>
      </w:r>
    </w:p>
    <w:p w14:paraId="0E1AEB72"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t>carpet @ $3750.00</w:t>
      </w:r>
    </w:p>
    <w:p w14:paraId="39C73E7B"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rPr>
      </w:pPr>
      <w:r w:rsidRPr="00F12CF6">
        <w:rPr>
          <w:w w:val="110"/>
          <w:sz w:val="20"/>
          <w:szCs w:val="20"/>
        </w:rPr>
        <w:t>•</w:t>
      </w:r>
      <w:r w:rsidRPr="00F12CF6">
        <w:rPr>
          <w:w w:val="110"/>
          <w:sz w:val="20"/>
          <w:szCs w:val="20"/>
        </w:rPr>
        <w:tab/>
        <w:t>blinds or curtains @ $1534.00.</w:t>
      </w:r>
    </w:p>
    <w:p w14:paraId="2BB4D083" w14:textId="77777777" w:rsidR="00595EAB" w:rsidRPr="00F12CF6" w:rsidRDefault="00595EAB" w:rsidP="00D10694">
      <w:pPr>
        <w:pStyle w:val="BodyText2"/>
        <w:pBdr>
          <w:top w:val="single" w:sz="8" w:space="1" w:color="C00000" w:shadow="1"/>
          <w:left w:val="single" w:sz="8" w:space="4" w:color="C00000" w:shadow="1"/>
          <w:bottom w:val="single" w:sz="8" w:space="1" w:color="C00000" w:shadow="1"/>
          <w:right w:val="single" w:sz="8" w:space="4" w:color="C00000" w:shadow="1"/>
        </w:pBdr>
        <w:rPr>
          <w:w w:val="110"/>
          <w:sz w:val="20"/>
          <w:szCs w:val="20"/>
          <w:lang w:val="en-US"/>
        </w:rPr>
      </w:pPr>
      <w:r w:rsidRPr="00F12CF6">
        <w:rPr>
          <w:w w:val="110"/>
          <w:sz w:val="20"/>
          <w:szCs w:val="20"/>
        </w:rPr>
        <w:t>The total dollar value of the furniture and fittings in this room would be $5,734.00, as the only items that are capitalised in the initial fit out are ‘affixed’ items such as the carpet, blackboard (if fixed to the wall), blinds and curtains. All moveable items such as tables, chairs, desks, shelves and the moveable whiteboard are capitalised separately if they individually meet the Department’s threshold of $5,000. If the individual items are &lt;$5,000 then the item must be expensed to the most appropriate CASES21 Chart of account code.</w:t>
      </w:r>
      <w:r w:rsidRPr="00F12CF6">
        <w:rPr>
          <w:w w:val="110"/>
          <w:sz w:val="20"/>
          <w:szCs w:val="20"/>
          <w:lang w:val="en-US"/>
        </w:rPr>
        <w:t xml:space="preserve"> </w:t>
      </w:r>
    </w:p>
    <w:p w14:paraId="5A659EBE" w14:textId="4B81EEA7" w:rsidR="009F12E4" w:rsidRPr="006F7B96" w:rsidRDefault="009F12E4" w:rsidP="009F12E4">
      <w:pPr>
        <w:pStyle w:val="Heading2"/>
      </w:pPr>
      <w:r w:rsidRPr="006F7B96">
        <w:lastRenderedPageBreak/>
        <w:t>1</w:t>
      </w:r>
      <w:r>
        <w:t>3</w:t>
      </w:r>
      <w:r w:rsidRPr="006F7B96">
        <w:t>.</w:t>
      </w:r>
      <w:r w:rsidR="004C0967">
        <w:t>7</w:t>
      </w:r>
      <w:r>
        <w:tab/>
        <w:t xml:space="preserve">Asset </w:t>
      </w:r>
      <w:r w:rsidR="008E1CF2">
        <w:t>s</w:t>
      </w:r>
      <w:r>
        <w:t xml:space="preserve">tocktake </w:t>
      </w:r>
      <w:r w:rsidR="008E1CF2">
        <w:t>g</w:t>
      </w:r>
      <w:r>
        <w:t>uidelines</w:t>
      </w:r>
    </w:p>
    <w:p w14:paraId="0787C514" w14:textId="5F87BF17" w:rsidR="009F12E4" w:rsidRDefault="009F12E4" w:rsidP="00DB6664">
      <w:pPr>
        <w:pStyle w:val="Heading3"/>
        <w:rPr>
          <w:b w:val="0"/>
          <w:color w:val="auto"/>
          <w:sz w:val="22"/>
        </w:rPr>
      </w:pPr>
      <w:r w:rsidRPr="00F33CA5">
        <w:rPr>
          <w:b w:val="0"/>
          <w:color w:val="auto"/>
          <w:sz w:val="22"/>
        </w:rPr>
        <w:t xml:space="preserve">The accuracy and completeness of appropriate records is an essential basis for adequate </w:t>
      </w:r>
      <w:r>
        <w:rPr>
          <w:b w:val="0"/>
          <w:color w:val="auto"/>
          <w:sz w:val="22"/>
        </w:rPr>
        <w:t>a</w:t>
      </w:r>
      <w:r w:rsidRPr="00F33CA5">
        <w:rPr>
          <w:b w:val="0"/>
          <w:color w:val="auto"/>
          <w:sz w:val="22"/>
        </w:rPr>
        <w:t>sset verification.</w:t>
      </w:r>
    </w:p>
    <w:p w14:paraId="7EA052E0" w14:textId="77777777" w:rsidR="009F12E4" w:rsidRDefault="009F12E4" w:rsidP="009F12E4">
      <w:pPr>
        <w:pStyle w:val="Heading3"/>
      </w:pPr>
      <w:r w:rsidRPr="00DE4DB9">
        <w:t>1</w:t>
      </w:r>
      <w:r>
        <w:t>3</w:t>
      </w:r>
      <w:r w:rsidRPr="00DE4DB9">
        <w:t>.</w:t>
      </w:r>
      <w:r w:rsidR="00BC3A77">
        <w:t>7</w:t>
      </w:r>
      <w:r>
        <w:t>.</w:t>
      </w:r>
      <w:r w:rsidR="00AB7003">
        <w:t>1</w:t>
      </w:r>
      <w:r>
        <w:tab/>
      </w:r>
      <w:r w:rsidRPr="00DE4DB9">
        <w:t>Mandatory policy (</w:t>
      </w:r>
      <w:r>
        <w:t>Must do</w:t>
      </w:r>
      <w:r w:rsidRPr="00DE4DB9">
        <w:t>)</w:t>
      </w:r>
      <w:r>
        <w:t>:</w:t>
      </w:r>
    </w:p>
    <w:p w14:paraId="67984792" w14:textId="77777777" w:rsidR="009F12E4" w:rsidRPr="00C66E0B" w:rsidRDefault="009F12E4" w:rsidP="009F12E4">
      <w:pPr>
        <w:pStyle w:val="Heading3"/>
      </w:pPr>
      <w:r w:rsidRPr="00C66E0B">
        <w:t>Stocktake</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70"/>
        <w:gridCol w:w="7472"/>
        <w:gridCol w:w="851"/>
      </w:tblGrid>
      <w:tr w:rsidR="00B669A0" w:rsidRPr="0091756B" w14:paraId="2143C512" w14:textId="505AFFB4" w:rsidTr="00B669A0">
        <w:trPr>
          <w:trHeight w:val="511"/>
          <w:tblHeader/>
        </w:trPr>
        <w:tc>
          <w:tcPr>
            <w:tcW w:w="1170"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E66614C" w14:textId="4453A342" w:rsidR="00B669A0" w:rsidRPr="00B669A0" w:rsidRDefault="00B669A0" w:rsidP="003C7CAC">
            <w:pPr>
              <w:rPr>
                <w:b/>
                <w:sz w:val="18"/>
              </w:rPr>
            </w:pPr>
            <w:r>
              <w:rPr>
                <w:b/>
                <w:sz w:val="18"/>
              </w:rPr>
              <w:t xml:space="preserve">Sequence </w:t>
            </w:r>
            <w:r w:rsidRPr="00B669A0">
              <w:rPr>
                <w:b/>
                <w:sz w:val="18"/>
              </w:rPr>
              <w:t>Numbers</w:t>
            </w:r>
          </w:p>
        </w:tc>
        <w:tc>
          <w:tcPr>
            <w:tcW w:w="7472" w:type="dxa"/>
            <w:tcBorders>
              <w:top w:val="single" w:sz="4" w:space="0" w:color="000000"/>
              <w:left w:val="single" w:sz="4" w:space="0" w:color="auto"/>
              <w:bottom w:val="single" w:sz="4" w:space="0" w:color="000000"/>
              <w:right w:val="single" w:sz="4" w:space="0" w:color="000000"/>
            </w:tcBorders>
            <w:shd w:val="clear" w:color="auto" w:fill="auto"/>
          </w:tcPr>
          <w:p w14:paraId="18AF89BD" w14:textId="77777777" w:rsidR="00B669A0" w:rsidRPr="00E12C68" w:rsidRDefault="00B669A0" w:rsidP="003C7CAC">
            <w:pPr>
              <w:rPr>
                <w:b/>
                <w:sz w:val="20"/>
                <w:szCs w:val="20"/>
              </w:rPr>
            </w:pPr>
            <w:r w:rsidRPr="00E12C68">
              <w:rPr>
                <w:b/>
                <w:sz w:val="20"/>
                <w:szCs w:val="20"/>
              </w:rPr>
              <w:t>Information</w:t>
            </w:r>
          </w:p>
        </w:tc>
        <w:tc>
          <w:tcPr>
            <w:tcW w:w="851" w:type="dxa"/>
            <w:tcBorders>
              <w:top w:val="nil"/>
              <w:left w:val="single" w:sz="4" w:space="0" w:color="auto"/>
              <w:bottom w:val="single" w:sz="4" w:space="0" w:color="000000"/>
              <w:right w:val="nil"/>
            </w:tcBorders>
          </w:tcPr>
          <w:p w14:paraId="4E107BD9" w14:textId="77777777" w:rsidR="00B669A0" w:rsidRPr="00DE1622" w:rsidRDefault="00B669A0" w:rsidP="003C7CAC">
            <w:pPr>
              <w:rPr>
                <w:b/>
              </w:rPr>
            </w:pPr>
          </w:p>
        </w:tc>
      </w:tr>
      <w:tr w:rsidR="00B669A0" w:rsidRPr="00EC7D90" w14:paraId="18A8CAA4" w14:textId="696C1D67" w:rsidTr="00B669A0">
        <w:trPr>
          <w:trHeight w:val="3801"/>
        </w:trPr>
        <w:tc>
          <w:tcPr>
            <w:tcW w:w="1170" w:type="dxa"/>
            <w:tcBorders>
              <w:right w:val="single" w:sz="4" w:space="0" w:color="auto"/>
            </w:tcBorders>
          </w:tcPr>
          <w:p w14:paraId="57FE90F7" w14:textId="77777777" w:rsidR="00B669A0" w:rsidRPr="00284372" w:rsidRDefault="00B669A0" w:rsidP="00284372">
            <w:r w:rsidRPr="00284372">
              <w:t>13.7.1.1</w:t>
            </w:r>
          </w:p>
        </w:tc>
        <w:tc>
          <w:tcPr>
            <w:tcW w:w="7472" w:type="dxa"/>
            <w:tcBorders>
              <w:left w:val="single" w:sz="4" w:space="0" w:color="auto"/>
            </w:tcBorders>
          </w:tcPr>
          <w:p w14:paraId="5C0C4745" w14:textId="77777777" w:rsidR="00B669A0" w:rsidRDefault="00B669A0" w:rsidP="00284372">
            <w:r w:rsidRPr="00284372">
              <w:t>A physical stocktake of all assets must be conducted every two years. Each item must be sighted at least once every two years.</w:t>
            </w:r>
          </w:p>
          <w:p w14:paraId="5E16FF5A" w14:textId="77777777" w:rsidR="00B669A0" w:rsidRDefault="00B669A0" w:rsidP="00284372">
            <w:r w:rsidRPr="00284372">
              <w:t>An asset stocktake</w:t>
            </w:r>
            <w:r>
              <w:t>:</w:t>
            </w:r>
          </w:p>
          <w:p w14:paraId="334EFF01" w14:textId="402D1C6C" w:rsidR="00B669A0" w:rsidRDefault="00B669A0" w:rsidP="00CD3608">
            <w:pPr>
              <w:pStyle w:val="ListBullet"/>
            </w:pPr>
            <w:r w:rsidRPr="00284372">
              <w:t>can be performed in stages throughout the year</w:t>
            </w:r>
            <w:r>
              <w:t>;</w:t>
            </w:r>
          </w:p>
          <w:p w14:paraId="7899A4FF" w14:textId="208911F1" w:rsidR="00B669A0" w:rsidRDefault="00B669A0" w:rsidP="00CD3608">
            <w:pPr>
              <w:pStyle w:val="ListBullet"/>
            </w:pPr>
            <w:r>
              <w:t xml:space="preserve">must </w:t>
            </w:r>
            <w:r w:rsidRPr="00284372">
              <w:t>minimise interference to educational programs</w:t>
            </w:r>
            <w:r>
              <w:t>.</w:t>
            </w:r>
          </w:p>
          <w:p w14:paraId="395BD076" w14:textId="77777777" w:rsidR="00B669A0" w:rsidRDefault="00B669A0" w:rsidP="005D4402">
            <w:pPr>
              <w:ind w:left="60"/>
            </w:pPr>
            <w:r>
              <w:t>C</w:t>
            </w:r>
            <w:r w:rsidRPr="00284372">
              <w:t>ould be conducted on</w:t>
            </w:r>
            <w:r>
              <w:t>:</w:t>
            </w:r>
          </w:p>
          <w:p w14:paraId="1259023B" w14:textId="77777777" w:rsidR="00B669A0" w:rsidRPr="00F8472C" w:rsidRDefault="00B669A0" w:rsidP="00CD3608">
            <w:pPr>
              <w:pStyle w:val="ListBullet"/>
            </w:pPr>
            <w:r w:rsidRPr="00F8472C">
              <w:t>certain asset categories or groups of assets each month or in particular months;</w:t>
            </w:r>
          </w:p>
          <w:p w14:paraId="7BB75038" w14:textId="77777777" w:rsidR="00B669A0" w:rsidRPr="00F8472C" w:rsidRDefault="00B669A0" w:rsidP="00CD3608">
            <w:pPr>
              <w:pStyle w:val="ListBullet"/>
            </w:pPr>
            <w:r w:rsidRPr="00F8472C">
              <w:t>during each term; or</w:t>
            </w:r>
          </w:p>
          <w:p w14:paraId="428D7CCA" w14:textId="77777777" w:rsidR="00B669A0" w:rsidRPr="00284372" w:rsidRDefault="00B669A0" w:rsidP="00CD3608">
            <w:pPr>
              <w:pStyle w:val="ListBullet"/>
            </w:pPr>
            <w:r w:rsidRPr="00F8472C">
              <w:t>during vacation periods.</w:t>
            </w:r>
          </w:p>
        </w:tc>
        <w:tc>
          <w:tcPr>
            <w:tcW w:w="851" w:type="dxa"/>
            <w:tcBorders>
              <w:left w:val="single" w:sz="4" w:space="0" w:color="auto"/>
            </w:tcBorders>
          </w:tcPr>
          <w:p w14:paraId="73B0F5FF" w14:textId="77777777" w:rsidR="00B669A0" w:rsidRPr="00284372" w:rsidRDefault="00B669A0" w:rsidP="00284372"/>
        </w:tc>
      </w:tr>
      <w:tr w:rsidR="00B669A0" w:rsidRPr="00EC7D90" w14:paraId="6261FDD0" w14:textId="66DA21F5" w:rsidTr="00B669A0">
        <w:trPr>
          <w:trHeight w:val="567"/>
        </w:trPr>
        <w:tc>
          <w:tcPr>
            <w:tcW w:w="1170" w:type="dxa"/>
            <w:tcBorders>
              <w:bottom w:val="single" w:sz="4" w:space="0" w:color="000000"/>
              <w:right w:val="single" w:sz="4" w:space="0" w:color="auto"/>
            </w:tcBorders>
          </w:tcPr>
          <w:p w14:paraId="1E72C288" w14:textId="77777777" w:rsidR="00B669A0" w:rsidRPr="00284372" w:rsidRDefault="00B669A0" w:rsidP="005D4402">
            <w:r w:rsidRPr="00284372">
              <w:t>13.7.1.</w:t>
            </w:r>
            <w:r>
              <w:t>2</w:t>
            </w:r>
          </w:p>
        </w:tc>
        <w:tc>
          <w:tcPr>
            <w:tcW w:w="7472" w:type="dxa"/>
            <w:tcBorders>
              <w:left w:val="single" w:sz="4" w:space="0" w:color="auto"/>
              <w:bottom w:val="single" w:sz="4" w:space="0" w:color="000000"/>
            </w:tcBorders>
          </w:tcPr>
          <w:p w14:paraId="339DA3CA" w14:textId="77777777" w:rsidR="00B669A0" w:rsidRPr="00284372" w:rsidRDefault="00B669A0" w:rsidP="00284372">
            <w:r w:rsidRPr="00284372">
              <w:t>For attractive items or shared items (e.g. cameras), it would be prudent to sight these items at least once a term.</w:t>
            </w:r>
          </w:p>
        </w:tc>
        <w:tc>
          <w:tcPr>
            <w:tcW w:w="851" w:type="dxa"/>
            <w:tcBorders>
              <w:left w:val="single" w:sz="4" w:space="0" w:color="auto"/>
              <w:bottom w:val="single" w:sz="4" w:space="0" w:color="000000"/>
            </w:tcBorders>
          </w:tcPr>
          <w:p w14:paraId="5955AA9D" w14:textId="77777777" w:rsidR="00B669A0" w:rsidRPr="00284372" w:rsidRDefault="00B669A0" w:rsidP="00284372"/>
        </w:tc>
      </w:tr>
      <w:tr w:rsidR="00B669A0" w:rsidRPr="00EC7D90" w14:paraId="1291D58D" w14:textId="467F377B" w:rsidTr="00B669A0">
        <w:trPr>
          <w:trHeight w:val="6658"/>
        </w:trPr>
        <w:tc>
          <w:tcPr>
            <w:tcW w:w="1170" w:type="dxa"/>
            <w:tcBorders>
              <w:bottom w:val="nil"/>
              <w:right w:val="single" w:sz="4" w:space="0" w:color="auto"/>
            </w:tcBorders>
          </w:tcPr>
          <w:p w14:paraId="6452FE96" w14:textId="0558C96C" w:rsidR="00B669A0" w:rsidRPr="00284372" w:rsidRDefault="00E12C68" w:rsidP="005D4402">
            <w:r>
              <w:lastRenderedPageBreak/>
              <w:t>1</w:t>
            </w:r>
            <w:r w:rsidR="00B669A0" w:rsidRPr="00284372">
              <w:t>3.7.1.</w:t>
            </w:r>
            <w:r w:rsidR="00B669A0">
              <w:t>3</w:t>
            </w:r>
          </w:p>
        </w:tc>
        <w:tc>
          <w:tcPr>
            <w:tcW w:w="7472" w:type="dxa"/>
            <w:tcBorders>
              <w:left w:val="single" w:sz="4" w:space="0" w:color="auto"/>
              <w:bottom w:val="nil"/>
            </w:tcBorders>
          </w:tcPr>
          <w:p w14:paraId="5EFD9B27" w14:textId="77777777" w:rsidR="00B669A0" w:rsidRPr="00284372" w:rsidRDefault="00B669A0" w:rsidP="00284372">
            <w:r w:rsidRPr="00284372">
              <w:t>When carrying out stocktakes or asset verifications, regardless of the method used, the following procedures must be observed:</w:t>
            </w:r>
          </w:p>
          <w:p w14:paraId="42361F21" w14:textId="77777777" w:rsidR="00B669A0" w:rsidRPr="00F8472C" w:rsidRDefault="00B669A0" w:rsidP="00F8472C">
            <w:pPr>
              <w:pStyle w:val="ListBullet"/>
            </w:pPr>
            <w:r w:rsidRPr="00F8472C">
              <w:t>The principal must nominate the date or period of time for the stocktake to take place.</w:t>
            </w:r>
          </w:p>
          <w:p w14:paraId="31550769" w14:textId="77777777" w:rsidR="00B669A0" w:rsidRPr="00F8472C" w:rsidRDefault="00B669A0" w:rsidP="00F8472C">
            <w:pPr>
              <w:pStyle w:val="ListBullet"/>
            </w:pPr>
            <w:r w:rsidRPr="00F8472C">
              <w:t>A stocktaking officer must be appointed by the principal to conduct and supervise the stocktake. This person will be independent and must not have custody of any asset to be counted. Assistant stocktaking officers</w:t>
            </w:r>
            <w:r>
              <w:t xml:space="preserve"> (i.e. business manager)</w:t>
            </w:r>
            <w:r w:rsidRPr="00F8472C">
              <w:t>, being persons who have knowledge of the location and identity of the items in particular areas, must also be appointed. An assistant stocktaking officer can be someone who has the responsibility for, or custody of, assets.</w:t>
            </w:r>
          </w:p>
          <w:p w14:paraId="260A197E" w14:textId="77777777" w:rsidR="00B669A0" w:rsidRPr="00F8472C" w:rsidRDefault="00B669A0" w:rsidP="00F8472C">
            <w:pPr>
              <w:pStyle w:val="ListBullet"/>
            </w:pPr>
            <w:r w:rsidRPr="00F8472C">
              <w:t>Stocktake sheets</w:t>
            </w:r>
            <w:r>
              <w:t xml:space="preserve"> listing </w:t>
            </w:r>
            <w:r w:rsidRPr="00F8472C">
              <w:t>all assets held by the school, by name and location, must be prepared from the asset register.</w:t>
            </w:r>
          </w:p>
          <w:p w14:paraId="6C80C226" w14:textId="77777777" w:rsidR="00B669A0" w:rsidRPr="00F8472C" w:rsidRDefault="00B669A0" w:rsidP="00F8472C">
            <w:pPr>
              <w:pStyle w:val="ListBullet"/>
            </w:pPr>
            <w:r w:rsidRPr="00F8472C">
              <w:t>The stocktake sheets must list the serial numbers or other unique identifying reference against each asset to assist with the asset recognition.</w:t>
            </w:r>
          </w:p>
          <w:p w14:paraId="22A521AB" w14:textId="77777777" w:rsidR="00B669A0" w:rsidRDefault="00B669A0" w:rsidP="00EC48BF">
            <w:pPr>
              <w:pStyle w:val="ListBullet"/>
            </w:pPr>
            <w:r w:rsidRPr="00F8472C">
              <w:t>On the appointed date, the areas designated for the stocktake must be systematically checked for assets listed on the appropriate stocktake sheet by the stocktaking officer and one other person. The quantity of each item must be recorded on the stocktake sheet. The serial numbers or unique identifiers must also be confirmed on the stocktake sheet.</w:t>
            </w:r>
          </w:p>
          <w:p w14:paraId="34096C52" w14:textId="7EDDFC25" w:rsidR="00B669A0" w:rsidRPr="00F8472C" w:rsidRDefault="00B669A0" w:rsidP="00985105">
            <w:pPr>
              <w:pStyle w:val="ListBullet"/>
            </w:pPr>
            <w:r>
              <w:t>If a third party is engaged to conduct the stocktake, the use of electronic equipment may be used rather than stocktake sheets. The information that is to be provided in the stocktake sheets must be the same as what is entered into the electronic equipment used to conduct the stocktake.</w:t>
            </w:r>
          </w:p>
        </w:tc>
        <w:tc>
          <w:tcPr>
            <w:tcW w:w="851" w:type="dxa"/>
            <w:tcBorders>
              <w:left w:val="single" w:sz="4" w:space="0" w:color="auto"/>
              <w:bottom w:val="nil"/>
            </w:tcBorders>
          </w:tcPr>
          <w:p w14:paraId="1980397C" w14:textId="77777777" w:rsidR="00B669A0" w:rsidRPr="00284372" w:rsidRDefault="00B669A0" w:rsidP="00284372"/>
        </w:tc>
      </w:tr>
      <w:tr w:rsidR="00B669A0" w:rsidRPr="00EC7D90" w14:paraId="7326FDA7" w14:textId="672A0EAE" w:rsidTr="00B669A0">
        <w:trPr>
          <w:trHeight w:val="87"/>
        </w:trPr>
        <w:tc>
          <w:tcPr>
            <w:tcW w:w="1170" w:type="dxa"/>
            <w:tcBorders>
              <w:top w:val="nil"/>
            </w:tcBorders>
          </w:tcPr>
          <w:p w14:paraId="7FBA419C" w14:textId="77777777" w:rsidR="00B669A0" w:rsidRPr="00284372" w:rsidRDefault="00B669A0" w:rsidP="00284372"/>
        </w:tc>
        <w:tc>
          <w:tcPr>
            <w:tcW w:w="7472" w:type="dxa"/>
            <w:tcBorders>
              <w:top w:val="nil"/>
            </w:tcBorders>
          </w:tcPr>
          <w:p w14:paraId="2773F123" w14:textId="77777777" w:rsidR="00B669A0" w:rsidRPr="00F8472C" w:rsidRDefault="00B669A0" w:rsidP="00F8472C">
            <w:pPr>
              <w:pStyle w:val="ListBullet"/>
            </w:pPr>
            <w:r w:rsidRPr="00F8472C">
              <w:t>Items encountered that match the definition of an asset that is not on the stocktake sheet</w:t>
            </w:r>
            <w:r>
              <w:t xml:space="preserve">/report issued by the third party conducting the stocktake </w:t>
            </w:r>
            <w:r w:rsidRPr="00F8472C">
              <w:t>must be recorded for checking on the asset register.</w:t>
            </w:r>
          </w:p>
          <w:p w14:paraId="25F6A21C" w14:textId="77777777" w:rsidR="00B669A0" w:rsidRPr="00F8472C" w:rsidRDefault="00B669A0" w:rsidP="00F8472C">
            <w:pPr>
              <w:pStyle w:val="ListBullet"/>
            </w:pPr>
            <w:r w:rsidRPr="00F8472C">
              <w:t>On completion of the physical check of each stocktake sheet</w:t>
            </w:r>
            <w:r>
              <w:t>/report from the third party in the stocktake</w:t>
            </w:r>
            <w:r w:rsidRPr="00F8472C">
              <w:t>, the stocktaking officer must reconcile the count on the stocktake sheet</w:t>
            </w:r>
            <w:r>
              <w:t>/report</w:t>
            </w:r>
            <w:r w:rsidRPr="00F8472C">
              <w:t xml:space="preserve"> </w:t>
            </w:r>
            <w:r>
              <w:t xml:space="preserve">from third party engaged to conduct stocktake </w:t>
            </w:r>
            <w:r w:rsidRPr="00F8472C">
              <w:t>against the asset register.</w:t>
            </w:r>
          </w:p>
          <w:p w14:paraId="01B5D036" w14:textId="77777777" w:rsidR="00B669A0" w:rsidRPr="00F8472C" w:rsidRDefault="00B669A0" w:rsidP="00F8472C">
            <w:pPr>
              <w:pStyle w:val="ListBullet"/>
            </w:pPr>
            <w:r w:rsidRPr="00F8472C">
              <w:t>Where discrepancies are disclosed the items involved are subject to a recount.</w:t>
            </w:r>
          </w:p>
          <w:p w14:paraId="37015865" w14:textId="77777777" w:rsidR="00B669A0" w:rsidRPr="00284372" w:rsidRDefault="00B669A0" w:rsidP="00CD3608">
            <w:pPr>
              <w:pStyle w:val="ListParagraph"/>
              <w:numPr>
                <w:ilvl w:val="0"/>
                <w:numId w:val="62"/>
              </w:numPr>
            </w:pPr>
            <w:r>
              <w:t>All stocktake sheets or reports produced by the third party must be signed off by the officers who conducted the count and all discrepancies notified in writing to the principal.</w:t>
            </w:r>
          </w:p>
        </w:tc>
        <w:tc>
          <w:tcPr>
            <w:tcW w:w="851" w:type="dxa"/>
            <w:tcBorders>
              <w:top w:val="nil"/>
            </w:tcBorders>
          </w:tcPr>
          <w:p w14:paraId="538211BC" w14:textId="77777777" w:rsidR="00B669A0" w:rsidRPr="00F8472C" w:rsidRDefault="00B669A0" w:rsidP="00B669A0">
            <w:pPr>
              <w:pStyle w:val="ListBullet"/>
              <w:numPr>
                <w:ilvl w:val="0"/>
                <w:numId w:val="0"/>
              </w:numPr>
              <w:ind w:left="284"/>
            </w:pPr>
          </w:p>
        </w:tc>
      </w:tr>
      <w:tr w:rsidR="00B669A0" w:rsidRPr="00EC7D90" w14:paraId="2AAE1834" w14:textId="3FEF420C" w:rsidTr="00B669A0">
        <w:trPr>
          <w:trHeight w:val="567"/>
        </w:trPr>
        <w:tc>
          <w:tcPr>
            <w:tcW w:w="1170" w:type="dxa"/>
          </w:tcPr>
          <w:p w14:paraId="39DDF411" w14:textId="77777777" w:rsidR="00B669A0" w:rsidRPr="00284372" w:rsidRDefault="00B669A0" w:rsidP="005D4402">
            <w:r w:rsidRPr="00284372">
              <w:lastRenderedPageBreak/>
              <w:t>13.7.1.</w:t>
            </w:r>
            <w:r>
              <w:t>4</w:t>
            </w:r>
          </w:p>
        </w:tc>
        <w:tc>
          <w:tcPr>
            <w:tcW w:w="7472" w:type="dxa"/>
          </w:tcPr>
          <w:p w14:paraId="12E90885" w14:textId="77777777" w:rsidR="00B669A0" w:rsidRPr="00284372" w:rsidRDefault="00B669A0" w:rsidP="00284372">
            <w:r w:rsidRPr="00284372">
              <w:t>The stocktake results must accurately reconcile the physical assets to the assets recorded in the CASES21 Finance Asset register.</w:t>
            </w:r>
          </w:p>
        </w:tc>
        <w:tc>
          <w:tcPr>
            <w:tcW w:w="851" w:type="dxa"/>
          </w:tcPr>
          <w:p w14:paraId="58C59DA6" w14:textId="77777777" w:rsidR="00B669A0" w:rsidRPr="00284372" w:rsidRDefault="00B669A0" w:rsidP="00284372"/>
        </w:tc>
      </w:tr>
      <w:tr w:rsidR="00B669A0" w:rsidRPr="00EC7D90" w14:paraId="23301F7F" w14:textId="303DDA99" w:rsidTr="00B669A0">
        <w:trPr>
          <w:trHeight w:val="567"/>
        </w:trPr>
        <w:tc>
          <w:tcPr>
            <w:tcW w:w="1170" w:type="dxa"/>
          </w:tcPr>
          <w:p w14:paraId="73E3499F" w14:textId="77777777" w:rsidR="00B669A0" w:rsidRPr="00284372" w:rsidRDefault="00B669A0" w:rsidP="005D4402">
            <w:r w:rsidRPr="00284372">
              <w:t>13.7.1.</w:t>
            </w:r>
            <w:r>
              <w:t>5</w:t>
            </w:r>
          </w:p>
        </w:tc>
        <w:tc>
          <w:tcPr>
            <w:tcW w:w="7472" w:type="dxa"/>
          </w:tcPr>
          <w:p w14:paraId="718C4495" w14:textId="77777777" w:rsidR="00B669A0" w:rsidRPr="00284372" w:rsidRDefault="00B669A0" w:rsidP="00284372">
            <w:r w:rsidRPr="00284372">
              <w:t>All adjustments identified by the stocktake must be approved by the school council before an adjustment is recorded in CASES21 Asset register.</w:t>
            </w:r>
          </w:p>
        </w:tc>
        <w:tc>
          <w:tcPr>
            <w:tcW w:w="851" w:type="dxa"/>
          </w:tcPr>
          <w:p w14:paraId="4FF7EBA2" w14:textId="77777777" w:rsidR="00B669A0" w:rsidRPr="00284372" w:rsidRDefault="00B669A0" w:rsidP="00284372"/>
        </w:tc>
      </w:tr>
    </w:tbl>
    <w:p w14:paraId="14D44D7F" w14:textId="77777777" w:rsidR="005A6DE8" w:rsidRDefault="005A6DE8" w:rsidP="009F12E4">
      <w:pPr>
        <w:pStyle w:val="Heading3"/>
      </w:pPr>
    </w:p>
    <w:p w14:paraId="08350309" w14:textId="0C758DF9" w:rsidR="009F12E4" w:rsidRDefault="009F12E4" w:rsidP="009F12E4">
      <w:pPr>
        <w:pStyle w:val="Heading3"/>
      </w:pPr>
      <w:r w:rsidRPr="004E590C">
        <w:t xml:space="preserve">Discrepancies in Stocktake or Loss of Assets </w:t>
      </w:r>
    </w:p>
    <w:p w14:paraId="34E76AD0" w14:textId="33B89AA7" w:rsidR="00584886" w:rsidRPr="00F8472C" w:rsidRDefault="00584886" w:rsidP="00D10694">
      <w:r w:rsidRPr="00F8472C">
        <w:t>If a stocktake reveals a substantial discrepancy (for example items of equipment/furniture located that are not recorded in the asset register and/ or loss of equipment recorded in the equipment register), the following action must be taken:</w:t>
      </w:r>
    </w:p>
    <w:p w14:paraId="35668C09" w14:textId="77777777" w:rsidR="00584886" w:rsidRPr="00584886" w:rsidRDefault="00584886" w:rsidP="00D10694"/>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508"/>
        <w:gridCol w:w="851"/>
      </w:tblGrid>
      <w:tr w:rsidR="00B669A0" w:rsidRPr="0091756B" w14:paraId="44849B72" w14:textId="2C9A1A8A" w:rsidTr="00B669A0">
        <w:trPr>
          <w:trHeight w:val="757"/>
          <w:tblHeader/>
        </w:trPr>
        <w:tc>
          <w:tcPr>
            <w:tcW w:w="1134"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19A35619" w14:textId="3734C6D1" w:rsidR="00B669A0" w:rsidRPr="00B669A0" w:rsidRDefault="00B669A0" w:rsidP="00B669A0">
            <w:pPr>
              <w:rPr>
                <w:b/>
                <w:sz w:val="18"/>
              </w:rPr>
            </w:pPr>
            <w:r>
              <w:rPr>
                <w:b/>
                <w:sz w:val="18"/>
              </w:rPr>
              <w:t xml:space="preserve">Sequence </w:t>
            </w:r>
            <w:r w:rsidRPr="00B669A0">
              <w:rPr>
                <w:b/>
                <w:sz w:val="18"/>
              </w:rPr>
              <w:t>Numbers</w:t>
            </w:r>
          </w:p>
        </w:tc>
        <w:tc>
          <w:tcPr>
            <w:tcW w:w="7508" w:type="dxa"/>
            <w:tcBorders>
              <w:top w:val="single" w:sz="4" w:space="0" w:color="000000"/>
              <w:left w:val="single" w:sz="4" w:space="0" w:color="auto"/>
              <w:bottom w:val="single" w:sz="4" w:space="0" w:color="000000"/>
              <w:right w:val="single" w:sz="4" w:space="0" w:color="000000"/>
            </w:tcBorders>
            <w:shd w:val="clear" w:color="auto" w:fill="auto"/>
          </w:tcPr>
          <w:p w14:paraId="2A2ABC40" w14:textId="1F65827D" w:rsidR="00B669A0" w:rsidRPr="00E12C68" w:rsidRDefault="00B669A0" w:rsidP="00127ECC">
            <w:pPr>
              <w:pStyle w:val="ListBullet"/>
              <w:numPr>
                <w:ilvl w:val="0"/>
                <w:numId w:val="0"/>
              </w:numPr>
              <w:ind w:left="284" w:hanging="284"/>
              <w:rPr>
                <w:b/>
                <w:sz w:val="20"/>
                <w:szCs w:val="20"/>
              </w:rPr>
            </w:pPr>
            <w:r w:rsidRPr="00E12C68">
              <w:rPr>
                <w:b/>
                <w:sz w:val="20"/>
                <w:szCs w:val="20"/>
              </w:rPr>
              <w:t>Information</w:t>
            </w:r>
          </w:p>
        </w:tc>
        <w:tc>
          <w:tcPr>
            <w:tcW w:w="851" w:type="dxa"/>
            <w:tcBorders>
              <w:top w:val="nil"/>
              <w:left w:val="single" w:sz="4" w:space="0" w:color="auto"/>
              <w:bottom w:val="single" w:sz="4" w:space="0" w:color="000000"/>
              <w:right w:val="nil"/>
            </w:tcBorders>
          </w:tcPr>
          <w:p w14:paraId="2EF8F554" w14:textId="77777777" w:rsidR="00B669A0" w:rsidRPr="00127ECC" w:rsidRDefault="00B669A0" w:rsidP="00127ECC">
            <w:pPr>
              <w:pStyle w:val="ListBullet"/>
              <w:numPr>
                <w:ilvl w:val="0"/>
                <w:numId w:val="0"/>
              </w:numPr>
              <w:ind w:left="284" w:hanging="284"/>
              <w:rPr>
                <w:b/>
              </w:rPr>
            </w:pPr>
          </w:p>
        </w:tc>
      </w:tr>
      <w:tr w:rsidR="00B669A0" w:rsidRPr="00EC7D90" w14:paraId="21FE80AB" w14:textId="1FE85F26" w:rsidTr="00B669A0">
        <w:trPr>
          <w:trHeight w:val="815"/>
        </w:trPr>
        <w:tc>
          <w:tcPr>
            <w:tcW w:w="1134" w:type="dxa"/>
            <w:tcBorders>
              <w:right w:val="single" w:sz="4" w:space="0" w:color="auto"/>
            </w:tcBorders>
          </w:tcPr>
          <w:p w14:paraId="74C23713" w14:textId="77777777" w:rsidR="00B669A0" w:rsidRPr="00284372" w:rsidRDefault="00B669A0" w:rsidP="005D4402">
            <w:r w:rsidRPr="00284372">
              <w:t>13.7.1.</w:t>
            </w:r>
            <w:r>
              <w:t>6</w:t>
            </w:r>
          </w:p>
        </w:tc>
        <w:tc>
          <w:tcPr>
            <w:tcW w:w="7508" w:type="dxa"/>
            <w:tcBorders>
              <w:left w:val="single" w:sz="4" w:space="0" w:color="auto"/>
            </w:tcBorders>
          </w:tcPr>
          <w:p w14:paraId="4C5CD4A2" w14:textId="46586E93" w:rsidR="00B669A0" w:rsidRPr="00F8472C" w:rsidRDefault="00B669A0" w:rsidP="00B00655">
            <w:pPr>
              <w:pStyle w:val="ListBullet"/>
              <w:numPr>
                <w:ilvl w:val="0"/>
                <w:numId w:val="0"/>
              </w:numPr>
            </w:pPr>
            <w:r w:rsidRPr="00F8472C">
              <w:t>In the case of items not being recorded in the asset register, the matter must be drawn to the attention of the principal.</w:t>
            </w:r>
          </w:p>
        </w:tc>
        <w:tc>
          <w:tcPr>
            <w:tcW w:w="851" w:type="dxa"/>
            <w:tcBorders>
              <w:left w:val="single" w:sz="4" w:space="0" w:color="auto"/>
            </w:tcBorders>
          </w:tcPr>
          <w:p w14:paraId="30970128" w14:textId="77777777" w:rsidR="00B669A0" w:rsidRPr="00F8472C" w:rsidRDefault="00B669A0" w:rsidP="00B00655">
            <w:pPr>
              <w:pStyle w:val="ListBullet"/>
              <w:numPr>
                <w:ilvl w:val="0"/>
                <w:numId w:val="0"/>
              </w:numPr>
            </w:pPr>
          </w:p>
        </w:tc>
      </w:tr>
      <w:tr w:rsidR="00B669A0" w:rsidRPr="00EC7D90" w14:paraId="5B8D3742" w14:textId="2C1438E5" w:rsidTr="00B669A0">
        <w:trPr>
          <w:trHeight w:val="1266"/>
        </w:trPr>
        <w:tc>
          <w:tcPr>
            <w:tcW w:w="1134" w:type="dxa"/>
            <w:tcBorders>
              <w:right w:val="single" w:sz="4" w:space="0" w:color="auto"/>
            </w:tcBorders>
          </w:tcPr>
          <w:p w14:paraId="04DBAE73" w14:textId="298C0F49" w:rsidR="00B669A0" w:rsidRPr="00284372" w:rsidRDefault="00B669A0" w:rsidP="005D4402">
            <w:r>
              <w:t>13.7.1.7</w:t>
            </w:r>
          </w:p>
        </w:tc>
        <w:tc>
          <w:tcPr>
            <w:tcW w:w="7508" w:type="dxa"/>
            <w:tcBorders>
              <w:left w:val="single" w:sz="4" w:space="0" w:color="auto"/>
            </w:tcBorders>
          </w:tcPr>
          <w:p w14:paraId="7AC02F4A" w14:textId="530B46EE" w:rsidR="00B669A0" w:rsidRPr="00F8472C" w:rsidDel="00584886" w:rsidRDefault="00B669A0" w:rsidP="007B6B53">
            <w:pPr>
              <w:pStyle w:val="ListBullet"/>
              <w:numPr>
                <w:ilvl w:val="0"/>
                <w:numId w:val="0"/>
              </w:numPr>
            </w:pPr>
            <w:r w:rsidRPr="00F8472C">
              <w:t xml:space="preserve">An investigation must be undertaken to identify how the items were acquired. Only then will it be possible to determine whether the items are owned by the school </w:t>
            </w:r>
            <w:r>
              <w:t>and is</w:t>
            </w:r>
            <w:r w:rsidRPr="00F8472C">
              <w:t xml:space="preserve"> in its custody, the value (cost) of the items and whether they should be treated as school assets.</w:t>
            </w:r>
          </w:p>
        </w:tc>
        <w:tc>
          <w:tcPr>
            <w:tcW w:w="851" w:type="dxa"/>
            <w:tcBorders>
              <w:left w:val="single" w:sz="4" w:space="0" w:color="auto"/>
            </w:tcBorders>
          </w:tcPr>
          <w:p w14:paraId="1ED7691C" w14:textId="77777777" w:rsidR="00B669A0" w:rsidRPr="00F8472C" w:rsidRDefault="00B669A0" w:rsidP="007B6B53">
            <w:pPr>
              <w:pStyle w:val="ListBullet"/>
              <w:numPr>
                <w:ilvl w:val="0"/>
                <w:numId w:val="0"/>
              </w:numPr>
            </w:pPr>
          </w:p>
        </w:tc>
      </w:tr>
      <w:tr w:rsidR="00B669A0" w:rsidRPr="00EC7D90" w14:paraId="7C4387C1" w14:textId="48E80853" w:rsidTr="00B669A0">
        <w:trPr>
          <w:trHeight w:val="987"/>
        </w:trPr>
        <w:tc>
          <w:tcPr>
            <w:tcW w:w="1134" w:type="dxa"/>
            <w:tcBorders>
              <w:right w:val="single" w:sz="4" w:space="0" w:color="auto"/>
            </w:tcBorders>
          </w:tcPr>
          <w:p w14:paraId="3A288B64" w14:textId="79AF6D49" w:rsidR="00B669A0" w:rsidRDefault="00B669A0" w:rsidP="005D4402">
            <w:r>
              <w:t>13.7.1.8</w:t>
            </w:r>
          </w:p>
        </w:tc>
        <w:tc>
          <w:tcPr>
            <w:tcW w:w="7508" w:type="dxa"/>
            <w:tcBorders>
              <w:left w:val="single" w:sz="4" w:space="0" w:color="auto"/>
            </w:tcBorders>
          </w:tcPr>
          <w:p w14:paraId="4AFCBEFD" w14:textId="77777777" w:rsidR="00B669A0" w:rsidRPr="00284372" w:rsidRDefault="00B669A0" w:rsidP="00731042">
            <w:r w:rsidRPr="00284372">
              <w:t>In the case of asset additions because of stocktaking activities, the school must:</w:t>
            </w:r>
          </w:p>
          <w:p w14:paraId="5D37C241" w14:textId="0AFDA19D" w:rsidR="00B669A0" w:rsidRPr="00F8472C" w:rsidRDefault="00B669A0" w:rsidP="00731042">
            <w:pPr>
              <w:pStyle w:val="ListBullet"/>
            </w:pPr>
            <w:r w:rsidRPr="00F8472C">
              <w:t xml:space="preserve">Determine the fair value of the asset and advise Schools Financial </w:t>
            </w:r>
            <w:r w:rsidRPr="00731042">
              <w:t>Management</w:t>
            </w:r>
            <w:r w:rsidRPr="00F8472C">
              <w:t xml:space="preserve"> Support team, if the value of the asset is </w:t>
            </w:r>
            <w:r>
              <w:t xml:space="preserve">greater than or equal to </w:t>
            </w:r>
            <w:r w:rsidRPr="00F8472C">
              <w:t xml:space="preserve">$5,000. Email: </w:t>
            </w:r>
            <w:hyperlink r:id="rId13" w:history="1">
              <w:r w:rsidRPr="00F8472C">
                <w:rPr>
                  <w:rStyle w:val="Hyperlink"/>
                </w:rPr>
                <w:t>schools.finance.support@edumail.vic.gov.au</w:t>
              </w:r>
            </w:hyperlink>
          </w:p>
          <w:p w14:paraId="40784C2D" w14:textId="4DD41483" w:rsidR="00B669A0" w:rsidRPr="00F8472C" w:rsidRDefault="00B669A0" w:rsidP="005F23E5">
            <w:pPr>
              <w:pStyle w:val="ListBullet"/>
            </w:pPr>
            <w:r w:rsidRPr="00F8472C">
              <w:t xml:space="preserve">Schools Financial Management Support team will liaise with Financial Services Division (FSD) to assess the asset and verify the value. If the value of the asset is found to be less than $5,000 then the school </w:t>
            </w:r>
            <w:r>
              <w:t>must</w:t>
            </w:r>
            <w:r w:rsidRPr="00F8472C">
              <w:t xml:space="preserve"> create the asset in CASES21 using ‘PY’ as the asset type and assign a value of zero. If the asset is found to be greater than</w:t>
            </w:r>
            <w:r>
              <w:t xml:space="preserve"> or equal to </w:t>
            </w:r>
            <w:r w:rsidRPr="00F8472C">
              <w:t xml:space="preserve">$5,000 then the school will be advised of the appropriate asset type by FSD, process an asset additions journal to adjust the quantity and price for the asset, process a subsequent General Ledger journal to reflect the value added in the additions journal and send supporting documentation to </w:t>
            </w:r>
            <w:hyperlink r:id="rId14" w:history="1">
              <w:r w:rsidRPr="00F8472C">
                <w:rPr>
                  <w:rStyle w:val="Hyperlink"/>
                </w:rPr>
                <w:t>det.asset.accounting@edumail.vic.gov.au</w:t>
              </w:r>
            </w:hyperlink>
            <w:r>
              <w:t xml:space="preserve"> </w:t>
            </w:r>
            <w:r>
              <w:br/>
            </w:r>
          </w:p>
        </w:tc>
        <w:tc>
          <w:tcPr>
            <w:tcW w:w="851" w:type="dxa"/>
            <w:tcBorders>
              <w:left w:val="single" w:sz="4" w:space="0" w:color="auto"/>
            </w:tcBorders>
          </w:tcPr>
          <w:p w14:paraId="089437FD" w14:textId="77777777" w:rsidR="00B669A0" w:rsidRPr="00284372" w:rsidRDefault="00B669A0" w:rsidP="00731042"/>
        </w:tc>
      </w:tr>
      <w:tr w:rsidR="00B669A0" w:rsidRPr="00EC7D90" w14:paraId="53DFC462" w14:textId="3934A49A" w:rsidTr="00B669A0">
        <w:trPr>
          <w:trHeight w:val="1393"/>
        </w:trPr>
        <w:tc>
          <w:tcPr>
            <w:tcW w:w="1134" w:type="dxa"/>
            <w:tcBorders>
              <w:right w:val="single" w:sz="4" w:space="0" w:color="auto"/>
            </w:tcBorders>
          </w:tcPr>
          <w:p w14:paraId="36CA4F77" w14:textId="34C1BEA1" w:rsidR="00B669A0" w:rsidRDefault="00B669A0" w:rsidP="005D4402">
            <w:r>
              <w:lastRenderedPageBreak/>
              <w:t>13.7.1.9</w:t>
            </w:r>
          </w:p>
        </w:tc>
        <w:tc>
          <w:tcPr>
            <w:tcW w:w="7508" w:type="dxa"/>
            <w:tcBorders>
              <w:left w:val="single" w:sz="4" w:space="0" w:color="auto"/>
            </w:tcBorders>
          </w:tcPr>
          <w:p w14:paraId="0A5763DF" w14:textId="1FE14077" w:rsidR="00B669A0" w:rsidRPr="00284372" w:rsidRDefault="00B669A0" w:rsidP="00731042">
            <w:r w:rsidRPr="00F8472C">
              <w:t>In the case of loss of equipment, an officer must be appointed by the principal to investigate. The principal must be provided with a written report of discrepancies stating what action has been taken to locate the missing items.</w:t>
            </w:r>
          </w:p>
        </w:tc>
        <w:tc>
          <w:tcPr>
            <w:tcW w:w="851" w:type="dxa"/>
            <w:tcBorders>
              <w:left w:val="single" w:sz="4" w:space="0" w:color="auto"/>
            </w:tcBorders>
          </w:tcPr>
          <w:p w14:paraId="339B6A8F" w14:textId="77777777" w:rsidR="00B669A0" w:rsidRPr="00F8472C" w:rsidRDefault="00B669A0" w:rsidP="00731042"/>
        </w:tc>
      </w:tr>
      <w:tr w:rsidR="00B669A0" w:rsidRPr="00EC7D90" w14:paraId="7DC16EE8" w14:textId="6C53B5C8" w:rsidTr="00B669A0">
        <w:trPr>
          <w:trHeight w:val="987"/>
        </w:trPr>
        <w:tc>
          <w:tcPr>
            <w:tcW w:w="1134" w:type="dxa"/>
            <w:tcBorders>
              <w:right w:val="single" w:sz="4" w:space="0" w:color="auto"/>
            </w:tcBorders>
          </w:tcPr>
          <w:p w14:paraId="25013C76" w14:textId="2D92BFD1" w:rsidR="00B669A0" w:rsidRDefault="00B669A0" w:rsidP="005D4402">
            <w:r>
              <w:t>13.7.1.10</w:t>
            </w:r>
          </w:p>
        </w:tc>
        <w:tc>
          <w:tcPr>
            <w:tcW w:w="7508" w:type="dxa"/>
            <w:tcBorders>
              <w:left w:val="single" w:sz="4" w:space="0" w:color="auto"/>
            </w:tcBorders>
          </w:tcPr>
          <w:p w14:paraId="0CD15396" w14:textId="77777777" w:rsidR="00B669A0" w:rsidRDefault="00B669A0" w:rsidP="005F23E5">
            <w:r>
              <w:t xml:space="preserve">The principal must then </w:t>
            </w:r>
            <w:r w:rsidRPr="00F8472C">
              <w:t>recommend to the school council the appropriate action</w:t>
            </w:r>
            <w:r>
              <w:t>/s</w:t>
            </w:r>
            <w:r w:rsidRPr="00F8472C">
              <w:t xml:space="preserve"> that must be taken. </w:t>
            </w:r>
          </w:p>
          <w:p w14:paraId="3B793A08" w14:textId="177BB555" w:rsidR="00B669A0" w:rsidRPr="00F8472C" w:rsidRDefault="00B669A0" w:rsidP="005F23E5">
            <w:r w:rsidRPr="00F8472C">
              <w:t xml:space="preserve">Regulations require that all cases of suspected or actual theft, wilful damage, arson, irregularity or fraud in receipt or disposal of money or other property of any kind is to be reported to the regional director and relevant </w:t>
            </w:r>
            <w:r w:rsidRPr="00731042">
              <w:t>department</w:t>
            </w:r>
            <w:r w:rsidRPr="00F8472C">
              <w:t xml:space="preserve"> personnel. Refer to </w:t>
            </w:r>
            <w:r>
              <w:t>s</w:t>
            </w:r>
            <w:r w:rsidRPr="00F8472C">
              <w:t>ection 3 Risk Management.</w:t>
            </w:r>
            <w:r>
              <w:t xml:space="preserve"> </w:t>
            </w:r>
          </w:p>
        </w:tc>
        <w:tc>
          <w:tcPr>
            <w:tcW w:w="851" w:type="dxa"/>
            <w:tcBorders>
              <w:left w:val="single" w:sz="4" w:space="0" w:color="auto"/>
            </w:tcBorders>
          </w:tcPr>
          <w:p w14:paraId="62719E95" w14:textId="77777777" w:rsidR="00B669A0" w:rsidRDefault="00B669A0" w:rsidP="005F23E5"/>
        </w:tc>
      </w:tr>
      <w:tr w:rsidR="00B669A0" w:rsidRPr="00EC7D90" w14:paraId="27F597A2" w14:textId="3BDDADBE" w:rsidTr="00B669A0">
        <w:trPr>
          <w:trHeight w:val="987"/>
        </w:trPr>
        <w:tc>
          <w:tcPr>
            <w:tcW w:w="1134" w:type="dxa"/>
            <w:tcBorders>
              <w:right w:val="single" w:sz="4" w:space="0" w:color="auto"/>
            </w:tcBorders>
          </w:tcPr>
          <w:p w14:paraId="2B4D127B" w14:textId="122C372C" w:rsidR="00B669A0" w:rsidRDefault="00B669A0" w:rsidP="005D4402">
            <w:r>
              <w:t>13.7.1.11</w:t>
            </w:r>
          </w:p>
        </w:tc>
        <w:tc>
          <w:tcPr>
            <w:tcW w:w="7508" w:type="dxa"/>
            <w:tcBorders>
              <w:left w:val="single" w:sz="4" w:space="0" w:color="auto"/>
            </w:tcBorders>
          </w:tcPr>
          <w:p w14:paraId="46CAB60D" w14:textId="09DDE767" w:rsidR="00B669A0" w:rsidRDefault="00B669A0" w:rsidP="006C1202">
            <w:r w:rsidRPr="00F8472C">
              <w:t>A police report must be filed if the value of the stolen/lost asset is above the Department’s capitalisation threshold (greater than or equal to $5,000).</w:t>
            </w:r>
          </w:p>
        </w:tc>
        <w:tc>
          <w:tcPr>
            <w:tcW w:w="851" w:type="dxa"/>
            <w:tcBorders>
              <w:left w:val="single" w:sz="4" w:space="0" w:color="auto"/>
            </w:tcBorders>
          </w:tcPr>
          <w:p w14:paraId="425F3647" w14:textId="77777777" w:rsidR="00B669A0" w:rsidRPr="00F8472C" w:rsidRDefault="00B669A0" w:rsidP="006C1202"/>
        </w:tc>
      </w:tr>
      <w:tr w:rsidR="00B669A0" w:rsidRPr="00EC7D90" w14:paraId="1969F013" w14:textId="59B21CFB" w:rsidTr="00B669A0">
        <w:trPr>
          <w:trHeight w:val="987"/>
        </w:trPr>
        <w:tc>
          <w:tcPr>
            <w:tcW w:w="1134" w:type="dxa"/>
            <w:tcBorders>
              <w:right w:val="single" w:sz="4" w:space="0" w:color="auto"/>
            </w:tcBorders>
          </w:tcPr>
          <w:p w14:paraId="5C886F3F" w14:textId="2811D1B8" w:rsidR="00B669A0" w:rsidRDefault="00B669A0" w:rsidP="005D4402">
            <w:r>
              <w:t>13.7.1.12</w:t>
            </w:r>
          </w:p>
        </w:tc>
        <w:tc>
          <w:tcPr>
            <w:tcW w:w="7508" w:type="dxa"/>
            <w:tcBorders>
              <w:left w:val="single" w:sz="4" w:space="0" w:color="auto"/>
            </w:tcBorders>
          </w:tcPr>
          <w:p w14:paraId="7920A477" w14:textId="64D552F6" w:rsidR="00B669A0" w:rsidRPr="00F8472C" w:rsidRDefault="00B669A0" w:rsidP="00731042">
            <w:r w:rsidRPr="00F8472C">
              <w:t xml:space="preserve">If the </w:t>
            </w:r>
            <w:r w:rsidRPr="00731042">
              <w:t>school</w:t>
            </w:r>
            <w:r w:rsidRPr="00F8472C">
              <w:t xml:space="preserve"> council is satisfied that any missing item cannot be recovered and appropriate action has been taken as above, the next action is to write off the item and adjust the asset register in CASES21.</w:t>
            </w:r>
          </w:p>
        </w:tc>
        <w:tc>
          <w:tcPr>
            <w:tcW w:w="851" w:type="dxa"/>
            <w:tcBorders>
              <w:left w:val="single" w:sz="4" w:space="0" w:color="auto"/>
            </w:tcBorders>
          </w:tcPr>
          <w:p w14:paraId="210EA533" w14:textId="77777777" w:rsidR="00B669A0" w:rsidRPr="00F8472C" w:rsidRDefault="00B669A0" w:rsidP="00731042"/>
        </w:tc>
      </w:tr>
    </w:tbl>
    <w:p w14:paraId="3B9ADA57" w14:textId="77777777" w:rsidR="009F12E4" w:rsidRDefault="009F12E4" w:rsidP="009F12E4">
      <w:pPr>
        <w:pStyle w:val="Heading3"/>
      </w:pPr>
      <w:r w:rsidRPr="00DE4DB9">
        <w:t>1</w:t>
      </w:r>
      <w:r>
        <w:t>3</w:t>
      </w:r>
      <w:r w:rsidRPr="00DE4DB9">
        <w:t>.</w:t>
      </w:r>
      <w:r w:rsidR="00577EC4">
        <w:t>7</w:t>
      </w:r>
      <w:r>
        <w:t>.</w:t>
      </w:r>
      <w:r w:rsidR="00AB7003">
        <w:t>2</w:t>
      </w:r>
      <w:r>
        <w:tab/>
        <w:t>Stocktake of Library Materials</w:t>
      </w:r>
    </w:p>
    <w:p w14:paraId="3EB71A9D" w14:textId="77777777" w:rsidR="009F12E4" w:rsidRPr="00284372" w:rsidRDefault="009F12E4" w:rsidP="005D4402">
      <w:r w:rsidRPr="00284372">
        <w:t>The increasing importance of library resources in the educational programs of schools and the number, variety and monetary value of these resources make the effectiveness of the library’s stock control methods central to the safeguarding of assets and the efficient operation of the library.</w:t>
      </w:r>
    </w:p>
    <w:p w14:paraId="1184DF2A" w14:textId="77777777" w:rsidR="009F12E4" w:rsidRPr="00317AB9" w:rsidRDefault="009F12E4" w:rsidP="009F12E4">
      <w:pPr>
        <w:pStyle w:val="Heading3"/>
      </w:pPr>
      <w:r w:rsidRPr="00317AB9">
        <w:t>1</w:t>
      </w:r>
      <w:r>
        <w:t>3.</w:t>
      </w:r>
      <w:r w:rsidR="00577EC4">
        <w:t>7</w:t>
      </w:r>
      <w:r>
        <w:t>.</w:t>
      </w:r>
      <w:r w:rsidR="00AB7003">
        <w:t>3</w:t>
      </w:r>
      <w:r w:rsidRPr="00317AB9">
        <w:tab/>
        <w:t>Mandatory policy (</w:t>
      </w:r>
      <w:r>
        <w:t>Must do</w:t>
      </w:r>
      <w:r w:rsidRPr="00317AB9">
        <w:t>):</w:t>
      </w:r>
    </w:p>
    <w:tbl>
      <w:tblPr>
        <w:tblW w:w="943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70"/>
        <w:gridCol w:w="7415"/>
        <w:gridCol w:w="851"/>
      </w:tblGrid>
      <w:tr w:rsidR="00B669A0" w:rsidRPr="0091756B" w14:paraId="7D31CF42" w14:textId="43027A43" w:rsidTr="00B669A0">
        <w:trPr>
          <w:trHeight w:val="567"/>
          <w:tblHeader/>
        </w:trPr>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C77CA2" w14:textId="391E0808" w:rsidR="00B669A0" w:rsidRPr="00B669A0" w:rsidRDefault="00B669A0" w:rsidP="003C7CAC">
            <w:pPr>
              <w:rPr>
                <w:b/>
                <w:sz w:val="18"/>
              </w:rPr>
            </w:pPr>
            <w:r>
              <w:rPr>
                <w:b/>
                <w:sz w:val="18"/>
              </w:rPr>
              <w:t xml:space="preserve">Sequence </w:t>
            </w:r>
            <w:r w:rsidRPr="00B669A0">
              <w:rPr>
                <w:b/>
                <w:sz w:val="18"/>
              </w:rPr>
              <w:t>Numbers</w:t>
            </w:r>
          </w:p>
        </w:tc>
        <w:tc>
          <w:tcPr>
            <w:tcW w:w="7415" w:type="dxa"/>
            <w:tcBorders>
              <w:top w:val="single" w:sz="4" w:space="0" w:color="000000"/>
              <w:left w:val="single" w:sz="4" w:space="0" w:color="000000"/>
              <w:bottom w:val="single" w:sz="4" w:space="0" w:color="000000"/>
              <w:right w:val="single" w:sz="4" w:space="0" w:color="000000"/>
            </w:tcBorders>
            <w:shd w:val="clear" w:color="auto" w:fill="auto"/>
          </w:tcPr>
          <w:p w14:paraId="36051CE2" w14:textId="77777777" w:rsidR="00B669A0" w:rsidRPr="00F12CF6" w:rsidRDefault="00B669A0" w:rsidP="003C7CAC">
            <w:pPr>
              <w:rPr>
                <w:b/>
                <w:sz w:val="20"/>
                <w:szCs w:val="20"/>
              </w:rPr>
            </w:pPr>
            <w:r w:rsidRPr="00F12CF6">
              <w:rPr>
                <w:b/>
                <w:sz w:val="20"/>
                <w:szCs w:val="20"/>
              </w:rPr>
              <w:t>Information</w:t>
            </w:r>
          </w:p>
        </w:tc>
        <w:tc>
          <w:tcPr>
            <w:tcW w:w="851" w:type="dxa"/>
            <w:tcBorders>
              <w:top w:val="nil"/>
              <w:left w:val="single" w:sz="4" w:space="0" w:color="000000"/>
              <w:bottom w:val="single" w:sz="4" w:space="0" w:color="000000"/>
              <w:right w:val="nil"/>
            </w:tcBorders>
          </w:tcPr>
          <w:p w14:paraId="51192E29" w14:textId="77777777" w:rsidR="00B669A0" w:rsidRPr="00127ECC" w:rsidRDefault="00B669A0" w:rsidP="003C7CAC">
            <w:pPr>
              <w:rPr>
                <w:b/>
              </w:rPr>
            </w:pPr>
          </w:p>
        </w:tc>
      </w:tr>
      <w:tr w:rsidR="00B669A0" w:rsidRPr="00D94A93" w14:paraId="69A69016" w14:textId="4E0CC238" w:rsidTr="00B669A0">
        <w:trPr>
          <w:trHeight w:val="567"/>
        </w:trPr>
        <w:tc>
          <w:tcPr>
            <w:tcW w:w="1170" w:type="dxa"/>
          </w:tcPr>
          <w:p w14:paraId="317217D7" w14:textId="77777777" w:rsidR="00B669A0" w:rsidRPr="00284372" w:rsidRDefault="00B669A0" w:rsidP="00284372">
            <w:r w:rsidRPr="00284372">
              <w:t>13.7.3.1</w:t>
            </w:r>
          </w:p>
        </w:tc>
        <w:tc>
          <w:tcPr>
            <w:tcW w:w="7415" w:type="dxa"/>
          </w:tcPr>
          <w:p w14:paraId="010954D2" w14:textId="77777777" w:rsidR="00B669A0" w:rsidRPr="00284372" w:rsidRDefault="00B669A0" w:rsidP="00284372">
            <w:r w:rsidRPr="00284372">
              <w:t>A full stocktake of library books and publications is to be carried out once every two years.</w:t>
            </w:r>
          </w:p>
        </w:tc>
        <w:tc>
          <w:tcPr>
            <w:tcW w:w="851" w:type="dxa"/>
          </w:tcPr>
          <w:p w14:paraId="5A83CAB0" w14:textId="77777777" w:rsidR="00B669A0" w:rsidRPr="00284372" w:rsidRDefault="00B669A0" w:rsidP="00284372"/>
        </w:tc>
      </w:tr>
      <w:tr w:rsidR="00B669A0" w:rsidRPr="00D94A93" w14:paraId="087F892C" w14:textId="0D03B4CE" w:rsidTr="00B669A0">
        <w:trPr>
          <w:trHeight w:val="567"/>
        </w:trPr>
        <w:tc>
          <w:tcPr>
            <w:tcW w:w="1170" w:type="dxa"/>
          </w:tcPr>
          <w:p w14:paraId="35F29680" w14:textId="77777777" w:rsidR="00B669A0" w:rsidRPr="00284372" w:rsidRDefault="00B669A0" w:rsidP="00284372">
            <w:r w:rsidRPr="00284372">
              <w:t>13.7.3.2</w:t>
            </w:r>
          </w:p>
        </w:tc>
        <w:tc>
          <w:tcPr>
            <w:tcW w:w="7415" w:type="dxa"/>
          </w:tcPr>
          <w:p w14:paraId="368485AA" w14:textId="77777777" w:rsidR="00B669A0" w:rsidRPr="00284372" w:rsidRDefault="00B669A0" w:rsidP="00284372">
            <w:r w:rsidRPr="00284372">
              <w:t>While educational evaluations of libraries such as culling, updating the catalogue and reorganising records can be conducted at any time, the stocktake provides a good opportunity to carry out these tasks.</w:t>
            </w:r>
          </w:p>
        </w:tc>
        <w:tc>
          <w:tcPr>
            <w:tcW w:w="851" w:type="dxa"/>
          </w:tcPr>
          <w:p w14:paraId="623C07C5" w14:textId="77777777" w:rsidR="00B669A0" w:rsidRPr="00284372" w:rsidRDefault="00B669A0" w:rsidP="00284372"/>
        </w:tc>
      </w:tr>
      <w:tr w:rsidR="00B669A0" w:rsidRPr="00D94A93" w14:paraId="77631559" w14:textId="3402EE9A" w:rsidTr="00B669A0">
        <w:trPr>
          <w:trHeight w:val="567"/>
        </w:trPr>
        <w:tc>
          <w:tcPr>
            <w:tcW w:w="1170" w:type="dxa"/>
          </w:tcPr>
          <w:p w14:paraId="1FBE017A" w14:textId="77777777" w:rsidR="00B669A0" w:rsidRPr="00284372" w:rsidRDefault="00B669A0" w:rsidP="00284372">
            <w:r w:rsidRPr="00284372">
              <w:t>13.7.3.3</w:t>
            </w:r>
          </w:p>
        </w:tc>
        <w:tc>
          <w:tcPr>
            <w:tcW w:w="7415" w:type="dxa"/>
          </w:tcPr>
          <w:p w14:paraId="574B6A67" w14:textId="7FE831CD" w:rsidR="00B669A0" w:rsidRPr="00284372" w:rsidRDefault="00B669A0" w:rsidP="00284372">
            <w:r w:rsidRPr="00284372">
              <w:t xml:space="preserve">Stocktakes are to be conducted in liaison with the library manager at such times as the principal considers best </w:t>
            </w:r>
            <w:r>
              <w:t xml:space="preserve">to </w:t>
            </w:r>
            <w:r w:rsidRPr="00284372">
              <w:t>achieve the aims of effective stock and education management of the library resource. This is to be achieved with a minimum of interference to the school’s educational program.</w:t>
            </w:r>
          </w:p>
        </w:tc>
        <w:tc>
          <w:tcPr>
            <w:tcW w:w="851" w:type="dxa"/>
          </w:tcPr>
          <w:p w14:paraId="6F886235" w14:textId="77777777" w:rsidR="00B669A0" w:rsidRPr="00284372" w:rsidRDefault="00B669A0" w:rsidP="00284372"/>
        </w:tc>
      </w:tr>
      <w:tr w:rsidR="00B669A0" w:rsidRPr="00D94A93" w14:paraId="56CDD4E6" w14:textId="5E2C8A68" w:rsidTr="00B669A0">
        <w:trPr>
          <w:trHeight w:val="1348"/>
        </w:trPr>
        <w:tc>
          <w:tcPr>
            <w:tcW w:w="1170" w:type="dxa"/>
          </w:tcPr>
          <w:p w14:paraId="2F36F73D" w14:textId="77777777" w:rsidR="00B669A0" w:rsidRPr="00284372" w:rsidRDefault="00B669A0" w:rsidP="00284372">
            <w:r w:rsidRPr="00284372">
              <w:lastRenderedPageBreak/>
              <w:t>13.7.3.4</w:t>
            </w:r>
          </w:p>
        </w:tc>
        <w:tc>
          <w:tcPr>
            <w:tcW w:w="7415" w:type="dxa"/>
          </w:tcPr>
          <w:p w14:paraId="6AB7ABF6" w14:textId="77777777" w:rsidR="00B669A0" w:rsidRPr="00284372" w:rsidRDefault="00B669A0" w:rsidP="00284372">
            <w:r w:rsidRPr="00284372">
              <w:t>The most desirable method of conducting the stocktake will be to carry out a complete stocktake of all library resources at the one time. The advantage of this is that it provides a comprehensive review of the effectiveness of stock-control methods at a particular time.</w:t>
            </w:r>
          </w:p>
        </w:tc>
        <w:tc>
          <w:tcPr>
            <w:tcW w:w="851" w:type="dxa"/>
          </w:tcPr>
          <w:p w14:paraId="6DC69B0F" w14:textId="77777777" w:rsidR="00B669A0" w:rsidRPr="00284372" w:rsidRDefault="00B669A0" w:rsidP="00284372"/>
        </w:tc>
      </w:tr>
      <w:tr w:rsidR="00B669A0" w:rsidRPr="00D94A93" w14:paraId="5189EC9A" w14:textId="77378223" w:rsidTr="00B669A0">
        <w:trPr>
          <w:trHeight w:val="567"/>
        </w:trPr>
        <w:tc>
          <w:tcPr>
            <w:tcW w:w="1170" w:type="dxa"/>
          </w:tcPr>
          <w:p w14:paraId="316D5552" w14:textId="77777777" w:rsidR="00B669A0" w:rsidRPr="00284372" w:rsidRDefault="00B669A0" w:rsidP="00284372">
            <w:r w:rsidRPr="00284372">
              <w:t>13.7.3.5</w:t>
            </w:r>
          </w:p>
        </w:tc>
        <w:tc>
          <w:tcPr>
            <w:tcW w:w="7415" w:type="dxa"/>
          </w:tcPr>
          <w:p w14:paraId="4A6EF57E" w14:textId="77777777" w:rsidR="00B669A0" w:rsidRPr="00284372" w:rsidRDefault="00B669A0" w:rsidP="00284372">
            <w:r w:rsidRPr="00284372">
              <w:t>Other options include:</w:t>
            </w:r>
          </w:p>
          <w:p w14:paraId="1DCCC049" w14:textId="77777777" w:rsidR="00B669A0" w:rsidRPr="00F8472C" w:rsidRDefault="00B669A0" w:rsidP="00F8472C">
            <w:pPr>
              <w:pStyle w:val="ListBullet"/>
            </w:pPr>
            <w:r w:rsidRPr="00F8472C">
              <w:t>a half stocktake annually; or</w:t>
            </w:r>
          </w:p>
          <w:p w14:paraId="52F97E5F" w14:textId="77777777" w:rsidR="00B669A0" w:rsidRPr="00F8472C" w:rsidRDefault="00B669A0" w:rsidP="00F8472C">
            <w:pPr>
              <w:pStyle w:val="ListBullet"/>
            </w:pPr>
            <w:r w:rsidRPr="00F8472C">
              <w:t>a progressive stocktake of the library covering each area at convenient intervals over two years or a shorter period.</w:t>
            </w:r>
          </w:p>
        </w:tc>
        <w:tc>
          <w:tcPr>
            <w:tcW w:w="851" w:type="dxa"/>
          </w:tcPr>
          <w:p w14:paraId="278863F0" w14:textId="77777777" w:rsidR="00B669A0" w:rsidRPr="00284372" w:rsidRDefault="00B669A0" w:rsidP="00284372"/>
        </w:tc>
      </w:tr>
      <w:tr w:rsidR="00B669A0" w:rsidRPr="00D94A93" w14:paraId="4B703284" w14:textId="366EC554" w:rsidTr="00B669A0">
        <w:trPr>
          <w:trHeight w:val="567"/>
        </w:trPr>
        <w:tc>
          <w:tcPr>
            <w:tcW w:w="1170" w:type="dxa"/>
          </w:tcPr>
          <w:p w14:paraId="3346AEF5" w14:textId="77777777" w:rsidR="00B669A0" w:rsidRPr="00284372" w:rsidRDefault="00B669A0" w:rsidP="00284372">
            <w:r w:rsidRPr="00284372">
              <w:t>13.7.3.6</w:t>
            </w:r>
          </w:p>
        </w:tc>
        <w:tc>
          <w:tcPr>
            <w:tcW w:w="7415" w:type="dxa"/>
          </w:tcPr>
          <w:p w14:paraId="39B2ACC5" w14:textId="77777777" w:rsidR="00B669A0" w:rsidRPr="00284372" w:rsidRDefault="00B669A0" w:rsidP="00284372">
            <w:r w:rsidRPr="00284372">
              <w:t>Irrespective of the method and frequency of the stocktake, it is recognised that staff involved can normally only effectively perform a stocktake if entry by pupils and other non-involved staff to the stocktaking area is prevented or very strictly controlled. The degree to which access to the library is to be limited or prevented is clearly one which must be clarified by the principal in discussion with the library manager prior to the commencement of the stocktaking exercise.</w:t>
            </w:r>
          </w:p>
        </w:tc>
        <w:tc>
          <w:tcPr>
            <w:tcW w:w="851" w:type="dxa"/>
          </w:tcPr>
          <w:p w14:paraId="52950ADF" w14:textId="77777777" w:rsidR="00B669A0" w:rsidRPr="00284372" w:rsidRDefault="00B669A0" w:rsidP="00284372"/>
        </w:tc>
      </w:tr>
      <w:tr w:rsidR="00B669A0" w:rsidRPr="00D94A93" w14:paraId="2DDABD97" w14:textId="3ACEE14F" w:rsidTr="00B669A0">
        <w:trPr>
          <w:trHeight w:val="567"/>
        </w:trPr>
        <w:tc>
          <w:tcPr>
            <w:tcW w:w="1170" w:type="dxa"/>
          </w:tcPr>
          <w:p w14:paraId="2A4ED742" w14:textId="77777777" w:rsidR="00B669A0" w:rsidRPr="00284372" w:rsidRDefault="00B669A0" w:rsidP="00284372">
            <w:r w:rsidRPr="00284372">
              <w:t>13.7.3.7</w:t>
            </w:r>
          </w:p>
        </w:tc>
        <w:tc>
          <w:tcPr>
            <w:tcW w:w="7415" w:type="dxa"/>
          </w:tcPr>
          <w:p w14:paraId="2DA4C8A2" w14:textId="77777777" w:rsidR="00B669A0" w:rsidRPr="00284372" w:rsidRDefault="00B669A0" w:rsidP="00284372">
            <w:r w:rsidRPr="00284372">
              <w:t xml:space="preserve">The library manager is responsible for the initiation and maintenance of effective stock-control methods within the library. </w:t>
            </w:r>
          </w:p>
        </w:tc>
        <w:tc>
          <w:tcPr>
            <w:tcW w:w="851" w:type="dxa"/>
          </w:tcPr>
          <w:p w14:paraId="2DA65470" w14:textId="77777777" w:rsidR="00B669A0" w:rsidRPr="00284372" w:rsidRDefault="00B669A0" w:rsidP="00284372"/>
        </w:tc>
      </w:tr>
      <w:tr w:rsidR="00B669A0" w:rsidRPr="00D94A93" w14:paraId="1ED3823C" w14:textId="61022421" w:rsidTr="00B669A0">
        <w:trPr>
          <w:trHeight w:val="567"/>
        </w:trPr>
        <w:tc>
          <w:tcPr>
            <w:tcW w:w="1170" w:type="dxa"/>
          </w:tcPr>
          <w:p w14:paraId="3BA813E3" w14:textId="77777777" w:rsidR="00B669A0" w:rsidRPr="00284372" w:rsidRDefault="00B669A0" w:rsidP="00284372">
            <w:r w:rsidRPr="00284372">
              <w:t>13.7.3.8</w:t>
            </w:r>
          </w:p>
        </w:tc>
        <w:tc>
          <w:tcPr>
            <w:tcW w:w="7415" w:type="dxa"/>
          </w:tcPr>
          <w:p w14:paraId="3A0FB0A0" w14:textId="77777777" w:rsidR="00B669A0" w:rsidRPr="00284372" w:rsidRDefault="00B669A0" w:rsidP="00284372">
            <w:r w:rsidRPr="00284372">
              <w:t xml:space="preserve">As a result of </w:t>
            </w:r>
            <w:r>
              <w:t xml:space="preserve">a </w:t>
            </w:r>
            <w:r w:rsidRPr="00284372">
              <w:t>stocktake</w:t>
            </w:r>
            <w:r>
              <w:t>,</w:t>
            </w:r>
            <w:r w:rsidRPr="00284372">
              <w:t xml:space="preserve"> the library’s records </w:t>
            </w:r>
            <w:r>
              <w:t>must</w:t>
            </w:r>
            <w:r w:rsidRPr="00284372">
              <w:t xml:space="preserve"> accurately show for the area covered:</w:t>
            </w:r>
          </w:p>
          <w:p w14:paraId="06F7B6B5" w14:textId="77777777" w:rsidR="00B669A0" w:rsidRPr="00F8472C" w:rsidRDefault="00B669A0" w:rsidP="00F8472C">
            <w:pPr>
              <w:pStyle w:val="ListBullet"/>
            </w:pPr>
            <w:r w:rsidRPr="00F8472C">
              <w:t>accession</w:t>
            </w:r>
            <w:r>
              <w:t xml:space="preserve"> of</w:t>
            </w:r>
            <w:r w:rsidRPr="00F8472C">
              <w:t xml:space="preserve"> items available for use;</w:t>
            </w:r>
          </w:p>
          <w:p w14:paraId="6828E34A" w14:textId="77777777" w:rsidR="00B669A0" w:rsidRPr="00F8472C" w:rsidRDefault="00B669A0" w:rsidP="00F8472C">
            <w:pPr>
              <w:pStyle w:val="ListBullet"/>
            </w:pPr>
            <w:r w:rsidRPr="00F8472C">
              <w:t>accession</w:t>
            </w:r>
            <w:r>
              <w:t xml:space="preserve"> of</w:t>
            </w:r>
            <w:r w:rsidRPr="00F8472C">
              <w:t xml:space="preserve"> items missing;</w:t>
            </w:r>
          </w:p>
          <w:p w14:paraId="03A48E2A" w14:textId="77777777" w:rsidR="00B669A0" w:rsidRPr="00F8472C" w:rsidRDefault="00B669A0" w:rsidP="00F8472C">
            <w:pPr>
              <w:pStyle w:val="ListBullet"/>
            </w:pPr>
            <w:r w:rsidRPr="00F8472C">
              <w:t>accession</w:t>
            </w:r>
            <w:r>
              <w:t xml:space="preserve"> of</w:t>
            </w:r>
            <w:r w:rsidRPr="00F8472C">
              <w:t xml:space="preserve"> items written off as unsuitable for continued inclusion in the library;</w:t>
            </w:r>
          </w:p>
          <w:p w14:paraId="5AEE9389" w14:textId="77777777" w:rsidR="00B669A0" w:rsidRPr="00F8472C" w:rsidRDefault="00B669A0" w:rsidP="00F8472C">
            <w:pPr>
              <w:pStyle w:val="ListBullet"/>
            </w:pPr>
            <w:r w:rsidRPr="00F8472C">
              <w:t>the total net stock at the end of the period covered by the stocktake.</w:t>
            </w:r>
          </w:p>
        </w:tc>
        <w:tc>
          <w:tcPr>
            <w:tcW w:w="851" w:type="dxa"/>
          </w:tcPr>
          <w:p w14:paraId="2A30DEDB" w14:textId="77777777" w:rsidR="00B669A0" w:rsidRPr="00284372" w:rsidRDefault="00B669A0" w:rsidP="00284372"/>
        </w:tc>
      </w:tr>
      <w:tr w:rsidR="00B669A0" w:rsidRPr="00D94A93" w14:paraId="4A584C22" w14:textId="2FE23B5F" w:rsidTr="00B669A0">
        <w:trPr>
          <w:trHeight w:val="567"/>
        </w:trPr>
        <w:tc>
          <w:tcPr>
            <w:tcW w:w="1170" w:type="dxa"/>
          </w:tcPr>
          <w:p w14:paraId="33380007" w14:textId="77777777" w:rsidR="00B669A0" w:rsidRPr="00284372" w:rsidRDefault="00B669A0" w:rsidP="00284372">
            <w:r w:rsidRPr="00284372">
              <w:t>13.7.3.9</w:t>
            </w:r>
          </w:p>
        </w:tc>
        <w:tc>
          <w:tcPr>
            <w:tcW w:w="7415" w:type="dxa"/>
          </w:tcPr>
          <w:p w14:paraId="0665EA48" w14:textId="77777777" w:rsidR="00B669A0" w:rsidRPr="00284372" w:rsidRDefault="00B669A0" w:rsidP="00284372">
            <w:r w:rsidRPr="00284372">
              <w:t>At the conclusion of the stocktake, whether full or progressive, a stocktake statement must be prepared.</w:t>
            </w:r>
          </w:p>
        </w:tc>
        <w:tc>
          <w:tcPr>
            <w:tcW w:w="851" w:type="dxa"/>
          </w:tcPr>
          <w:p w14:paraId="150C6DC0" w14:textId="77777777" w:rsidR="00B669A0" w:rsidRPr="00284372" w:rsidRDefault="00B669A0" w:rsidP="00284372"/>
        </w:tc>
      </w:tr>
      <w:tr w:rsidR="00B669A0" w:rsidRPr="00D94A93" w14:paraId="19058B54" w14:textId="18DB281C" w:rsidTr="00B669A0">
        <w:trPr>
          <w:trHeight w:val="2809"/>
        </w:trPr>
        <w:tc>
          <w:tcPr>
            <w:tcW w:w="1170" w:type="dxa"/>
          </w:tcPr>
          <w:p w14:paraId="386D960F" w14:textId="77777777" w:rsidR="00B669A0" w:rsidRPr="00284372" w:rsidRDefault="00B669A0" w:rsidP="00284372">
            <w:r w:rsidRPr="00284372">
              <w:t>13.7.3.10</w:t>
            </w:r>
          </w:p>
        </w:tc>
        <w:tc>
          <w:tcPr>
            <w:tcW w:w="7415" w:type="dxa"/>
          </w:tcPr>
          <w:p w14:paraId="5F2291E4" w14:textId="77777777" w:rsidR="00B669A0" w:rsidRPr="00284372" w:rsidRDefault="00B669A0" w:rsidP="00284372">
            <w:r w:rsidRPr="00284372">
              <w:t>After the stocktake is completed the library manager:</w:t>
            </w:r>
          </w:p>
          <w:p w14:paraId="4C43CCDE" w14:textId="77777777" w:rsidR="00B669A0" w:rsidRPr="00F8472C" w:rsidRDefault="00B669A0" w:rsidP="00F8472C">
            <w:pPr>
              <w:pStyle w:val="ListBullet"/>
            </w:pPr>
            <w:r w:rsidRPr="00F8472C">
              <w:t>presents the stocktake statement to the principal and discusses appropriate follow-up action;</w:t>
            </w:r>
          </w:p>
          <w:p w14:paraId="60172FD9" w14:textId="77777777" w:rsidR="00B669A0" w:rsidRPr="00F8472C" w:rsidRDefault="00B669A0" w:rsidP="00F8472C">
            <w:pPr>
              <w:pStyle w:val="ListBullet"/>
            </w:pPr>
            <w:r w:rsidRPr="00F8472C">
              <w:t>with the approval of the principal, writes off items that have been culled from the collection or lost, damaged or missing for more than two years and makes appropriate notations in the accession or card register;</w:t>
            </w:r>
          </w:p>
          <w:p w14:paraId="74937172" w14:textId="77777777" w:rsidR="00B669A0" w:rsidRPr="00F8472C" w:rsidRDefault="00B669A0" w:rsidP="00F8472C">
            <w:pPr>
              <w:pStyle w:val="ListBullet"/>
            </w:pPr>
            <w:r w:rsidRPr="00F8472C">
              <w:t>removes the shelf-list cards for written-off items.</w:t>
            </w:r>
          </w:p>
        </w:tc>
        <w:tc>
          <w:tcPr>
            <w:tcW w:w="851" w:type="dxa"/>
          </w:tcPr>
          <w:p w14:paraId="2A9E66FB" w14:textId="77777777" w:rsidR="00B669A0" w:rsidRPr="00284372" w:rsidRDefault="00B669A0" w:rsidP="00284372"/>
        </w:tc>
      </w:tr>
      <w:tr w:rsidR="00B669A0" w:rsidRPr="00D94A93" w14:paraId="0E5378F4" w14:textId="19E1767D" w:rsidTr="00B669A0">
        <w:trPr>
          <w:trHeight w:val="567"/>
        </w:trPr>
        <w:tc>
          <w:tcPr>
            <w:tcW w:w="1170" w:type="dxa"/>
          </w:tcPr>
          <w:p w14:paraId="04BEC33A" w14:textId="77777777" w:rsidR="00B669A0" w:rsidRPr="00284372" w:rsidRDefault="00B669A0" w:rsidP="00284372">
            <w:r w:rsidRPr="00284372">
              <w:t>13.7.3.11</w:t>
            </w:r>
          </w:p>
        </w:tc>
        <w:tc>
          <w:tcPr>
            <w:tcW w:w="7415" w:type="dxa"/>
          </w:tcPr>
          <w:p w14:paraId="255433E8" w14:textId="09CB80F5" w:rsidR="00B669A0" w:rsidRPr="00284372" w:rsidRDefault="00B669A0" w:rsidP="005F23E5">
            <w:r w:rsidRPr="00284372">
              <w:t xml:space="preserve">Where schools suffer loss or damage to library materials as a result of vandalism, theft, fire, flood, rain etc. the library manager </w:t>
            </w:r>
            <w:r>
              <w:t xml:space="preserve">must </w:t>
            </w:r>
            <w:r w:rsidRPr="00284372">
              <w:t xml:space="preserve">discuss </w:t>
            </w:r>
            <w:r w:rsidRPr="00284372">
              <w:lastRenderedPageBreak/>
              <w:t xml:space="preserve">with the principal what action must be taken to assess </w:t>
            </w:r>
            <w:r>
              <w:t xml:space="preserve">and quantity </w:t>
            </w:r>
            <w:r w:rsidRPr="00284372">
              <w:t>the loss or damage and whether a full or partial stocktake is required.</w:t>
            </w:r>
          </w:p>
        </w:tc>
        <w:tc>
          <w:tcPr>
            <w:tcW w:w="851" w:type="dxa"/>
          </w:tcPr>
          <w:p w14:paraId="798B61F0" w14:textId="77777777" w:rsidR="00B669A0" w:rsidRPr="00284372" w:rsidRDefault="00B669A0" w:rsidP="005F23E5"/>
        </w:tc>
      </w:tr>
    </w:tbl>
    <w:p w14:paraId="3353D0A7" w14:textId="77777777" w:rsidR="00AE11B2" w:rsidRDefault="00AE11B2" w:rsidP="00AE11B2">
      <w:pPr>
        <w:pStyle w:val="Heading3"/>
      </w:pPr>
      <w:r>
        <w:t>Adjusting for duplicate entries in Asset register</w:t>
      </w:r>
    </w:p>
    <w:p w14:paraId="3178705C" w14:textId="77777777" w:rsidR="00AE11B2" w:rsidRPr="00317AB9" w:rsidRDefault="00AE11B2" w:rsidP="00AE11B2">
      <w:pPr>
        <w:pStyle w:val="Heading3"/>
      </w:pPr>
      <w:r w:rsidRPr="00317AB9">
        <w:t>1</w:t>
      </w:r>
      <w:r>
        <w:t>3.</w:t>
      </w:r>
      <w:r w:rsidR="00244B45">
        <w:t>7</w:t>
      </w:r>
      <w:r>
        <w:t>.</w:t>
      </w:r>
      <w:r w:rsidR="00AB7003">
        <w:t>4</w:t>
      </w:r>
      <w:r w:rsidRPr="00317AB9">
        <w:tab/>
        <w:t>Mandatory policy (</w:t>
      </w:r>
      <w:r>
        <w:t>Must do</w:t>
      </w:r>
      <w:r w:rsidRPr="00317AB9">
        <w:t>):</w:t>
      </w:r>
    </w:p>
    <w:tbl>
      <w:tblPr>
        <w:tblW w:w="943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7444"/>
        <w:gridCol w:w="851"/>
      </w:tblGrid>
      <w:tr w:rsidR="00B669A0" w:rsidRPr="0091756B" w14:paraId="5D59E830" w14:textId="70F6250F" w:rsidTr="00B669A0">
        <w:trPr>
          <w:trHeight w:val="651"/>
        </w:trPr>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E35F0C" w14:textId="5F065B8D" w:rsidR="00B669A0" w:rsidRPr="00B669A0" w:rsidRDefault="00B669A0" w:rsidP="003C7CAC">
            <w:pPr>
              <w:rPr>
                <w:b/>
                <w:sz w:val="18"/>
              </w:rPr>
            </w:pPr>
            <w:r>
              <w:rPr>
                <w:b/>
                <w:sz w:val="18"/>
              </w:rPr>
              <w:t xml:space="preserve">Sequence </w:t>
            </w:r>
            <w:r w:rsidRPr="00B669A0">
              <w:rPr>
                <w:b/>
                <w:sz w:val="18"/>
              </w:rPr>
              <w:t>Numbers</w:t>
            </w:r>
          </w:p>
        </w:tc>
        <w:tc>
          <w:tcPr>
            <w:tcW w:w="7444" w:type="dxa"/>
            <w:tcBorders>
              <w:top w:val="single" w:sz="4" w:space="0" w:color="000000"/>
              <w:left w:val="single" w:sz="4" w:space="0" w:color="000000"/>
              <w:bottom w:val="single" w:sz="4" w:space="0" w:color="000000"/>
              <w:right w:val="single" w:sz="4" w:space="0" w:color="000000"/>
            </w:tcBorders>
            <w:shd w:val="clear" w:color="auto" w:fill="auto"/>
          </w:tcPr>
          <w:p w14:paraId="48C23436" w14:textId="77777777" w:rsidR="00B669A0" w:rsidRPr="00F12CF6" w:rsidRDefault="00B669A0" w:rsidP="003C7CAC">
            <w:pPr>
              <w:rPr>
                <w:b/>
                <w:sz w:val="20"/>
                <w:szCs w:val="20"/>
              </w:rPr>
            </w:pPr>
            <w:r w:rsidRPr="00F12CF6">
              <w:rPr>
                <w:b/>
                <w:sz w:val="20"/>
                <w:szCs w:val="20"/>
              </w:rPr>
              <w:t>Information</w:t>
            </w:r>
          </w:p>
        </w:tc>
        <w:tc>
          <w:tcPr>
            <w:tcW w:w="851" w:type="dxa"/>
            <w:tcBorders>
              <w:top w:val="nil"/>
              <w:left w:val="single" w:sz="4" w:space="0" w:color="000000"/>
              <w:bottom w:val="single" w:sz="4" w:space="0" w:color="000000"/>
              <w:right w:val="nil"/>
            </w:tcBorders>
          </w:tcPr>
          <w:p w14:paraId="2DF896CD" w14:textId="77777777" w:rsidR="00B669A0" w:rsidRPr="00127ECC" w:rsidRDefault="00B669A0" w:rsidP="003C7CAC">
            <w:pPr>
              <w:rPr>
                <w:b/>
              </w:rPr>
            </w:pPr>
          </w:p>
        </w:tc>
      </w:tr>
      <w:tr w:rsidR="00B669A0" w:rsidRPr="00D94A93" w14:paraId="6CEDA7F6" w14:textId="34BE151C" w:rsidTr="00B669A0">
        <w:trPr>
          <w:trHeight w:val="828"/>
        </w:trPr>
        <w:tc>
          <w:tcPr>
            <w:tcW w:w="1141" w:type="dxa"/>
          </w:tcPr>
          <w:p w14:paraId="747B3D27" w14:textId="77777777" w:rsidR="00B669A0" w:rsidRPr="00284372" w:rsidRDefault="00B669A0" w:rsidP="00284372">
            <w:r w:rsidRPr="00284372">
              <w:t>13.7.4.1</w:t>
            </w:r>
          </w:p>
        </w:tc>
        <w:tc>
          <w:tcPr>
            <w:tcW w:w="7444" w:type="dxa"/>
          </w:tcPr>
          <w:p w14:paraId="36E6092A" w14:textId="4080378B" w:rsidR="00B669A0" w:rsidRPr="00284372" w:rsidRDefault="00B669A0" w:rsidP="006C1202">
            <w:r w:rsidRPr="00284372">
              <w:t>Complete a write-off transaction</w:t>
            </w:r>
            <w:r>
              <w:t xml:space="preserve"> – Refer to </w:t>
            </w:r>
            <w:hyperlink r:id="rId15" w:history="1">
              <w:r w:rsidRPr="00284372">
                <w:rPr>
                  <w:rStyle w:val="Hyperlink"/>
                </w:rPr>
                <w:t>CASES21 Finance Business Process Guide Section 4 – Assets</w:t>
              </w:r>
            </w:hyperlink>
            <w:r w:rsidRPr="00284372">
              <w:t xml:space="preserve"> for guidance on disposals.</w:t>
            </w:r>
          </w:p>
        </w:tc>
        <w:tc>
          <w:tcPr>
            <w:tcW w:w="851" w:type="dxa"/>
          </w:tcPr>
          <w:p w14:paraId="7B3C9674" w14:textId="77777777" w:rsidR="00B669A0" w:rsidRPr="00284372" w:rsidRDefault="00B669A0" w:rsidP="006C1202"/>
        </w:tc>
      </w:tr>
      <w:tr w:rsidR="00B669A0" w:rsidRPr="00D94A93" w14:paraId="0ADEF755" w14:textId="5E64E4B0" w:rsidTr="00B669A0">
        <w:trPr>
          <w:trHeight w:val="589"/>
        </w:trPr>
        <w:tc>
          <w:tcPr>
            <w:tcW w:w="1141" w:type="dxa"/>
          </w:tcPr>
          <w:p w14:paraId="7451796E" w14:textId="77777777" w:rsidR="00B669A0" w:rsidRPr="00284372" w:rsidRDefault="00B669A0" w:rsidP="00284372">
            <w:r w:rsidRPr="00284372">
              <w:t>13.7.4.2</w:t>
            </w:r>
          </w:p>
        </w:tc>
        <w:tc>
          <w:tcPr>
            <w:tcW w:w="7444" w:type="dxa"/>
          </w:tcPr>
          <w:p w14:paraId="74AC74E8" w14:textId="13A435F8" w:rsidR="00B669A0" w:rsidRPr="00284372" w:rsidRDefault="00B669A0" w:rsidP="00AE0FA1">
            <w:pPr>
              <w:pStyle w:val="ListParagraph"/>
              <w:ind w:left="0"/>
            </w:pPr>
            <w:r w:rsidRPr="00284372">
              <w:t xml:space="preserve">Complete </w:t>
            </w:r>
            <w:hyperlink r:id="rId16" w:history="1">
              <w:r w:rsidRPr="00B13412">
                <w:rPr>
                  <w:rStyle w:val="Hyperlink"/>
                </w:rPr>
                <w:t>Asset Status Change Requ</w:t>
              </w:r>
              <w:r>
                <w:rPr>
                  <w:rStyle w:val="Hyperlink"/>
                </w:rPr>
                <w:t>e</w:t>
              </w:r>
              <w:r w:rsidRPr="00B13412">
                <w:rPr>
                  <w:rStyle w:val="Hyperlink"/>
                </w:rPr>
                <w:t>st form</w:t>
              </w:r>
            </w:hyperlink>
          </w:p>
        </w:tc>
        <w:tc>
          <w:tcPr>
            <w:tcW w:w="851" w:type="dxa"/>
          </w:tcPr>
          <w:p w14:paraId="5FA61A37" w14:textId="77777777" w:rsidR="00B669A0" w:rsidRPr="00284372" w:rsidRDefault="00B669A0" w:rsidP="00AE0FA1">
            <w:pPr>
              <w:pStyle w:val="ListParagraph"/>
              <w:ind w:left="0"/>
            </w:pPr>
          </w:p>
        </w:tc>
      </w:tr>
    </w:tbl>
    <w:p w14:paraId="26C33552" w14:textId="39EAAFCE" w:rsidR="00CD3608" w:rsidRDefault="00CD3608" w:rsidP="00284372"/>
    <w:p w14:paraId="4882D758" w14:textId="77777777" w:rsidR="00577EC4" w:rsidRDefault="00577EC4" w:rsidP="00577EC4">
      <w:pPr>
        <w:pStyle w:val="Heading2"/>
      </w:pPr>
      <w:r>
        <w:t>13.</w:t>
      </w:r>
      <w:r w:rsidR="00244B45">
        <w:t>8</w:t>
      </w:r>
      <w:r>
        <w:tab/>
      </w:r>
      <w:r w:rsidRPr="00F33CA5">
        <w:t>Receipt of Donate</w:t>
      </w:r>
      <w:r>
        <w:t>d Property, Equipment or Materials</w:t>
      </w:r>
    </w:p>
    <w:p w14:paraId="5E8C3511" w14:textId="77777777" w:rsidR="009441C7" w:rsidRPr="00317AB9" w:rsidRDefault="009441C7" w:rsidP="009441C7">
      <w:pPr>
        <w:pStyle w:val="Heading3"/>
      </w:pPr>
      <w:r w:rsidRPr="00317AB9">
        <w:t>1</w:t>
      </w:r>
      <w:r>
        <w:t>3</w:t>
      </w:r>
      <w:r w:rsidRPr="00317AB9">
        <w:t>.</w:t>
      </w:r>
      <w:r w:rsidR="00244B45">
        <w:t>8</w:t>
      </w:r>
      <w:r w:rsidRPr="00317AB9">
        <w:t>.</w:t>
      </w:r>
      <w:r>
        <w:t>1</w:t>
      </w:r>
      <w:r w:rsidRPr="00317AB9">
        <w:tab/>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088"/>
        <w:gridCol w:w="7072"/>
        <w:gridCol w:w="837"/>
      </w:tblGrid>
      <w:tr w:rsidR="00B669A0" w:rsidRPr="0091756B" w14:paraId="458CD3D9" w14:textId="562EDABE" w:rsidTr="00B669A0">
        <w:trPr>
          <w:trHeight w:val="570"/>
          <w:tblHeader/>
        </w:trPr>
        <w:tc>
          <w:tcPr>
            <w:tcW w:w="10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5EEDBB" w14:textId="6D49EF53" w:rsidR="00B669A0" w:rsidRPr="00B669A0" w:rsidRDefault="00B669A0" w:rsidP="003C7CAC">
            <w:pPr>
              <w:rPr>
                <w:b/>
                <w:sz w:val="18"/>
              </w:rPr>
            </w:pPr>
            <w:r>
              <w:rPr>
                <w:b/>
                <w:sz w:val="18"/>
              </w:rPr>
              <w:t xml:space="preserve">Sequence </w:t>
            </w:r>
            <w:r w:rsidRPr="00B669A0">
              <w:rPr>
                <w:b/>
                <w:sz w:val="18"/>
              </w:rPr>
              <w:t>Numbers</w:t>
            </w:r>
          </w:p>
        </w:tc>
        <w:tc>
          <w:tcPr>
            <w:tcW w:w="7072" w:type="dxa"/>
            <w:tcBorders>
              <w:top w:val="single" w:sz="4" w:space="0" w:color="000000"/>
              <w:left w:val="single" w:sz="4" w:space="0" w:color="000000"/>
              <w:bottom w:val="single" w:sz="4" w:space="0" w:color="000000"/>
              <w:right w:val="single" w:sz="4" w:space="0" w:color="000000"/>
            </w:tcBorders>
            <w:shd w:val="clear" w:color="auto" w:fill="auto"/>
          </w:tcPr>
          <w:p w14:paraId="12D30C55" w14:textId="77777777" w:rsidR="00B669A0" w:rsidRPr="00F12CF6" w:rsidRDefault="00B669A0" w:rsidP="003C7CAC">
            <w:pPr>
              <w:rPr>
                <w:b/>
                <w:sz w:val="20"/>
                <w:szCs w:val="20"/>
              </w:rPr>
            </w:pPr>
            <w:r w:rsidRPr="00F12CF6">
              <w:rPr>
                <w:b/>
                <w:sz w:val="20"/>
                <w:szCs w:val="20"/>
              </w:rPr>
              <w:t>Information</w:t>
            </w:r>
          </w:p>
        </w:tc>
        <w:tc>
          <w:tcPr>
            <w:tcW w:w="837" w:type="dxa"/>
            <w:tcBorders>
              <w:top w:val="nil"/>
              <w:left w:val="single" w:sz="4" w:space="0" w:color="000000"/>
              <w:bottom w:val="single" w:sz="4" w:space="0" w:color="000000"/>
              <w:right w:val="nil"/>
            </w:tcBorders>
          </w:tcPr>
          <w:p w14:paraId="5E8A9AD1" w14:textId="77777777" w:rsidR="00B669A0" w:rsidRPr="00127ECC" w:rsidRDefault="00B669A0" w:rsidP="003C7CAC">
            <w:pPr>
              <w:rPr>
                <w:b/>
              </w:rPr>
            </w:pPr>
          </w:p>
        </w:tc>
      </w:tr>
      <w:tr w:rsidR="00B669A0" w:rsidRPr="00D94A93" w14:paraId="3B4433C4" w14:textId="06621E11" w:rsidTr="00B669A0">
        <w:trPr>
          <w:trHeight w:val="910"/>
        </w:trPr>
        <w:tc>
          <w:tcPr>
            <w:tcW w:w="1088" w:type="dxa"/>
          </w:tcPr>
          <w:p w14:paraId="43DCAECF" w14:textId="77777777" w:rsidR="00B669A0" w:rsidRPr="00284372" w:rsidRDefault="00B669A0" w:rsidP="00284372">
            <w:r w:rsidRPr="00284372">
              <w:t>13.8.1.1</w:t>
            </w:r>
          </w:p>
        </w:tc>
        <w:tc>
          <w:tcPr>
            <w:tcW w:w="7072" w:type="dxa"/>
          </w:tcPr>
          <w:p w14:paraId="042B08AE" w14:textId="77777777" w:rsidR="00B669A0" w:rsidRPr="00284372" w:rsidRDefault="00B669A0" w:rsidP="00284372">
            <w:r w:rsidRPr="00284372">
              <w:t>The receipt of donated equipment or materials must be reported by the principal at the next school council meeting and minuted.</w:t>
            </w:r>
          </w:p>
        </w:tc>
        <w:tc>
          <w:tcPr>
            <w:tcW w:w="837" w:type="dxa"/>
          </w:tcPr>
          <w:p w14:paraId="7D28395B" w14:textId="77777777" w:rsidR="00B669A0" w:rsidRPr="00284372" w:rsidRDefault="00B669A0" w:rsidP="00284372"/>
        </w:tc>
      </w:tr>
      <w:tr w:rsidR="00B669A0" w:rsidRPr="00D94A93" w14:paraId="2C5F995B" w14:textId="0B2D4755" w:rsidTr="00B669A0">
        <w:trPr>
          <w:trHeight w:val="4957"/>
        </w:trPr>
        <w:tc>
          <w:tcPr>
            <w:tcW w:w="1088" w:type="dxa"/>
          </w:tcPr>
          <w:p w14:paraId="4282C357" w14:textId="77777777" w:rsidR="00B669A0" w:rsidRPr="00284372" w:rsidRDefault="00B669A0" w:rsidP="00284372">
            <w:r w:rsidRPr="00284372">
              <w:t>13.8.1.2</w:t>
            </w:r>
          </w:p>
        </w:tc>
        <w:tc>
          <w:tcPr>
            <w:tcW w:w="7072" w:type="dxa"/>
          </w:tcPr>
          <w:p w14:paraId="2D8CC8FB" w14:textId="77777777" w:rsidR="00B669A0" w:rsidRPr="00284372" w:rsidRDefault="00B669A0" w:rsidP="00284372">
            <w:r w:rsidRPr="00284372">
              <w:t>The school must perform the following</w:t>
            </w:r>
            <w:r>
              <w:t>:</w:t>
            </w:r>
          </w:p>
          <w:p w14:paraId="0D072000" w14:textId="5F1EF7AA" w:rsidR="00B669A0" w:rsidRPr="00F8472C" w:rsidRDefault="00B669A0" w:rsidP="00F8472C">
            <w:pPr>
              <w:pStyle w:val="ListBullet"/>
            </w:pPr>
            <w:r w:rsidRPr="00F8472C">
              <w:t xml:space="preserve">Determine the fair value of the asset and advise the Schools Financial Management Support team. Email: </w:t>
            </w:r>
            <w:hyperlink r:id="rId17" w:history="1">
              <w:r w:rsidRPr="00F8472C">
                <w:rPr>
                  <w:rStyle w:val="Hyperlink"/>
                </w:rPr>
                <w:t>schools.finance.support@edumail.vic.gov.au</w:t>
              </w:r>
            </w:hyperlink>
            <w:r w:rsidRPr="00F8472C">
              <w:t xml:space="preserve"> if the value of the asset is </w:t>
            </w:r>
            <w:r>
              <w:t xml:space="preserve">greater than or equal to </w:t>
            </w:r>
            <w:r w:rsidRPr="00F8472C">
              <w:t xml:space="preserve">$5,000. </w:t>
            </w:r>
          </w:p>
          <w:p w14:paraId="6563592B" w14:textId="42102B98" w:rsidR="00B669A0" w:rsidRPr="00F8472C" w:rsidRDefault="00B669A0" w:rsidP="00CD3608">
            <w:pPr>
              <w:pStyle w:val="ListBullet"/>
            </w:pPr>
            <w:r w:rsidRPr="00F8472C">
              <w:t xml:space="preserve">The Schools Financial Management Support team will liaise with Financial Services Division (FSD) to </w:t>
            </w:r>
            <w:r>
              <w:t>assess</w:t>
            </w:r>
            <w:r w:rsidRPr="00F8472C">
              <w:t xml:space="preserve"> the asset and verify the value. If the value of the asset is found to be less than $5,000 then the school should create the asset in CASES21 using ‘DO’ as the asset type and assign a value of zero. If the asset is found to be greater than </w:t>
            </w:r>
            <w:r>
              <w:t xml:space="preserve">or equal to </w:t>
            </w:r>
            <w:r w:rsidRPr="00F8472C">
              <w:t>$5,000</w:t>
            </w:r>
            <w:r>
              <w:t xml:space="preserve"> </w:t>
            </w:r>
            <w:r w:rsidRPr="00F8472C">
              <w:t xml:space="preserve">then the school will be advised of the appropriate asset type by FSD, process an asset additions journal to adjust the quantity and price for the asset, process a subsequent General Ledger journal to reflect the value added in the additions journal and send supporting documentation to </w:t>
            </w:r>
            <w:hyperlink r:id="rId18" w:history="1">
              <w:r w:rsidRPr="00F8472C">
                <w:rPr>
                  <w:rStyle w:val="Hyperlink"/>
                </w:rPr>
                <w:t>det.asset.accounting@edumail.vic.gov.au</w:t>
              </w:r>
            </w:hyperlink>
          </w:p>
        </w:tc>
        <w:tc>
          <w:tcPr>
            <w:tcW w:w="837" w:type="dxa"/>
          </w:tcPr>
          <w:p w14:paraId="63163150" w14:textId="77777777" w:rsidR="00B669A0" w:rsidRPr="00284372" w:rsidRDefault="00B669A0" w:rsidP="00284372"/>
        </w:tc>
      </w:tr>
      <w:tr w:rsidR="00B669A0" w:rsidRPr="00D94A93" w14:paraId="66E45B0C" w14:textId="656EB50F" w:rsidTr="00B669A0">
        <w:trPr>
          <w:trHeight w:val="1348"/>
        </w:trPr>
        <w:tc>
          <w:tcPr>
            <w:tcW w:w="1088" w:type="dxa"/>
          </w:tcPr>
          <w:p w14:paraId="6A8AFC64" w14:textId="2103019C" w:rsidR="00B669A0" w:rsidRPr="00284372" w:rsidRDefault="00B669A0" w:rsidP="006C1202">
            <w:r w:rsidRPr="00284372">
              <w:lastRenderedPageBreak/>
              <w:t>13.8.1.</w:t>
            </w:r>
            <w:r>
              <w:t>3</w:t>
            </w:r>
          </w:p>
        </w:tc>
        <w:tc>
          <w:tcPr>
            <w:tcW w:w="7072" w:type="dxa"/>
          </w:tcPr>
          <w:p w14:paraId="71017B57" w14:textId="251F109A" w:rsidR="00B669A0" w:rsidRPr="00284372" w:rsidRDefault="00B669A0" w:rsidP="006B5072">
            <w:r w:rsidRPr="00284372">
              <w:t xml:space="preserve">Schools must inform the Department if they </w:t>
            </w:r>
            <w:r>
              <w:t xml:space="preserve">have received a donated </w:t>
            </w:r>
            <w:r w:rsidRPr="00284372">
              <w:t xml:space="preserve">parcel of land </w:t>
            </w:r>
            <w:r>
              <w:t xml:space="preserve">and </w:t>
            </w:r>
            <w:r w:rsidRPr="00284372">
              <w:t>or a building.</w:t>
            </w:r>
            <w:r>
              <w:t xml:space="preserve"> Email </w:t>
            </w:r>
            <w:r w:rsidRPr="002A5102">
              <w:t>the Schools Financial Management Support team</w:t>
            </w:r>
            <w:r>
              <w:t xml:space="preserve"> at </w:t>
            </w:r>
            <w:hyperlink r:id="rId19" w:history="1">
              <w:r w:rsidRPr="00336DBD">
                <w:rPr>
                  <w:rStyle w:val="Hyperlink"/>
                </w:rPr>
                <w:t>schools.finance.support@edumail.vic.gov.au</w:t>
              </w:r>
            </w:hyperlink>
            <w:r>
              <w:rPr>
                <w:rStyle w:val="Hyperlink"/>
              </w:rPr>
              <w:t xml:space="preserve"> </w:t>
            </w:r>
          </w:p>
        </w:tc>
        <w:tc>
          <w:tcPr>
            <w:tcW w:w="837" w:type="dxa"/>
          </w:tcPr>
          <w:p w14:paraId="6324E8F9" w14:textId="77777777" w:rsidR="00B669A0" w:rsidRPr="00284372" w:rsidRDefault="00B669A0" w:rsidP="00D74138"/>
        </w:tc>
      </w:tr>
      <w:tr w:rsidR="00B669A0" w:rsidRPr="00D94A93" w14:paraId="1A37FBE9" w14:textId="1A0A8136" w:rsidTr="00B669A0">
        <w:trPr>
          <w:trHeight w:val="2388"/>
        </w:trPr>
        <w:tc>
          <w:tcPr>
            <w:tcW w:w="1088" w:type="dxa"/>
          </w:tcPr>
          <w:p w14:paraId="6185C24F" w14:textId="0B617114" w:rsidR="00B669A0" w:rsidRPr="00284372" w:rsidRDefault="00B669A0" w:rsidP="006C1202">
            <w:r w:rsidRPr="00284372">
              <w:t>13.8.1.</w:t>
            </w:r>
            <w:r>
              <w:t>4</w:t>
            </w:r>
          </w:p>
        </w:tc>
        <w:tc>
          <w:tcPr>
            <w:tcW w:w="7072" w:type="dxa"/>
          </w:tcPr>
          <w:p w14:paraId="637C4091" w14:textId="169807A5" w:rsidR="00B669A0" w:rsidRDefault="00B669A0" w:rsidP="007B6B53">
            <w:r w:rsidRPr="00284372">
              <w:t>Schools are</w:t>
            </w:r>
            <w:r>
              <w:t xml:space="preserve"> also</w:t>
            </w:r>
            <w:r w:rsidRPr="00284372">
              <w:t xml:space="preserve"> required to contact the Victorian Schools Building Authority with all the relevant details regarding the donation of </w:t>
            </w:r>
            <w:r>
              <w:t>land and or a building</w:t>
            </w:r>
            <w:r w:rsidRPr="00284372">
              <w:t xml:space="preserve">, as </w:t>
            </w:r>
            <w:r>
              <w:t xml:space="preserve">either of </w:t>
            </w:r>
            <w:r w:rsidRPr="00284372">
              <w:t>th</w:t>
            </w:r>
            <w:r>
              <w:t>ese</w:t>
            </w:r>
            <w:r w:rsidRPr="00284372">
              <w:t xml:space="preserve"> asset</w:t>
            </w:r>
            <w:r>
              <w:t>s</w:t>
            </w:r>
            <w:r w:rsidRPr="00284372">
              <w:t xml:space="preserve"> must be recorded onto the Department’s asset register at fair value.</w:t>
            </w:r>
          </w:p>
          <w:p w14:paraId="30C5DBC9" w14:textId="6CA07A61" w:rsidR="00B669A0" w:rsidRPr="00284372" w:rsidRDefault="00B669A0" w:rsidP="00245210">
            <w:r w:rsidRPr="00284372">
              <w:t xml:space="preserve">Please send an email to the school asset account </w:t>
            </w:r>
            <w:hyperlink r:id="rId20" w:history="1">
              <w:r w:rsidRPr="00245210">
                <w:rPr>
                  <w:rStyle w:val="Hyperlink"/>
                </w:rPr>
                <w:t>sams@edumail.vic.gov.au</w:t>
              </w:r>
            </w:hyperlink>
            <w:r>
              <w:rPr>
                <w:rStyle w:val="Hyperlink"/>
              </w:rPr>
              <w:t xml:space="preserve"> </w:t>
            </w:r>
            <w:r w:rsidRPr="00284372">
              <w:t>describing the asset</w:t>
            </w:r>
            <w:r>
              <w:t>.</w:t>
            </w:r>
            <w:r w:rsidRPr="00284372">
              <w:t xml:space="preserve"> </w:t>
            </w:r>
            <w:r>
              <w:t>A</w:t>
            </w:r>
            <w:r w:rsidRPr="00284372">
              <w:t xml:space="preserve"> Victorian Schools Building Authority team member will </w:t>
            </w:r>
            <w:r>
              <w:t xml:space="preserve">then </w:t>
            </w:r>
            <w:r w:rsidRPr="00284372">
              <w:t>be in contact with you.</w:t>
            </w:r>
          </w:p>
        </w:tc>
        <w:tc>
          <w:tcPr>
            <w:tcW w:w="837" w:type="dxa"/>
          </w:tcPr>
          <w:p w14:paraId="200BA58C" w14:textId="77777777" w:rsidR="00B669A0" w:rsidRPr="00284372" w:rsidRDefault="00B669A0" w:rsidP="007B6B53"/>
        </w:tc>
      </w:tr>
    </w:tbl>
    <w:p w14:paraId="70C7E5D8" w14:textId="52C237E4" w:rsidR="00F36B81" w:rsidRDefault="00F36B81" w:rsidP="002A5102"/>
    <w:p w14:paraId="3109FD22" w14:textId="77777777" w:rsidR="00577EC4" w:rsidRPr="006F7B96" w:rsidRDefault="00577EC4" w:rsidP="00577EC4">
      <w:pPr>
        <w:pStyle w:val="Heading2"/>
      </w:pPr>
      <w:r>
        <w:t>13.</w:t>
      </w:r>
      <w:r w:rsidR="00244B45">
        <w:t>9</w:t>
      </w:r>
      <w:r>
        <w:tab/>
        <w:t>Hire/Leasing of Equipment</w:t>
      </w:r>
      <w:r w:rsidRPr="00F33CA5">
        <w:t xml:space="preserve"> </w:t>
      </w:r>
    </w:p>
    <w:p w14:paraId="6740D81E" w14:textId="6169F113" w:rsidR="004C34C9" w:rsidRPr="00284372" w:rsidRDefault="004C34C9" w:rsidP="00DB6664">
      <w:r w:rsidRPr="00284372">
        <w:t xml:space="preserve">School councils </w:t>
      </w:r>
      <w:r w:rsidR="00975771">
        <w:t>have</w:t>
      </w:r>
      <w:r w:rsidR="00975771" w:rsidRPr="00284372">
        <w:t xml:space="preserve"> </w:t>
      </w:r>
      <w:r w:rsidRPr="00284372">
        <w:t xml:space="preserve">the necessary authority to enter into hire/lease of equipment agreements provided the conditions stipulated in Part 2.3 Division 3 Section 2.3.6 (3) of the </w:t>
      </w:r>
      <w:r w:rsidRPr="002A5102">
        <w:rPr>
          <w:i/>
        </w:rPr>
        <w:t>Education and Training Reform Act 2006</w:t>
      </w:r>
      <w:r w:rsidRPr="00284372">
        <w:t xml:space="preserve"> </w:t>
      </w:r>
      <w:r w:rsidR="00F36B81">
        <w:t xml:space="preserve">and must be </w:t>
      </w:r>
      <w:r w:rsidRPr="00284372">
        <w:t>strictly adhered to.</w:t>
      </w:r>
    </w:p>
    <w:p w14:paraId="3DAFDDC7" w14:textId="77777777" w:rsidR="004C34C9" w:rsidRDefault="004C34C9" w:rsidP="004C34C9">
      <w:pPr>
        <w:pStyle w:val="Heading3"/>
      </w:pPr>
      <w:r>
        <w:t>13.</w:t>
      </w:r>
      <w:r w:rsidR="00244B45">
        <w:t>9</w:t>
      </w:r>
      <w:r>
        <w:t>.</w:t>
      </w:r>
      <w:r w:rsidR="006B7C22">
        <w:t>1</w:t>
      </w:r>
      <w:r w:rsidRPr="00317AB9">
        <w:tab/>
        <w:t>Mandatory policy (</w:t>
      </w:r>
      <w:r>
        <w:t>Must do</w:t>
      </w:r>
      <w:r w:rsidRPr="00317AB9">
        <w:t>):</w:t>
      </w:r>
    </w:p>
    <w:tbl>
      <w:tblPr>
        <w:tblW w:w="89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12"/>
        <w:gridCol w:w="7048"/>
        <w:gridCol w:w="837"/>
      </w:tblGrid>
      <w:tr w:rsidR="00C439C3" w:rsidRPr="0091756B" w14:paraId="66DA5E6A" w14:textId="47425A65" w:rsidTr="00C439C3">
        <w:trPr>
          <w:trHeight w:val="567"/>
          <w:tblHeader/>
        </w:trPr>
        <w:tc>
          <w:tcPr>
            <w:tcW w:w="11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C9D17" w14:textId="7DE7759B" w:rsidR="00C439C3" w:rsidRPr="00C439C3" w:rsidRDefault="00C439C3" w:rsidP="003C7CAC">
            <w:pPr>
              <w:rPr>
                <w:b/>
                <w:sz w:val="18"/>
              </w:rPr>
            </w:pPr>
            <w:r>
              <w:rPr>
                <w:b/>
                <w:sz w:val="18"/>
              </w:rPr>
              <w:t xml:space="preserve">Sequence </w:t>
            </w:r>
            <w:r w:rsidRPr="00C439C3">
              <w:rPr>
                <w:b/>
                <w:sz w:val="18"/>
              </w:rPr>
              <w:t>Numbers</w:t>
            </w:r>
          </w:p>
        </w:tc>
        <w:tc>
          <w:tcPr>
            <w:tcW w:w="7048" w:type="dxa"/>
            <w:tcBorders>
              <w:top w:val="single" w:sz="4" w:space="0" w:color="000000"/>
              <w:left w:val="single" w:sz="4" w:space="0" w:color="000000"/>
              <w:bottom w:val="single" w:sz="4" w:space="0" w:color="000000"/>
              <w:right w:val="single" w:sz="4" w:space="0" w:color="000000"/>
            </w:tcBorders>
            <w:shd w:val="clear" w:color="auto" w:fill="auto"/>
          </w:tcPr>
          <w:p w14:paraId="6FA34D53" w14:textId="77777777" w:rsidR="00C439C3" w:rsidRPr="00127ECC" w:rsidRDefault="00C439C3" w:rsidP="00127ECC">
            <w:pPr>
              <w:pStyle w:val="ListBullet"/>
              <w:numPr>
                <w:ilvl w:val="0"/>
                <w:numId w:val="0"/>
              </w:numPr>
              <w:rPr>
                <w:b/>
              </w:rPr>
            </w:pPr>
            <w:r w:rsidRPr="00127ECC">
              <w:rPr>
                <w:b/>
              </w:rPr>
              <w:t>Information</w:t>
            </w:r>
          </w:p>
        </w:tc>
        <w:tc>
          <w:tcPr>
            <w:tcW w:w="837" w:type="dxa"/>
            <w:tcBorders>
              <w:top w:val="nil"/>
              <w:left w:val="single" w:sz="4" w:space="0" w:color="000000"/>
              <w:bottom w:val="single" w:sz="4" w:space="0" w:color="000000"/>
              <w:right w:val="nil"/>
            </w:tcBorders>
          </w:tcPr>
          <w:p w14:paraId="5792B6C5" w14:textId="77777777" w:rsidR="00C439C3" w:rsidRPr="00127ECC" w:rsidRDefault="00C439C3" w:rsidP="00127ECC">
            <w:pPr>
              <w:pStyle w:val="ListBullet"/>
              <w:numPr>
                <w:ilvl w:val="0"/>
                <w:numId w:val="0"/>
              </w:numPr>
              <w:rPr>
                <w:b/>
              </w:rPr>
            </w:pPr>
          </w:p>
        </w:tc>
      </w:tr>
      <w:tr w:rsidR="00C439C3" w:rsidRPr="00D94A93" w14:paraId="694C265A" w14:textId="327A9ADA" w:rsidTr="00C439C3">
        <w:trPr>
          <w:trHeight w:val="567"/>
        </w:trPr>
        <w:tc>
          <w:tcPr>
            <w:tcW w:w="1112" w:type="dxa"/>
          </w:tcPr>
          <w:p w14:paraId="1EDBDDD5" w14:textId="77777777" w:rsidR="00C439C3" w:rsidRPr="00284372" w:rsidRDefault="00C439C3" w:rsidP="00284372">
            <w:r w:rsidRPr="00284372">
              <w:t>13.9.1.1</w:t>
            </w:r>
          </w:p>
        </w:tc>
        <w:tc>
          <w:tcPr>
            <w:tcW w:w="7048" w:type="dxa"/>
          </w:tcPr>
          <w:p w14:paraId="73D9F33E" w14:textId="77777777" w:rsidR="00C439C3" w:rsidRPr="00F8472C" w:rsidRDefault="00C439C3" w:rsidP="007B6B53">
            <w:pPr>
              <w:pStyle w:val="ListBullet"/>
              <w:numPr>
                <w:ilvl w:val="0"/>
                <w:numId w:val="0"/>
              </w:numPr>
            </w:pPr>
            <w:r w:rsidRPr="00F8472C">
              <w:t>A school may enter into an operating lease agreement. For example, a school may lease a photocopier for a period of 3 years.</w:t>
            </w:r>
          </w:p>
        </w:tc>
        <w:tc>
          <w:tcPr>
            <w:tcW w:w="837" w:type="dxa"/>
          </w:tcPr>
          <w:p w14:paraId="24937DA1" w14:textId="77777777" w:rsidR="00C439C3" w:rsidRPr="00F8472C" w:rsidRDefault="00C439C3" w:rsidP="007B6B53">
            <w:pPr>
              <w:pStyle w:val="ListBullet"/>
              <w:numPr>
                <w:ilvl w:val="0"/>
                <w:numId w:val="0"/>
              </w:numPr>
            </w:pPr>
          </w:p>
        </w:tc>
      </w:tr>
      <w:tr w:rsidR="00C439C3" w:rsidRPr="00D94A93" w14:paraId="22D762DA" w14:textId="49475A8F" w:rsidTr="00C439C3">
        <w:trPr>
          <w:trHeight w:val="567"/>
        </w:trPr>
        <w:tc>
          <w:tcPr>
            <w:tcW w:w="1112" w:type="dxa"/>
          </w:tcPr>
          <w:p w14:paraId="29683971" w14:textId="77777777" w:rsidR="00C439C3" w:rsidRPr="00284372" w:rsidRDefault="00C439C3" w:rsidP="00284372">
            <w:r w:rsidRPr="00284372">
              <w:t>13.9.1.2</w:t>
            </w:r>
          </w:p>
        </w:tc>
        <w:tc>
          <w:tcPr>
            <w:tcW w:w="7048" w:type="dxa"/>
          </w:tcPr>
          <w:p w14:paraId="1E70695D" w14:textId="77777777" w:rsidR="00C439C3" w:rsidRPr="00F8472C" w:rsidRDefault="00C439C3" w:rsidP="007B6B53">
            <w:pPr>
              <w:pStyle w:val="ListBullet"/>
              <w:numPr>
                <w:ilvl w:val="0"/>
                <w:numId w:val="0"/>
              </w:numPr>
            </w:pPr>
            <w:r w:rsidRPr="00F8472C">
              <w:t>Equipment leased via an operating lease must be included in the CASES21 Asset module (Asset Register) with a purchase cost of $0.00, quantity, lease start and end date and monthly lease cost.</w:t>
            </w:r>
          </w:p>
        </w:tc>
        <w:tc>
          <w:tcPr>
            <w:tcW w:w="837" w:type="dxa"/>
          </w:tcPr>
          <w:p w14:paraId="516A0E51" w14:textId="77777777" w:rsidR="00C439C3" w:rsidRPr="00F8472C" w:rsidRDefault="00C439C3" w:rsidP="007B6B53">
            <w:pPr>
              <w:pStyle w:val="ListBullet"/>
              <w:numPr>
                <w:ilvl w:val="0"/>
                <w:numId w:val="0"/>
              </w:numPr>
            </w:pPr>
          </w:p>
        </w:tc>
      </w:tr>
      <w:tr w:rsidR="00C439C3" w:rsidRPr="00D94A93" w14:paraId="6656E930" w14:textId="6CB4289E" w:rsidTr="00C439C3">
        <w:trPr>
          <w:trHeight w:val="567"/>
        </w:trPr>
        <w:tc>
          <w:tcPr>
            <w:tcW w:w="1112" w:type="dxa"/>
          </w:tcPr>
          <w:p w14:paraId="3BF7F97F" w14:textId="77777777" w:rsidR="00C439C3" w:rsidRPr="00284372" w:rsidRDefault="00C439C3" w:rsidP="00284372">
            <w:r w:rsidRPr="00284372">
              <w:t>13.9.1.3</w:t>
            </w:r>
          </w:p>
        </w:tc>
        <w:tc>
          <w:tcPr>
            <w:tcW w:w="7048" w:type="dxa"/>
          </w:tcPr>
          <w:p w14:paraId="332B4EBC" w14:textId="77777777" w:rsidR="00C439C3" w:rsidRPr="00F8472C" w:rsidRDefault="00C439C3" w:rsidP="007B6B53">
            <w:pPr>
              <w:pStyle w:val="ListBullet"/>
              <w:numPr>
                <w:ilvl w:val="0"/>
                <w:numId w:val="0"/>
              </w:numPr>
            </w:pPr>
            <w:r w:rsidRPr="00F8472C">
              <w:t xml:space="preserve">Leased assets are not covered under School Equipment Coverage Scheme (SECS) for insurance and schools must obtain their own insurance for leased items.  </w:t>
            </w:r>
          </w:p>
        </w:tc>
        <w:tc>
          <w:tcPr>
            <w:tcW w:w="837" w:type="dxa"/>
          </w:tcPr>
          <w:p w14:paraId="56872484" w14:textId="77777777" w:rsidR="00C439C3" w:rsidRPr="00F8472C" w:rsidRDefault="00C439C3" w:rsidP="007B6B53">
            <w:pPr>
              <w:pStyle w:val="ListBullet"/>
              <w:numPr>
                <w:ilvl w:val="0"/>
                <w:numId w:val="0"/>
              </w:numPr>
            </w:pPr>
          </w:p>
        </w:tc>
      </w:tr>
    </w:tbl>
    <w:p w14:paraId="2F3CC82E" w14:textId="0630D916" w:rsidR="004C34C9" w:rsidRDefault="004C34C9" w:rsidP="004C34C9">
      <w:pPr>
        <w:pStyle w:val="Heading3"/>
      </w:pPr>
      <w:r w:rsidRPr="00317AB9">
        <w:t>1</w:t>
      </w:r>
      <w:r>
        <w:t>3</w:t>
      </w:r>
      <w:r w:rsidRPr="00317AB9">
        <w:t>.</w:t>
      </w:r>
      <w:r w:rsidR="00244B45">
        <w:t>9</w:t>
      </w:r>
      <w:r>
        <w:t>.</w:t>
      </w:r>
      <w:r w:rsidR="006B7C22">
        <w:t>2</w:t>
      </w:r>
      <w:r w:rsidRPr="00317AB9">
        <w:tab/>
        <w:t>Prohibited policy (</w:t>
      </w:r>
      <w:r>
        <w:t>Must not</w:t>
      </w:r>
      <w:r w:rsidR="00D864EC">
        <w:t xml:space="preserve"> do</w:t>
      </w:r>
      <w:r w:rsidRPr="00317AB9">
        <w:t>):</w:t>
      </w:r>
    </w:p>
    <w:tbl>
      <w:tblPr>
        <w:tblW w:w="899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12"/>
        <w:gridCol w:w="7048"/>
        <w:gridCol w:w="837"/>
      </w:tblGrid>
      <w:tr w:rsidR="003C7CAC" w:rsidRPr="0091756B" w14:paraId="7039173A" w14:textId="330A3819" w:rsidTr="003C7CAC">
        <w:trPr>
          <w:trHeight w:val="567"/>
          <w:tblHeader/>
        </w:trPr>
        <w:tc>
          <w:tcPr>
            <w:tcW w:w="11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2920B" w14:textId="4E972550" w:rsidR="003C7CAC" w:rsidRPr="003C7CAC" w:rsidRDefault="003C7CAC" w:rsidP="00127ECC">
            <w:pPr>
              <w:rPr>
                <w:b/>
                <w:sz w:val="18"/>
              </w:rPr>
            </w:pPr>
            <w:r>
              <w:rPr>
                <w:b/>
                <w:sz w:val="18"/>
              </w:rPr>
              <w:t xml:space="preserve">Sequence </w:t>
            </w:r>
            <w:r w:rsidRPr="003C7CAC">
              <w:rPr>
                <w:b/>
                <w:sz w:val="18"/>
              </w:rPr>
              <w:t>Numbers</w:t>
            </w:r>
          </w:p>
        </w:tc>
        <w:tc>
          <w:tcPr>
            <w:tcW w:w="7048" w:type="dxa"/>
            <w:tcBorders>
              <w:top w:val="single" w:sz="4" w:space="0" w:color="000000"/>
              <w:left w:val="single" w:sz="4" w:space="0" w:color="000000"/>
              <w:bottom w:val="single" w:sz="4" w:space="0" w:color="000000"/>
              <w:right w:val="single" w:sz="4" w:space="0" w:color="000000"/>
            </w:tcBorders>
            <w:shd w:val="clear" w:color="auto" w:fill="auto"/>
          </w:tcPr>
          <w:p w14:paraId="43996EB6" w14:textId="77777777" w:rsidR="003C7CAC" w:rsidRPr="00127ECC" w:rsidRDefault="003C7CAC" w:rsidP="00127ECC">
            <w:pPr>
              <w:pStyle w:val="ListBullet"/>
              <w:numPr>
                <w:ilvl w:val="0"/>
                <w:numId w:val="0"/>
              </w:numPr>
              <w:rPr>
                <w:b/>
              </w:rPr>
            </w:pPr>
            <w:r w:rsidRPr="00127ECC">
              <w:rPr>
                <w:b/>
              </w:rPr>
              <w:t>Information</w:t>
            </w:r>
          </w:p>
        </w:tc>
        <w:tc>
          <w:tcPr>
            <w:tcW w:w="837" w:type="dxa"/>
            <w:tcBorders>
              <w:top w:val="nil"/>
              <w:left w:val="single" w:sz="4" w:space="0" w:color="000000"/>
              <w:bottom w:val="single" w:sz="4" w:space="0" w:color="000000"/>
              <w:right w:val="nil"/>
            </w:tcBorders>
          </w:tcPr>
          <w:p w14:paraId="2A16D3ED" w14:textId="77777777" w:rsidR="003C7CAC" w:rsidRPr="00127ECC" w:rsidRDefault="003C7CAC" w:rsidP="00127ECC">
            <w:pPr>
              <w:pStyle w:val="ListBullet"/>
              <w:numPr>
                <w:ilvl w:val="0"/>
                <w:numId w:val="0"/>
              </w:numPr>
              <w:rPr>
                <w:b/>
              </w:rPr>
            </w:pPr>
          </w:p>
        </w:tc>
      </w:tr>
      <w:tr w:rsidR="003C7CAC" w:rsidRPr="00D94A93" w14:paraId="32992860" w14:textId="48CCF175" w:rsidTr="003C7CAC">
        <w:trPr>
          <w:trHeight w:val="567"/>
        </w:trPr>
        <w:tc>
          <w:tcPr>
            <w:tcW w:w="1112" w:type="dxa"/>
          </w:tcPr>
          <w:p w14:paraId="49D85C36" w14:textId="77777777" w:rsidR="003C7CAC" w:rsidRPr="00284372" w:rsidRDefault="003C7CAC" w:rsidP="00284372">
            <w:r w:rsidRPr="00284372">
              <w:t>13.9.2.1</w:t>
            </w:r>
          </w:p>
        </w:tc>
        <w:tc>
          <w:tcPr>
            <w:tcW w:w="7048" w:type="dxa"/>
          </w:tcPr>
          <w:p w14:paraId="0C5652BF" w14:textId="77777777" w:rsidR="003C7CAC" w:rsidRPr="00F8472C" w:rsidRDefault="003C7CAC" w:rsidP="007B6B53">
            <w:pPr>
              <w:pStyle w:val="ListBullet"/>
              <w:numPr>
                <w:ilvl w:val="0"/>
                <w:numId w:val="0"/>
              </w:numPr>
            </w:pPr>
            <w:r w:rsidRPr="00F8472C">
              <w:t>School councils do not have the authority to borrow money so therefore are unable to enter into finance leases (as opposed to operating leases).</w:t>
            </w:r>
          </w:p>
        </w:tc>
        <w:tc>
          <w:tcPr>
            <w:tcW w:w="837" w:type="dxa"/>
          </w:tcPr>
          <w:p w14:paraId="7957DE7B" w14:textId="77777777" w:rsidR="003C7CAC" w:rsidRPr="00F8472C" w:rsidRDefault="003C7CAC" w:rsidP="007B6B53">
            <w:pPr>
              <w:pStyle w:val="ListBullet"/>
              <w:numPr>
                <w:ilvl w:val="0"/>
                <w:numId w:val="0"/>
              </w:numPr>
            </w:pPr>
          </w:p>
        </w:tc>
      </w:tr>
    </w:tbl>
    <w:p w14:paraId="38AEA9E4" w14:textId="77777777" w:rsidR="00DB6664" w:rsidRPr="00DB6664" w:rsidRDefault="00DB6664" w:rsidP="00E66B67"/>
    <w:p w14:paraId="1FB86074" w14:textId="77777777" w:rsidR="00E0344C" w:rsidRPr="006F7B96" w:rsidRDefault="00E0344C" w:rsidP="00E0344C">
      <w:pPr>
        <w:pStyle w:val="Heading2"/>
      </w:pPr>
      <w:r>
        <w:lastRenderedPageBreak/>
        <w:t>13.10</w:t>
      </w:r>
      <w:r>
        <w:tab/>
        <w:t>Insurance on Stores</w:t>
      </w:r>
    </w:p>
    <w:p w14:paraId="7F5906B2" w14:textId="77777777" w:rsidR="00474BCB" w:rsidRPr="006F7B96" w:rsidRDefault="00474BCB" w:rsidP="00474BCB">
      <w:pPr>
        <w:pStyle w:val="Heading3"/>
      </w:pPr>
      <w:r>
        <w:t>13.</w:t>
      </w:r>
      <w:r w:rsidR="00244B45">
        <w:t>10</w:t>
      </w:r>
      <w:r>
        <w:t>.1</w:t>
      </w:r>
      <w:r>
        <w:tab/>
      </w:r>
      <w:r w:rsidRPr="006F7B96">
        <w:t>Overview</w:t>
      </w:r>
    </w:p>
    <w:p w14:paraId="1562E296" w14:textId="77777777" w:rsidR="00474BCB" w:rsidRDefault="00474BCB" w:rsidP="00284372">
      <w:r w:rsidRPr="00284372">
        <w:t xml:space="preserve">The Department’s School Equipment Coverage Scheme (SECS) applies to school equipment and stores. </w:t>
      </w:r>
    </w:p>
    <w:p w14:paraId="0D9B5B27" w14:textId="77777777" w:rsidR="00B310A3" w:rsidRPr="00317AB9" w:rsidRDefault="00B310A3" w:rsidP="00B310A3">
      <w:pPr>
        <w:pStyle w:val="Heading3"/>
      </w:pPr>
      <w:r w:rsidRPr="00317AB9">
        <w:t>1</w:t>
      </w:r>
      <w:r>
        <w:t xml:space="preserve">3.10.2 </w:t>
      </w:r>
      <w:r>
        <w:tab/>
        <w:t xml:space="preserve">Prohibited </w:t>
      </w:r>
      <w:r w:rsidRPr="00317AB9">
        <w:t>policy (</w:t>
      </w:r>
      <w:r>
        <w:t>Must not</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26"/>
        <w:gridCol w:w="837"/>
      </w:tblGrid>
      <w:tr w:rsidR="001211F7" w:rsidRPr="0091756B" w14:paraId="68DDEBF5" w14:textId="5F22F4AB" w:rsidTr="001211F7">
        <w:trPr>
          <w:trHeight w:val="555"/>
          <w:tblHeader/>
        </w:trPr>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11A53" w14:textId="4594111E" w:rsidR="001211F7" w:rsidRPr="001211F7" w:rsidRDefault="001211F7" w:rsidP="003C7CAC">
            <w:pPr>
              <w:rPr>
                <w:b/>
                <w:sz w:val="18"/>
              </w:rPr>
            </w:pPr>
            <w:r>
              <w:rPr>
                <w:b/>
                <w:sz w:val="18"/>
              </w:rPr>
              <w:t xml:space="preserve">Sequence </w:t>
            </w:r>
            <w:r w:rsidRPr="001211F7">
              <w:rPr>
                <w:b/>
                <w:sz w:val="18"/>
              </w:rPr>
              <w:t>Numbers</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433BD16C" w14:textId="77777777" w:rsidR="001211F7" w:rsidRPr="00127ECC" w:rsidRDefault="001211F7" w:rsidP="003C7CAC">
            <w:pPr>
              <w:rPr>
                <w:b/>
              </w:rPr>
            </w:pPr>
            <w:r w:rsidRPr="00127ECC">
              <w:rPr>
                <w:b/>
              </w:rPr>
              <w:t>Information</w:t>
            </w:r>
          </w:p>
        </w:tc>
        <w:tc>
          <w:tcPr>
            <w:tcW w:w="837" w:type="dxa"/>
            <w:tcBorders>
              <w:top w:val="nil"/>
              <w:left w:val="single" w:sz="4" w:space="0" w:color="000000"/>
              <w:bottom w:val="single" w:sz="4" w:space="0" w:color="000000"/>
              <w:right w:val="nil"/>
            </w:tcBorders>
          </w:tcPr>
          <w:p w14:paraId="5B111EEF" w14:textId="77777777" w:rsidR="001211F7" w:rsidRPr="00127ECC" w:rsidRDefault="001211F7" w:rsidP="003C7CAC">
            <w:pPr>
              <w:rPr>
                <w:b/>
              </w:rPr>
            </w:pPr>
          </w:p>
        </w:tc>
      </w:tr>
      <w:tr w:rsidR="001211F7" w:rsidRPr="00D94A93" w14:paraId="11E636A2" w14:textId="3ADC965C" w:rsidTr="001211F7">
        <w:trPr>
          <w:trHeight w:val="1090"/>
        </w:trPr>
        <w:tc>
          <w:tcPr>
            <w:tcW w:w="1134" w:type="dxa"/>
          </w:tcPr>
          <w:p w14:paraId="1C04A5A9" w14:textId="77777777" w:rsidR="001211F7" w:rsidRPr="00284372" w:rsidRDefault="001211F7" w:rsidP="00B310A3">
            <w:r w:rsidRPr="00284372">
              <w:t>13.1</w:t>
            </w:r>
            <w:r>
              <w:t>0</w:t>
            </w:r>
            <w:r w:rsidRPr="00284372">
              <w:t>.</w:t>
            </w:r>
            <w:r>
              <w:t>2</w:t>
            </w:r>
            <w:r w:rsidRPr="00284372">
              <w:t>.1</w:t>
            </w:r>
          </w:p>
        </w:tc>
        <w:tc>
          <w:tcPr>
            <w:tcW w:w="7026" w:type="dxa"/>
          </w:tcPr>
          <w:p w14:paraId="79540A99" w14:textId="77777777" w:rsidR="001211F7" w:rsidRPr="00284372" w:rsidRDefault="001211F7" w:rsidP="00B310A3">
            <w:r w:rsidRPr="00B310A3">
              <w:t>Leased assets are not covered under School Equipment Coverage Scheme (SECS) for insurance and schools must obtain their own insurance for leased items.</w:t>
            </w:r>
          </w:p>
        </w:tc>
        <w:tc>
          <w:tcPr>
            <w:tcW w:w="837" w:type="dxa"/>
          </w:tcPr>
          <w:p w14:paraId="3B81119A" w14:textId="77777777" w:rsidR="001211F7" w:rsidRPr="00B310A3" w:rsidRDefault="001211F7" w:rsidP="00B310A3"/>
        </w:tc>
      </w:tr>
    </w:tbl>
    <w:p w14:paraId="47CA9DA6" w14:textId="3EE7FF9E" w:rsidR="00B310A3" w:rsidRPr="006F7B96" w:rsidRDefault="00B310A3" w:rsidP="00B310A3">
      <w:pPr>
        <w:pStyle w:val="Heading3"/>
      </w:pPr>
      <w:r>
        <w:t>13.10.3</w:t>
      </w:r>
      <w:r w:rsidR="00B04F7A">
        <w:tab/>
      </w:r>
      <w:r w:rsidR="00B04F7A">
        <w:tab/>
      </w:r>
      <w:r>
        <w:t>Additional resources</w:t>
      </w:r>
    </w:p>
    <w:p w14:paraId="110147B1" w14:textId="77777777" w:rsidR="003C7CAC" w:rsidRPr="003C7CAC" w:rsidRDefault="00B310A3" w:rsidP="003C7CAC">
      <w:pPr>
        <w:pStyle w:val="ListBullet"/>
        <w:spacing w:before="0" w:line="240" w:lineRule="auto"/>
        <w:rPr>
          <w:rStyle w:val="Hyperlink"/>
          <w:color w:val="auto"/>
          <w:u w:val="none"/>
        </w:rPr>
      </w:pPr>
      <w:r w:rsidRPr="00F8472C">
        <w:t xml:space="preserve">SECS Policy and Guidelines can be viewed from the following link: </w:t>
      </w:r>
      <w:hyperlink r:id="rId21" w:history="1">
        <w:r w:rsidRPr="00F8472C">
          <w:rPr>
            <w:rStyle w:val="Hyperlink"/>
          </w:rPr>
          <w:t>School Equipment Coverage Scheme – Policy &amp; Guidelines.</w:t>
        </w:r>
      </w:hyperlink>
    </w:p>
    <w:p w14:paraId="15CF7105" w14:textId="77777777" w:rsidR="003C7CAC" w:rsidRDefault="003C7CAC" w:rsidP="003C7CAC">
      <w:pPr>
        <w:pStyle w:val="ListBullet"/>
        <w:numPr>
          <w:ilvl w:val="0"/>
          <w:numId w:val="0"/>
        </w:numPr>
        <w:spacing w:before="0" w:line="240" w:lineRule="auto"/>
        <w:ind w:left="284" w:hanging="284"/>
      </w:pPr>
    </w:p>
    <w:p w14:paraId="268F8911" w14:textId="03B369C2" w:rsidR="00474BCB" w:rsidRPr="006F7B96" w:rsidRDefault="00474BCB" w:rsidP="00474BCB">
      <w:pPr>
        <w:pStyle w:val="Heading2"/>
      </w:pPr>
      <w:r>
        <w:t>13.</w:t>
      </w:r>
      <w:r w:rsidR="00244B45">
        <w:t>11</w:t>
      </w:r>
      <w:r>
        <w:tab/>
        <w:t>Library Materials</w:t>
      </w:r>
    </w:p>
    <w:p w14:paraId="6B8A13A3" w14:textId="68571420" w:rsidR="00474BCB" w:rsidRPr="00284372" w:rsidRDefault="00474BCB" w:rsidP="007B6B53">
      <w:pPr>
        <w:pStyle w:val="Heading3"/>
      </w:pPr>
      <w:r w:rsidRPr="00284372">
        <w:t>13.</w:t>
      </w:r>
      <w:r w:rsidR="00244B45" w:rsidRPr="00284372">
        <w:t>11</w:t>
      </w:r>
      <w:r w:rsidRPr="00284372">
        <w:t>.1</w:t>
      </w:r>
      <w:r w:rsidR="00B04F7A">
        <w:tab/>
      </w:r>
      <w:r w:rsidR="00B04F7A">
        <w:tab/>
      </w:r>
      <w:r w:rsidRPr="00284372">
        <w:t>Mandatory policy (Must do):</w:t>
      </w:r>
    </w:p>
    <w:p w14:paraId="2B20327A" w14:textId="77777777" w:rsidR="00474BCB" w:rsidRPr="00681C20" w:rsidRDefault="00474BCB" w:rsidP="00474BCB">
      <w:pPr>
        <w:pStyle w:val="Heading3"/>
      </w:pPr>
      <w:r w:rsidRPr="00496C3C">
        <w:t>Identification and Recording Library Materials</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788"/>
      </w:tblGrid>
      <w:tr w:rsidR="001211F7" w:rsidRPr="0091756B" w14:paraId="1E0F2C5C" w14:textId="63ABA8B9" w:rsidTr="001211F7">
        <w:trPr>
          <w:trHeight w:val="609"/>
          <w:tblHeader/>
        </w:trPr>
        <w:tc>
          <w:tcPr>
            <w:tcW w:w="1134" w:type="dxa"/>
            <w:tcBorders>
              <w:bottom w:val="single" w:sz="4" w:space="0" w:color="auto"/>
            </w:tcBorders>
            <w:shd w:val="clear" w:color="auto" w:fill="FFFFFF" w:themeFill="background1"/>
          </w:tcPr>
          <w:p w14:paraId="315455D9" w14:textId="479B4519" w:rsidR="001211F7" w:rsidRPr="00284372" w:rsidRDefault="001211F7" w:rsidP="003C7CAC">
            <w:r>
              <w:rPr>
                <w:b/>
                <w:sz w:val="18"/>
              </w:rPr>
              <w:t xml:space="preserve">Sequence </w:t>
            </w:r>
            <w:r w:rsidRPr="001211F7">
              <w:rPr>
                <w:b/>
                <w:sz w:val="18"/>
              </w:rPr>
              <w:t>Numbers</w:t>
            </w:r>
          </w:p>
        </w:tc>
        <w:tc>
          <w:tcPr>
            <w:tcW w:w="7088" w:type="dxa"/>
            <w:tcBorders>
              <w:bottom w:val="single" w:sz="4" w:space="0" w:color="auto"/>
            </w:tcBorders>
            <w:shd w:val="clear" w:color="auto" w:fill="auto"/>
          </w:tcPr>
          <w:p w14:paraId="0B6E35B6" w14:textId="77777777" w:rsidR="001211F7" w:rsidRPr="00284372" w:rsidRDefault="001211F7" w:rsidP="003C7CAC">
            <w:r w:rsidRPr="000D2D95">
              <w:rPr>
                <w:b/>
                <w:szCs w:val="22"/>
              </w:rPr>
              <w:t>Information</w:t>
            </w:r>
          </w:p>
        </w:tc>
        <w:tc>
          <w:tcPr>
            <w:tcW w:w="788" w:type="dxa"/>
            <w:tcBorders>
              <w:top w:val="nil"/>
              <w:bottom w:val="single" w:sz="4" w:space="0" w:color="auto"/>
              <w:right w:val="nil"/>
            </w:tcBorders>
          </w:tcPr>
          <w:p w14:paraId="4B74AB61" w14:textId="77777777" w:rsidR="001211F7" w:rsidRPr="000D2D95" w:rsidRDefault="001211F7" w:rsidP="003C7CAC">
            <w:pPr>
              <w:rPr>
                <w:b/>
                <w:szCs w:val="22"/>
              </w:rPr>
            </w:pPr>
          </w:p>
        </w:tc>
      </w:tr>
      <w:tr w:rsidR="001211F7" w:rsidRPr="00D94A93" w14:paraId="6E8BCD4D" w14:textId="55DF90D6" w:rsidTr="00121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5"/>
        </w:trPr>
        <w:tc>
          <w:tcPr>
            <w:tcW w:w="1134" w:type="dxa"/>
            <w:tcBorders>
              <w:top w:val="single" w:sz="4" w:space="0" w:color="000000"/>
              <w:left w:val="single" w:sz="4" w:space="0" w:color="000000" w:themeColor="text1"/>
              <w:bottom w:val="single" w:sz="4" w:space="0" w:color="000000"/>
              <w:right w:val="single" w:sz="4" w:space="0" w:color="000000" w:themeColor="text1"/>
            </w:tcBorders>
          </w:tcPr>
          <w:p w14:paraId="0D3D3948" w14:textId="77777777" w:rsidR="001211F7" w:rsidRPr="00284372" w:rsidRDefault="001211F7" w:rsidP="00284372">
            <w:r w:rsidRPr="00284372">
              <w:t>13.11.1.1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3329" w14:textId="77777777" w:rsidR="001211F7" w:rsidRPr="00284372" w:rsidRDefault="001211F7" w:rsidP="00284372">
            <w:r w:rsidRPr="00284372">
              <w:t>The library manager is responsible for maintaining methods of stock control that accounts for all library books, textbooks, and other non-accountable items and materials.</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5175" w14:textId="77777777" w:rsidR="001211F7" w:rsidRPr="00284372" w:rsidRDefault="001211F7" w:rsidP="00284372"/>
        </w:tc>
      </w:tr>
      <w:tr w:rsidR="001211F7" w:rsidRPr="00D94A93" w14:paraId="7C35911B" w14:textId="1275EF0A" w:rsidTr="00121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0"/>
        </w:trPr>
        <w:tc>
          <w:tcPr>
            <w:tcW w:w="1134" w:type="dxa"/>
            <w:tcBorders>
              <w:top w:val="single" w:sz="4" w:space="0" w:color="000000"/>
              <w:left w:val="single" w:sz="4" w:space="0" w:color="000000" w:themeColor="text1"/>
              <w:bottom w:val="single" w:sz="4" w:space="0" w:color="000000"/>
              <w:right w:val="single" w:sz="4" w:space="0" w:color="000000" w:themeColor="text1"/>
            </w:tcBorders>
          </w:tcPr>
          <w:p w14:paraId="045005B0" w14:textId="77777777" w:rsidR="001211F7" w:rsidRPr="00284372" w:rsidRDefault="001211F7" w:rsidP="00284372">
            <w:r w:rsidRPr="00284372">
              <w:t>13.11.1.2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6F2CE" w14:textId="77777777" w:rsidR="001211F7" w:rsidRPr="00284372" w:rsidRDefault="001211F7" w:rsidP="00284372">
            <w:r w:rsidRPr="00284372">
              <w:t>Where there is no library manager, the direct responsibility is assigned to the principal.</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01E16" w14:textId="77777777" w:rsidR="001211F7" w:rsidRPr="00284372" w:rsidRDefault="001211F7" w:rsidP="00284372"/>
        </w:tc>
      </w:tr>
      <w:tr w:rsidR="001211F7" w:rsidRPr="00D94A93" w14:paraId="6DBA4E58" w14:textId="6F6F0875" w:rsidTr="00121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5"/>
        </w:trPr>
        <w:tc>
          <w:tcPr>
            <w:tcW w:w="1134" w:type="dxa"/>
            <w:tcBorders>
              <w:top w:val="single" w:sz="4" w:space="0" w:color="000000"/>
              <w:left w:val="single" w:sz="4" w:space="0" w:color="000000" w:themeColor="text1"/>
              <w:bottom w:val="single" w:sz="4" w:space="0" w:color="000000"/>
              <w:right w:val="single" w:sz="4" w:space="0" w:color="000000" w:themeColor="text1"/>
            </w:tcBorders>
          </w:tcPr>
          <w:p w14:paraId="2E0CA8AE" w14:textId="77777777" w:rsidR="001211F7" w:rsidRPr="00284372" w:rsidRDefault="001211F7" w:rsidP="00284372">
            <w:r w:rsidRPr="00284372">
              <w:t>13.11.1.3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D608" w14:textId="3C12B3F3" w:rsidR="001211F7" w:rsidRPr="00284372" w:rsidRDefault="001211F7" w:rsidP="00B3199D">
            <w:r w:rsidRPr="00284372">
              <w:t>All library materials received from any source, except materials having a low value or short life, are to be ac</w:t>
            </w:r>
            <w:r>
              <w:t>tioned a</w:t>
            </w:r>
            <w:r w:rsidRPr="00284372">
              <w:t xml:space="preserve">s soon as practical after receipt. The following are typical items that </w:t>
            </w:r>
            <w:r w:rsidR="00B3199D">
              <w:t>are to</w:t>
            </w:r>
            <w:r w:rsidR="008E07B2">
              <w:t xml:space="preserve"> be recorded:</w:t>
            </w:r>
            <w:r w:rsidRPr="00284372">
              <w:t xml:space="preserve"> </w:t>
            </w:r>
            <w:r w:rsidR="00FD7F2F">
              <w:t xml:space="preserve">books, </w:t>
            </w:r>
            <w:r w:rsidRPr="00284372">
              <w:t>maps, audio materials, projected visual materials, video materials, pictures, charts, microfilms and computer materials.</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461E0" w14:textId="77777777" w:rsidR="001211F7" w:rsidRPr="00284372" w:rsidRDefault="001211F7" w:rsidP="002A5102"/>
        </w:tc>
      </w:tr>
    </w:tbl>
    <w:p w14:paraId="766BF443" w14:textId="77777777" w:rsidR="003C7CAC" w:rsidRDefault="003C7CAC" w:rsidP="00474BCB">
      <w:pPr>
        <w:pStyle w:val="Heading3"/>
      </w:pPr>
    </w:p>
    <w:p w14:paraId="3701470D" w14:textId="77777777" w:rsidR="003C7CAC" w:rsidRDefault="003C7CAC" w:rsidP="00474BCB">
      <w:pPr>
        <w:pStyle w:val="Heading3"/>
      </w:pPr>
    </w:p>
    <w:p w14:paraId="1F5C78E9" w14:textId="463FD28E" w:rsidR="00474BCB" w:rsidRPr="009B1062" w:rsidRDefault="009B1062" w:rsidP="00474BCB">
      <w:pPr>
        <w:pStyle w:val="Heading3"/>
        <w:rPr>
          <w:b w:val="0"/>
        </w:rPr>
      </w:pPr>
      <w:r w:rsidRPr="009B1062">
        <w:lastRenderedPageBreak/>
        <w:t>The a</w:t>
      </w:r>
      <w:r w:rsidR="00474BCB" w:rsidRPr="009B1062">
        <w:t>ccession of Library Materials</w:t>
      </w:r>
    </w:p>
    <w:tbl>
      <w:tblPr>
        <w:tblW w:w="901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containing sequence numbers and policy information"/>
      </w:tblPr>
      <w:tblGrid>
        <w:gridCol w:w="1134"/>
        <w:gridCol w:w="7088"/>
        <w:gridCol w:w="788"/>
      </w:tblGrid>
      <w:tr w:rsidR="001211F7" w:rsidRPr="00127ECC" w14:paraId="611228A4" w14:textId="2480226E" w:rsidTr="001211F7">
        <w:trPr>
          <w:trHeight w:val="572"/>
          <w:tblHeader/>
        </w:trPr>
        <w:tc>
          <w:tcPr>
            <w:tcW w:w="1134" w:type="dxa"/>
            <w:tcBorders>
              <w:top w:val="single" w:sz="4" w:space="0" w:color="000000"/>
              <w:left w:val="single" w:sz="4" w:space="0" w:color="000000" w:themeColor="text1"/>
              <w:bottom w:val="single" w:sz="4" w:space="0" w:color="000000"/>
              <w:right w:val="single" w:sz="4" w:space="0" w:color="000000" w:themeColor="text1"/>
            </w:tcBorders>
            <w:shd w:val="clear" w:color="auto" w:fill="FFFFFF" w:themeFill="background1"/>
          </w:tcPr>
          <w:p w14:paraId="360F4874" w14:textId="677D8022" w:rsidR="001211F7" w:rsidRPr="00127ECC" w:rsidRDefault="001211F7" w:rsidP="003C7CAC">
            <w:pPr>
              <w:rPr>
                <w:b/>
                <w:sz w:val="20"/>
                <w:szCs w:val="20"/>
              </w:rPr>
            </w:pPr>
            <w:r>
              <w:rPr>
                <w:b/>
                <w:sz w:val="18"/>
              </w:rPr>
              <w:t xml:space="preserve">Sequence </w:t>
            </w:r>
            <w:r w:rsidRPr="001211F7">
              <w:rPr>
                <w:b/>
                <w:sz w:val="18"/>
              </w:rPr>
              <w:t>Numbers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B4FD4" w14:textId="77777777" w:rsidR="001211F7" w:rsidRPr="00127ECC" w:rsidRDefault="001211F7" w:rsidP="003C7CAC">
            <w:pPr>
              <w:rPr>
                <w:b/>
              </w:rPr>
            </w:pPr>
            <w:r w:rsidRPr="00127ECC">
              <w:rPr>
                <w:b/>
              </w:rPr>
              <w:t>Information</w:t>
            </w:r>
          </w:p>
        </w:tc>
        <w:tc>
          <w:tcPr>
            <w:tcW w:w="788" w:type="dxa"/>
            <w:tcBorders>
              <w:top w:val="nil"/>
              <w:left w:val="single" w:sz="4" w:space="0" w:color="000000" w:themeColor="text1"/>
              <w:bottom w:val="single" w:sz="4" w:space="0" w:color="000000" w:themeColor="text1"/>
              <w:right w:val="nil"/>
            </w:tcBorders>
          </w:tcPr>
          <w:p w14:paraId="62B597BF" w14:textId="77777777" w:rsidR="001211F7" w:rsidRPr="00127ECC" w:rsidRDefault="001211F7" w:rsidP="003C7CAC">
            <w:pPr>
              <w:rPr>
                <w:b/>
              </w:rPr>
            </w:pPr>
          </w:p>
        </w:tc>
      </w:tr>
      <w:tr w:rsidR="001211F7" w:rsidRPr="00D94A93" w14:paraId="798DE54C" w14:textId="6B8B66A8" w:rsidTr="001211F7">
        <w:trPr>
          <w:trHeight w:val="2622"/>
        </w:trPr>
        <w:tc>
          <w:tcPr>
            <w:tcW w:w="1134" w:type="dxa"/>
            <w:tcBorders>
              <w:top w:val="single" w:sz="4" w:space="0" w:color="000000"/>
              <w:left w:val="single" w:sz="4" w:space="0" w:color="000000" w:themeColor="text1"/>
              <w:bottom w:val="single" w:sz="4" w:space="0" w:color="000000"/>
              <w:right w:val="single" w:sz="4" w:space="0" w:color="000000" w:themeColor="text1"/>
            </w:tcBorders>
          </w:tcPr>
          <w:p w14:paraId="39974EB3" w14:textId="77777777" w:rsidR="001211F7" w:rsidRPr="00785F21" w:rsidRDefault="001211F7" w:rsidP="00284372">
            <w:r w:rsidRPr="00785F21">
              <w:t>13.11.1.4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2EA83" w14:textId="77777777" w:rsidR="001211F7" w:rsidRPr="009B1062" w:rsidRDefault="001211F7" w:rsidP="00284372">
            <w:r w:rsidRPr="00785F21">
              <w:t xml:space="preserve">Alternative methods of the </w:t>
            </w:r>
            <w:r w:rsidRPr="009B1062">
              <w:t>accession of library materials are:</w:t>
            </w:r>
          </w:p>
          <w:p w14:paraId="76DB9A59" w14:textId="5D462F8D" w:rsidR="001211F7" w:rsidRPr="00785F21" w:rsidRDefault="008E07B2" w:rsidP="00F8472C">
            <w:pPr>
              <w:pStyle w:val="ListBullet"/>
            </w:pPr>
            <w:r>
              <w:t>a library</w:t>
            </w:r>
            <w:r w:rsidR="001211F7" w:rsidRPr="00785F21">
              <w:t xml:space="preserve"> register/book;</w:t>
            </w:r>
          </w:p>
          <w:p w14:paraId="61BD44C9" w14:textId="77777777" w:rsidR="001211F7" w:rsidRPr="00785F21" w:rsidRDefault="001211F7" w:rsidP="00F8472C">
            <w:pPr>
              <w:pStyle w:val="ListBullet"/>
            </w:pPr>
            <w:r w:rsidRPr="00785F21">
              <w:t>a card register (cards filed in ascending number order) and/or order slip;</w:t>
            </w:r>
          </w:p>
          <w:p w14:paraId="3504C7FC" w14:textId="77777777" w:rsidR="001211F7" w:rsidRPr="00785F21" w:rsidRDefault="001211F7" w:rsidP="00F8472C">
            <w:pPr>
              <w:pStyle w:val="ListBullet"/>
            </w:pPr>
            <w:r w:rsidRPr="00785F21">
              <w:t>a periodical card register (for newspapers, magazines and other periodicals);</w:t>
            </w:r>
          </w:p>
          <w:p w14:paraId="1378D6C8" w14:textId="77777777" w:rsidR="001211F7" w:rsidRPr="00785F21" w:rsidRDefault="001211F7" w:rsidP="00F8472C">
            <w:pPr>
              <w:pStyle w:val="ListBullet"/>
            </w:pPr>
            <w:r w:rsidRPr="00785F21">
              <w:t>electronic tracking e.g. bar coding.</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26ED" w14:textId="77777777" w:rsidR="001211F7" w:rsidRPr="00785F21" w:rsidRDefault="001211F7" w:rsidP="00284372"/>
        </w:tc>
      </w:tr>
    </w:tbl>
    <w:p w14:paraId="53A27DE2" w14:textId="77777777" w:rsidR="00474BCB" w:rsidRPr="00BC2AFC" w:rsidRDefault="00474BCB" w:rsidP="00474BCB">
      <w:pPr>
        <w:pStyle w:val="Heading3"/>
      </w:pPr>
      <w:r w:rsidRPr="00E144AF">
        <w:t>Library Loan Records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3"/>
        <w:gridCol w:w="837"/>
      </w:tblGrid>
      <w:tr w:rsidR="001211F7" w:rsidRPr="00D94A93" w14:paraId="1BFD939D" w14:textId="79AD98B1" w:rsidTr="001211F7">
        <w:trPr>
          <w:trHeight w:val="556"/>
          <w:tblHeader/>
        </w:trPr>
        <w:tc>
          <w:tcPr>
            <w:tcW w:w="1134" w:type="dxa"/>
          </w:tcPr>
          <w:p w14:paraId="5D77A36C" w14:textId="6F5BFBA0" w:rsidR="001211F7" w:rsidRPr="00284372" w:rsidRDefault="001211F7" w:rsidP="0065422A">
            <w:r>
              <w:rPr>
                <w:b/>
                <w:sz w:val="18"/>
              </w:rPr>
              <w:t xml:space="preserve">Sequence </w:t>
            </w:r>
            <w:r w:rsidRPr="001211F7">
              <w:rPr>
                <w:b/>
                <w:sz w:val="18"/>
              </w:rPr>
              <w:t>Numbers</w:t>
            </w:r>
          </w:p>
        </w:tc>
        <w:tc>
          <w:tcPr>
            <w:tcW w:w="7083" w:type="dxa"/>
          </w:tcPr>
          <w:p w14:paraId="51C55FEB" w14:textId="74E6BCB2" w:rsidR="001211F7" w:rsidRPr="00284372" w:rsidRDefault="001211F7" w:rsidP="0065422A">
            <w:r w:rsidRPr="00127ECC">
              <w:rPr>
                <w:b/>
              </w:rPr>
              <w:t>Information</w:t>
            </w:r>
          </w:p>
        </w:tc>
        <w:tc>
          <w:tcPr>
            <w:tcW w:w="837" w:type="dxa"/>
            <w:tcBorders>
              <w:top w:val="nil"/>
              <w:right w:val="nil"/>
            </w:tcBorders>
          </w:tcPr>
          <w:p w14:paraId="13C7B883" w14:textId="77777777" w:rsidR="001211F7" w:rsidRPr="00127ECC" w:rsidRDefault="001211F7" w:rsidP="0065422A">
            <w:pPr>
              <w:rPr>
                <w:b/>
              </w:rPr>
            </w:pPr>
          </w:p>
        </w:tc>
      </w:tr>
      <w:tr w:rsidR="001211F7" w:rsidRPr="00D94A93" w14:paraId="6AFA5DCC" w14:textId="6FFE36F4" w:rsidTr="001211F7">
        <w:trPr>
          <w:trHeight w:val="1122"/>
        </w:trPr>
        <w:tc>
          <w:tcPr>
            <w:tcW w:w="1134" w:type="dxa"/>
          </w:tcPr>
          <w:p w14:paraId="1BC428E3" w14:textId="77777777" w:rsidR="001211F7" w:rsidRPr="00284372" w:rsidRDefault="001211F7" w:rsidP="0065422A">
            <w:r w:rsidRPr="00284372">
              <w:t>13.11.1.5</w:t>
            </w:r>
          </w:p>
        </w:tc>
        <w:tc>
          <w:tcPr>
            <w:tcW w:w="7083" w:type="dxa"/>
          </w:tcPr>
          <w:p w14:paraId="4F614183" w14:textId="77777777" w:rsidR="001211F7" w:rsidRPr="00284372" w:rsidRDefault="001211F7" w:rsidP="0065422A">
            <w:r w:rsidRPr="00284372">
              <w:t>A record of items on loan must be maintained. School councils may implement a library fine system to encourage the return of borrowed materials.</w:t>
            </w:r>
          </w:p>
        </w:tc>
        <w:tc>
          <w:tcPr>
            <w:tcW w:w="837" w:type="dxa"/>
          </w:tcPr>
          <w:p w14:paraId="068F25C8" w14:textId="77777777" w:rsidR="001211F7" w:rsidRPr="00284372" w:rsidRDefault="001211F7" w:rsidP="0065422A"/>
        </w:tc>
      </w:tr>
    </w:tbl>
    <w:p w14:paraId="3FD750B0" w14:textId="7CF4ED69" w:rsidR="006C1202" w:rsidRDefault="006C1202" w:rsidP="00284372"/>
    <w:p w14:paraId="423F4E92" w14:textId="77777777" w:rsidR="00E0344C" w:rsidRDefault="00E0344C" w:rsidP="00E0344C">
      <w:pPr>
        <w:pStyle w:val="Heading2"/>
      </w:pPr>
      <w:r>
        <w:t>13.12</w:t>
      </w:r>
      <w:r>
        <w:tab/>
        <w:t>Other Assets and Textbooks</w:t>
      </w:r>
    </w:p>
    <w:p w14:paraId="11B620B1" w14:textId="77777777" w:rsidR="00D474C0" w:rsidRPr="00284372" w:rsidRDefault="00D474C0" w:rsidP="00284372">
      <w:r w:rsidRPr="00284372">
        <w:t>Schools are required to operate effective stock control over all equipment, textbooks, class sets etc.</w:t>
      </w:r>
    </w:p>
    <w:p w14:paraId="1310DE20" w14:textId="77777777" w:rsidR="00D474C0" w:rsidRPr="00317AB9" w:rsidRDefault="00D474C0" w:rsidP="00D474C0">
      <w:pPr>
        <w:pStyle w:val="Heading3"/>
      </w:pPr>
      <w:r w:rsidRPr="00317AB9">
        <w:t>1</w:t>
      </w:r>
      <w:r>
        <w:t>3.1</w:t>
      </w:r>
      <w:r w:rsidR="00244B45">
        <w:t>2</w:t>
      </w:r>
      <w:r>
        <w:t>.</w:t>
      </w:r>
      <w:r w:rsidR="006B7C22">
        <w:t>1</w:t>
      </w:r>
      <w:r>
        <w:t xml:space="preserve"> </w:t>
      </w:r>
      <w:r>
        <w:tab/>
      </w:r>
      <w:r w:rsidRPr="00317AB9">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65422A" w:rsidRPr="00D94A93" w14:paraId="3D85F691" w14:textId="77777777" w:rsidTr="001211F7">
        <w:trPr>
          <w:trHeight w:hRule="exact" w:val="705"/>
          <w:tblHeader/>
        </w:trPr>
        <w:tc>
          <w:tcPr>
            <w:tcW w:w="1134" w:type="dxa"/>
          </w:tcPr>
          <w:p w14:paraId="09263178" w14:textId="21E7D84B" w:rsidR="0065422A" w:rsidRPr="00284372" w:rsidRDefault="001211F7" w:rsidP="0065422A">
            <w:r>
              <w:rPr>
                <w:b/>
                <w:sz w:val="18"/>
              </w:rPr>
              <w:t xml:space="preserve">Sequence </w:t>
            </w:r>
            <w:r w:rsidRPr="001211F7">
              <w:rPr>
                <w:b/>
                <w:sz w:val="18"/>
              </w:rPr>
              <w:t>Numbers</w:t>
            </w:r>
          </w:p>
        </w:tc>
        <w:tc>
          <w:tcPr>
            <w:tcW w:w="7088" w:type="dxa"/>
          </w:tcPr>
          <w:p w14:paraId="194472C8" w14:textId="54698B8C" w:rsidR="0065422A" w:rsidRPr="00284372" w:rsidRDefault="0065422A" w:rsidP="0065422A">
            <w:r w:rsidRPr="00127ECC">
              <w:rPr>
                <w:b/>
              </w:rPr>
              <w:t>Information</w:t>
            </w:r>
          </w:p>
        </w:tc>
        <w:tc>
          <w:tcPr>
            <w:tcW w:w="567" w:type="dxa"/>
            <w:tcBorders>
              <w:top w:val="nil"/>
              <w:right w:val="nil"/>
            </w:tcBorders>
          </w:tcPr>
          <w:p w14:paraId="71F4203F" w14:textId="77777777" w:rsidR="0065422A" w:rsidRPr="00D94A93" w:rsidRDefault="0065422A" w:rsidP="0065422A"/>
        </w:tc>
      </w:tr>
      <w:tr w:rsidR="0065422A" w:rsidRPr="00D94A93" w14:paraId="7AEB030D" w14:textId="77777777" w:rsidTr="006C1202">
        <w:trPr>
          <w:trHeight w:hRule="exact" w:val="737"/>
        </w:trPr>
        <w:tc>
          <w:tcPr>
            <w:tcW w:w="1134" w:type="dxa"/>
            <w:tcBorders>
              <w:bottom w:val="single" w:sz="4" w:space="0" w:color="000000"/>
            </w:tcBorders>
          </w:tcPr>
          <w:p w14:paraId="5750DEE2" w14:textId="77777777" w:rsidR="0065422A" w:rsidRPr="00284372" w:rsidRDefault="0065422A" w:rsidP="0065422A">
            <w:r w:rsidRPr="00284372">
              <w:t>13.12.1.2</w:t>
            </w:r>
          </w:p>
        </w:tc>
        <w:tc>
          <w:tcPr>
            <w:tcW w:w="7088" w:type="dxa"/>
            <w:tcBorders>
              <w:bottom w:val="single" w:sz="4" w:space="0" w:color="000000"/>
            </w:tcBorders>
          </w:tcPr>
          <w:p w14:paraId="54836582" w14:textId="77777777" w:rsidR="0065422A" w:rsidRPr="00284372" w:rsidRDefault="0065422A" w:rsidP="0065422A">
            <w:r w:rsidRPr="00284372">
              <w:t>Works of art with a value in excess of $200 must be recorded in the CASES21 Finance asset register.</w:t>
            </w:r>
          </w:p>
        </w:tc>
        <w:tc>
          <w:tcPr>
            <w:tcW w:w="567" w:type="dxa"/>
            <w:tcBorders>
              <w:bottom w:val="single" w:sz="4" w:space="0" w:color="000000"/>
            </w:tcBorders>
          </w:tcPr>
          <w:p w14:paraId="4FDA0B29" w14:textId="77777777" w:rsidR="0065422A" w:rsidRPr="00D94A93" w:rsidRDefault="0065422A" w:rsidP="0065422A"/>
        </w:tc>
      </w:tr>
      <w:tr w:rsidR="0065422A" w:rsidRPr="00D94A93" w14:paraId="00A63E47" w14:textId="77777777" w:rsidTr="006C1202">
        <w:trPr>
          <w:trHeight w:hRule="exact" w:val="737"/>
        </w:trPr>
        <w:tc>
          <w:tcPr>
            <w:tcW w:w="1134" w:type="dxa"/>
            <w:tcBorders>
              <w:bottom w:val="single" w:sz="4" w:space="0" w:color="auto"/>
            </w:tcBorders>
          </w:tcPr>
          <w:p w14:paraId="24E0FDCA" w14:textId="77777777" w:rsidR="0065422A" w:rsidRPr="00284372" w:rsidRDefault="0065422A" w:rsidP="0065422A">
            <w:r w:rsidRPr="00284372">
              <w:t>13.12.1.3</w:t>
            </w:r>
          </w:p>
        </w:tc>
        <w:tc>
          <w:tcPr>
            <w:tcW w:w="7088" w:type="dxa"/>
            <w:tcBorders>
              <w:bottom w:val="single" w:sz="4" w:space="0" w:color="auto"/>
            </w:tcBorders>
          </w:tcPr>
          <w:p w14:paraId="6674EFCB" w14:textId="7D5D6127" w:rsidR="0065422A" w:rsidRPr="00284372" w:rsidRDefault="0065422A" w:rsidP="0065422A">
            <w:r w:rsidRPr="00284372">
              <w:t xml:space="preserve">Assets won as prizes, must be added to the CASES21 Finance asset register at their </w:t>
            </w:r>
            <w:r>
              <w:t xml:space="preserve">fair value </w:t>
            </w:r>
            <w:r w:rsidRPr="00284372">
              <w:t>at the time they were acquired.</w:t>
            </w:r>
          </w:p>
        </w:tc>
        <w:tc>
          <w:tcPr>
            <w:tcW w:w="567" w:type="dxa"/>
            <w:tcBorders>
              <w:bottom w:val="single" w:sz="4" w:space="0" w:color="auto"/>
            </w:tcBorders>
          </w:tcPr>
          <w:p w14:paraId="2F202E8A" w14:textId="77777777" w:rsidR="0065422A" w:rsidRPr="00D94A93" w:rsidRDefault="0065422A" w:rsidP="0065422A"/>
        </w:tc>
      </w:tr>
    </w:tbl>
    <w:p w14:paraId="04AFCA9E" w14:textId="21504C1F" w:rsidR="00E0344C" w:rsidRDefault="00E0344C" w:rsidP="009B1062"/>
    <w:p w14:paraId="2084FEA1" w14:textId="4A8F65D6" w:rsidR="001211F7" w:rsidRDefault="001211F7" w:rsidP="009B1062"/>
    <w:p w14:paraId="7A429828" w14:textId="274C3543" w:rsidR="001211F7" w:rsidRDefault="001211F7" w:rsidP="009B1062"/>
    <w:p w14:paraId="31A42568" w14:textId="32B5CA5F" w:rsidR="001211F7" w:rsidRDefault="001211F7" w:rsidP="009B1062"/>
    <w:p w14:paraId="03215CDB" w14:textId="77777777" w:rsidR="001211F7" w:rsidRDefault="001211F7" w:rsidP="009B1062"/>
    <w:p w14:paraId="66FCB1F1" w14:textId="77777777" w:rsidR="00E0344C" w:rsidRDefault="00E0344C" w:rsidP="00E0344C">
      <w:pPr>
        <w:pStyle w:val="Heading2"/>
      </w:pPr>
      <w:r>
        <w:lastRenderedPageBreak/>
        <w:t>13.13</w:t>
      </w:r>
      <w:r>
        <w:tab/>
        <w:t>Inventory Control</w:t>
      </w:r>
    </w:p>
    <w:p w14:paraId="074345C6" w14:textId="77777777" w:rsidR="00D474C0" w:rsidRPr="00284372" w:rsidRDefault="00D474C0" w:rsidP="00284372">
      <w:r w:rsidRPr="00284372">
        <w:t>Inventory may be divided into two types:</w:t>
      </w:r>
    </w:p>
    <w:p w14:paraId="3AD881A4" w14:textId="38523F38" w:rsidR="00D474C0" w:rsidRPr="00F8472C" w:rsidRDefault="00D474C0" w:rsidP="00F8472C">
      <w:pPr>
        <w:pStyle w:val="ListBullet"/>
      </w:pPr>
      <w:r w:rsidRPr="00F8472C">
        <w:t>trade (canteen stock, school uniforms, stationery and office equipment such as calculators that are sold to pupils and staff)</w:t>
      </w:r>
      <w:r w:rsidR="0044081A">
        <w:t>;</w:t>
      </w:r>
    </w:p>
    <w:p w14:paraId="1EF239B6" w14:textId="77777777" w:rsidR="00D474C0" w:rsidRPr="00F8472C" w:rsidRDefault="00D474C0" w:rsidP="00F8472C">
      <w:pPr>
        <w:pStyle w:val="ListBullet"/>
      </w:pPr>
      <w:r w:rsidRPr="00F8472C">
        <w:t>consumable items used in the day-to-day running of the school.</w:t>
      </w:r>
    </w:p>
    <w:p w14:paraId="4D9CB962" w14:textId="77777777" w:rsidR="005D7822" w:rsidRPr="00284372" w:rsidRDefault="005D7822" w:rsidP="00284372">
      <w:r w:rsidRPr="00284372">
        <w:t>They are items that must be monitored and managed for the efficient running of the school and for insurance purposes.</w:t>
      </w:r>
    </w:p>
    <w:p w14:paraId="1080BC45" w14:textId="77777777" w:rsidR="00D474C0" w:rsidRPr="00317AB9" w:rsidRDefault="00D474C0" w:rsidP="00D474C0">
      <w:pPr>
        <w:pStyle w:val="Heading3"/>
      </w:pPr>
      <w:r w:rsidRPr="00317AB9">
        <w:t>1</w:t>
      </w:r>
      <w:r>
        <w:t>3</w:t>
      </w:r>
      <w:r w:rsidRPr="00317AB9">
        <w:t>.</w:t>
      </w:r>
      <w:r>
        <w:t>1</w:t>
      </w:r>
      <w:r w:rsidR="00244B45">
        <w:t>3</w:t>
      </w:r>
      <w:r w:rsidRPr="00317AB9">
        <w:t>.</w:t>
      </w:r>
      <w:r w:rsidR="006B7C22">
        <w:t>1</w:t>
      </w:r>
      <w:r>
        <w:t xml:space="preserve"> </w:t>
      </w:r>
      <w:r>
        <w:tab/>
      </w:r>
      <w:r w:rsidRPr="00317AB9">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7088"/>
        <w:gridCol w:w="567"/>
      </w:tblGrid>
      <w:tr w:rsidR="008E2D29" w:rsidRPr="00D94A93" w14:paraId="65A5B5D0" w14:textId="77777777" w:rsidTr="001211F7">
        <w:trPr>
          <w:trHeight w:val="493"/>
        </w:trPr>
        <w:tc>
          <w:tcPr>
            <w:tcW w:w="1134" w:type="dxa"/>
          </w:tcPr>
          <w:p w14:paraId="3D67EE62" w14:textId="39B16331" w:rsidR="008E2D29" w:rsidRPr="00284372" w:rsidRDefault="001211F7" w:rsidP="008E2D29">
            <w:r>
              <w:rPr>
                <w:b/>
                <w:sz w:val="18"/>
              </w:rPr>
              <w:t xml:space="preserve">Sequence </w:t>
            </w:r>
            <w:r w:rsidRPr="001211F7">
              <w:rPr>
                <w:b/>
                <w:sz w:val="18"/>
              </w:rPr>
              <w:t>Numbers</w:t>
            </w:r>
          </w:p>
        </w:tc>
        <w:tc>
          <w:tcPr>
            <w:tcW w:w="7088" w:type="dxa"/>
          </w:tcPr>
          <w:p w14:paraId="5730FF4A" w14:textId="0FADF6A5" w:rsidR="008E2D29" w:rsidRPr="00284372" w:rsidRDefault="008E2D29" w:rsidP="008E2D29">
            <w:r w:rsidRPr="00127ECC">
              <w:rPr>
                <w:b/>
              </w:rPr>
              <w:t>Information</w:t>
            </w:r>
          </w:p>
        </w:tc>
        <w:tc>
          <w:tcPr>
            <w:tcW w:w="567" w:type="dxa"/>
            <w:tcBorders>
              <w:top w:val="nil"/>
              <w:right w:val="nil"/>
            </w:tcBorders>
          </w:tcPr>
          <w:p w14:paraId="0DBEA3FC" w14:textId="77777777" w:rsidR="008E2D29" w:rsidRPr="00D94A93" w:rsidRDefault="008E2D29" w:rsidP="008E2D29"/>
        </w:tc>
      </w:tr>
      <w:tr w:rsidR="008E2D29" w:rsidRPr="00D94A93" w14:paraId="4476DA40" w14:textId="77777777" w:rsidTr="00AE0FA1">
        <w:trPr>
          <w:trHeight w:val="493"/>
        </w:trPr>
        <w:tc>
          <w:tcPr>
            <w:tcW w:w="1134" w:type="dxa"/>
          </w:tcPr>
          <w:p w14:paraId="35C36A79" w14:textId="77777777" w:rsidR="008E2D29" w:rsidRPr="00284372" w:rsidRDefault="008E2D29" w:rsidP="008E2D29">
            <w:r w:rsidRPr="00284372">
              <w:t>13.13.1.1</w:t>
            </w:r>
          </w:p>
        </w:tc>
        <w:tc>
          <w:tcPr>
            <w:tcW w:w="7088" w:type="dxa"/>
          </w:tcPr>
          <w:p w14:paraId="24D881C5" w14:textId="77777777" w:rsidR="008E2D29" w:rsidRPr="00284372" w:rsidRDefault="008E2D29" w:rsidP="008E2D29">
            <w:r w:rsidRPr="00284372">
              <w:t>Inventory items must be recorded separately.</w:t>
            </w:r>
          </w:p>
        </w:tc>
        <w:tc>
          <w:tcPr>
            <w:tcW w:w="567" w:type="dxa"/>
          </w:tcPr>
          <w:p w14:paraId="20F725EE" w14:textId="77777777" w:rsidR="008E2D29" w:rsidRPr="00D94A93" w:rsidRDefault="008E2D29" w:rsidP="008E2D29"/>
        </w:tc>
      </w:tr>
    </w:tbl>
    <w:p w14:paraId="6E7CACCD" w14:textId="2559BF25" w:rsidR="00D474C0" w:rsidRPr="00317AB9" w:rsidRDefault="00D474C0" w:rsidP="00D474C0">
      <w:pPr>
        <w:pStyle w:val="Heading3"/>
      </w:pPr>
      <w:r w:rsidRPr="00317AB9">
        <w:t>1</w:t>
      </w:r>
      <w:r>
        <w:t>3.1</w:t>
      </w:r>
      <w:r w:rsidR="00244B45">
        <w:t>3</w:t>
      </w:r>
      <w:r>
        <w:t>.</w:t>
      </w:r>
      <w:r w:rsidR="0081387A">
        <w:t>2</w:t>
      </w:r>
      <w:r>
        <w:t xml:space="preserve"> </w:t>
      </w:r>
      <w:r>
        <w:tab/>
        <w:t xml:space="preserve">Prohibited </w:t>
      </w:r>
      <w:r w:rsidRPr="00317AB9">
        <w:t>policy (</w:t>
      </w:r>
      <w:r>
        <w:t>Must not</w:t>
      </w:r>
      <w:r w:rsidR="00D864EC">
        <w:t xml:space="preserve">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AB6054" w:rsidRPr="00D94A93" w14:paraId="4F55874C" w14:textId="77777777" w:rsidTr="001211F7">
        <w:trPr>
          <w:trHeight w:val="555"/>
          <w:tblHeader/>
        </w:trPr>
        <w:tc>
          <w:tcPr>
            <w:tcW w:w="1134" w:type="dxa"/>
          </w:tcPr>
          <w:p w14:paraId="28AF0C33" w14:textId="4874F20C" w:rsidR="00AB6054" w:rsidRPr="00284372" w:rsidRDefault="001211F7" w:rsidP="00AB6054">
            <w:r>
              <w:rPr>
                <w:b/>
                <w:sz w:val="18"/>
              </w:rPr>
              <w:t xml:space="preserve">Sequence </w:t>
            </w:r>
            <w:r w:rsidRPr="001211F7">
              <w:rPr>
                <w:b/>
                <w:sz w:val="18"/>
              </w:rPr>
              <w:t>Numbers</w:t>
            </w:r>
          </w:p>
        </w:tc>
        <w:tc>
          <w:tcPr>
            <w:tcW w:w="7088" w:type="dxa"/>
          </w:tcPr>
          <w:p w14:paraId="5E73CEFA" w14:textId="342B036C" w:rsidR="00AB6054" w:rsidRPr="00284372" w:rsidRDefault="00AB6054" w:rsidP="00AB6054">
            <w:r w:rsidRPr="00127ECC">
              <w:rPr>
                <w:b/>
              </w:rPr>
              <w:t>Information</w:t>
            </w:r>
          </w:p>
        </w:tc>
        <w:tc>
          <w:tcPr>
            <w:tcW w:w="567" w:type="dxa"/>
            <w:tcBorders>
              <w:top w:val="nil"/>
              <w:right w:val="nil"/>
            </w:tcBorders>
          </w:tcPr>
          <w:p w14:paraId="1BD82D7B" w14:textId="77777777" w:rsidR="00AB6054" w:rsidRPr="00D94A93" w:rsidRDefault="00AB6054" w:rsidP="00AB6054"/>
        </w:tc>
      </w:tr>
      <w:tr w:rsidR="00AB6054" w:rsidRPr="00D94A93" w14:paraId="2DC3FEE6" w14:textId="77777777" w:rsidTr="006C1202">
        <w:trPr>
          <w:trHeight w:val="737"/>
        </w:trPr>
        <w:tc>
          <w:tcPr>
            <w:tcW w:w="1134" w:type="dxa"/>
          </w:tcPr>
          <w:p w14:paraId="3FFE14E8" w14:textId="77777777" w:rsidR="00AB6054" w:rsidRPr="00284372" w:rsidRDefault="00AB6054" w:rsidP="00AB6054">
            <w:r w:rsidRPr="00284372">
              <w:t>13.13.2.1</w:t>
            </w:r>
          </w:p>
        </w:tc>
        <w:tc>
          <w:tcPr>
            <w:tcW w:w="7088" w:type="dxa"/>
          </w:tcPr>
          <w:p w14:paraId="1174D96F" w14:textId="77777777" w:rsidR="00AB6054" w:rsidRPr="00284372" w:rsidRDefault="00AB6054" w:rsidP="00AB6054">
            <w:r w:rsidRPr="00284372">
              <w:t>Inventory items must not be recorded on the CASES21 Finance asset register.</w:t>
            </w:r>
          </w:p>
        </w:tc>
        <w:tc>
          <w:tcPr>
            <w:tcW w:w="567" w:type="dxa"/>
          </w:tcPr>
          <w:p w14:paraId="4AC61FEF" w14:textId="77777777" w:rsidR="00AB6054" w:rsidRPr="00D94A93" w:rsidRDefault="00AB6054" w:rsidP="00AB6054"/>
        </w:tc>
      </w:tr>
    </w:tbl>
    <w:p w14:paraId="531686AF" w14:textId="58EB51D4" w:rsidR="00D474C0" w:rsidRPr="007F1659" w:rsidRDefault="00D474C0" w:rsidP="00D474C0">
      <w:pPr>
        <w:pStyle w:val="Heading3"/>
      </w:pPr>
      <w:r w:rsidRPr="007F1659">
        <w:t>13.1</w:t>
      </w:r>
      <w:r w:rsidR="00244B45">
        <w:t>3</w:t>
      </w:r>
      <w:r>
        <w:t>.</w:t>
      </w:r>
      <w:r w:rsidR="006B7C22">
        <w:t>3</w:t>
      </w:r>
      <w:r w:rsidRPr="007F1659">
        <w:t xml:space="preserve"> </w:t>
      </w:r>
      <w:r w:rsidRPr="007F1659">
        <w:tab/>
        <w:t xml:space="preserve">Hazardous Substances </w:t>
      </w:r>
    </w:p>
    <w:p w14:paraId="2239CC34" w14:textId="77777777" w:rsidR="00D474C0" w:rsidRPr="00284372" w:rsidRDefault="00D474C0" w:rsidP="00284372">
      <w:r w:rsidRPr="00284372">
        <w:t xml:space="preserve">All chemicals must be considered dangerous. Effective stock control of chemicals is therefore essential. </w:t>
      </w:r>
    </w:p>
    <w:p w14:paraId="1E5BBE8F" w14:textId="042A00BE" w:rsidR="00D474C0" w:rsidRPr="00317AB9" w:rsidRDefault="00D474C0" w:rsidP="00D474C0">
      <w:pPr>
        <w:pStyle w:val="Heading3"/>
      </w:pPr>
      <w:r w:rsidRPr="00317AB9">
        <w:t>1</w:t>
      </w:r>
      <w:r>
        <w:t>3.1</w:t>
      </w:r>
      <w:r w:rsidR="00244B45">
        <w:t>3</w:t>
      </w:r>
      <w:r>
        <w:t>.</w:t>
      </w:r>
      <w:r w:rsidR="006B7C22">
        <w:t>4</w:t>
      </w:r>
      <w:r>
        <w:t xml:space="preserve"> </w:t>
      </w:r>
      <w:r w:rsidRPr="00317AB9">
        <w:tab/>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1211F7" w:rsidRPr="00D94A93" w14:paraId="4776275D" w14:textId="77777777" w:rsidTr="000F5524">
        <w:trPr>
          <w:trHeight w:val="555"/>
          <w:tblHeader/>
        </w:trPr>
        <w:tc>
          <w:tcPr>
            <w:tcW w:w="1134" w:type="dxa"/>
          </w:tcPr>
          <w:p w14:paraId="2C0422D0" w14:textId="77777777" w:rsidR="001211F7" w:rsidRPr="00284372" w:rsidRDefault="001211F7" w:rsidP="000F5524">
            <w:r>
              <w:rPr>
                <w:b/>
                <w:sz w:val="18"/>
              </w:rPr>
              <w:t xml:space="preserve">Sequence </w:t>
            </w:r>
            <w:r w:rsidRPr="001211F7">
              <w:rPr>
                <w:b/>
                <w:sz w:val="18"/>
              </w:rPr>
              <w:t>Numbers</w:t>
            </w:r>
          </w:p>
        </w:tc>
        <w:tc>
          <w:tcPr>
            <w:tcW w:w="7088" w:type="dxa"/>
          </w:tcPr>
          <w:p w14:paraId="35B84F38" w14:textId="77777777" w:rsidR="001211F7" w:rsidRPr="00284372" w:rsidRDefault="001211F7" w:rsidP="000F5524">
            <w:r w:rsidRPr="00127ECC">
              <w:rPr>
                <w:b/>
              </w:rPr>
              <w:t>Information</w:t>
            </w:r>
          </w:p>
        </w:tc>
        <w:tc>
          <w:tcPr>
            <w:tcW w:w="567" w:type="dxa"/>
            <w:tcBorders>
              <w:top w:val="nil"/>
              <w:right w:val="nil"/>
            </w:tcBorders>
          </w:tcPr>
          <w:p w14:paraId="7AC3E005" w14:textId="77777777" w:rsidR="001211F7" w:rsidRPr="00D94A93" w:rsidRDefault="001211F7" w:rsidP="000F5524"/>
        </w:tc>
      </w:tr>
      <w:tr w:rsidR="00D474C0" w:rsidRPr="00D94A93" w14:paraId="106F7EAB" w14:textId="77777777" w:rsidTr="00D43CFD">
        <w:trPr>
          <w:trHeight w:val="562"/>
        </w:trPr>
        <w:tc>
          <w:tcPr>
            <w:tcW w:w="1134" w:type="dxa"/>
          </w:tcPr>
          <w:p w14:paraId="40AA3B5B" w14:textId="77777777" w:rsidR="00D474C0" w:rsidRPr="00284372" w:rsidRDefault="00D474C0" w:rsidP="00284372">
            <w:r w:rsidRPr="00284372">
              <w:t>13.1</w:t>
            </w:r>
            <w:r w:rsidR="00244B45" w:rsidRPr="00284372">
              <w:t>3</w:t>
            </w:r>
            <w:r w:rsidRPr="00284372">
              <w:t>.</w:t>
            </w:r>
            <w:r w:rsidR="006B7C22" w:rsidRPr="00284372">
              <w:t>4</w:t>
            </w:r>
            <w:r w:rsidRPr="00284372">
              <w:t>.1</w:t>
            </w:r>
          </w:p>
        </w:tc>
        <w:tc>
          <w:tcPr>
            <w:tcW w:w="7088" w:type="dxa"/>
          </w:tcPr>
          <w:p w14:paraId="5DB3EFDE" w14:textId="77777777" w:rsidR="00D474C0" w:rsidRPr="00284372" w:rsidRDefault="00D474C0" w:rsidP="00284372">
            <w:r w:rsidRPr="00284372">
              <w:t>Schools must base their control of chemical stocks on the use of secure areas for the storage of dangerous or bulk reserve supplies, and stock cards that note receipt and issue of chemicals.</w:t>
            </w:r>
          </w:p>
        </w:tc>
        <w:tc>
          <w:tcPr>
            <w:tcW w:w="567" w:type="dxa"/>
          </w:tcPr>
          <w:p w14:paraId="5B06015F" w14:textId="77777777" w:rsidR="00D474C0" w:rsidRPr="00D94A93" w:rsidRDefault="00D474C0" w:rsidP="00F66535"/>
        </w:tc>
      </w:tr>
      <w:tr w:rsidR="00D474C0" w:rsidRPr="00D94A93" w14:paraId="53D9B9E4" w14:textId="77777777" w:rsidTr="00AE0FA1">
        <w:trPr>
          <w:trHeight w:val="1533"/>
        </w:trPr>
        <w:tc>
          <w:tcPr>
            <w:tcW w:w="1134" w:type="dxa"/>
          </w:tcPr>
          <w:p w14:paraId="205B21D7" w14:textId="77777777" w:rsidR="00D474C0" w:rsidRPr="00284372" w:rsidRDefault="00D474C0" w:rsidP="00284372">
            <w:r w:rsidRPr="00284372">
              <w:t>13.1</w:t>
            </w:r>
            <w:r w:rsidR="00244B45" w:rsidRPr="00284372">
              <w:t>3</w:t>
            </w:r>
            <w:r w:rsidRPr="00284372">
              <w:t>.</w:t>
            </w:r>
            <w:r w:rsidR="006B7C22" w:rsidRPr="00284372">
              <w:t>4</w:t>
            </w:r>
            <w:r w:rsidRPr="00284372">
              <w:t>.2</w:t>
            </w:r>
          </w:p>
        </w:tc>
        <w:tc>
          <w:tcPr>
            <w:tcW w:w="7088" w:type="dxa"/>
          </w:tcPr>
          <w:p w14:paraId="632E0607" w14:textId="77777777" w:rsidR="00D474C0" w:rsidRPr="00284372" w:rsidRDefault="00D474C0" w:rsidP="00284372">
            <w:r w:rsidRPr="00284372">
              <w:t xml:space="preserve">Schools must comply with the </w:t>
            </w:r>
            <w:r w:rsidRPr="0081387A">
              <w:rPr>
                <w:i/>
              </w:rPr>
              <w:t>Dangerous Goods (Storage and Handling) Regulations 2000</w:t>
            </w:r>
            <w:r w:rsidRPr="00284372">
              <w:t xml:space="preserve"> and the </w:t>
            </w:r>
            <w:r w:rsidRPr="0081387A">
              <w:rPr>
                <w:i/>
              </w:rPr>
              <w:t>Occupational Health and Safety (Hazardous Substances) 1999</w:t>
            </w:r>
            <w:r w:rsidRPr="00284372">
              <w:t xml:space="preserve"> by maintaining a Chemicals/Hazardous Substances/ Dangerous Goods Register together with Material Safety Data Sheets (MSDs) obtained from the supplier. </w:t>
            </w:r>
          </w:p>
        </w:tc>
        <w:tc>
          <w:tcPr>
            <w:tcW w:w="567" w:type="dxa"/>
          </w:tcPr>
          <w:p w14:paraId="77AA1AF9" w14:textId="77777777" w:rsidR="00D474C0" w:rsidRPr="00D94A93" w:rsidRDefault="00D474C0" w:rsidP="00F66535"/>
        </w:tc>
      </w:tr>
    </w:tbl>
    <w:p w14:paraId="5CA0FB5B" w14:textId="77777777" w:rsidR="001211F7" w:rsidRDefault="001211F7" w:rsidP="00D474C0">
      <w:pPr>
        <w:pStyle w:val="Heading3"/>
      </w:pPr>
    </w:p>
    <w:p w14:paraId="342BEB30" w14:textId="77777777" w:rsidR="001211F7" w:rsidRDefault="001211F7" w:rsidP="00D474C0">
      <w:pPr>
        <w:pStyle w:val="Heading3"/>
      </w:pPr>
    </w:p>
    <w:p w14:paraId="0B99E02E" w14:textId="77777777" w:rsidR="001211F7" w:rsidRDefault="001211F7" w:rsidP="00D474C0">
      <w:pPr>
        <w:pStyle w:val="Heading3"/>
      </w:pPr>
    </w:p>
    <w:p w14:paraId="62BD4E58" w14:textId="11B298BA" w:rsidR="00D474C0" w:rsidRPr="00317AB9" w:rsidRDefault="00D474C0" w:rsidP="00D474C0">
      <w:pPr>
        <w:pStyle w:val="Heading3"/>
      </w:pPr>
      <w:r w:rsidRPr="00317AB9">
        <w:lastRenderedPageBreak/>
        <w:t>1</w:t>
      </w:r>
      <w:r>
        <w:t>3.1</w:t>
      </w:r>
      <w:r w:rsidR="00244B45">
        <w:t>3</w:t>
      </w:r>
      <w:r>
        <w:t>.</w:t>
      </w:r>
      <w:r w:rsidR="006C1202">
        <w:t>5</w:t>
      </w:r>
      <w:r>
        <w:t xml:space="preserve"> </w:t>
      </w:r>
      <w:r>
        <w:tab/>
        <w:t>Additional Resources</w:t>
      </w:r>
    </w:p>
    <w:p w14:paraId="1373831A" w14:textId="3B1A3A26" w:rsidR="00D474C0" w:rsidRPr="00F8472C" w:rsidRDefault="00D474C0" w:rsidP="00AE0FA1">
      <w:pPr>
        <w:pStyle w:val="ListParagraph"/>
        <w:ind w:left="0"/>
      </w:pPr>
      <w:r w:rsidRPr="00F8472C">
        <w:t xml:space="preserve">For further information, </w:t>
      </w:r>
      <w:r w:rsidR="0044081A">
        <w:t>refer to the</w:t>
      </w:r>
      <w:r w:rsidRPr="00F8472C">
        <w:t xml:space="preserve">, </w:t>
      </w:r>
      <w:hyperlink r:id="rId22" w:history="1">
        <w:r w:rsidR="0044081A" w:rsidRPr="00494C70">
          <w:rPr>
            <w:rStyle w:val="Hyperlink"/>
          </w:rPr>
          <w:t>Health, Safety and Worker's Compensation</w:t>
        </w:r>
      </w:hyperlink>
      <w:r w:rsidR="0044081A">
        <w:t xml:space="preserve"> </w:t>
      </w:r>
      <w:r w:rsidRPr="00F8472C">
        <w:t>website</w:t>
      </w:r>
      <w:r w:rsidR="006C1202">
        <w:t>.</w:t>
      </w:r>
    </w:p>
    <w:p w14:paraId="33246BE8" w14:textId="78359EB1" w:rsidR="00D474C0" w:rsidRDefault="00D474C0" w:rsidP="00D474C0">
      <w:pPr>
        <w:pStyle w:val="Heading3"/>
      </w:pPr>
      <w:r>
        <w:t>13.1</w:t>
      </w:r>
      <w:r w:rsidR="00244B45">
        <w:t>3</w:t>
      </w:r>
      <w:r>
        <w:t>.</w:t>
      </w:r>
      <w:r w:rsidR="006C1202">
        <w:t>6</w:t>
      </w:r>
      <w:r>
        <w:t xml:space="preserve"> </w:t>
      </w:r>
      <w:r>
        <w:tab/>
        <w:t xml:space="preserve">Class </w:t>
      </w:r>
      <w:r w:rsidR="002E5D6C">
        <w:t xml:space="preserve">and Library </w:t>
      </w:r>
      <w:r>
        <w:t>Materials</w:t>
      </w:r>
    </w:p>
    <w:p w14:paraId="174C6226" w14:textId="77777777" w:rsidR="00D474C0" w:rsidRPr="00284372" w:rsidRDefault="00D474C0" w:rsidP="00284372">
      <w:r w:rsidRPr="00284372">
        <w:t xml:space="preserve">Effective stock control over class </w:t>
      </w:r>
      <w:r w:rsidR="002E5D6C">
        <w:t xml:space="preserve">and library </w:t>
      </w:r>
      <w:r w:rsidRPr="00284372">
        <w:t>materials is essential.</w:t>
      </w:r>
    </w:p>
    <w:p w14:paraId="685E0E7D" w14:textId="3C15D2CE" w:rsidR="00D474C0" w:rsidRPr="00317AB9" w:rsidRDefault="00D474C0" w:rsidP="00D474C0">
      <w:pPr>
        <w:pStyle w:val="Heading3"/>
      </w:pPr>
      <w:r w:rsidRPr="00317AB9">
        <w:t>1</w:t>
      </w:r>
      <w:r>
        <w:t>3.1</w:t>
      </w:r>
      <w:r w:rsidR="00244B45">
        <w:t>3</w:t>
      </w:r>
      <w:r>
        <w:t>.</w:t>
      </w:r>
      <w:r w:rsidR="006C1202">
        <w:t>7</w:t>
      </w:r>
      <w:r>
        <w:t xml:space="preserve"> </w:t>
      </w:r>
      <w:r>
        <w:tab/>
      </w:r>
      <w:r w:rsidRPr="00317AB9">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1211F7" w:rsidRPr="00D94A93" w14:paraId="43040B61" w14:textId="77777777" w:rsidTr="000F5524">
        <w:trPr>
          <w:trHeight w:val="555"/>
          <w:tblHeader/>
        </w:trPr>
        <w:tc>
          <w:tcPr>
            <w:tcW w:w="1134" w:type="dxa"/>
          </w:tcPr>
          <w:p w14:paraId="23259519" w14:textId="77777777" w:rsidR="001211F7" w:rsidRPr="00284372" w:rsidRDefault="001211F7" w:rsidP="000F5524">
            <w:r>
              <w:rPr>
                <w:b/>
                <w:sz w:val="18"/>
              </w:rPr>
              <w:t xml:space="preserve">Sequence </w:t>
            </w:r>
            <w:r w:rsidRPr="001211F7">
              <w:rPr>
                <w:b/>
                <w:sz w:val="18"/>
              </w:rPr>
              <w:t>Numbers</w:t>
            </w:r>
          </w:p>
        </w:tc>
        <w:tc>
          <w:tcPr>
            <w:tcW w:w="7088" w:type="dxa"/>
          </w:tcPr>
          <w:p w14:paraId="73D5A696" w14:textId="18AC0DBC" w:rsidR="001211F7" w:rsidRPr="00284372" w:rsidRDefault="00223F53" w:rsidP="000F5524">
            <w:r>
              <w:rPr>
                <w:b/>
              </w:rPr>
              <w:t>In</w:t>
            </w:r>
            <w:r w:rsidR="001211F7" w:rsidRPr="00127ECC">
              <w:rPr>
                <w:b/>
              </w:rPr>
              <w:t>formation</w:t>
            </w:r>
          </w:p>
        </w:tc>
        <w:tc>
          <w:tcPr>
            <w:tcW w:w="567" w:type="dxa"/>
            <w:tcBorders>
              <w:top w:val="nil"/>
              <w:right w:val="nil"/>
            </w:tcBorders>
          </w:tcPr>
          <w:p w14:paraId="6664C5C5" w14:textId="77777777" w:rsidR="001211F7" w:rsidRPr="00D94A93" w:rsidRDefault="001211F7" w:rsidP="000F5524"/>
        </w:tc>
      </w:tr>
      <w:tr w:rsidR="00D474C0" w:rsidRPr="00D94A93" w14:paraId="35527876" w14:textId="77777777" w:rsidTr="00F66535">
        <w:trPr>
          <w:trHeight w:val="567"/>
        </w:trPr>
        <w:tc>
          <w:tcPr>
            <w:tcW w:w="1134" w:type="dxa"/>
          </w:tcPr>
          <w:p w14:paraId="7B5EC492" w14:textId="2C44EEE5" w:rsidR="00D474C0" w:rsidRPr="00284372" w:rsidRDefault="00D474C0" w:rsidP="006C1202">
            <w:r w:rsidRPr="00284372">
              <w:t>13.1</w:t>
            </w:r>
            <w:r w:rsidR="00244B45" w:rsidRPr="00284372">
              <w:t>3</w:t>
            </w:r>
            <w:r w:rsidRPr="00284372">
              <w:t>.</w:t>
            </w:r>
            <w:r w:rsidR="006C1202">
              <w:t>7</w:t>
            </w:r>
            <w:r w:rsidRPr="00284372">
              <w:t>.1</w:t>
            </w:r>
          </w:p>
        </w:tc>
        <w:tc>
          <w:tcPr>
            <w:tcW w:w="7088" w:type="dxa"/>
          </w:tcPr>
          <w:p w14:paraId="7DA81C35" w14:textId="77777777" w:rsidR="00D474C0" w:rsidRPr="00284372" w:rsidRDefault="00D474C0" w:rsidP="00284372">
            <w:r w:rsidRPr="00284372">
              <w:t>When textbooks and similar learning materials are issued on loan to students, a record of the issue must be maintained to facilitate their return.</w:t>
            </w:r>
          </w:p>
        </w:tc>
        <w:tc>
          <w:tcPr>
            <w:tcW w:w="567" w:type="dxa"/>
          </w:tcPr>
          <w:p w14:paraId="354F112B" w14:textId="77777777" w:rsidR="00D474C0" w:rsidRPr="00D94A93" w:rsidRDefault="00D474C0" w:rsidP="00F66535"/>
        </w:tc>
      </w:tr>
      <w:tr w:rsidR="00D474C0" w:rsidRPr="00D94A93" w14:paraId="30E02109" w14:textId="77777777" w:rsidTr="00D43CFD">
        <w:trPr>
          <w:trHeight w:val="1140"/>
        </w:trPr>
        <w:tc>
          <w:tcPr>
            <w:tcW w:w="1134" w:type="dxa"/>
          </w:tcPr>
          <w:p w14:paraId="37E4188A" w14:textId="6B8D9AA9" w:rsidR="00D474C0" w:rsidRPr="00284372" w:rsidRDefault="00D474C0" w:rsidP="006C1202">
            <w:r w:rsidRPr="00284372">
              <w:t>13.1</w:t>
            </w:r>
            <w:r w:rsidR="00244B45" w:rsidRPr="00284372">
              <w:t>3</w:t>
            </w:r>
            <w:r w:rsidRPr="00284372">
              <w:t>.</w:t>
            </w:r>
            <w:r w:rsidR="006C1202">
              <w:t>7</w:t>
            </w:r>
            <w:r w:rsidRPr="00284372">
              <w:t>.2</w:t>
            </w:r>
          </w:p>
        </w:tc>
        <w:tc>
          <w:tcPr>
            <w:tcW w:w="7088" w:type="dxa"/>
          </w:tcPr>
          <w:p w14:paraId="448E3F86" w14:textId="77777777" w:rsidR="00D474C0" w:rsidRPr="00284372" w:rsidRDefault="00D474C0" w:rsidP="00284372">
            <w:r w:rsidRPr="00284372">
              <w:t>In cases of low-value or short-duration loans, the principal must implement an alternative system of control. Schools must develop systems appropriate to their circumstances.</w:t>
            </w:r>
          </w:p>
        </w:tc>
        <w:tc>
          <w:tcPr>
            <w:tcW w:w="567" w:type="dxa"/>
          </w:tcPr>
          <w:p w14:paraId="2027C5E8" w14:textId="77777777" w:rsidR="00D474C0" w:rsidRPr="00D94A93" w:rsidRDefault="00D474C0" w:rsidP="00F66535"/>
        </w:tc>
      </w:tr>
    </w:tbl>
    <w:p w14:paraId="21602240" w14:textId="77777777" w:rsidR="00E0344C" w:rsidRDefault="00E0344C" w:rsidP="0081387A"/>
    <w:p w14:paraId="000EABC6" w14:textId="77777777" w:rsidR="00E0344C" w:rsidRDefault="00E0344C" w:rsidP="00E0344C">
      <w:pPr>
        <w:pStyle w:val="Heading2"/>
        <w:ind w:left="1134" w:hanging="1134"/>
      </w:pPr>
      <w:r>
        <w:t>13.14</w:t>
      </w:r>
      <w:r>
        <w:tab/>
        <w:t>Loan of Equipment to Community Groups or Individuals</w:t>
      </w:r>
    </w:p>
    <w:p w14:paraId="4DE07916" w14:textId="77777777" w:rsidR="005D7822" w:rsidRPr="00317AB9" w:rsidRDefault="005D7822" w:rsidP="005D7822">
      <w:pPr>
        <w:pStyle w:val="Heading3"/>
      </w:pPr>
      <w:r w:rsidRPr="00317AB9">
        <w:t>1</w:t>
      </w:r>
      <w:r>
        <w:t>3.1</w:t>
      </w:r>
      <w:r w:rsidR="00244B45">
        <w:t>4</w:t>
      </w:r>
      <w:r>
        <w:t xml:space="preserve">.1 </w:t>
      </w:r>
      <w:r>
        <w:tab/>
      </w:r>
      <w:r w:rsidRPr="00317AB9">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1211F7" w:rsidRPr="00D94A93" w14:paraId="03E00E01" w14:textId="77777777" w:rsidTr="000F5524">
        <w:trPr>
          <w:trHeight w:val="555"/>
          <w:tblHeader/>
        </w:trPr>
        <w:tc>
          <w:tcPr>
            <w:tcW w:w="1134" w:type="dxa"/>
          </w:tcPr>
          <w:p w14:paraId="1A140C5B" w14:textId="77777777" w:rsidR="001211F7" w:rsidRPr="00284372" w:rsidRDefault="001211F7" w:rsidP="000F5524">
            <w:r>
              <w:rPr>
                <w:b/>
                <w:sz w:val="18"/>
              </w:rPr>
              <w:t xml:space="preserve">Sequence </w:t>
            </w:r>
            <w:r w:rsidRPr="001211F7">
              <w:rPr>
                <w:b/>
                <w:sz w:val="18"/>
              </w:rPr>
              <w:t>Numbers</w:t>
            </w:r>
          </w:p>
        </w:tc>
        <w:tc>
          <w:tcPr>
            <w:tcW w:w="7088" w:type="dxa"/>
          </w:tcPr>
          <w:p w14:paraId="0E2AAE0B" w14:textId="77777777" w:rsidR="001211F7" w:rsidRPr="00284372" w:rsidRDefault="001211F7" w:rsidP="000F5524">
            <w:r w:rsidRPr="00127ECC">
              <w:rPr>
                <w:b/>
              </w:rPr>
              <w:t>Information</w:t>
            </w:r>
          </w:p>
        </w:tc>
        <w:tc>
          <w:tcPr>
            <w:tcW w:w="567" w:type="dxa"/>
            <w:tcBorders>
              <w:top w:val="nil"/>
              <w:right w:val="nil"/>
            </w:tcBorders>
          </w:tcPr>
          <w:p w14:paraId="16638B34" w14:textId="77777777" w:rsidR="001211F7" w:rsidRPr="00D94A93" w:rsidRDefault="001211F7" w:rsidP="000F5524"/>
        </w:tc>
      </w:tr>
      <w:tr w:rsidR="005D7822" w:rsidRPr="00D94A93" w14:paraId="57EAE694" w14:textId="77777777" w:rsidTr="00D43CFD">
        <w:trPr>
          <w:trHeight w:val="727"/>
        </w:trPr>
        <w:tc>
          <w:tcPr>
            <w:tcW w:w="1134" w:type="dxa"/>
          </w:tcPr>
          <w:p w14:paraId="379216A3" w14:textId="77777777" w:rsidR="005D7822" w:rsidRPr="00284372" w:rsidRDefault="005D7822" w:rsidP="00284372">
            <w:r w:rsidRPr="00284372">
              <w:t>13.1</w:t>
            </w:r>
            <w:r w:rsidR="00244B45" w:rsidRPr="00284372">
              <w:t>4</w:t>
            </w:r>
            <w:r w:rsidRPr="00284372">
              <w:t>.1.1</w:t>
            </w:r>
          </w:p>
        </w:tc>
        <w:tc>
          <w:tcPr>
            <w:tcW w:w="7088" w:type="dxa"/>
          </w:tcPr>
          <w:p w14:paraId="7A7B43ED" w14:textId="77777777" w:rsidR="005D7822" w:rsidRPr="00284372" w:rsidRDefault="005D7822" w:rsidP="00284372">
            <w:r w:rsidRPr="00284372">
              <w:t>A principal may make loans of specified items of school equipment to individual students.</w:t>
            </w:r>
          </w:p>
        </w:tc>
        <w:tc>
          <w:tcPr>
            <w:tcW w:w="567" w:type="dxa"/>
          </w:tcPr>
          <w:p w14:paraId="65E9DDB2" w14:textId="77777777" w:rsidR="005D7822" w:rsidRPr="00D94A93" w:rsidRDefault="005D7822" w:rsidP="00F66535"/>
        </w:tc>
      </w:tr>
      <w:tr w:rsidR="005D7822" w:rsidRPr="00D94A93" w14:paraId="22A7BBAB" w14:textId="77777777" w:rsidTr="00F66535">
        <w:trPr>
          <w:trHeight w:val="278"/>
        </w:trPr>
        <w:tc>
          <w:tcPr>
            <w:tcW w:w="1134" w:type="dxa"/>
          </w:tcPr>
          <w:p w14:paraId="699CB1B3" w14:textId="77777777" w:rsidR="005D7822" w:rsidRPr="00284372" w:rsidRDefault="005D7822" w:rsidP="00284372">
            <w:r w:rsidRPr="00284372">
              <w:t>13.1</w:t>
            </w:r>
            <w:r w:rsidR="00244B45" w:rsidRPr="00284372">
              <w:t>4</w:t>
            </w:r>
            <w:r w:rsidRPr="00284372">
              <w:t>.1.2</w:t>
            </w:r>
          </w:p>
        </w:tc>
        <w:tc>
          <w:tcPr>
            <w:tcW w:w="7088" w:type="dxa"/>
          </w:tcPr>
          <w:p w14:paraId="3B5A1C7C" w14:textId="77777777" w:rsidR="005D7822" w:rsidRPr="00284372" w:rsidRDefault="005D7822" w:rsidP="00284372">
            <w:r w:rsidRPr="00284372">
              <w:t>The officer who is designated this authority is responsible for ensuring that records, including the signature of the student borrowing the article, are maintained to allow for the recovery of the article.</w:t>
            </w:r>
          </w:p>
        </w:tc>
        <w:tc>
          <w:tcPr>
            <w:tcW w:w="567" w:type="dxa"/>
          </w:tcPr>
          <w:p w14:paraId="0B038F93" w14:textId="77777777" w:rsidR="005D7822" w:rsidRPr="00D94A93" w:rsidRDefault="005D7822" w:rsidP="00F66535"/>
        </w:tc>
      </w:tr>
      <w:tr w:rsidR="005D7822" w:rsidRPr="00D94A93" w14:paraId="6A699648" w14:textId="77777777" w:rsidTr="006C1202">
        <w:trPr>
          <w:trHeight w:hRule="exact" w:val="1021"/>
        </w:trPr>
        <w:tc>
          <w:tcPr>
            <w:tcW w:w="1134" w:type="dxa"/>
          </w:tcPr>
          <w:p w14:paraId="17D74A9E" w14:textId="77777777" w:rsidR="005D7822" w:rsidRPr="00284372" w:rsidRDefault="005D7822" w:rsidP="00284372">
            <w:r w:rsidRPr="00284372">
              <w:t>13.1</w:t>
            </w:r>
            <w:r w:rsidR="00244B45" w:rsidRPr="00284372">
              <w:t>4</w:t>
            </w:r>
            <w:r w:rsidRPr="00284372">
              <w:t>.1.3</w:t>
            </w:r>
          </w:p>
        </w:tc>
        <w:tc>
          <w:tcPr>
            <w:tcW w:w="7088" w:type="dxa"/>
          </w:tcPr>
          <w:p w14:paraId="39564B6B" w14:textId="77777777" w:rsidR="005D7822" w:rsidRPr="00284372" w:rsidRDefault="005D7822" w:rsidP="00284372">
            <w:r w:rsidRPr="00284372">
              <w:t>When equipment is lent by the school principal, a receipt signed by the borrower must be obtained and a record of the loan must be maintained to facilitate its return.</w:t>
            </w:r>
          </w:p>
        </w:tc>
        <w:tc>
          <w:tcPr>
            <w:tcW w:w="567" w:type="dxa"/>
          </w:tcPr>
          <w:p w14:paraId="3E980E4E" w14:textId="77777777" w:rsidR="005D7822" w:rsidRPr="00D94A93" w:rsidRDefault="005D7822" w:rsidP="00F66535"/>
        </w:tc>
      </w:tr>
      <w:tr w:rsidR="005D7822" w:rsidRPr="00D94A93" w14:paraId="69360199" w14:textId="77777777" w:rsidTr="006C1202">
        <w:trPr>
          <w:trHeight w:hRule="exact" w:val="1021"/>
        </w:trPr>
        <w:tc>
          <w:tcPr>
            <w:tcW w:w="1134" w:type="dxa"/>
          </w:tcPr>
          <w:p w14:paraId="6FB74117" w14:textId="77777777" w:rsidR="005D7822" w:rsidRPr="00284372" w:rsidRDefault="005D7822" w:rsidP="00284372">
            <w:r w:rsidRPr="00284372">
              <w:t>13.1</w:t>
            </w:r>
            <w:r w:rsidR="00244B45" w:rsidRPr="00284372">
              <w:t>4</w:t>
            </w:r>
            <w:r w:rsidRPr="00284372">
              <w:t>.1.4</w:t>
            </w:r>
          </w:p>
        </w:tc>
        <w:tc>
          <w:tcPr>
            <w:tcW w:w="7088" w:type="dxa"/>
          </w:tcPr>
          <w:p w14:paraId="6448EFA3" w14:textId="77777777" w:rsidR="005D7822" w:rsidRPr="00284372" w:rsidRDefault="005D7822" w:rsidP="00284372">
            <w:r w:rsidRPr="00284372">
              <w:t>If library materials or textbooks are lent to students, teachers or other school-based staff, a record of the loan must be maintained to facilitate their return.</w:t>
            </w:r>
          </w:p>
        </w:tc>
        <w:tc>
          <w:tcPr>
            <w:tcW w:w="567" w:type="dxa"/>
          </w:tcPr>
          <w:p w14:paraId="5D1E29CA" w14:textId="77777777" w:rsidR="005D7822" w:rsidRPr="00D94A93" w:rsidRDefault="005D7822" w:rsidP="00F66535"/>
        </w:tc>
      </w:tr>
      <w:tr w:rsidR="005D7822" w:rsidRPr="00D94A93" w14:paraId="54C33E52" w14:textId="77777777" w:rsidTr="00F66535">
        <w:trPr>
          <w:trHeight w:val="519"/>
        </w:trPr>
        <w:tc>
          <w:tcPr>
            <w:tcW w:w="1134" w:type="dxa"/>
          </w:tcPr>
          <w:p w14:paraId="57E834E7" w14:textId="77777777" w:rsidR="005D7822" w:rsidRPr="00284372" w:rsidRDefault="005D7822" w:rsidP="00284372">
            <w:r w:rsidRPr="00284372">
              <w:t>13.1</w:t>
            </w:r>
            <w:r w:rsidR="00244B45" w:rsidRPr="00284372">
              <w:t>4</w:t>
            </w:r>
            <w:r w:rsidRPr="00284372">
              <w:t>.1.5</w:t>
            </w:r>
          </w:p>
        </w:tc>
        <w:tc>
          <w:tcPr>
            <w:tcW w:w="7088" w:type="dxa"/>
          </w:tcPr>
          <w:p w14:paraId="02427875" w14:textId="77777777" w:rsidR="005D7822" w:rsidRPr="00284372" w:rsidRDefault="005D7822" w:rsidP="00284372">
            <w:r w:rsidRPr="00284372">
              <w:t>Items borrowed for personal use must be insured by the borrower.</w:t>
            </w:r>
          </w:p>
        </w:tc>
        <w:tc>
          <w:tcPr>
            <w:tcW w:w="567" w:type="dxa"/>
          </w:tcPr>
          <w:p w14:paraId="4B13E19E" w14:textId="77777777" w:rsidR="005D7822" w:rsidRPr="00D94A93" w:rsidRDefault="005D7822" w:rsidP="00F66535"/>
        </w:tc>
      </w:tr>
    </w:tbl>
    <w:p w14:paraId="613AAB0D" w14:textId="36211B4F" w:rsidR="00B04F7A" w:rsidRDefault="00B04F7A" w:rsidP="00E66B67"/>
    <w:p w14:paraId="2F217413" w14:textId="77777777" w:rsidR="00B04F7A" w:rsidRDefault="00B04F7A">
      <w:pPr>
        <w:spacing w:before="0" w:line="240" w:lineRule="auto"/>
      </w:pPr>
      <w:r>
        <w:br w:type="page"/>
      </w:r>
    </w:p>
    <w:p w14:paraId="22C0F4B4" w14:textId="77777777" w:rsidR="00DB6664" w:rsidRDefault="00DB6664" w:rsidP="00DB6664">
      <w:pPr>
        <w:pStyle w:val="Heading2"/>
      </w:pPr>
      <w:r>
        <w:lastRenderedPageBreak/>
        <w:t>13.15</w:t>
      </w:r>
      <w:r>
        <w:tab/>
        <w:t xml:space="preserve">Transfer of assets between schools </w:t>
      </w:r>
    </w:p>
    <w:p w14:paraId="5F787534" w14:textId="77777777" w:rsidR="00AE11B2" w:rsidRPr="00317AB9" w:rsidRDefault="00AE11B2" w:rsidP="00AE11B2">
      <w:pPr>
        <w:pStyle w:val="Heading3"/>
      </w:pPr>
      <w:r w:rsidRPr="00317AB9">
        <w:t>1</w:t>
      </w:r>
      <w:r>
        <w:t>3.1</w:t>
      </w:r>
      <w:r w:rsidR="00244B45">
        <w:t>5</w:t>
      </w:r>
      <w:r>
        <w:t xml:space="preserve">.1 </w:t>
      </w:r>
      <w:r w:rsidRPr="00317AB9">
        <w:tab/>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1211F7" w:rsidRPr="00D94A93" w14:paraId="1FC6FB05" w14:textId="77777777" w:rsidTr="000F5524">
        <w:trPr>
          <w:trHeight w:val="555"/>
          <w:tblHeader/>
        </w:trPr>
        <w:tc>
          <w:tcPr>
            <w:tcW w:w="1134" w:type="dxa"/>
          </w:tcPr>
          <w:p w14:paraId="510FADDC" w14:textId="77777777" w:rsidR="001211F7" w:rsidRPr="00284372" w:rsidRDefault="001211F7" w:rsidP="000F5524">
            <w:r>
              <w:rPr>
                <w:b/>
                <w:sz w:val="18"/>
              </w:rPr>
              <w:t xml:space="preserve">Sequence </w:t>
            </w:r>
            <w:r w:rsidRPr="001211F7">
              <w:rPr>
                <w:b/>
                <w:sz w:val="18"/>
              </w:rPr>
              <w:t>Numbers</w:t>
            </w:r>
          </w:p>
        </w:tc>
        <w:tc>
          <w:tcPr>
            <w:tcW w:w="7088" w:type="dxa"/>
          </w:tcPr>
          <w:p w14:paraId="618DB5B3" w14:textId="5746DE75" w:rsidR="001211F7" w:rsidRPr="00284372" w:rsidRDefault="00223F53" w:rsidP="000F5524">
            <w:r>
              <w:rPr>
                <w:b/>
              </w:rPr>
              <w:t>Inf</w:t>
            </w:r>
            <w:r w:rsidR="001211F7" w:rsidRPr="00127ECC">
              <w:rPr>
                <w:b/>
              </w:rPr>
              <w:t>ormation</w:t>
            </w:r>
          </w:p>
        </w:tc>
        <w:tc>
          <w:tcPr>
            <w:tcW w:w="567" w:type="dxa"/>
            <w:tcBorders>
              <w:top w:val="nil"/>
              <w:right w:val="nil"/>
            </w:tcBorders>
          </w:tcPr>
          <w:p w14:paraId="148079A2" w14:textId="77777777" w:rsidR="001211F7" w:rsidRPr="00D94A93" w:rsidRDefault="001211F7" w:rsidP="000F5524"/>
        </w:tc>
      </w:tr>
      <w:tr w:rsidR="00AE11B2" w:rsidRPr="00D94A93" w14:paraId="638FABE7" w14:textId="77777777" w:rsidTr="006C1202">
        <w:trPr>
          <w:trHeight w:hRule="exact" w:val="1021"/>
        </w:trPr>
        <w:tc>
          <w:tcPr>
            <w:tcW w:w="1134" w:type="dxa"/>
          </w:tcPr>
          <w:p w14:paraId="2B354799" w14:textId="77777777" w:rsidR="00AE11B2" w:rsidRPr="00B920A1" w:rsidRDefault="00AE11B2" w:rsidP="00AE11B2">
            <w:pPr>
              <w:rPr>
                <w:rFonts w:eastAsiaTheme="minorHAnsi"/>
              </w:rPr>
            </w:pPr>
            <w:r w:rsidRPr="00284372">
              <w:t>13.1</w:t>
            </w:r>
            <w:r w:rsidR="00244B45" w:rsidRPr="00284372">
              <w:t>5</w:t>
            </w:r>
            <w:r w:rsidRPr="00284372">
              <w:t>.1.1</w:t>
            </w:r>
          </w:p>
        </w:tc>
        <w:tc>
          <w:tcPr>
            <w:tcW w:w="7088" w:type="dxa"/>
          </w:tcPr>
          <w:p w14:paraId="36088E27" w14:textId="77777777" w:rsidR="00AE11B2" w:rsidRPr="00284372" w:rsidRDefault="00AE11B2" w:rsidP="00284372">
            <w:r w:rsidRPr="00284372">
              <w:t xml:space="preserve">When a school transfers an </w:t>
            </w:r>
            <w:r w:rsidR="00C85453" w:rsidRPr="00284372">
              <w:t>asset,</w:t>
            </w:r>
            <w:r w:rsidR="00346754" w:rsidRPr="00284372">
              <w:t xml:space="preserve"> the r</w:t>
            </w:r>
            <w:r w:rsidRPr="00284372">
              <w:t xml:space="preserve">eceiving school </w:t>
            </w:r>
            <w:r w:rsidR="00346754" w:rsidRPr="00284372">
              <w:t xml:space="preserve">must </w:t>
            </w:r>
            <w:r w:rsidR="00BA2FBD">
              <w:t>enter</w:t>
            </w:r>
            <w:r w:rsidRPr="00284372">
              <w:t xml:space="preserve"> </w:t>
            </w:r>
            <w:r w:rsidR="00346754" w:rsidRPr="00284372">
              <w:t xml:space="preserve">the </w:t>
            </w:r>
            <w:r w:rsidRPr="00284372">
              <w:t xml:space="preserve">asset at the same value </w:t>
            </w:r>
            <w:r w:rsidR="00346754" w:rsidRPr="00284372">
              <w:t xml:space="preserve">as the </w:t>
            </w:r>
            <w:r w:rsidRPr="00284372">
              <w:t>transferring school</w:t>
            </w:r>
            <w:r w:rsidR="00346754" w:rsidRPr="00284372">
              <w:t xml:space="preserve"> has written off</w:t>
            </w:r>
            <w:r w:rsidR="00FB66D6" w:rsidRPr="00284372">
              <w:t xml:space="preserve"> the asset</w:t>
            </w:r>
            <w:r w:rsidRPr="00284372">
              <w:t>.</w:t>
            </w:r>
          </w:p>
        </w:tc>
        <w:tc>
          <w:tcPr>
            <w:tcW w:w="567" w:type="dxa"/>
          </w:tcPr>
          <w:p w14:paraId="01423248" w14:textId="77777777" w:rsidR="00AE11B2" w:rsidRPr="00D94A93" w:rsidRDefault="00AE11B2" w:rsidP="00AE11B2"/>
        </w:tc>
      </w:tr>
      <w:tr w:rsidR="00FB66D6" w:rsidRPr="00D94A93" w14:paraId="0C339543" w14:textId="77777777" w:rsidTr="006C1202">
        <w:trPr>
          <w:trHeight w:val="510"/>
        </w:trPr>
        <w:tc>
          <w:tcPr>
            <w:tcW w:w="1134" w:type="dxa"/>
          </w:tcPr>
          <w:p w14:paraId="19C29C28" w14:textId="77777777" w:rsidR="00FB66D6" w:rsidRPr="00284372" w:rsidRDefault="00244B45" w:rsidP="00284372">
            <w:r w:rsidRPr="00284372">
              <w:t>13.15.1.2</w:t>
            </w:r>
          </w:p>
        </w:tc>
        <w:tc>
          <w:tcPr>
            <w:tcW w:w="7088" w:type="dxa"/>
          </w:tcPr>
          <w:p w14:paraId="59ED644D" w14:textId="77777777" w:rsidR="00FB66D6" w:rsidRPr="00284372" w:rsidRDefault="00BA2FBD" w:rsidP="00284372">
            <w:r>
              <w:t>The items</w:t>
            </w:r>
            <w:r w:rsidR="00FB66D6" w:rsidRPr="00284372">
              <w:t xml:space="preserve"> must be at current Net Book Value (NBV</w:t>
            </w:r>
            <w:r w:rsidR="002A0B3C" w:rsidRPr="00284372">
              <w:t>).</w:t>
            </w:r>
          </w:p>
        </w:tc>
        <w:tc>
          <w:tcPr>
            <w:tcW w:w="567" w:type="dxa"/>
          </w:tcPr>
          <w:p w14:paraId="032DB98A" w14:textId="77777777" w:rsidR="00FB66D6" w:rsidRPr="00D94A93" w:rsidRDefault="00FB66D6" w:rsidP="00AE11B2"/>
        </w:tc>
      </w:tr>
      <w:tr w:rsidR="00AE11B2" w:rsidRPr="00D94A93" w14:paraId="1149B00D" w14:textId="77777777" w:rsidTr="00AE0FA1">
        <w:trPr>
          <w:trHeight w:val="1823"/>
        </w:trPr>
        <w:tc>
          <w:tcPr>
            <w:tcW w:w="1134" w:type="dxa"/>
          </w:tcPr>
          <w:p w14:paraId="31F1F2AD" w14:textId="32732C92" w:rsidR="00AE11B2" w:rsidRPr="00284372" w:rsidRDefault="00AE11B2" w:rsidP="006C1202">
            <w:r w:rsidRPr="00284372">
              <w:t>13.1</w:t>
            </w:r>
            <w:r w:rsidR="00244B45" w:rsidRPr="00284372">
              <w:t>5</w:t>
            </w:r>
            <w:r w:rsidRPr="00284372">
              <w:t>.1.</w:t>
            </w:r>
            <w:r w:rsidR="006C1202">
              <w:t>3</w:t>
            </w:r>
          </w:p>
        </w:tc>
        <w:tc>
          <w:tcPr>
            <w:tcW w:w="7088" w:type="dxa"/>
          </w:tcPr>
          <w:p w14:paraId="29F79E52" w14:textId="19ED4FAF" w:rsidR="00AE11B2" w:rsidRPr="00284372" w:rsidRDefault="00AE11B2" w:rsidP="00AE0FA1">
            <w:pPr>
              <w:pStyle w:val="ListParagraph"/>
              <w:ind w:left="0"/>
            </w:pPr>
            <w:r w:rsidRPr="00284372">
              <w:t xml:space="preserve">Schools must ensure that an </w:t>
            </w:r>
            <w:hyperlink r:id="rId23" w:history="1">
              <w:r w:rsidR="007A654F" w:rsidRPr="00B13412">
                <w:rPr>
                  <w:rStyle w:val="Hyperlink"/>
                </w:rPr>
                <w:t>Asset Status Change Requ</w:t>
              </w:r>
              <w:r w:rsidR="007A654F">
                <w:rPr>
                  <w:rStyle w:val="Hyperlink"/>
                </w:rPr>
                <w:t>e</w:t>
              </w:r>
              <w:r w:rsidR="007A654F" w:rsidRPr="00B13412">
                <w:rPr>
                  <w:rStyle w:val="Hyperlink"/>
                </w:rPr>
                <w:t>st form</w:t>
              </w:r>
            </w:hyperlink>
            <w:r w:rsidRPr="00284372">
              <w:t xml:space="preserve"> is completed and approved by the principal before any physical items are transferred.</w:t>
            </w:r>
          </w:p>
          <w:p w14:paraId="52E46E98" w14:textId="77777777" w:rsidR="00AE11B2" w:rsidRDefault="005D285C" w:rsidP="002E5D6C">
            <w:r w:rsidRPr="00284372">
              <w:t xml:space="preserve">For further guidance contact the Schools Financial Management Support team. Email: </w:t>
            </w:r>
            <w:hyperlink r:id="rId24" w:history="1">
              <w:r w:rsidRPr="00284372">
                <w:rPr>
                  <w:rStyle w:val="Hyperlink"/>
                </w:rPr>
                <w:t>schools.finance.support@edumail.vic.gov.au</w:t>
              </w:r>
            </w:hyperlink>
          </w:p>
        </w:tc>
        <w:tc>
          <w:tcPr>
            <w:tcW w:w="567" w:type="dxa"/>
          </w:tcPr>
          <w:p w14:paraId="2073B093" w14:textId="77777777" w:rsidR="00AE11B2" w:rsidRPr="00D94A93" w:rsidRDefault="00AE11B2" w:rsidP="00AE11B2"/>
        </w:tc>
      </w:tr>
    </w:tbl>
    <w:p w14:paraId="52F3A27C" w14:textId="77777777" w:rsidR="00BA2FBD" w:rsidRDefault="00BA2FBD" w:rsidP="0081387A"/>
    <w:p w14:paraId="67AD5EFD" w14:textId="77777777" w:rsidR="00C54E54" w:rsidRDefault="00C54E54" w:rsidP="00C54E54">
      <w:pPr>
        <w:pStyle w:val="Heading2"/>
      </w:pPr>
      <w:r>
        <w:t>13.1</w:t>
      </w:r>
      <w:r w:rsidR="00244B45">
        <w:t>6</w:t>
      </w:r>
      <w:r>
        <w:tab/>
        <w:t>Transfer of Materials or Equipment</w:t>
      </w:r>
    </w:p>
    <w:p w14:paraId="0121F7FD" w14:textId="3F5480E7" w:rsidR="00F8472C" w:rsidRDefault="00F8472C" w:rsidP="00F8472C">
      <w:r w:rsidRPr="00284372">
        <w:t xml:space="preserve">When materials or equipment are transferred between </w:t>
      </w:r>
      <w:r w:rsidR="00CF454B">
        <w:t>G</w:t>
      </w:r>
      <w:r w:rsidRPr="00284372">
        <w:t>overnment schools or to an office of the Department without a change being made to their value, a transfer advice giving full details, must be completed in triplicate by the dispatching schools.</w:t>
      </w:r>
    </w:p>
    <w:p w14:paraId="0F3363DA" w14:textId="77777777" w:rsidR="00C54E54" w:rsidRPr="00317AB9" w:rsidRDefault="00C54E54" w:rsidP="00C54E54">
      <w:pPr>
        <w:pStyle w:val="Heading3"/>
      </w:pPr>
      <w:r w:rsidRPr="00317AB9">
        <w:t>1</w:t>
      </w:r>
      <w:r>
        <w:t>3.1</w:t>
      </w:r>
      <w:r w:rsidR="00244B45">
        <w:t>6</w:t>
      </w:r>
      <w:r>
        <w:t xml:space="preserve">.1 </w:t>
      </w:r>
      <w:r w:rsidRPr="00317AB9">
        <w:tab/>
        <w:t>Mandatory policy (</w:t>
      </w:r>
      <w:r>
        <w:t>Must do</w:t>
      </w:r>
      <w:r w:rsidRPr="00317AB9">
        <w: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088"/>
        <w:gridCol w:w="567"/>
      </w:tblGrid>
      <w:tr w:rsidR="001211F7" w:rsidRPr="00D94A93" w14:paraId="742F09A2" w14:textId="77777777" w:rsidTr="000F5524">
        <w:trPr>
          <w:trHeight w:val="555"/>
          <w:tblHeader/>
        </w:trPr>
        <w:tc>
          <w:tcPr>
            <w:tcW w:w="1134" w:type="dxa"/>
          </w:tcPr>
          <w:p w14:paraId="24C0E3B3" w14:textId="77777777" w:rsidR="001211F7" w:rsidRPr="00284372" w:rsidRDefault="001211F7" w:rsidP="000F5524">
            <w:r>
              <w:rPr>
                <w:b/>
                <w:sz w:val="18"/>
              </w:rPr>
              <w:t xml:space="preserve">Sequence </w:t>
            </w:r>
            <w:r w:rsidRPr="001211F7">
              <w:rPr>
                <w:b/>
                <w:sz w:val="18"/>
              </w:rPr>
              <w:t>Numbers</w:t>
            </w:r>
          </w:p>
        </w:tc>
        <w:tc>
          <w:tcPr>
            <w:tcW w:w="7088" w:type="dxa"/>
          </w:tcPr>
          <w:p w14:paraId="16EC0CF1" w14:textId="77777777" w:rsidR="001211F7" w:rsidRPr="00284372" w:rsidRDefault="001211F7" w:rsidP="000F5524">
            <w:r w:rsidRPr="00127ECC">
              <w:rPr>
                <w:b/>
              </w:rPr>
              <w:t>Information</w:t>
            </w:r>
          </w:p>
        </w:tc>
        <w:tc>
          <w:tcPr>
            <w:tcW w:w="567" w:type="dxa"/>
            <w:tcBorders>
              <w:top w:val="nil"/>
              <w:right w:val="nil"/>
            </w:tcBorders>
          </w:tcPr>
          <w:p w14:paraId="78B934E4" w14:textId="77777777" w:rsidR="001211F7" w:rsidRPr="00D94A93" w:rsidRDefault="001211F7" w:rsidP="000F5524"/>
        </w:tc>
      </w:tr>
      <w:tr w:rsidR="00C54E54" w:rsidRPr="00D94A93" w14:paraId="23545B86" w14:textId="77777777" w:rsidTr="006C1202">
        <w:trPr>
          <w:trHeight w:hRule="exact" w:val="1021"/>
        </w:trPr>
        <w:tc>
          <w:tcPr>
            <w:tcW w:w="1134" w:type="dxa"/>
          </w:tcPr>
          <w:p w14:paraId="418A6BDA" w14:textId="77777777" w:rsidR="00C54E54" w:rsidRPr="00284372" w:rsidRDefault="00C54E54" w:rsidP="00284372">
            <w:r w:rsidRPr="00284372">
              <w:t>13.1</w:t>
            </w:r>
            <w:r w:rsidR="00244B45" w:rsidRPr="00284372">
              <w:t>6</w:t>
            </w:r>
            <w:r w:rsidRPr="00284372">
              <w:t>.1.</w:t>
            </w:r>
            <w:r w:rsidR="00F8472C">
              <w:t>1</w:t>
            </w:r>
          </w:p>
        </w:tc>
        <w:tc>
          <w:tcPr>
            <w:tcW w:w="7088" w:type="dxa"/>
          </w:tcPr>
          <w:p w14:paraId="372978AB" w14:textId="0971B382" w:rsidR="00C54E54" w:rsidRPr="00284372" w:rsidRDefault="00C54E54" w:rsidP="006C1202">
            <w:r w:rsidRPr="00284372">
              <w:t xml:space="preserve">Schools must ensure that an </w:t>
            </w:r>
            <w:hyperlink r:id="rId25" w:history="1">
              <w:r w:rsidR="006C1202" w:rsidRPr="00B13412">
                <w:rPr>
                  <w:rStyle w:val="Hyperlink"/>
                </w:rPr>
                <w:t>Asset Status Change Requ</w:t>
              </w:r>
              <w:r w:rsidR="006C1202">
                <w:rPr>
                  <w:rStyle w:val="Hyperlink"/>
                </w:rPr>
                <w:t>e</w:t>
              </w:r>
              <w:r w:rsidR="006C1202" w:rsidRPr="00B13412">
                <w:rPr>
                  <w:rStyle w:val="Hyperlink"/>
                </w:rPr>
                <w:t>st form</w:t>
              </w:r>
            </w:hyperlink>
            <w:r w:rsidRPr="00284372">
              <w:t xml:space="preserve"> is completed and approved by the principal before any physical items are transferred out.</w:t>
            </w:r>
          </w:p>
        </w:tc>
        <w:tc>
          <w:tcPr>
            <w:tcW w:w="567" w:type="dxa"/>
          </w:tcPr>
          <w:p w14:paraId="4D071242" w14:textId="77777777" w:rsidR="00C54E54" w:rsidRPr="00D94A93" w:rsidRDefault="00C54E54" w:rsidP="00F66535"/>
        </w:tc>
      </w:tr>
    </w:tbl>
    <w:p w14:paraId="0EF25E98" w14:textId="30AEB041" w:rsidR="008E1CF2" w:rsidRDefault="008E1CF2">
      <w:pPr>
        <w:spacing w:before="0" w:line="240" w:lineRule="auto"/>
      </w:pPr>
    </w:p>
    <w:p w14:paraId="404C0637" w14:textId="77777777" w:rsidR="00E0344C" w:rsidRDefault="00E0344C" w:rsidP="00E0344C">
      <w:pPr>
        <w:pStyle w:val="Heading2"/>
        <w:ind w:left="1134" w:hanging="1134"/>
      </w:pPr>
      <w:r>
        <w:t>13.17</w:t>
      </w:r>
      <w:r>
        <w:tab/>
        <w:t>Disposal of Surplus or Unserviceable Assets of Materials</w:t>
      </w:r>
    </w:p>
    <w:p w14:paraId="3F975003" w14:textId="1AF8117B" w:rsidR="00F8472C" w:rsidRDefault="00C54E54" w:rsidP="00284372">
      <w:r w:rsidRPr="00284372">
        <w:t xml:space="preserve">School councils, under Part 2.3, Division 5, Section 2.3.1.8 of the </w:t>
      </w:r>
      <w:r w:rsidRPr="0081387A">
        <w:rPr>
          <w:i/>
        </w:rPr>
        <w:t>Education and Training Reform Act 2006</w:t>
      </w:r>
      <w:r w:rsidRPr="00284372">
        <w:t xml:space="preserve">, can sell assets/equipment, goods or other personal property acquired for use in the school. The main purpose of this section of the Act is to enable school councils to sell obsolete and surplus goods and equipment. </w:t>
      </w:r>
    </w:p>
    <w:p w14:paraId="39C34E30" w14:textId="5A63AD98" w:rsidR="001211F7" w:rsidRDefault="001211F7" w:rsidP="00284372"/>
    <w:p w14:paraId="3D079149" w14:textId="77777777" w:rsidR="001211F7" w:rsidRDefault="001211F7" w:rsidP="00284372"/>
    <w:p w14:paraId="674E4447" w14:textId="77777777" w:rsidR="00C54E54" w:rsidRDefault="00C54E54" w:rsidP="00C54E54">
      <w:pPr>
        <w:pStyle w:val="Heading3"/>
      </w:pPr>
      <w:r w:rsidRPr="00317AB9">
        <w:lastRenderedPageBreak/>
        <w:t>1</w:t>
      </w:r>
      <w:r>
        <w:t>3.1</w:t>
      </w:r>
      <w:r w:rsidR="00244B45">
        <w:t>7</w:t>
      </w:r>
      <w:r>
        <w:t xml:space="preserve">.1 </w:t>
      </w:r>
      <w:r>
        <w:tab/>
        <w:t>Mandatory Policy (Must do):</w:t>
      </w:r>
    </w:p>
    <w:p w14:paraId="409E3754" w14:textId="77777777" w:rsidR="00C54E54" w:rsidRDefault="00C54E54" w:rsidP="00C54E54">
      <w:pPr>
        <w:pStyle w:val="Heading3"/>
      </w:pPr>
      <w:r>
        <w:t>Gene</w:t>
      </w:r>
      <w:r>
        <w:rPr>
          <w:spacing w:val="-2"/>
        </w:rPr>
        <w:t>r</w:t>
      </w:r>
      <w:r>
        <w:t>al</w:t>
      </w:r>
      <w:r>
        <w:rPr>
          <w:spacing w:val="-16"/>
        </w:rPr>
        <w:t xml:space="preserve"> </w:t>
      </w:r>
      <w:r w:rsidRPr="00981AF4">
        <w:t>Policy</w:t>
      </w:r>
    </w:p>
    <w:tbl>
      <w:tblPr>
        <w:tblW w:w="929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34"/>
        <w:gridCol w:w="7451"/>
        <w:gridCol w:w="236"/>
        <w:gridCol w:w="473"/>
      </w:tblGrid>
      <w:tr w:rsidR="001211F7" w:rsidRPr="00D94A93" w14:paraId="4B4049D2" w14:textId="77777777" w:rsidTr="001211F7">
        <w:trPr>
          <w:gridAfter w:val="1"/>
          <w:wAfter w:w="473" w:type="dxa"/>
          <w:trHeight w:val="555"/>
          <w:tblHeader/>
        </w:trPr>
        <w:tc>
          <w:tcPr>
            <w:tcW w:w="1134" w:type="dxa"/>
          </w:tcPr>
          <w:p w14:paraId="111102AA" w14:textId="77777777" w:rsidR="001211F7" w:rsidRPr="00284372" w:rsidRDefault="001211F7" w:rsidP="000F5524">
            <w:r>
              <w:rPr>
                <w:b/>
                <w:sz w:val="18"/>
              </w:rPr>
              <w:t xml:space="preserve">Sequence </w:t>
            </w:r>
            <w:r w:rsidRPr="001211F7">
              <w:rPr>
                <w:b/>
                <w:sz w:val="18"/>
              </w:rPr>
              <w:t>Numbers</w:t>
            </w:r>
          </w:p>
        </w:tc>
        <w:tc>
          <w:tcPr>
            <w:tcW w:w="7451" w:type="dxa"/>
          </w:tcPr>
          <w:p w14:paraId="549FFC96" w14:textId="77777777" w:rsidR="001211F7" w:rsidRPr="00F12CF6" w:rsidRDefault="001211F7" w:rsidP="000F5524">
            <w:pPr>
              <w:rPr>
                <w:sz w:val="20"/>
                <w:szCs w:val="20"/>
              </w:rPr>
            </w:pPr>
            <w:r w:rsidRPr="00F12CF6">
              <w:rPr>
                <w:b/>
                <w:sz w:val="20"/>
                <w:szCs w:val="20"/>
              </w:rPr>
              <w:t>Information</w:t>
            </w:r>
          </w:p>
        </w:tc>
        <w:tc>
          <w:tcPr>
            <w:tcW w:w="236" w:type="dxa"/>
            <w:tcBorders>
              <w:top w:val="nil"/>
              <w:right w:val="nil"/>
            </w:tcBorders>
          </w:tcPr>
          <w:p w14:paraId="18A9F59D" w14:textId="77777777" w:rsidR="001211F7" w:rsidRPr="00D94A93" w:rsidRDefault="001211F7" w:rsidP="000F5524"/>
        </w:tc>
      </w:tr>
      <w:tr w:rsidR="00C54E54" w:rsidRPr="00D94A93" w14:paraId="3472F200" w14:textId="77777777" w:rsidTr="001211F7">
        <w:trPr>
          <w:trHeight w:hRule="exact" w:val="737"/>
        </w:trPr>
        <w:tc>
          <w:tcPr>
            <w:tcW w:w="1134" w:type="dxa"/>
          </w:tcPr>
          <w:p w14:paraId="10BD5BB3" w14:textId="77777777" w:rsidR="00C54E54" w:rsidRPr="00284372" w:rsidRDefault="00C54E54" w:rsidP="00284372">
            <w:r w:rsidRPr="00284372">
              <w:t>13.1</w:t>
            </w:r>
            <w:r w:rsidR="00244B45" w:rsidRPr="00284372">
              <w:t>7</w:t>
            </w:r>
            <w:r w:rsidRPr="00284372">
              <w:t>.1.1</w:t>
            </w:r>
          </w:p>
        </w:tc>
        <w:tc>
          <w:tcPr>
            <w:tcW w:w="7451" w:type="dxa"/>
          </w:tcPr>
          <w:p w14:paraId="4B738EC2" w14:textId="77777777" w:rsidR="00C54E54" w:rsidRPr="00284372" w:rsidRDefault="00C54E54" w:rsidP="00284372">
            <w:r w:rsidRPr="00284372">
              <w:t>All surplus, obsolete or unserviceable stores or assets must be assessed by a board of survey prior to any decision being made about disposal.</w:t>
            </w:r>
          </w:p>
        </w:tc>
        <w:tc>
          <w:tcPr>
            <w:tcW w:w="709" w:type="dxa"/>
            <w:gridSpan w:val="2"/>
          </w:tcPr>
          <w:p w14:paraId="2B38932D" w14:textId="77777777" w:rsidR="00C54E54" w:rsidRPr="00D94A93" w:rsidRDefault="00C54E54" w:rsidP="00F66535"/>
        </w:tc>
      </w:tr>
      <w:tr w:rsidR="00CF454B" w:rsidRPr="00D94A93" w14:paraId="776B3A24" w14:textId="77777777" w:rsidTr="001211F7">
        <w:trPr>
          <w:trHeight w:hRule="exact" w:val="1021"/>
        </w:trPr>
        <w:tc>
          <w:tcPr>
            <w:tcW w:w="1134" w:type="dxa"/>
          </w:tcPr>
          <w:p w14:paraId="29FA3B37" w14:textId="3888BC0A" w:rsidR="00CF454B" w:rsidRPr="00284372" w:rsidRDefault="00CF454B" w:rsidP="00284372">
            <w:r>
              <w:t>13.17.1.2</w:t>
            </w:r>
          </w:p>
        </w:tc>
        <w:tc>
          <w:tcPr>
            <w:tcW w:w="7451" w:type="dxa"/>
          </w:tcPr>
          <w:p w14:paraId="7FBE6B3E" w14:textId="2DAF4951" w:rsidR="00CF454B" w:rsidRPr="00284372" w:rsidRDefault="00CF454B" w:rsidP="006C1202">
            <w:r w:rsidRPr="00284372">
              <w:t xml:space="preserve">A school council can retain the proceeds of </w:t>
            </w:r>
            <w:r>
              <w:t xml:space="preserve">the </w:t>
            </w:r>
            <w:r w:rsidRPr="00284372">
              <w:t xml:space="preserve">sale </w:t>
            </w:r>
            <w:r>
              <w:t xml:space="preserve">of the asset if the amount is </w:t>
            </w:r>
            <w:r w:rsidRPr="00284372">
              <w:t>less than $10,000</w:t>
            </w:r>
            <w:r>
              <w:t xml:space="preserve">. (Less than $10,000 threshold is determined by the </w:t>
            </w:r>
            <w:r w:rsidR="006C1202">
              <w:t>M</w:t>
            </w:r>
            <w:r>
              <w:t>inister).</w:t>
            </w:r>
          </w:p>
        </w:tc>
        <w:tc>
          <w:tcPr>
            <w:tcW w:w="709" w:type="dxa"/>
            <w:gridSpan w:val="2"/>
          </w:tcPr>
          <w:p w14:paraId="4725278D" w14:textId="77777777" w:rsidR="00CF454B" w:rsidRPr="00D94A93" w:rsidRDefault="00CF454B" w:rsidP="00F66535"/>
        </w:tc>
      </w:tr>
      <w:tr w:rsidR="00C54E54" w:rsidRPr="00D94A93" w14:paraId="264EE3F2" w14:textId="77777777" w:rsidTr="001211F7">
        <w:trPr>
          <w:trHeight w:hRule="exact" w:val="1021"/>
        </w:trPr>
        <w:tc>
          <w:tcPr>
            <w:tcW w:w="1134" w:type="dxa"/>
          </w:tcPr>
          <w:p w14:paraId="38BABCDF" w14:textId="4266F187" w:rsidR="00C54E54" w:rsidRPr="00284372" w:rsidRDefault="00C54E54" w:rsidP="00CF454B">
            <w:r w:rsidRPr="00284372">
              <w:t>13.1</w:t>
            </w:r>
            <w:r w:rsidR="00244B45" w:rsidRPr="00284372">
              <w:t>7</w:t>
            </w:r>
            <w:r w:rsidRPr="00284372">
              <w:t>.1.</w:t>
            </w:r>
            <w:r w:rsidR="00CF454B">
              <w:t>3</w:t>
            </w:r>
          </w:p>
        </w:tc>
        <w:tc>
          <w:tcPr>
            <w:tcW w:w="7451" w:type="dxa"/>
          </w:tcPr>
          <w:p w14:paraId="6EEC8CCD" w14:textId="64D1584F" w:rsidR="00C54E54" w:rsidRPr="00284372" w:rsidRDefault="00091918" w:rsidP="006C1202">
            <w:r w:rsidRPr="00284372">
              <w:t xml:space="preserve">If the proceeds of </w:t>
            </w:r>
            <w:r w:rsidR="00BC6377">
              <w:t xml:space="preserve">the </w:t>
            </w:r>
            <w:r w:rsidRPr="00284372">
              <w:t>sale of an asset exceeds $</w:t>
            </w:r>
            <w:r w:rsidR="00C85453" w:rsidRPr="00284372">
              <w:t>10,000,</w:t>
            </w:r>
            <w:r w:rsidRPr="00284372">
              <w:t xml:space="preserve"> the school council must seek approval </w:t>
            </w:r>
            <w:r w:rsidR="00BC6377">
              <w:t xml:space="preserve">in writing </w:t>
            </w:r>
            <w:r w:rsidRPr="00284372">
              <w:t>from the</w:t>
            </w:r>
            <w:r w:rsidR="00BC6377">
              <w:t>ir</w:t>
            </w:r>
            <w:r w:rsidR="002F38EF">
              <w:t xml:space="preserve"> </w:t>
            </w:r>
            <w:hyperlink r:id="rId26" w:anchor="/app/content/45/structure_&amp;_governance%252Fgroups_and_divisions%252Fregional_services" w:history="1">
              <w:r w:rsidR="006C1202" w:rsidRPr="00A555A7">
                <w:rPr>
                  <w:rStyle w:val="Hyperlink"/>
                </w:rPr>
                <w:t>local region</w:t>
              </w:r>
            </w:hyperlink>
            <w:r w:rsidR="006C1202">
              <w:rPr>
                <w:rStyle w:val="Hyperlink"/>
              </w:rPr>
              <w:t xml:space="preserve">al director </w:t>
            </w:r>
            <w:r w:rsidRPr="00284372">
              <w:t>to retain the proceeds of sale.</w:t>
            </w:r>
          </w:p>
        </w:tc>
        <w:tc>
          <w:tcPr>
            <w:tcW w:w="709" w:type="dxa"/>
            <w:gridSpan w:val="2"/>
          </w:tcPr>
          <w:p w14:paraId="03E293DB" w14:textId="77777777" w:rsidR="00C54E54" w:rsidRPr="00D94A93" w:rsidRDefault="00C54E54" w:rsidP="00F66535"/>
        </w:tc>
      </w:tr>
      <w:tr w:rsidR="00C54E54" w:rsidRPr="00D94A93" w14:paraId="397FC532" w14:textId="77777777" w:rsidTr="001211F7">
        <w:trPr>
          <w:trHeight w:val="737"/>
        </w:trPr>
        <w:tc>
          <w:tcPr>
            <w:tcW w:w="1134" w:type="dxa"/>
          </w:tcPr>
          <w:p w14:paraId="3B8B74E9" w14:textId="007759FC" w:rsidR="00C54E54" w:rsidRPr="00284372" w:rsidRDefault="00C54E54" w:rsidP="00CF454B">
            <w:r w:rsidRPr="00284372">
              <w:t>13.1</w:t>
            </w:r>
            <w:r w:rsidR="00244B45" w:rsidRPr="00284372">
              <w:t>7</w:t>
            </w:r>
            <w:r w:rsidRPr="00284372">
              <w:t>.1.</w:t>
            </w:r>
            <w:r w:rsidR="00CF454B">
              <w:t>4</w:t>
            </w:r>
          </w:p>
        </w:tc>
        <w:tc>
          <w:tcPr>
            <w:tcW w:w="7451" w:type="dxa"/>
          </w:tcPr>
          <w:p w14:paraId="7010D8BF" w14:textId="77777777" w:rsidR="00C54E54" w:rsidRPr="00284372" w:rsidRDefault="00C54E54" w:rsidP="00284372">
            <w:r w:rsidRPr="00284372">
              <w:t>All money raised by the disposal of goods must be re-used to the benefit of the educational program of the school.</w:t>
            </w:r>
          </w:p>
        </w:tc>
        <w:tc>
          <w:tcPr>
            <w:tcW w:w="709" w:type="dxa"/>
            <w:gridSpan w:val="2"/>
          </w:tcPr>
          <w:p w14:paraId="515809E0" w14:textId="77777777" w:rsidR="00C54E54" w:rsidRPr="00D94A93" w:rsidRDefault="00C54E54" w:rsidP="00F66535"/>
        </w:tc>
      </w:tr>
    </w:tbl>
    <w:p w14:paraId="75BCDB70" w14:textId="77777777" w:rsidR="00C54E54" w:rsidRDefault="00C54E54" w:rsidP="00C54E54">
      <w:pPr>
        <w:pStyle w:val="Heading3"/>
      </w:pPr>
      <w:r w:rsidRPr="00567F86">
        <w:t xml:space="preserve">Board </w:t>
      </w:r>
      <w:r>
        <w:t>of</w:t>
      </w:r>
      <w:r w:rsidRPr="00135288">
        <w:t xml:space="preserve"> </w:t>
      </w:r>
      <w:r>
        <w:t>Su</w:t>
      </w:r>
      <w:r w:rsidRPr="00EF3CFF">
        <w:t>rv</w:t>
      </w:r>
      <w:r>
        <w:t>ey</w:t>
      </w:r>
    </w:p>
    <w:tbl>
      <w:tblPr>
        <w:tblW w:w="929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92"/>
        <w:gridCol w:w="7365"/>
        <w:gridCol w:w="236"/>
        <w:gridCol w:w="501"/>
      </w:tblGrid>
      <w:tr w:rsidR="001211F7" w:rsidRPr="00D94A93" w14:paraId="2AFE3B17" w14:textId="77777777" w:rsidTr="001211F7">
        <w:trPr>
          <w:gridAfter w:val="1"/>
          <w:wAfter w:w="501" w:type="dxa"/>
          <w:trHeight w:val="555"/>
          <w:tblHeader/>
        </w:trPr>
        <w:tc>
          <w:tcPr>
            <w:tcW w:w="1192" w:type="dxa"/>
          </w:tcPr>
          <w:p w14:paraId="5BE9008E" w14:textId="77777777" w:rsidR="001211F7" w:rsidRPr="00284372" w:rsidRDefault="001211F7" w:rsidP="000F5524">
            <w:r>
              <w:rPr>
                <w:b/>
                <w:sz w:val="18"/>
              </w:rPr>
              <w:t xml:space="preserve">Sequence </w:t>
            </w:r>
            <w:r w:rsidRPr="001211F7">
              <w:rPr>
                <w:b/>
                <w:sz w:val="18"/>
              </w:rPr>
              <w:t>Numbers</w:t>
            </w:r>
          </w:p>
        </w:tc>
        <w:tc>
          <w:tcPr>
            <w:tcW w:w="7365" w:type="dxa"/>
          </w:tcPr>
          <w:p w14:paraId="14C732D0" w14:textId="77777777" w:rsidR="001211F7" w:rsidRPr="00F12CF6" w:rsidRDefault="001211F7" w:rsidP="000F5524">
            <w:pPr>
              <w:rPr>
                <w:sz w:val="20"/>
                <w:szCs w:val="20"/>
              </w:rPr>
            </w:pPr>
            <w:r w:rsidRPr="00F12CF6">
              <w:rPr>
                <w:b/>
                <w:sz w:val="20"/>
                <w:szCs w:val="20"/>
              </w:rPr>
              <w:t>Information</w:t>
            </w:r>
          </w:p>
        </w:tc>
        <w:tc>
          <w:tcPr>
            <w:tcW w:w="236" w:type="dxa"/>
            <w:tcBorders>
              <w:top w:val="nil"/>
              <w:right w:val="nil"/>
            </w:tcBorders>
          </w:tcPr>
          <w:p w14:paraId="38F50644" w14:textId="77777777" w:rsidR="001211F7" w:rsidRPr="00D94A93" w:rsidRDefault="001211F7" w:rsidP="000F5524"/>
        </w:tc>
      </w:tr>
      <w:tr w:rsidR="00C54E54" w:rsidRPr="00D94A93" w14:paraId="387C139E" w14:textId="77777777" w:rsidTr="001211F7">
        <w:trPr>
          <w:trHeight w:hRule="exact" w:val="1021"/>
        </w:trPr>
        <w:tc>
          <w:tcPr>
            <w:tcW w:w="1192" w:type="dxa"/>
          </w:tcPr>
          <w:p w14:paraId="693B5471" w14:textId="1471DF89" w:rsidR="00C54E54" w:rsidRPr="00284372" w:rsidRDefault="00C54E54" w:rsidP="00CF454B">
            <w:r w:rsidRPr="00284372">
              <w:t>13.1</w:t>
            </w:r>
            <w:r w:rsidR="00244B45" w:rsidRPr="00284372">
              <w:t>7</w:t>
            </w:r>
            <w:r w:rsidRPr="00284372">
              <w:t>.1.</w:t>
            </w:r>
            <w:r w:rsidR="00CF454B">
              <w:t>5</w:t>
            </w:r>
          </w:p>
        </w:tc>
        <w:tc>
          <w:tcPr>
            <w:tcW w:w="7365" w:type="dxa"/>
          </w:tcPr>
          <w:p w14:paraId="24235D87" w14:textId="77777777" w:rsidR="00C54E54" w:rsidRPr="00284372" w:rsidRDefault="00C54E54" w:rsidP="00284372">
            <w:r w:rsidRPr="00284372">
              <w:t xml:space="preserve">In the normal course of </w:t>
            </w:r>
            <w:r w:rsidR="00C85453" w:rsidRPr="00284372">
              <w:t>events,</w:t>
            </w:r>
            <w:r w:rsidRPr="00284372">
              <w:t xml:space="preserve"> three people constitute a board of survey. The board will consist of the principal, a school council representative and a third nominee.</w:t>
            </w:r>
          </w:p>
        </w:tc>
        <w:tc>
          <w:tcPr>
            <w:tcW w:w="737" w:type="dxa"/>
            <w:gridSpan w:val="2"/>
          </w:tcPr>
          <w:p w14:paraId="7BC7BBC9" w14:textId="77777777" w:rsidR="00C54E54" w:rsidRPr="00D94A93" w:rsidRDefault="00C54E54" w:rsidP="00F66535"/>
        </w:tc>
      </w:tr>
      <w:tr w:rsidR="00C54E54" w:rsidRPr="00D94A93" w14:paraId="12954AE4" w14:textId="77777777" w:rsidTr="001211F7">
        <w:trPr>
          <w:trHeight w:val="2979"/>
        </w:trPr>
        <w:tc>
          <w:tcPr>
            <w:tcW w:w="1192" w:type="dxa"/>
          </w:tcPr>
          <w:p w14:paraId="0B096925" w14:textId="6F993DA5" w:rsidR="00C54E54" w:rsidRPr="00284372" w:rsidRDefault="00C54E54" w:rsidP="00CF454B">
            <w:r w:rsidRPr="00284372">
              <w:t>13.1</w:t>
            </w:r>
            <w:r w:rsidR="00244B45" w:rsidRPr="00284372">
              <w:t>7</w:t>
            </w:r>
            <w:r w:rsidRPr="00284372">
              <w:t>.1.</w:t>
            </w:r>
            <w:r w:rsidR="00CF454B">
              <w:t>6</w:t>
            </w:r>
          </w:p>
        </w:tc>
        <w:tc>
          <w:tcPr>
            <w:tcW w:w="7365" w:type="dxa"/>
          </w:tcPr>
          <w:p w14:paraId="031374A1" w14:textId="77777777" w:rsidR="00C54E54" w:rsidRPr="00284372" w:rsidRDefault="00C54E54" w:rsidP="00284372">
            <w:r w:rsidRPr="00284372">
              <w:t>The board’s role is to:</w:t>
            </w:r>
          </w:p>
          <w:p w14:paraId="1C6E0335" w14:textId="77777777" w:rsidR="00C54E54" w:rsidRPr="00F8472C" w:rsidRDefault="00C54E54" w:rsidP="00F8472C">
            <w:pPr>
              <w:pStyle w:val="ListBullet"/>
            </w:pPr>
            <w:r w:rsidRPr="00F8472C">
              <w:t>identify obsolete or unserviceable equipment;</w:t>
            </w:r>
          </w:p>
          <w:p w14:paraId="437DBD02" w14:textId="77777777" w:rsidR="00C54E54" w:rsidRPr="00F8472C" w:rsidRDefault="00C54E54" w:rsidP="00F8472C">
            <w:pPr>
              <w:pStyle w:val="ListBullet"/>
            </w:pPr>
            <w:r w:rsidRPr="00F8472C">
              <w:t>recommend to school council a course of disposal action, for example, wreck, convert to a training aid</w:t>
            </w:r>
            <w:r w:rsidR="00F8472C">
              <w:t xml:space="preserve"> or</w:t>
            </w:r>
            <w:r w:rsidRPr="00F8472C">
              <w:t xml:space="preserve"> sell;</w:t>
            </w:r>
          </w:p>
          <w:p w14:paraId="49C8BB69" w14:textId="77777777" w:rsidR="00C54E54" w:rsidRPr="00F8472C" w:rsidRDefault="00C54E54" w:rsidP="00F8472C">
            <w:pPr>
              <w:pStyle w:val="ListBullet"/>
            </w:pPr>
            <w:r w:rsidRPr="00F8472C">
              <w:t>in the case of asset sales, advertise locally that the asset is available for purchase and request bids from any interested person</w:t>
            </w:r>
            <w:r w:rsidR="00F8472C">
              <w:t>;</w:t>
            </w:r>
            <w:r w:rsidRPr="00F8472C">
              <w:t xml:space="preserve"> and </w:t>
            </w:r>
          </w:p>
          <w:p w14:paraId="34CA8223" w14:textId="77777777" w:rsidR="00C54E54" w:rsidRPr="00F8472C" w:rsidRDefault="00C54E54" w:rsidP="00F8472C">
            <w:pPr>
              <w:pStyle w:val="ListBullet"/>
            </w:pPr>
            <w:r w:rsidRPr="00F8472C">
              <w:t>arrange for any proceeds of sale to be paid to the school or the local regional finance manager, in accordance with the above.</w:t>
            </w:r>
          </w:p>
        </w:tc>
        <w:tc>
          <w:tcPr>
            <w:tcW w:w="737" w:type="dxa"/>
            <w:gridSpan w:val="2"/>
          </w:tcPr>
          <w:p w14:paraId="57EF4E22" w14:textId="77777777" w:rsidR="00C54E54" w:rsidRPr="00D94A93" w:rsidRDefault="00C54E54" w:rsidP="00F66535"/>
        </w:tc>
      </w:tr>
      <w:tr w:rsidR="004E6ADE" w:rsidRPr="00D94A93" w14:paraId="017E3EFD" w14:textId="77777777" w:rsidTr="001211F7">
        <w:trPr>
          <w:trHeight w:hRule="exact" w:val="737"/>
        </w:trPr>
        <w:tc>
          <w:tcPr>
            <w:tcW w:w="1192" w:type="dxa"/>
          </w:tcPr>
          <w:p w14:paraId="0466CCD2" w14:textId="64DEC997" w:rsidR="004E6ADE" w:rsidRPr="00284372" w:rsidRDefault="001B3087" w:rsidP="00CF454B">
            <w:r w:rsidRPr="00284372">
              <w:t>13.17.1.</w:t>
            </w:r>
            <w:r w:rsidR="00CF454B">
              <w:t>7</w:t>
            </w:r>
          </w:p>
        </w:tc>
        <w:tc>
          <w:tcPr>
            <w:tcW w:w="7365" w:type="dxa"/>
          </w:tcPr>
          <w:p w14:paraId="76CC4C68" w14:textId="3A86D801" w:rsidR="001D40A0" w:rsidRPr="00284372" w:rsidRDefault="000F5524" w:rsidP="00CF454B">
            <w:hyperlink r:id="rId27" w:history="1">
              <w:r w:rsidR="00CF454B" w:rsidRPr="00B13412">
                <w:rPr>
                  <w:rStyle w:val="Hyperlink"/>
                </w:rPr>
                <w:t>Asset Status Change Requ</w:t>
              </w:r>
              <w:r w:rsidR="00CF454B">
                <w:rPr>
                  <w:rStyle w:val="Hyperlink"/>
                </w:rPr>
                <w:t>e</w:t>
              </w:r>
              <w:r w:rsidR="00CF454B" w:rsidRPr="00B13412">
                <w:rPr>
                  <w:rStyle w:val="Hyperlink"/>
                </w:rPr>
                <w:t>st form</w:t>
              </w:r>
            </w:hyperlink>
            <w:r w:rsidR="00CF454B">
              <w:rPr>
                <w:rStyle w:val="Hyperlink"/>
              </w:rPr>
              <w:t xml:space="preserve"> </w:t>
            </w:r>
            <w:r w:rsidR="00F8472C">
              <w:t>must be completed in a timely manner</w:t>
            </w:r>
            <w:r w:rsidR="00CF454B">
              <w:t>.</w:t>
            </w:r>
          </w:p>
        </w:tc>
        <w:tc>
          <w:tcPr>
            <w:tcW w:w="737" w:type="dxa"/>
            <w:gridSpan w:val="2"/>
          </w:tcPr>
          <w:p w14:paraId="169C33DC" w14:textId="77777777" w:rsidR="004E6ADE" w:rsidRPr="00D94A93" w:rsidRDefault="004E6ADE" w:rsidP="00F66535"/>
        </w:tc>
      </w:tr>
    </w:tbl>
    <w:p w14:paraId="6052F458" w14:textId="3DC5C51B" w:rsidR="00E12C68" w:rsidRDefault="00E12C68">
      <w:pPr>
        <w:spacing w:before="0" w:line="240" w:lineRule="auto"/>
      </w:pPr>
    </w:p>
    <w:p w14:paraId="67276350" w14:textId="77777777" w:rsidR="00E12C68" w:rsidRDefault="00E12C68">
      <w:pPr>
        <w:spacing w:before="0" w:line="240" w:lineRule="auto"/>
      </w:pPr>
      <w:r>
        <w:br w:type="page"/>
      </w:r>
    </w:p>
    <w:p w14:paraId="236EEA98" w14:textId="271D7AD4" w:rsidR="00E0344C" w:rsidRDefault="00E0344C" w:rsidP="00E0344C">
      <w:pPr>
        <w:pStyle w:val="Heading2"/>
        <w:pBdr>
          <w:top w:val="single" w:sz="8" w:space="0" w:color="AF272F"/>
        </w:pBdr>
        <w:ind w:left="1134" w:hanging="1134"/>
      </w:pPr>
      <w:r>
        <w:lastRenderedPageBreak/>
        <w:t>13.18</w:t>
      </w:r>
      <w:r>
        <w:tab/>
      </w:r>
      <w:r w:rsidRPr="00262224">
        <w:t xml:space="preserve">Delegated authority for disposal of </w:t>
      </w:r>
      <w:r w:rsidR="000F5524">
        <w:t>Buildings</w:t>
      </w:r>
    </w:p>
    <w:p w14:paraId="476118CA" w14:textId="01C7A86E" w:rsidR="000F5524" w:rsidRDefault="00C54B24" w:rsidP="000F5524">
      <w:r w:rsidRPr="00284372">
        <w:t>School councils have the delegated authorit</w:t>
      </w:r>
      <w:r w:rsidR="000F5524">
        <w:t>y to dispose of school assets (Buildings</w:t>
      </w:r>
      <w:bookmarkStart w:id="3" w:name="_GoBack"/>
      <w:bookmarkEnd w:id="3"/>
      <w:r w:rsidRPr="00284372">
        <w:t>) with a residual value of up to $50,000.</w:t>
      </w:r>
      <w:r w:rsidR="000F5524">
        <w:t xml:space="preserve"> School land is owned in the name of the Minister for Education. Schools do not have authority to dispose of land owned by the Minister for Education.</w:t>
      </w:r>
    </w:p>
    <w:p w14:paraId="712A951E" w14:textId="4E14668A" w:rsidR="00C54B24" w:rsidRDefault="00C54B24" w:rsidP="00C54B24"/>
    <w:p w14:paraId="09A7A02E" w14:textId="77777777" w:rsidR="00C54E54" w:rsidRDefault="00C54E54" w:rsidP="00C54E54">
      <w:pPr>
        <w:pStyle w:val="Heading3"/>
      </w:pPr>
      <w:r w:rsidRPr="00317AB9">
        <w:t>1</w:t>
      </w:r>
      <w:r>
        <w:t>3.1</w:t>
      </w:r>
      <w:r w:rsidR="001B3087">
        <w:t>8</w:t>
      </w:r>
      <w:r>
        <w:t xml:space="preserve">.1 </w:t>
      </w:r>
      <w:r>
        <w:tab/>
        <w:t>Mandatory Policy (Must do):</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containing sequence numbers and policy information"/>
      </w:tblPr>
      <w:tblGrid>
        <w:gridCol w:w="1161"/>
        <w:gridCol w:w="7088"/>
        <w:gridCol w:w="567"/>
      </w:tblGrid>
      <w:tr w:rsidR="008A03EF" w:rsidRPr="00D94A93" w14:paraId="05F904A2" w14:textId="77777777" w:rsidTr="008A03EF">
        <w:trPr>
          <w:trHeight w:hRule="exact" w:val="737"/>
        </w:trPr>
        <w:tc>
          <w:tcPr>
            <w:tcW w:w="1134" w:type="dxa"/>
            <w:tcBorders>
              <w:top w:val="single" w:sz="4" w:space="0" w:color="000000"/>
              <w:left w:val="single" w:sz="4" w:space="0" w:color="000000"/>
              <w:bottom w:val="single" w:sz="4" w:space="0" w:color="000000"/>
              <w:right w:val="single" w:sz="4" w:space="0" w:color="000000"/>
            </w:tcBorders>
          </w:tcPr>
          <w:p w14:paraId="551DA12F" w14:textId="77777777" w:rsidR="008A03EF" w:rsidRPr="008A03EF" w:rsidRDefault="008A03EF" w:rsidP="000F5524">
            <w:pPr>
              <w:rPr>
                <w:b/>
                <w:sz w:val="20"/>
                <w:szCs w:val="20"/>
              </w:rPr>
            </w:pPr>
            <w:r w:rsidRPr="008A03EF">
              <w:rPr>
                <w:b/>
                <w:sz w:val="20"/>
                <w:szCs w:val="20"/>
              </w:rPr>
              <w:t>Sequence Numbers</w:t>
            </w:r>
          </w:p>
        </w:tc>
        <w:tc>
          <w:tcPr>
            <w:tcW w:w="7088" w:type="dxa"/>
            <w:tcBorders>
              <w:top w:val="single" w:sz="4" w:space="0" w:color="000000"/>
              <w:left w:val="single" w:sz="4" w:space="0" w:color="000000"/>
              <w:bottom w:val="single" w:sz="4" w:space="0" w:color="000000"/>
              <w:right w:val="single" w:sz="4" w:space="0" w:color="000000"/>
            </w:tcBorders>
          </w:tcPr>
          <w:p w14:paraId="6CBD5FE3" w14:textId="77777777" w:rsidR="008A03EF" w:rsidRPr="008A03EF" w:rsidRDefault="008A03EF" w:rsidP="000F5524">
            <w:pPr>
              <w:rPr>
                <w:b/>
                <w:sz w:val="20"/>
                <w:szCs w:val="20"/>
              </w:rPr>
            </w:pPr>
            <w:r w:rsidRPr="008A03EF">
              <w:rPr>
                <w:b/>
                <w:sz w:val="20"/>
                <w:szCs w:val="20"/>
              </w:rPr>
              <w:t>Information</w:t>
            </w:r>
          </w:p>
        </w:tc>
        <w:tc>
          <w:tcPr>
            <w:tcW w:w="567" w:type="dxa"/>
            <w:tcBorders>
              <w:top w:val="nil"/>
              <w:left w:val="single" w:sz="4" w:space="0" w:color="000000"/>
              <w:bottom w:val="single" w:sz="4" w:space="0" w:color="000000"/>
              <w:right w:val="nil"/>
            </w:tcBorders>
          </w:tcPr>
          <w:p w14:paraId="3814832C" w14:textId="77777777" w:rsidR="008A03EF" w:rsidRPr="00D94A93" w:rsidRDefault="008A03EF" w:rsidP="000F5524"/>
        </w:tc>
      </w:tr>
      <w:tr w:rsidR="00C54E54" w:rsidRPr="00D94A93" w14:paraId="7A7F1108" w14:textId="77777777" w:rsidTr="005D667F">
        <w:trPr>
          <w:trHeight w:hRule="exact" w:val="737"/>
        </w:trPr>
        <w:tc>
          <w:tcPr>
            <w:tcW w:w="1134" w:type="dxa"/>
          </w:tcPr>
          <w:p w14:paraId="7EB8B6FC" w14:textId="77777777" w:rsidR="00C54E54" w:rsidRPr="00284372" w:rsidRDefault="00C54E54" w:rsidP="00284372">
            <w:r w:rsidRPr="00284372">
              <w:t>13.1</w:t>
            </w:r>
            <w:r w:rsidR="001B3087" w:rsidRPr="00284372">
              <w:t>8</w:t>
            </w:r>
            <w:r w:rsidRPr="00284372">
              <w:t>.1.</w:t>
            </w:r>
            <w:r w:rsidR="00C54B24">
              <w:t>1</w:t>
            </w:r>
          </w:p>
        </w:tc>
        <w:tc>
          <w:tcPr>
            <w:tcW w:w="7088" w:type="dxa"/>
          </w:tcPr>
          <w:p w14:paraId="0F50DD2F" w14:textId="77777777" w:rsidR="00C54E54" w:rsidRPr="00284372" w:rsidRDefault="00C54E54" w:rsidP="00284372">
            <w:r w:rsidRPr="00284372">
              <w:t>Schools must seek advice on the value of an asset prior to taking local action.</w:t>
            </w:r>
          </w:p>
        </w:tc>
        <w:tc>
          <w:tcPr>
            <w:tcW w:w="567" w:type="dxa"/>
          </w:tcPr>
          <w:p w14:paraId="2C41FC76" w14:textId="77777777" w:rsidR="00C54E54" w:rsidRPr="00D94A93" w:rsidRDefault="00C54E54" w:rsidP="00F66535"/>
        </w:tc>
      </w:tr>
      <w:tr w:rsidR="00C54E54" w:rsidRPr="00D94A93" w14:paraId="56091A26" w14:textId="77777777" w:rsidTr="005D667F">
        <w:trPr>
          <w:trHeight w:hRule="exact" w:val="737"/>
        </w:trPr>
        <w:tc>
          <w:tcPr>
            <w:tcW w:w="1134" w:type="dxa"/>
          </w:tcPr>
          <w:p w14:paraId="77BD5BC2" w14:textId="77777777" w:rsidR="00C54E54" w:rsidRPr="00284372" w:rsidRDefault="00C54E54" w:rsidP="00284372">
            <w:r w:rsidRPr="00284372">
              <w:t>13.1</w:t>
            </w:r>
            <w:r w:rsidR="001B3087" w:rsidRPr="00284372">
              <w:t>8</w:t>
            </w:r>
            <w:r w:rsidRPr="00284372">
              <w:t>.1.</w:t>
            </w:r>
            <w:r w:rsidR="00C54B24">
              <w:t>2</w:t>
            </w:r>
          </w:p>
        </w:tc>
        <w:tc>
          <w:tcPr>
            <w:tcW w:w="7088" w:type="dxa"/>
          </w:tcPr>
          <w:p w14:paraId="36762B6C" w14:textId="77777777" w:rsidR="00C54E54" w:rsidRPr="00284372" w:rsidRDefault="00C54E54" w:rsidP="00284372">
            <w:r w:rsidRPr="00284372">
              <w:t>This is required regardless of whether the asset was originally funded by the Department or by the school.</w:t>
            </w:r>
          </w:p>
        </w:tc>
        <w:tc>
          <w:tcPr>
            <w:tcW w:w="567" w:type="dxa"/>
          </w:tcPr>
          <w:p w14:paraId="6E6C9125" w14:textId="77777777" w:rsidR="00C54E54" w:rsidRPr="00D94A93" w:rsidRDefault="00C54E54" w:rsidP="00F66535"/>
        </w:tc>
      </w:tr>
      <w:tr w:rsidR="00C54E54" w:rsidRPr="00D94A93" w14:paraId="4FA5DFC0" w14:textId="77777777" w:rsidTr="00F66535">
        <w:trPr>
          <w:trHeight w:val="6513"/>
        </w:trPr>
        <w:tc>
          <w:tcPr>
            <w:tcW w:w="1134" w:type="dxa"/>
          </w:tcPr>
          <w:p w14:paraId="363CF840" w14:textId="77777777" w:rsidR="00C54E54" w:rsidRPr="00284372" w:rsidRDefault="00C54E54" w:rsidP="00E66B67">
            <w:r w:rsidRPr="00284372">
              <w:t>13.1</w:t>
            </w:r>
            <w:r w:rsidR="00E66B67">
              <w:t>8</w:t>
            </w:r>
            <w:r w:rsidRPr="00284372">
              <w:t>.1.</w:t>
            </w:r>
            <w:r w:rsidR="00E66B67">
              <w:t>3</w:t>
            </w:r>
          </w:p>
        </w:tc>
        <w:tc>
          <w:tcPr>
            <w:tcW w:w="7088" w:type="dxa"/>
          </w:tcPr>
          <w:p w14:paraId="5C0C7DEC" w14:textId="77777777" w:rsidR="00C54E54" w:rsidRPr="00284372" w:rsidRDefault="00C54E54" w:rsidP="00284372">
            <w:r w:rsidRPr="00284372">
              <w:t>Schools are required</w:t>
            </w:r>
            <w:r w:rsidR="00C54B24">
              <w:t>,</w:t>
            </w:r>
            <w:r w:rsidRPr="00284372">
              <w:t xml:space="preserve"> regardless of whether the asset was originally funded by the Department or by the school</w:t>
            </w:r>
            <w:r w:rsidR="00C54B24">
              <w:t>,</w:t>
            </w:r>
            <w:r w:rsidRPr="00284372">
              <w:t xml:space="preserve"> to provide the following:</w:t>
            </w:r>
          </w:p>
          <w:p w14:paraId="6647BC4B" w14:textId="621963F8" w:rsidR="00C54E54" w:rsidRPr="00F8472C" w:rsidRDefault="00C54E54" w:rsidP="00F8472C">
            <w:pPr>
              <w:pStyle w:val="ListBullet"/>
            </w:pPr>
            <w:r w:rsidRPr="00F8472C">
              <w:t xml:space="preserve">Send an email to the school asset account </w:t>
            </w:r>
            <w:hyperlink r:id="rId28" w:history="1">
              <w:r w:rsidRPr="00F8472C">
                <w:rPr>
                  <w:rStyle w:val="Hyperlink"/>
                </w:rPr>
                <w:t>sams@edumail.vic.gov.au</w:t>
              </w:r>
            </w:hyperlink>
            <w:r w:rsidRPr="00F8472C">
              <w:t xml:space="preserve"> describing the demolition work you want to undertake, with a marked</w:t>
            </w:r>
            <w:r w:rsidR="00C54B24">
              <w:t>-</w:t>
            </w:r>
            <w:r w:rsidRPr="00F8472C">
              <w:t>up school plan clearly identifying the asset that is to be removed.</w:t>
            </w:r>
          </w:p>
          <w:p w14:paraId="690F8939" w14:textId="031D177C" w:rsidR="00C54E54" w:rsidRPr="00F8472C" w:rsidRDefault="00C54E54" w:rsidP="00F8472C">
            <w:pPr>
              <w:pStyle w:val="ListBullet"/>
            </w:pPr>
            <w:r w:rsidRPr="00F8472C">
              <w:t>A Victorian Schools Building Authority team member will respond with a current asset value and the guidance for the principal to authorise the demolition.</w:t>
            </w:r>
          </w:p>
          <w:p w14:paraId="459BC7F5" w14:textId="2EF49DDF" w:rsidR="00F44638" w:rsidRDefault="00C54E54" w:rsidP="004A4B1B">
            <w:pPr>
              <w:pStyle w:val="ListBullet"/>
            </w:pPr>
            <w:r w:rsidRPr="00F8472C">
              <w:t>Once the school has received the asset value, the school will need to provide an email authorising the demolition work with a marked-up (shaded or outlined in red) school plan showing the asset that has been disposed, the date of the disposal and how the asset was disposed (demolition, sale</w:t>
            </w:r>
            <w:r w:rsidR="00F44638">
              <w:t xml:space="preserve"> and </w:t>
            </w:r>
            <w:r w:rsidRPr="00F8472C">
              <w:t>removal).</w:t>
            </w:r>
          </w:p>
          <w:p w14:paraId="4C7B217F" w14:textId="2AA98D3B" w:rsidR="00C54E54" w:rsidRPr="00F8472C" w:rsidRDefault="00C54E54" w:rsidP="004A4B1B">
            <w:pPr>
              <w:pStyle w:val="ListBullet"/>
            </w:pPr>
            <w:r w:rsidRPr="00F8472C">
              <w:t>A Victorian Schools Building Authority team member will remove the asset from the Department’s asset register.</w:t>
            </w:r>
          </w:p>
          <w:p w14:paraId="2AC0D23D" w14:textId="79594E86" w:rsidR="004C4737" w:rsidRPr="00F8472C" w:rsidRDefault="004C4737" w:rsidP="00F44638">
            <w:pPr>
              <w:pStyle w:val="ListBullet"/>
            </w:pPr>
            <w:r>
              <w:t>If the asset value is greater than $50,000, the school must discuss the disposal of the asset with the Victorian Schools Building Autho</w:t>
            </w:r>
            <w:r w:rsidR="007703A2">
              <w:t xml:space="preserve">rity </w:t>
            </w:r>
            <w:r>
              <w:t xml:space="preserve">first through an email request to </w:t>
            </w:r>
            <w:hyperlink r:id="rId29" w:history="1">
              <w:r w:rsidR="00F44638" w:rsidRPr="00101F23">
                <w:rPr>
                  <w:rStyle w:val="Hyperlink"/>
                </w:rPr>
                <w:t>sams@edumail.vic.gov.au</w:t>
              </w:r>
            </w:hyperlink>
            <w:r w:rsidR="00F44638">
              <w:t>.</w:t>
            </w:r>
          </w:p>
        </w:tc>
        <w:tc>
          <w:tcPr>
            <w:tcW w:w="567" w:type="dxa"/>
          </w:tcPr>
          <w:p w14:paraId="424E447A" w14:textId="77777777" w:rsidR="00C54E54" w:rsidRPr="00D94A93" w:rsidRDefault="00C54E54" w:rsidP="00F66535"/>
        </w:tc>
      </w:tr>
    </w:tbl>
    <w:p w14:paraId="2985A404" w14:textId="16B2D5C7" w:rsidR="00F44638" w:rsidRDefault="00F44638" w:rsidP="00284372"/>
    <w:p w14:paraId="65BFFA79" w14:textId="77777777" w:rsidR="00F44638" w:rsidRDefault="00F44638">
      <w:pPr>
        <w:spacing w:before="0" w:line="240" w:lineRule="auto"/>
      </w:pPr>
      <w:r>
        <w:br w:type="page"/>
      </w:r>
    </w:p>
    <w:p w14:paraId="06F1EA13" w14:textId="77777777" w:rsidR="00C54E54" w:rsidRDefault="00C54E54" w:rsidP="00C54E54">
      <w:pPr>
        <w:pStyle w:val="Heading2"/>
        <w:ind w:left="1134" w:hanging="1134"/>
      </w:pPr>
      <w:r>
        <w:lastRenderedPageBreak/>
        <w:t>13.1</w:t>
      </w:r>
      <w:r w:rsidR="001B3087">
        <w:t>9</w:t>
      </w:r>
      <w:r>
        <w:tab/>
      </w:r>
      <w:r w:rsidRPr="00262224">
        <w:t>Delegated authority for disposal of assets (</w:t>
      </w:r>
      <w:r>
        <w:t>Plant and Equipment and Intangibles</w:t>
      </w:r>
      <w:r w:rsidRPr="00262224">
        <w:t>)</w:t>
      </w:r>
    </w:p>
    <w:p w14:paraId="09AD8C5C" w14:textId="77777777" w:rsidR="00C54E54" w:rsidRDefault="00C54E54" w:rsidP="00C54E54">
      <w:pPr>
        <w:pStyle w:val="Heading3"/>
      </w:pPr>
      <w:r w:rsidRPr="00317AB9">
        <w:t>1</w:t>
      </w:r>
      <w:r>
        <w:t>3.1</w:t>
      </w:r>
      <w:r w:rsidR="001B3087">
        <w:t>9</w:t>
      </w:r>
      <w:r>
        <w:t xml:space="preserve">.1 </w:t>
      </w:r>
      <w:r>
        <w:tab/>
        <w:t>Mandatory Policy (Must do):</w:t>
      </w:r>
    </w:p>
    <w:tbl>
      <w:tblPr>
        <w:tblW w:w="901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containing sequence numbers and policy information"/>
      </w:tblPr>
      <w:tblGrid>
        <w:gridCol w:w="1356"/>
        <w:gridCol w:w="7088"/>
        <w:gridCol w:w="567"/>
      </w:tblGrid>
      <w:tr w:rsidR="008A03EF" w:rsidRPr="00D94A93" w14:paraId="00F0BC72" w14:textId="77777777" w:rsidTr="008A03EF">
        <w:trPr>
          <w:trHeight w:hRule="exact" w:val="737"/>
          <w:tblHeader/>
        </w:trPr>
        <w:tc>
          <w:tcPr>
            <w:tcW w:w="1356" w:type="dxa"/>
            <w:tcBorders>
              <w:top w:val="single" w:sz="4" w:space="0" w:color="000000"/>
              <w:left w:val="single" w:sz="4" w:space="0" w:color="000000"/>
              <w:bottom w:val="single" w:sz="4" w:space="0" w:color="000000"/>
              <w:right w:val="single" w:sz="4" w:space="0" w:color="000000"/>
            </w:tcBorders>
          </w:tcPr>
          <w:p w14:paraId="484101F0" w14:textId="77777777" w:rsidR="008A03EF" w:rsidRPr="008A03EF" w:rsidRDefault="008A03EF" w:rsidP="000F5524">
            <w:pPr>
              <w:rPr>
                <w:b/>
                <w:sz w:val="20"/>
                <w:szCs w:val="20"/>
              </w:rPr>
            </w:pPr>
            <w:r w:rsidRPr="008A03EF">
              <w:rPr>
                <w:b/>
                <w:sz w:val="20"/>
                <w:szCs w:val="20"/>
              </w:rPr>
              <w:t>Sequence Numbers</w:t>
            </w:r>
          </w:p>
        </w:tc>
        <w:tc>
          <w:tcPr>
            <w:tcW w:w="7088" w:type="dxa"/>
            <w:tcBorders>
              <w:top w:val="single" w:sz="4" w:space="0" w:color="000000"/>
              <w:left w:val="single" w:sz="4" w:space="0" w:color="000000"/>
              <w:bottom w:val="single" w:sz="4" w:space="0" w:color="000000"/>
              <w:right w:val="single" w:sz="4" w:space="0" w:color="000000"/>
            </w:tcBorders>
          </w:tcPr>
          <w:p w14:paraId="00F41FCC" w14:textId="77777777" w:rsidR="008A03EF" w:rsidRPr="008A03EF" w:rsidRDefault="008A03EF" w:rsidP="000F5524">
            <w:pPr>
              <w:rPr>
                <w:b/>
                <w:sz w:val="20"/>
                <w:szCs w:val="20"/>
              </w:rPr>
            </w:pPr>
            <w:r w:rsidRPr="008A03EF">
              <w:rPr>
                <w:b/>
                <w:sz w:val="20"/>
                <w:szCs w:val="20"/>
              </w:rPr>
              <w:t>Information</w:t>
            </w:r>
          </w:p>
        </w:tc>
        <w:tc>
          <w:tcPr>
            <w:tcW w:w="567" w:type="dxa"/>
            <w:tcBorders>
              <w:top w:val="nil"/>
              <w:left w:val="single" w:sz="4" w:space="0" w:color="000000"/>
              <w:bottom w:val="single" w:sz="4" w:space="0" w:color="000000"/>
              <w:right w:val="nil"/>
            </w:tcBorders>
          </w:tcPr>
          <w:p w14:paraId="307483CA" w14:textId="77777777" w:rsidR="008A03EF" w:rsidRPr="00D94A93" w:rsidRDefault="008A03EF" w:rsidP="000F5524"/>
        </w:tc>
      </w:tr>
      <w:tr w:rsidR="00C60C9A" w:rsidRPr="00D94A93" w14:paraId="3CF7DBED" w14:textId="77777777" w:rsidTr="005D667F">
        <w:trPr>
          <w:trHeight w:hRule="exact" w:val="737"/>
        </w:trPr>
        <w:tc>
          <w:tcPr>
            <w:tcW w:w="1356" w:type="dxa"/>
          </w:tcPr>
          <w:p w14:paraId="61EE5466" w14:textId="77777777" w:rsidR="00C60C9A" w:rsidRPr="00284372" w:rsidRDefault="00C60C9A" w:rsidP="00C60C9A">
            <w:r>
              <w:t>13.19.1.1</w:t>
            </w:r>
          </w:p>
        </w:tc>
        <w:tc>
          <w:tcPr>
            <w:tcW w:w="7088" w:type="dxa"/>
          </w:tcPr>
          <w:p w14:paraId="0F28C8FD" w14:textId="77777777" w:rsidR="00C60C9A" w:rsidRPr="00284372" w:rsidRDefault="00C60C9A" w:rsidP="00C60C9A">
            <w:r w:rsidRPr="00284372">
              <w:t>Schools must ensure that the standard form is completed for asset disposals.</w:t>
            </w:r>
          </w:p>
        </w:tc>
        <w:tc>
          <w:tcPr>
            <w:tcW w:w="567" w:type="dxa"/>
          </w:tcPr>
          <w:p w14:paraId="2AB35606" w14:textId="77777777" w:rsidR="00C60C9A" w:rsidRPr="00D94A93" w:rsidRDefault="00C60C9A" w:rsidP="00C60C9A"/>
        </w:tc>
      </w:tr>
      <w:tr w:rsidR="00C60C9A" w:rsidRPr="00D94A93" w14:paraId="213FEAE4" w14:textId="77777777" w:rsidTr="005D667F">
        <w:trPr>
          <w:trHeight w:hRule="exact" w:val="737"/>
        </w:trPr>
        <w:tc>
          <w:tcPr>
            <w:tcW w:w="1356" w:type="dxa"/>
          </w:tcPr>
          <w:p w14:paraId="0BBCF256" w14:textId="77777777" w:rsidR="00C60C9A" w:rsidRPr="00284372" w:rsidRDefault="00C60C9A" w:rsidP="00C60C9A">
            <w:r w:rsidRPr="00284372">
              <w:t>13.19.1.</w:t>
            </w:r>
            <w:r>
              <w:t>2</w:t>
            </w:r>
          </w:p>
        </w:tc>
        <w:tc>
          <w:tcPr>
            <w:tcW w:w="7088" w:type="dxa"/>
          </w:tcPr>
          <w:p w14:paraId="6AA97B8C" w14:textId="57E5E788" w:rsidR="00C60C9A" w:rsidRPr="00284372" w:rsidRDefault="00C60C9A" w:rsidP="00B310A3">
            <w:r w:rsidRPr="00284372">
              <w:t xml:space="preserve">All Plant and Equipment asset disposals </w:t>
            </w:r>
            <w:r>
              <w:t xml:space="preserve">must be </w:t>
            </w:r>
            <w:r w:rsidRPr="00284372">
              <w:t>complete</w:t>
            </w:r>
            <w:r>
              <w:t>d via</w:t>
            </w:r>
            <w:r w:rsidRPr="00284372">
              <w:t xml:space="preserve"> the </w:t>
            </w:r>
            <w:hyperlink r:id="rId30" w:anchor="link46" w:history="1">
              <w:r w:rsidR="00B310A3" w:rsidRPr="006B103E">
                <w:rPr>
                  <w:rStyle w:val="Hyperlink"/>
                </w:rPr>
                <w:t>Asset Status Change Request Form</w:t>
              </w:r>
            </w:hyperlink>
            <w:r w:rsidR="00692B07">
              <w:t xml:space="preserve"> in a timely manner</w:t>
            </w:r>
            <w:r>
              <w:t xml:space="preserve">. </w:t>
            </w:r>
          </w:p>
        </w:tc>
        <w:tc>
          <w:tcPr>
            <w:tcW w:w="567" w:type="dxa"/>
          </w:tcPr>
          <w:p w14:paraId="02F58D71" w14:textId="77777777" w:rsidR="00C60C9A" w:rsidRPr="00D94A93" w:rsidRDefault="00C60C9A" w:rsidP="00C60C9A"/>
        </w:tc>
      </w:tr>
      <w:tr w:rsidR="00C60C9A" w:rsidRPr="00D94A93" w14:paraId="60674BFD" w14:textId="77777777" w:rsidTr="005D667F">
        <w:trPr>
          <w:trHeight w:hRule="exact" w:val="1021"/>
        </w:trPr>
        <w:tc>
          <w:tcPr>
            <w:tcW w:w="1356" w:type="dxa"/>
          </w:tcPr>
          <w:p w14:paraId="2C22E135" w14:textId="77777777" w:rsidR="00C60C9A" w:rsidRPr="00284372" w:rsidRDefault="00C60C9A" w:rsidP="00C60C9A">
            <w:r w:rsidRPr="00284372">
              <w:t>13.19.1.</w:t>
            </w:r>
            <w:r>
              <w:t>3</w:t>
            </w:r>
          </w:p>
        </w:tc>
        <w:tc>
          <w:tcPr>
            <w:tcW w:w="7088" w:type="dxa"/>
          </w:tcPr>
          <w:p w14:paraId="51267775" w14:textId="77777777" w:rsidR="00C60C9A" w:rsidRPr="00284372" w:rsidRDefault="00C60C9A" w:rsidP="00C60C9A">
            <w:r w:rsidRPr="00284372">
              <w:t>All surplus, obsolete or unserviceable stores or assets must be assessed by a board of survey prior to any decision being made about disposal.</w:t>
            </w:r>
          </w:p>
        </w:tc>
        <w:tc>
          <w:tcPr>
            <w:tcW w:w="567" w:type="dxa"/>
          </w:tcPr>
          <w:p w14:paraId="4BC1AF1A" w14:textId="77777777" w:rsidR="00C60C9A" w:rsidRPr="00D94A93" w:rsidRDefault="00C60C9A" w:rsidP="00C60C9A"/>
        </w:tc>
      </w:tr>
      <w:tr w:rsidR="00C60C9A" w:rsidRPr="00D94A93" w14:paraId="7FA6103E" w14:textId="77777777" w:rsidTr="005D667F">
        <w:trPr>
          <w:trHeight w:hRule="exact" w:val="737"/>
        </w:trPr>
        <w:tc>
          <w:tcPr>
            <w:tcW w:w="1356" w:type="dxa"/>
          </w:tcPr>
          <w:p w14:paraId="75DB170D" w14:textId="77777777" w:rsidR="00C60C9A" w:rsidRPr="00284372" w:rsidRDefault="00C60C9A" w:rsidP="00C60C9A">
            <w:r>
              <w:t>13.19.1.4</w:t>
            </w:r>
          </w:p>
        </w:tc>
        <w:tc>
          <w:tcPr>
            <w:tcW w:w="7088" w:type="dxa"/>
          </w:tcPr>
          <w:p w14:paraId="71104E5F" w14:textId="77777777" w:rsidR="00C60C9A" w:rsidRPr="00284372" w:rsidRDefault="00C60C9A" w:rsidP="00C60C9A">
            <w:r w:rsidRPr="00284372">
              <w:t>All money raised by the disposal of goods must be re-used to the benefit of the educational program of the school.</w:t>
            </w:r>
          </w:p>
        </w:tc>
        <w:tc>
          <w:tcPr>
            <w:tcW w:w="567" w:type="dxa"/>
          </w:tcPr>
          <w:p w14:paraId="199B8E12" w14:textId="77777777" w:rsidR="00C60C9A" w:rsidRPr="00D94A93" w:rsidRDefault="00C60C9A" w:rsidP="00C60C9A"/>
        </w:tc>
      </w:tr>
      <w:tr w:rsidR="00C60C9A" w:rsidRPr="00D94A93" w14:paraId="7F5FCF97" w14:textId="77777777" w:rsidTr="005D667F">
        <w:trPr>
          <w:trHeight w:hRule="exact" w:val="1021"/>
        </w:trPr>
        <w:tc>
          <w:tcPr>
            <w:tcW w:w="1356" w:type="dxa"/>
          </w:tcPr>
          <w:p w14:paraId="20CA1436" w14:textId="77777777" w:rsidR="00C60C9A" w:rsidRDefault="00692B07" w:rsidP="00C60C9A">
            <w:r>
              <w:t>13.19.1.5</w:t>
            </w:r>
          </w:p>
        </w:tc>
        <w:tc>
          <w:tcPr>
            <w:tcW w:w="7088" w:type="dxa"/>
          </w:tcPr>
          <w:p w14:paraId="03760E7F" w14:textId="722654B3" w:rsidR="00C60C9A" w:rsidRPr="00284372" w:rsidRDefault="00C60C9A" w:rsidP="00F44638">
            <w:r w:rsidRPr="004C468A">
              <w:t xml:space="preserve">In the normal course of events, three people constitute a board of survey. The board </w:t>
            </w:r>
            <w:r w:rsidR="00F44638">
              <w:t xml:space="preserve">must </w:t>
            </w:r>
            <w:r w:rsidRPr="004C468A">
              <w:t>consist of the principal, a school council representative and a third nominee.</w:t>
            </w:r>
          </w:p>
        </w:tc>
        <w:tc>
          <w:tcPr>
            <w:tcW w:w="567" w:type="dxa"/>
          </w:tcPr>
          <w:p w14:paraId="6316DE6C" w14:textId="77777777" w:rsidR="00C60C9A" w:rsidRPr="00D94A93" w:rsidRDefault="00C60C9A" w:rsidP="00C60C9A"/>
        </w:tc>
      </w:tr>
      <w:tr w:rsidR="00C60C9A" w:rsidRPr="00D94A93" w14:paraId="790427EA" w14:textId="77777777" w:rsidTr="00461A0E">
        <w:trPr>
          <w:trHeight w:val="1412"/>
        </w:trPr>
        <w:tc>
          <w:tcPr>
            <w:tcW w:w="1356" w:type="dxa"/>
          </w:tcPr>
          <w:p w14:paraId="19ABC573" w14:textId="77777777" w:rsidR="00C60C9A" w:rsidRDefault="00692B07" w:rsidP="00C60C9A">
            <w:r>
              <w:t>13.19.1.6</w:t>
            </w:r>
          </w:p>
        </w:tc>
        <w:tc>
          <w:tcPr>
            <w:tcW w:w="7088" w:type="dxa"/>
          </w:tcPr>
          <w:p w14:paraId="6DC28E56" w14:textId="77777777" w:rsidR="00C60C9A" w:rsidRPr="00C60C9A" w:rsidRDefault="00C60C9A" w:rsidP="00C60C9A">
            <w:r w:rsidRPr="00C60C9A">
              <w:t>The board’s role is to:</w:t>
            </w:r>
          </w:p>
          <w:p w14:paraId="5BDB76F8" w14:textId="77777777" w:rsidR="00C60C9A" w:rsidRPr="00C60C9A" w:rsidRDefault="00C60C9A" w:rsidP="00CD3608">
            <w:pPr>
              <w:pStyle w:val="ListBullet"/>
            </w:pPr>
            <w:r w:rsidRPr="00C60C9A">
              <w:t>identify obsolete or unserviceable equipment;</w:t>
            </w:r>
          </w:p>
          <w:p w14:paraId="0D700082" w14:textId="77777777" w:rsidR="00C60C9A" w:rsidRPr="00284372" w:rsidRDefault="00C60C9A" w:rsidP="00CD3608">
            <w:pPr>
              <w:pStyle w:val="ListBullet"/>
            </w:pPr>
            <w:r w:rsidRPr="00C60C9A">
              <w:t>recommend to school council a course of disposal action, for example, wreck, convert to a training aid or sell</w:t>
            </w:r>
            <w:r w:rsidR="000B653F">
              <w:t>.</w:t>
            </w:r>
          </w:p>
        </w:tc>
        <w:tc>
          <w:tcPr>
            <w:tcW w:w="567" w:type="dxa"/>
          </w:tcPr>
          <w:p w14:paraId="1CD02ABC" w14:textId="77777777" w:rsidR="00C60C9A" w:rsidRPr="00D94A93" w:rsidRDefault="00C60C9A" w:rsidP="00C60C9A"/>
        </w:tc>
      </w:tr>
      <w:tr w:rsidR="00C60C9A" w:rsidRPr="00D94A93" w14:paraId="618F879A" w14:textId="77777777" w:rsidTr="005D667F">
        <w:trPr>
          <w:trHeight w:hRule="exact" w:val="1021"/>
        </w:trPr>
        <w:tc>
          <w:tcPr>
            <w:tcW w:w="1356" w:type="dxa"/>
          </w:tcPr>
          <w:p w14:paraId="2F7C3000" w14:textId="77777777" w:rsidR="00C60C9A" w:rsidRPr="00284372" w:rsidRDefault="00C60C9A" w:rsidP="00692B07">
            <w:r w:rsidRPr="00284372">
              <w:t>13.19.1.</w:t>
            </w:r>
            <w:r w:rsidR="00692B07">
              <w:t>7</w:t>
            </w:r>
          </w:p>
        </w:tc>
        <w:tc>
          <w:tcPr>
            <w:tcW w:w="7088" w:type="dxa"/>
          </w:tcPr>
          <w:p w14:paraId="4A4A2A5E" w14:textId="0B8C343B" w:rsidR="00C60C9A" w:rsidRPr="00284372" w:rsidRDefault="00C60C9A" w:rsidP="00F44638">
            <w:r w:rsidRPr="00284372">
              <w:t xml:space="preserve">Schools councils have the authorisation to dispose of assets with </w:t>
            </w:r>
            <w:r w:rsidR="00F44638">
              <w:t>Ne</w:t>
            </w:r>
            <w:r w:rsidRPr="00284372">
              <w:t xml:space="preserve">t </w:t>
            </w:r>
            <w:r w:rsidR="00F44638">
              <w:t>B</w:t>
            </w:r>
            <w:r w:rsidRPr="00284372">
              <w:t xml:space="preserve">ook </w:t>
            </w:r>
            <w:r w:rsidR="00F44638">
              <w:t>V</w:t>
            </w:r>
            <w:r w:rsidRPr="00284372">
              <w:t xml:space="preserve">alue </w:t>
            </w:r>
            <w:r w:rsidR="00F44638">
              <w:t xml:space="preserve">(NBV) </w:t>
            </w:r>
            <w:r w:rsidRPr="00284372">
              <w:t xml:space="preserve">up to $50,000 and any asset with a </w:t>
            </w:r>
            <w:r w:rsidR="00F44638">
              <w:t>NBV</w:t>
            </w:r>
            <w:r w:rsidRPr="00284372">
              <w:t xml:space="preserve"> higher than $50,000 </w:t>
            </w:r>
            <w:r w:rsidR="00131FB7" w:rsidRPr="00284372">
              <w:t>must</w:t>
            </w:r>
            <w:r w:rsidRPr="00284372">
              <w:t xml:space="preserve"> be approved by the </w:t>
            </w:r>
            <w:r>
              <w:t>D</w:t>
            </w:r>
            <w:r w:rsidRPr="00284372">
              <w:t>epartment.</w:t>
            </w:r>
          </w:p>
        </w:tc>
        <w:tc>
          <w:tcPr>
            <w:tcW w:w="567" w:type="dxa"/>
          </w:tcPr>
          <w:p w14:paraId="1A484519" w14:textId="77777777" w:rsidR="00C60C9A" w:rsidRPr="00D94A93" w:rsidRDefault="00C60C9A" w:rsidP="00C60C9A"/>
        </w:tc>
      </w:tr>
      <w:tr w:rsidR="00C60C9A" w:rsidRPr="00D94A93" w14:paraId="0BBAAD60" w14:textId="77777777" w:rsidTr="00AE0FA1">
        <w:trPr>
          <w:trHeight w:val="1621"/>
        </w:trPr>
        <w:tc>
          <w:tcPr>
            <w:tcW w:w="1356" w:type="dxa"/>
          </w:tcPr>
          <w:p w14:paraId="5A520FA3" w14:textId="77777777" w:rsidR="00C60C9A" w:rsidRPr="00284372" w:rsidRDefault="00C60C9A" w:rsidP="00692B07">
            <w:r w:rsidRPr="00284372">
              <w:t>13.19.1.</w:t>
            </w:r>
            <w:r w:rsidR="00692B07">
              <w:t>8</w:t>
            </w:r>
          </w:p>
        </w:tc>
        <w:tc>
          <w:tcPr>
            <w:tcW w:w="7088" w:type="dxa"/>
          </w:tcPr>
          <w:p w14:paraId="192EC140" w14:textId="1CBC6B3E" w:rsidR="00C60C9A" w:rsidRPr="00284372" w:rsidRDefault="00C60C9A" w:rsidP="00F44638">
            <w:r w:rsidRPr="00284372">
              <w:t>Schools must first identify the asset through the asset register to be disposed</w:t>
            </w:r>
            <w:r>
              <w:t xml:space="preserve">, </w:t>
            </w:r>
            <w:r w:rsidR="00890D20">
              <w:t>and then</w:t>
            </w:r>
            <w:r w:rsidRPr="00284372">
              <w:t xml:space="preserve"> contact an asset team member </w:t>
            </w:r>
            <w:r>
              <w:t>by emailing</w:t>
            </w:r>
            <w:r w:rsidRPr="00284372">
              <w:t xml:space="preserve"> </w:t>
            </w:r>
            <w:hyperlink r:id="rId31" w:history="1">
              <w:r w:rsidRPr="00284372">
                <w:rPr>
                  <w:rStyle w:val="Hyperlink"/>
                </w:rPr>
                <w:t>det.asset.accounting@edumail.vic.gov.au</w:t>
              </w:r>
            </w:hyperlink>
            <w:r w:rsidRPr="00284372">
              <w:t xml:space="preserve"> </w:t>
            </w:r>
            <w:hyperlink r:id="rId32" w:history="1"/>
            <w:r w:rsidRPr="00284372">
              <w:t xml:space="preserve">to obtain the </w:t>
            </w:r>
            <w:r w:rsidR="00F44638">
              <w:t>NBV</w:t>
            </w:r>
            <w:r w:rsidRPr="00284372">
              <w:t xml:space="preserve"> of the asset</w:t>
            </w:r>
            <w:r>
              <w:t>. This is</w:t>
            </w:r>
            <w:r w:rsidRPr="00284372">
              <w:t xml:space="preserve"> to determine if approval is needed </w:t>
            </w:r>
            <w:r>
              <w:t xml:space="preserve">for the asset disposal </w:t>
            </w:r>
            <w:r w:rsidRPr="00284372">
              <w:t xml:space="preserve">from the </w:t>
            </w:r>
            <w:r>
              <w:t>D</w:t>
            </w:r>
            <w:r w:rsidRPr="00284372">
              <w:t>epartment.</w:t>
            </w:r>
          </w:p>
        </w:tc>
        <w:tc>
          <w:tcPr>
            <w:tcW w:w="567" w:type="dxa"/>
          </w:tcPr>
          <w:p w14:paraId="31B87058" w14:textId="77777777" w:rsidR="00C60C9A" w:rsidRPr="00D94A93" w:rsidRDefault="00C60C9A" w:rsidP="00C60C9A"/>
        </w:tc>
      </w:tr>
      <w:tr w:rsidR="00C60C9A" w:rsidRPr="00D94A93" w14:paraId="119CA272" w14:textId="77777777" w:rsidTr="005D667F">
        <w:trPr>
          <w:trHeight w:hRule="exact" w:val="1021"/>
        </w:trPr>
        <w:tc>
          <w:tcPr>
            <w:tcW w:w="1356" w:type="dxa"/>
          </w:tcPr>
          <w:p w14:paraId="1399E158" w14:textId="77777777" w:rsidR="00C60C9A" w:rsidRPr="00284372" w:rsidRDefault="00C60C9A" w:rsidP="00692B07">
            <w:r w:rsidRPr="00284372">
              <w:t>13.19.1.</w:t>
            </w:r>
            <w:r w:rsidR="00692B07">
              <w:t>9</w:t>
            </w:r>
          </w:p>
        </w:tc>
        <w:tc>
          <w:tcPr>
            <w:tcW w:w="7088" w:type="dxa"/>
          </w:tcPr>
          <w:p w14:paraId="1166998E" w14:textId="77777777" w:rsidR="00C60C9A" w:rsidRPr="00284372" w:rsidRDefault="00C60C9A" w:rsidP="00C60C9A">
            <w:r w:rsidRPr="00284372">
              <w:t xml:space="preserve">The school must get the completed approval for the disposal of the asset </w:t>
            </w:r>
            <w:r>
              <w:t>before</w:t>
            </w:r>
            <w:r w:rsidRPr="00284372">
              <w:t xml:space="preserve"> proceed</w:t>
            </w:r>
            <w:r>
              <w:t>ing</w:t>
            </w:r>
            <w:r w:rsidRPr="00284372">
              <w:t xml:space="preserve"> with the disposal in the CASES21 Asset module system.</w:t>
            </w:r>
          </w:p>
        </w:tc>
        <w:tc>
          <w:tcPr>
            <w:tcW w:w="567" w:type="dxa"/>
          </w:tcPr>
          <w:p w14:paraId="281D92FC" w14:textId="77777777" w:rsidR="00C60C9A" w:rsidRPr="00D94A93" w:rsidRDefault="00C60C9A" w:rsidP="00C60C9A"/>
        </w:tc>
      </w:tr>
      <w:tr w:rsidR="00C60C9A" w:rsidRPr="00D94A93" w14:paraId="38FA452B" w14:textId="77777777" w:rsidTr="005D667F">
        <w:trPr>
          <w:trHeight w:hRule="exact" w:val="737"/>
        </w:trPr>
        <w:tc>
          <w:tcPr>
            <w:tcW w:w="1356" w:type="dxa"/>
          </w:tcPr>
          <w:p w14:paraId="41109B2C" w14:textId="77777777" w:rsidR="00C60C9A" w:rsidRPr="00284372" w:rsidRDefault="00C60C9A" w:rsidP="00692B07">
            <w:r w:rsidRPr="00284372">
              <w:t>13.19.1.</w:t>
            </w:r>
            <w:r w:rsidR="00692B07">
              <w:t>10</w:t>
            </w:r>
          </w:p>
        </w:tc>
        <w:tc>
          <w:tcPr>
            <w:tcW w:w="7088" w:type="dxa"/>
          </w:tcPr>
          <w:p w14:paraId="351DC3D2" w14:textId="35C0F4D6" w:rsidR="00C60C9A" w:rsidRPr="00284372" w:rsidRDefault="00C60C9A" w:rsidP="00C60C9A">
            <w:r w:rsidRPr="00284372">
              <w:t xml:space="preserve">The physical disposal of the asset </w:t>
            </w:r>
            <w:r w:rsidR="00131FB7">
              <w:t>must</w:t>
            </w:r>
            <w:r w:rsidR="00131FB7" w:rsidRPr="00284372">
              <w:t xml:space="preserve"> </w:t>
            </w:r>
            <w:r w:rsidRPr="00284372">
              <w:t>be initiated soon after CASES21 disposal.</w:t>
            </w:r>
          </w:p>
        </w:tc>
        <w:tc>
          <w:tcPr>
            <w:tcW w:w="567" w:type="dxa"/>
          </w:tcPr>
          <w:p w14:paraId="51EE2B26" w14:textId="77777777" w:rsidR="00C60C9A" w:rsidRPr="00D94A93" w:rsidRDefault="00C60C9A" w:rsidP="00C60C9A"/>
        </w:tc>
      </w:tr>
      <w:tr w:rsidR="00C60C9A" w:rsidRPr="00D94A93" w14:paraId="154632E7" w14:textId="77777777" w:rsidTr="005D667F">
        <w:trPr>
          <w:trHeight w:hRule="exact" w:val="510"/>
        </w:trPr>
        <w:tc>
          <w:tcPr>
            <w:tcW w:w="1356" w:type="dxa"/>
          </w:tcPr>
          <w:p w14:paraId="743C5FD4" w14:textId="77777777" w:rsidR="00C60C9A" w:rsidRPr="00284372" w:rsidRDefault="00C60C9A" w:rsidP="00692B07">
            <w:r w:rsidRPr="00284372">
              <w:t>13.19.1.</w:t>
            </w:r>
            <w:r w:rsidR="00692B07">
              <w:t>11</w:t>
            </w:r>
          </w:p>
        </w:tc>
        <w:tc>
          <w:tcPr>
            <w:tcW w:w="7088" w:type="dxa"/>
          </w:tcPr>
          <w:p w14:paraId="4B3546B8" w14:textId="77777777" w:rsidR="00C60C9A" w:rsidRPr="00284372" w:rsidRDefault="00C60C9A" w:rsidP="00C60C9A">
            <w:r w:rsidRPr="00284372">
              <w:t>All disposals must be signed off prior to the disposal of asset.</w:t>
            </w:r>
          </w:p>
        </w:tc>
        <w:tc>
          <w:tcPr>
            <w:tcW w:w="567" w:type="dxa"/>
          </w:tcPr>
          <w:p w14:paraId="55E6E0AD" w14:textId="77777777" w:rsidR="00C60C9A" w:rsidRPr="00D94A93" w:rsidRDefault="00C60C9A" w:rsidP="00C60C9A"/>
        </w:tc>
      </w:tr>
      <w:tr w:rsidR="00C60C9A" w:rsidRPr="00D94A93" w14:paraId="1E93D589" w14:textId="77777777" w:rsidTr="005D667F">
        <w:trPr>
          <w:trHeight w:hRule="exact" w:val="737"/>
        </w:trPr>
        <w:tc>
          <w:tcPr>
            <w:tcW w:w="1356" w:type="dxa"/>
          </w:tcPr>
          <w:p w14:paraId="411B8A88" w14:textId="77777777" w:rsidR="00C60C9A" w:rsidRPr="00284372" w:rsidRDefault="00C60C9A" w:rsidP="00692B07">
            <w:r w:rsidRPr="00284372">
              <w:lastRenderedPageBreak/>
              <w:t>13.19.1.</w:t>
            </w:r>
            <w:r w:rsidR="00692B07">
              <w:t>12</w:t>
            </w:r>
          </w:p>
        </w:tc>
        <w:tc>
          <w:tcPr>
            <w:tcW w:w="7088" w:type="dxa"/>
          </w:tcPr>
          <w:p w14:paraId="589E493D" w14:textId="77777777" w:rsidR="00C60C9A" w:rsidRPr="00284372" w:rsidRDefault="00C60C9A" w:rsidP="00C60C9A">
            <w:r w:rsidRPr="00284372">
              <w:t xml:space="preserve">Disposal in CASES21 Asset module system will flow onto the Department’s asset management system. </w:t>
            </w:r>
          </w:p>
        </w:tc>
        <w:tc>
          <w:tcPr>
            <w:tcW w:w="567" w:type="dxa"/>
          </w:tcPr>
          <w:p w14:paraId="4B6C8E17" w14:textId="77777777" w:rsidR="00C60C9A" w:rsidRPr="00D94A93" w:rsidRDefault="00C60C9A" w:rsidP="00C60C9A"/>
        </w:tc>
      </w:tr>
      <w:tr w:rsidR="00C60C9A" w:rsidRPr="00D94A93" w14:paraId="4623EA3C" w14:textId="77777777" w:rsidTr="005D667F">
        <w:trPr>
          <w:trHeight w:hRule="exact" w:val="1021"/>
        </w:trPr>
        <w:tc>
          <w:tcPr>
            <w:tcW w:w="1356" w:type="dxa"/>
          </w:tcPr>
          <w:p w14:paraId="28739FB2" w14:textId="77777777" w:rsidR="00C60C9A" w:rsidRPr="00284372" w:rsidRDefault="00C60C9A" w:rsidP="00692B07">
            <w:r w:rsidRPr="00284372">
              <w:t>13.19.1.</w:t>
            </w:r>
            <w:r w:rsidR="00692B07">
              <w:t>13</w:t>
            </w:r>
          </w:p>
        </w:tc>
        <w:tc>
          <w:tcPr>
            <w:tcW w:w="7088" w:type="dxa"/>
          </w:tcPr>
          <w:p w14:paraId="76C2289B" w14:textId="77777777" w:rsidR="00C60C9A" w:rsidRPr="00284372" w:rsidRDefault="00C60C9A" w:rsidP="00C60C9A">
            <w:r w:rsidRPr="00284372">
              <w:t>It is critical that schools file all disposal forms and supporting documentation, as this information needs to be available upon request by the Department.</w:t>
            </w:r>
          </w:p>
        </w:tc>
        <w:tc>
          <w:tcPr>
            <w:tcW w:w="567" w:type="dxa"/>
          </w:tcPr>
          <w:p w14:paraId="119CC450" w14:textId="77777777" w:rsidR="00C60C9A" w:rsidRPr="00D94A93" w:rsidRDefault="00C60C9A" w:rsidP="00C60C9A"/>
        </w:tc>
      </w:tr>
    </w:tbl>
    <w:p w14:paraId="6ADDC9F9" w14:textId="77777777" w:rsidR="00785F21" w:rsidRDefault="00785F21" w:rsidP="00284372"/>
    <w:p w14:paraId="599A4EEA" w14:textId="77777777" w:rsidR="00C54E54" w:rsidRPr="006F7B96" w:rsidRDefault="00C54E54" w:rsidP="00C54E54">
      <w:pPr>
        <w:pStyle w:val="Heading2"/>
      </w:pPr>
      <w:r w:rsidRPr="006F7B96">
        <w:t>Legislative requirements</w:t>
      </w:r>
    </w:p>
    <w:p w14:paraId="0FD251C9" w14:textId="77777777" w:rsidR="00C54E54" w:rsidRPr="006F7B96" w:rsidRDefault="00C54E54" w:rsidP="00C54E54">
      <w:pPr>
        <w:pStyle w:val="Heading3"/>
      </w:pPr>
      <w:r w:rsidRPr="006F7B96">
        <w:t>Legislation</w:t>
      </w:r>
    </w:p>
    <w:p w14:paraId="12983948" w14:textId="2E095FC3" w:rsidR="00C54E54" w:rsidRDefault="00C54E54" w:rsidP="00284372">
      <w:r w:rsidRPr="00284372">
        <w:t>The advice in this section was based on requirements outlined in the following legislation:</w:t>
      </w:r>
    </w:p>
    <w:p w14:paraId="175D4FBB" w14:textId="0D6AE79C" w:rsidR="00F44638" w:rsidRDefault="00F44638" w:rsidP="00F44638">
      <w:pPr>
        <w:pStyle w:val="ListBullet"/>
      </w:pPr>
      <w:r w:rsidRPr="00F8472C">
        <w:t>AASB 116 Property, Plant and Equipment</w:t>
      </w:r>
      <w:r>
        <w:t>, A</w:t>
      </w:r>
      <w:r w:rsidRPr="009E28DE">
        <w:t>ASB 13 Fair Value Measurement</w:t>
      </w:r>
      <w:r>
        <w:t xml:space="preserve">, </w:t>
      </w:r>
      <w:r w:rsidRPr="009E28DE">
        <w:t>AASB 138</w:t>
      </w:r>
      <w:r>
        <w:t xml:space="preserve"> Intangible Assets</w:t>
      </w:r>
      <w:r w:rsidR="005D667F">
        <w:t>.</w:t>
      </w:r>
    </w:p>
    <w:p w14:paraId="1F42C9A6" w14:textId="77777777" w:rsidR="005D667F" w:rsidRPr="00F8472C" w:rsidRDefault="005D667F" w:rsidP="005D667F">
      <w:pPr>
        <w:pStyle w:val="ListBullet"/>
      </w:pPr>
      <w:r w:rsidRPr="00F8472C">
        <w:t>Asset Management Accountability Framework</w:t>
      </w:r>
      <w:r>
        <w:t>.</w:t>
      </w:r>
    </w:p>
    <w:p w14:paraId="74DA278A" w14:textId="7EA9FECF" w:rsidR="00C54E54" w:rsidRPr="00F8472C" w:rsidRDefault="00C54E54" w:rsidP="00F8472C">
      <w:pPr>
        <w:pStyle w:val="ListBullet"/>
      </w:pPr>
      <w:r w:rsidRPr="007B6B53">
        <w:rPr>
          <w:i/>
        </w:rPr>
        <w:t>Education and Training Reform Act 2006</w:t>
      </w:r>
      <w:r w:rsidRPr="00F8472C">
        <w:t xml:space="preserve"> – Part </w:t>
      </w:r>
      <w:r w:rsidR="001656E7">
        <w:t>2.3 Government School Councils</w:t>
      </w:r>
      <w:r w:rsidR="00F44638">
        <w:t>.</w:t>
      </w:r>
    </w:p>
    <w:p w14:paraId="702BD5A9" w14:textId="35F11F1D" w:rsidR="00C54E54" w:rsidRPr="00F8472C" w:rsidRDefault="005C7686" w:rsidP="005C7686">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5CB0B066" w14:textId="4BB95B62" w:rsidR="00C54E54" w:rsidRPr="00F8472C" w:rsidRDefault="00C54E54" w:rsidP="00F8472C">
      <w:pPr>
        <w:pStyle w:val="ListBullet"/>
      </w:pPr>
      <w:r w:rsidRPr="007B6B53">
        <w:rPr>
          <w:i/>
        </w:rPr>
        <w:t>Financial Management Act 1994</w:t>
      </w:r>
      <w:r w:rsidR="00610C0D" w:rsidRPr="00F8472C">
        <w:t xml:space="preserve"> – Part 5 Financial Responsibility</w:t>
      </w:r>
      <w:r w:rsidR="00F44638">
        <w:t>.</w:t>
      </w:r>
    </w:p>
    <w:p w14:paraId="4588555F" w14:textId="77777777" w:rsidR="005D667F" w:rsidRPr="00F8472C" w:rsidRDefault="005D667F" w:rsidP="005D667F">
      <w:pPr>
        <w:pStyle w:val="ListBullet"/>
      </w:pPr>
      <w:r w:rsidRPr="00F8472C">
        <w:t>Financial Reporting Direction 103F Non-Financial Physical Assets</w:t>
      </w:r>
      <w:r>
        <w:t>.</w:t>
      </w:r>
    </w:p>
    <w:p w14:paraId="2DAA03FF" w14:textId="4DB5C71D" w:rsidR="00C54E54" w:rsidRPr="00AE0FA1" w:rsidRDefault="00C54E54" w:rsidP="00F8472C">
      <w:pPr>
        <w:pStyle w:val="ListBullet"/>
        <w:rPr>
          <w:i/>
        </w:rPr>
      </w:pPr>
      <w:r w:rsidRPr="00F8472C">
        <w:t xml:space="preserve">Standing Directions of the Minister for Finance </w:t>
      </w:r>
      <w:r w:rsidR="00C229BA">
        <w:t>2018</w:t>
      </w:r>
      <w:r w:rsidR="00F44638">
        <w:t xml:space="preserve"> </w:t>
      </w:r>
      <w:r w:rsidRPr="00F8472C">
        <w:t xml:space="preserve">under the </w:t>
      </w:r>
      <w:r w:rsidRPr="00AE0FA1">
        <w:rPr>
          <w:i/>
        </w:rPr>
        <w:t>Financial Management Act 1994</w:t>
      </w:r>
      <w:r w:rsidR="00F44638">
        <w:rPr>
          <w:i/>
        </w:rPr>
        <w:t>.</w:t>
      </w:r>
    </w:p>
    <w:p w14:paraId="3C8CF372" w14:textId="099CC57C" w:rsidR="00C54E54" w:rsidRDefault="00C54E54" w:rsidP="00F8472C">
      <w:pPr>
        <w:pStyle w:val="ListBullet"/>
      </w:pPr>
      <w:r w:rsidRPr="00F8472C">
        <w:t>Statement of Accounting Concepts 4 – Definition and Recognition of the Elements of Financial Statements</w:t>
      </w:r>
      <w:r w:rsidR="00F44638">
        <w:t>.</w:t>
      </w:r>
    </w:p>
    <w:p w14:paraId="0664239A" w14:textId="77777777" w:rsidR="00E66B67" w:rsidRPr="00F8472C" w:rsidRDefault="00E66B67" w:rsidP="00E66B67">
      <w:pPr>
        <w:pStyle w:val="ListBullet"/>
        <w:numPr>
          <w:ilvl w:val="0"/>
          <w:numId w:val="0"/>
        </w:numPr>
        <w:ind w:left="360" w:hanging="360"/>
      </w:pPr>
    </w:p>
    <w:p w14:paraId="4AB66D7D" w14:textId="77777777" w:rsidR="00C54E54" w:rsidRPr="006F7B96" w:rsidRDefault="00C54E54" w:rsidP="00C54E54">
      <w:pPr>
        <w:pStyle w:val="Heading2"/>
      </w:pPr>
      <w:r w:rsidRPr="006F7B96">
        <w:lastRenderedPageBreak/>
        <w:t xml:space="preserve">Definitions </w:t>
      </w:r>
    </w:p>
    <w:tbl>
      <w:tblPr>
        <w:tblW w:w="9015" w:type="dxa"/>
        <w:tblInd w:w="57" w:type="dxa"/>
        <w:tblLayout w:type="fixed"/>
        <w:tblLook w:val="04A0" w:firstRow="1" w:lastRow="0" w:firstColumn="1" w:lastColumn="0" w:noHBand="0" w:noVBand="1"/>
      </w:tblPr>
      <w:tblGrid>
        <w:gridCol w:w="1973"/>
        <w:gridCol w:w="7042"/>
      </w:tblGrid>
      <w:tr w:rsidR="00C54E54" w:rsidRPr="00D75869" w14:paraId="6B0767E8" w14:textId="77777777" w:rsidTr="00CD3B93">
        <w:trPr>
          <w:trHeight w:val="3847"/>
        </w:trPr>
        <w:tc>
          <w:tcPr>
            <w:tcW w:w="1973" w:type="dxa"/>
          </w:tcPr>
          <w:p w14:paraId="53932422" w14:textId="77777777" w:rsidR="00C54E54" w:rsidRPr="00DB6664" w:rsidRDefault="00C54E54" w:rsidP="00284372">
            <w:pPr>
              <w:rPr>
                <w:b/>
              </w:rPr>
            </w:pPr>
            <w:r w:rsidRPr="00DB6664">
              <w:rPr>
                <w:b/>
              </w:rPr>
              <w:t>Asset</w:t>
            </w:r>
          </w:p>
        </w:tc>
        <w:tc>
          <w:tcPr>
            <w:tcW w:w="7042" w:type="dxa"/>
          </w:tcPr>
          <w:p w14:paraId="4EDE1061" w14:textId="79C4369F" w:rsidR="00C54E54" w:rsidRPr="00284372" w:rsidRDefault="00C54E54" w:rsidP="00284372">
            <w:r w:rsidRPr="00284372">
              <w:t>An asset is</w:t>
            </w:r>
            <w:r w:rsidR="00131FB7">
              <w:t>,</w:t>
            </w:r>
            <w:r w:rsidRPr="00284372">
              <w:t xml:space="preserve"> a</w:t>
            </w:r>
            <w:r w:rsidR="00692B07">
              <w:t xml:space="preserve">ccording to </w:t>
            </w:r>
            <w:r w:rsidR="006969DA">
              <w:t xml:space="preserve">the </w:t>
            </w:r>
            <w:r w:rsidR="006969DA" w:rsidRPr="00CD3608">
              <w:rPr>
                <w:i/>
              </w:rPr>
              <w:t>Statement of Accounting Concepts 4 – Definitions and Recognition of the Elements of Financial Statements</w:t>
            </w:r>
            <w:r w:rsidR="00692B07">
              <w:t>, a</w:t>
            </w:r>
            <w:r w:rsidRPr="00284372">
              <w:t xml:space="preserve"> resource that “represents service potential or future economic benefits controlled by the entity (government department) as a result of past transactions or other past events”.</w:t>
            </w:r>
          </w:p>
          <w:p w14:paraId="382745E3" w14:textId="77777777" w:rsidR="004C0967" w:rsidRPr="00284372" w:rsidRDefault="004C0967" w:rsidP="00284372">
            <w:r w:rsidRPr="00284372">
              <w:t>The definition assumes:</w:t>
            </w:r>
          </w:p>
          <w:p w14:paraId="55B0D77A" w14:textId="77777777" w:rsidR="004C0967" w:rsidRPr="00F8472C" w:rsidRDefault="004C0967" w:rsidP="00F8472C">
            <w:pPr>
              <w:pStyle w:val="ListBullet"/>
            </w:pPr>
            <w:r w:rsidRPr="00F8472C">
              <w:t>the asset will generate a positive contribution for the entity – i.e. the service potential will be realised</w:t>
            </w:r>
            <w:r w:rsidR="00890D20">
              <w:t>;</w:t>
            </w:r>
          </w:p>
          <w:p w14:paraId="7C473E21" w14:textId="77777777" w:rsidR="004C0967" w:rsidRPr="00F8472C" w:rsidRDefault="004C0967" w:rsidP="00F8472C">
            <w:pPr>
              <w:pStyle w:val="ListBullet"/>
            </w:pPr>
            <w:r w:rsidRPr="00F8472C">
              <w:t>the entity has capacity to control the asset</w:t>
            </w:r>
            <w:r w:rsidR="00890D20">
              <w:t>;</w:t>
            </w:r>
          </w:p>
          <w:p w14:paraId="54277DE2" w14:textId="77777777" w:rsidR="004C0967" w:rsidRPr="00F8472C" w:rsidRDefault="004C0967" w:rsidP="00F8472C">
            <w:pPr>
              <w:pStyle w:val="ListBullet"/>
            </w:pPr>
            <w:r w:rsidRPr="00F8472C">
              <w:t>the asset possesses a value that can be m</w:t>
            </w:r>
            <w:r w:rsidR="00890D20">
              <w:t>e</w:t>
            </w:r>
            <w:r w:rsidRPr="00F8472C">
              <w:t>asured reliably</w:t>
            </w:r>
            <w:r w:rsidR="00890D20">
              <w:t>;</w:t>
            </w:r>
            <w:r w:rsidR="003722D4">
              <w:t xml:space="preserve"> and</w:t>
            </w:r>
          </w:p>
          <w:p w14:paraId="0A1537B9" w14:textId="5E7C3DF0" w:rsidR="004C0967" w:rsidRPr="00284372" w:rsidRDefault="004C0967" w:rsidP="00F44638">
            <w:pPr>
              <w:pStyle w:val="ListBullet"/>
            </w:pPr>
            <w:r w:rsidRPr="00284372">
              <w:t>the estimated value is above the minimum amount specified in a recognition threshold (</w:t>
            </w:r>
            <w:r w:rsidR="00F44638">
              <w:t>greater than or equal to $</w:t>
            </w:r>
            <w:r w:rsidRPr="00284372">
              <w:t>5</w:t>
            </w:r>
            <w:r w:rsidR="00F44638">
              <w:t>,000</w:t>
            </w:r>
            <w:r w:rsidRPr="00284372">
              <w:t xml:space="preserve"> Department’s threshold).</w:t>
            </w:r>
          </w:p>
        </w:tc>
      </w:tr>
      <w:tr w:rsidR="00C54E54" w:rsidRPr="00D75869" w14:paraId="6977CA7F" w14:textId="77777777" w:rsidTr="00AE0FA1">
        <w:trPr>
          <w:trHeight w:val="1074"/>
        </w:trPr>
        <w:tc>
          <w:tcPr>
            <w:tcW w:w="1973" w:type="dxa"/>
            <w:shd w:val="clear" w:color="auto" w:fill="F2F2F2" w:themeFill="background1" w:themeFillShade="F2"/>
          </w:tcPr>
          <w:p w14:paraId="162A15DC" w14:textId="1100EF2F" w:rsidR="00C54E54" w:rsidRPr="00DB6664" w:rsidRDefault="00C54E54" w:rsidP="008E1CF2">
            <w:pPr>
              <w:rPr>
                <w:b/>
              </w:rPr>
            </w:pPr>
            <w:r w:rsidRPr="00DB6664">
              <w:rPr>
                <w:b/>
              </w:rPr>
              <w:t xml:space="preserve">Asset </w:t>
            </w:r>
            <w:r w:rsidR="008E1CF2">
              <w:rPr>
                <w:b/>
              </w:rPr>
              <w:t>c</w:t>
            </w:r>
            <w:r w:rsidRPr="00DB6664">
              <w:rPr>
                <w:b/>
              </w:rPr>
              <w:t>learing account</w:t>
            </w:r>
          </w:p>
        </w:tc>
        <w:tc>
          <w:tcPr>
            <w:tcW w:w="7042" w:type="dxa"/>
            <w:shd w:val="clear" w:color="auto" w:fill="F2F2F2" w:themeFill="background1" w:themeFillShade="F2"/>
          </w:tcPr>
          <w:p w14:paraId="67956605" w14:textId="467D749B" w:rsidR="00C54E54" w:rsidRPr="006969DA" w:rsidRDefault="00131FB7" w:rsidP="00284372">
            <w:r>
              <w:t>This i</w:t>
            </w:r>
            <w:r w:rsidR="00C54E54" w:rsidRPr="006969DA">
              <w:t>s a holding account where transactions/amounts are recorded temporarily and that are to be transferred to specific asset accounts once the purchase is complete.</w:t>
            </w:r>
          </w:p>
        </w:tc>
      </w:tr>
      <w:tr w:rsidR="00C54E54" w:rsidRPr="00D75869" w14:paraId="6D94702A" w14:textId="77777777" w:rsidTr="00F66535">
        <w:trPr>
          <w:trHeight w:val="609"/>
        </w:trPr>
        <w:tc>
          <w:tcPr>
            <w:tcW w:w="1973" w:type="dxa"/>
            <w:shd w:val="clear" w:color="auto" w:fill="FFFFFF" w:themeFill="background1"/>
          </w:tcPr>
          <w:p w14:paraId="33A04D91" w14:textId="196EAFAD" w:rsidR="00C54E54" w:rsidRPr="00DB6664" w:rsidRDefault="00C54E54" w:rsidP="008E1CF2">
            <w:pPr>
              <w:rPr>
                <w:b/>
              </w:rPr>
            </w:pPr>
            <w:r w:rsidRPr="00DB6664">
              <w:rPr>
                <w:b/>
              </w:rPr>
              <w:t xml:space="preserve">Asset </w:t>
            </w:r>
            <w:r w:rsidR="008E1CF2">
              <w:rPr>
                <w:b/>
              </w:rPr>
              <w:t>d</w:t>
            </w:r>
            <w:r w:rsidRPr="00DB6664">
              <w:rPr>
                <w:b/>
              </w:rPr>
              <w:t>isposal</w:t>
            </w:r>
          </w:p>
        </w:tc>
        <w:tc>
          <w:tcPr>
            <w:tcW w:w="7042" w:type="dxa"/>
            <w:shd w:val="clear" w:color="auto" w:fill="FFFFFF" w:themeFill="background1"/>
          </w:tcPr>
          <w:p w14:paraId="27CC8EF1" w14:textId="55EF475B" w:rsidR="00C54E54" w:rsidRPr="006969DA" w:rsidRDefault="00131FB7" w:rsidP="00972BFB">
            <w:r>
              <w:t>This i</w:t>
            </w:r>
            <w:r w:rsidR="00C54E54" w:rsidRPr="006969DA">
              <w:t xml:space="preserve">s the act of selling an </w:t>
            </w:r>
            <w:r w:rsidR="003722D4" w:rsidRPr="006969DA">
              <w:t>item (</w:t>
            </w:r>
            <w:r w:rsidR="00C54E54" w:rsidRPr="006969DA">
              <w:t xml:space="preserve">usually a </w:t>
            </w:r>
            <w:r w:rsidR="00C85453" w:rsidRPr="006969DA">
              <w:t>long-term</w:t>
            </w:r>
            <w:r w:rsidR="00C54E54" w:rsidRPr="006969DA">
              <w:t xml:space="preserve"> asset</w:t>
            </w:r>
            <w:r w:rsidR="003722D4" w:rsidRPr="006969DA">
              <w:t>)</w:t>
            </w:r>
            <w:r w:rsidR="00C54E54" w:rsidRPr="006969DA">
              <w:t xml:space="preserve"> that has been depreciated over its useful life</w:t>
            </w:r>
            <w:r>
              <w:t xml:space="preserve"> or is no longer required by the school</w:t>
            </w:r>
            <w:r w:rsidR="00972BFB">
              <w:t>.</w:t>
            </w:r>
          </w:p>
        </w:tc>
      </w:tr>
      <w:tr w:rsidR="00C54E54" w:rsidRPr="00D75869" w14:paraId="3BB3EF8D" w14:textId="77777777" w:rsidTr="00AE0FA1">
        <w:trPr>
          <w:trHeight w:val="609"/>
        </w:trPr>
        <w:tc>
          <w:tcPr>
            <w:tcW w:w="1973" w:type="dxa"/>
            <w:shd w:val="clear" w:color="auto" w:fill="F2F2F2" w:themeFill="background1" w:themeFillShade="F2"/>
          </w:tcPr>
          <w:p w14:paraId="729FF96F" w14:textId="77777777" w:rsidR="00C54E54" w:rsidRPr="00DB6664" w:rsidRDefault="00C54E54" w:rsidP="00284372">
            <w:pPr>
              <w:rPr>
                <w:b/>
              </w:rPr>
            </w:pPr>
            <w:r w:rsidRPr="00DB6664">
              <w:rPr>
                <w:b/>
              </w:rPr>
              <w:t xml:space="preserve">Asset recognition threshold (capitalisation threshold) </w:t>
            </w:r>
          </w:p>
        </w:tc>
        <w:tc>
          <w:tcPr>
            <w:tcW w:w="7042" w:type="dxa"/>
            <w:shd w:val="clear" w:color="auto" w:fill="F2F2F2" w:themeFill="background1" w:themeFillShade="F2"/>
          </w:tcPr>
          <w:p w14:paraId="7E311307" w14:textId="718337B3" w:rsidR="00C54E54" w:rsidRPr="00284372" w:rsidRDefault="00131FB7" w:rsidP="00972BFB">
            <w:r>
              <w:t>This</w:t>
            </w:r>
            <w:r w:rsidR="003722D4">
              <w:t xml:space="preserve"> </w:t>
            </w:r>
            <w:r w:rsidR="00C54E54" w:rsidRPr="00284372">
              <w:t xml:space="preserve">is </w:t>
            </w:r>
            <w:r w:rsidR="006969DA">
              <w:t xml:space="preserve">the minimum </w:t>
            </w:r>
            <w:r w:rsidR="00C54E54" w:rsidRPr="00284372">
              <w:t xml:space="preserve">dollar amount below which expenditure is </w:t>
            </w:r>
            <w:r w:rsidR="009E28DE">
              <w:t>recorded</w:t>
            </w:r>
            <w:r w:rsidR="00C54E54" w:rsidRPr="00284372">
              <w:t xml:space="preserve">, even if it associated with an activity that is typically capital in nature. The </w:t>
            </w:r>
            <w:r>
              <w:t>D</w:t>
            </w:r>
            <w:r w:rsidR="00C54E54" w:rsidRPr="00284372">
              <w:t>epartment’s capitalisation threshold is greater than or equal to $5,000.</w:t>
            </w:r>
          </w:p>
        </w:tc>
      </w:tr>
      <w:tr w:rsidR="00C54E54" w:rsidRPr="00D75869" w14:paraId="272014DF" w14:textId="77777777" w:rsidTr="00F66535">
        <w:trPr>
          <w:trHeight w:val="609"/>
        </w:trPr>
        <w:tc>
          <w:tcPr>
            <w:tcW w:w="1973" w:type="dxa"/>
            <w:shd w:val="clear" w:color="auto" w:fill="FFFFFF" w:themeFill="background1"/>
          </w:tcPr>
          <w:p w14:paraId="00F9BF61" w14:textId="77777777" w:rsidR="00C54E54" w:rsidRPr="00DB6664" w:rsidRDefault="00C54E54" w:rsidP="00284372">
            <w:pPr>
              <w:rPr>
                <w:b/>
              </w:rPr>
            </w:pPr>
            <w:r w:rsidRPr="00DB6664">
              <w:rPr>
                <w:b/>
              </w:rPr>
              <w:t>Asset register</w:t>
            </w:r>
          </w:p>
        </w:tc>
        <w:tc>
          <w:tcPr>
            <w:tcW w:w="7042" w:type="dxa"/>
            <w:shd w:val="clear" w:color="auto" w:fill="FFFFFF" w:themeFill="background1"/>
          </w:tcPr>
          <w:p w14:paraId="082FA6D6" w14:textId="5802FD9B" w:rsidR="00C54E54" w:rsidRPr="00284372" w:rsidRDefault="00131FB7" w:rsidP="00284372">
            <w:r>
              <w:t>A</w:t>
            </w:r>
            <w:r w:rsidR="00C54E54" w:rsidRPr="00284372">
              <w:t xml:space="preserve"> comprehensive </w:t>
            </w:r>
            <w:r w:rsidR="00C85453" w:rsidRPr="00284372">
              <w:t>list</w:t>
            </w:r>
            <w:r w:rsidR="003722D4">
              <w:t xml:space="preserve"> of items and </w:t>
            </w:r>
            <w:r w:rsidR="00890D20">
              <w:t>equipment</w:t>
            </w:r>
            <w:r w:rsidR="00890D20" w:rsidRPr="00284372">
              <w:t xml:space="preserve"> that</w:t>
            </w:r>
            <w:r w:rsidR="0019051C" w:rsidRPr="00284372">
              <w:t xml:space="preserve"> </w:t>
            </w:r>
            <w:r w:rsidR="00C54E54" w:rsidRPr="00284372">
              <w:t xml:space="preserve">shows </w:t>
            </w:r>
            <w:r w:rsidR="0019051C">
              <w:t xml:space="preserve">what </w:t>
            </w:r>
            <w:r w:rsidR="00C54E54" w:rsidRPr="00284372">
              <w:t>the school owns. An asset register is used to track and manage school assets.</w:t>
            </w:r>
          </w:p>
        </w:tc>
      </w:tr>
      <w:tr w:rsidR="00CD3B93" w:rsidRPr="00D75869" w14:paraId="69C809E4" w14:textId="77777777" w:rsidTr="00AE0FA1">
        <w:trPr>
          <w:trHeight w:val="2513"/>
        </w:trPr>
        <w:tc>
          <w:tcPr>
            <w:tcW w:w="1973" w:type="dxa"/>
            <w:shd w:val="clear" w:color="auto" w:fill="F2F2F2" w:themeFill="background1" w:themeFillShade="F2"/>
          </w:tcPr>
          <w:p w14:paraId="14CD65AD" w14:textId="77777777" w:rsidR="00CD3B93" w:rsidRPr="00DB6664" w:rsidRDefault="00CD3B93" w:rsidP="00284372">
            <w:pPr>
              <w:rPr>
                <w:b/>
              </w:rPr>
            </w:pPr>
            <w:r w:rsidRPr="00DB6664">
              <w:rPr>
                <w:b/>
              </w:rPr>
              <w:t>Control of an asset</w:t>
            </w:r>
          </w:p>
        </w:tc>
        <w:tc>
          <w:tcPr>
            <w:tcW w:w="7042" w:type="dxa"/>
            <w:shd w:val="clear" w:color="auto" w:fill="F2F2F2" w:themeFill="background1" w:themeFillShade="F2"/>
          </w:tcPr>
          <w:p w14:paraId="26C25196" w14:textId="77777777" w:rsidR="00CD3B93" w:rsidRPr="00284372" w:rsidRDefault="0019051C" w:rsidP="00284372">
            <w:r>
              <w:t>Asset c</w:t>
            </w:r>
            <w:r w:rsidR="00CD3B93" w:rsidRPr="00284372">
              <w:t xml:space="preserve">ontrol is usually evidenced by an </w:t>
            </w:r>
            <w:r>
              <w:t>school’s</w:t>
            </w:r>
            <w:r w:rsidR="00CD3B93" w:rsidRPr="00284372">
              <w:t>:</w:t>
            </w:r>
          </w:p>
          <w:p w14:paraId="07C0BE60" w14:textId="77777777" w:rsidR="00CD3B93" w:rsidRPr="00F8472C" w:rsidRDefault="00CD3B93" w:rsidP="00F8472C">
            <w:pPr>
              <w:pStyle w:val="ListBullet"/>
            </w:pPr>
            <w:r w:rsidRPr="00F8472C">
              <w:t>ability to use the asset to achieve its objectives</w:t>
            </w:r>
            <w:r w:rsidR="00890D20">
              <w:t>;</w:t>
            </w:r>
          </w:p>
          <w:p w14:paraId="085420AA" w14:textId="77777777" w:rsidR="00CD3B93" w:rsidRPr="00F8472C" w:rsidRDefault="00CD3B93" w:rsidP="00F8472C">
            <w:pPr>
              <w:pStyle w:val="ListBullet"/>
            </w:pPr>
            <w:r w:rsidRPr="00F8472C">
              <w:t>ability to restrict or change access to the asset</w:t>
            </w:r>
            <w:r w:rsidR="00890D20">
              <w:t>;</w:t>
            </w:r>
          </w:p>
          <w:p w14:paraId="1E75C2EF" w14:textId="77777777" w:rsidR="00CD3B93" w:rsidRPr="00F8472C" w:rsidRDefault="00CD3B93" w:rsidP="00F8472C">
            <w:pPr>
              <w:pStyle w:val="ListBullet"/>
            </w:pPr>
            <w:r w:rsidRPr="00F8472C">
              <w:t>ability to surrender the asset to another entity</w:t>
            </w:r>
            <w:r w:rsidR="00890D20">
              <w:t>;</w:t>
            </w:r>
          </w:p>
          <w:p w14:paraId="26C40A41" w14:textId="77777777" w:rsidR="00CD3B93" w:rsidRPr="00F8472C" w:rsidRDefault="00CD3B93" w:rsidP="00F8472C">
            <w:pPr>
              <w:pStyle w:val="ListBullet"/>
            </w:pPr>
            <w:r w:rsidRPr="00F8472C">
              <w:t>ability to dispose of the asset</w:t>
            </w:r>
            <w:r w:rsidR="00890D20">
              <w:t>;</w:t>
            </w:r>
            <w:r w:rsidR="0019051C">
              <w:t xml:space="preserve"> and</w:t>
            </w:r>
          </w:p>
          <w:p w14:paraId="49CA1D04" w14:textId="77777777" w:rsidR="00CD3B93" w:rsidRPr="00F8472C" w:rsidRDefault="00CD3B93" w:rsidP="00F8472C">
            <w:pPr>
              <w:pStyle w:val="ListBullet"/>
            </w:pPr>
            <w:r w:rsidRPr="00F8472C">
              <w:t>obligation to bear the risks associated with holding the asset</w:t>
            </w:r>
            <w:r w:rsidR="0019051C">
              <w:t>.</w:t>
            </w:r>
          </w:p>
        </w:tc>
      </w:tr>
      <w:tr w:rsidR="00C54E54" w:rsidRPr="00D75869" w14:paraId="67BED2CF" w14:textId="77777777" w:rsidTr="00D43CFD">
        <w:trPr>
          <w:trHeight w:val="1132"/>
        </w:trPr>
        <w:tc>
          <w:tcPr>
            <w:tcW w:w="1973" w:type="dxa"/>
            <w:shd w:val="clear" w:color="auto" w:fill="FFFFFF" w:themeFill="background1"/>
          </w:tcPr>
          <w:p w14:paraId="3A30537C" w14:textId="7B15520A" w:rsidR="00C54E54" w:rsidRPr="00DB6664" w:rsidRDefault="00C54E54" w:rsidP="008E1CF2">
            <w:pPr>
              <w:rPr>
                <w:b/>
              </w:rPr>
            </w:pPr>
            <w:r w:rsidRPr="00DB6664">
              <w:rPr>
                <w:b/>
              </w:rPr>
              <w:t xml:space="preserve">Fair </w:t>
            </w:r>
            <w:r w:rsidR="008E1CF2">
              <w:rPr>
                <w:b/>
              </w:rPr>
              <w:t>v</w:t>
            </w:r>
            <w:r w:rsidRPr="00DB6664">
              <w:rPr>
                <w:b/>
              </w:rPr>
              <w:t>alue</w:t>
            </w:r>
          </w:p>
        </w:tc>
        <w:tc>
          <w:tcPr>
            <w:tcW w:w="7042" w:type="dxa"/>
            <w:shd w:val="clear" w:color="auto" w:fill="FFFFFF" w:themeFill="background1"/>
          </w:tcPr>
          <w:p w14:paraId="6AFF85D9" w14:textId="77777777" w:rsidR="002A0B3C" w:rsidRDefault="00642DC8" w:rsidP="00DB6664">
            <w:pPr>
              <w:rPr>
                <w:lang w:eastAsia="en-AU"/>
              </w:rPr>
            </w:pPr>
            <w:r w:rsidRPr="00284372">
              <w:t>The price that would be received to sell an asset or paid to transfer a liability in an orderly transaction between market participants at the measurement date</w:t>
            </w:r>
            <w:r w:rsidR="00CD3B93" w:rsidRPr="00284372">
              <w:t>.</w:t>
            </w:r>
          </w:p>
        </w:tc>
      </w:tr>
      <w:tr w:rsidR="00C54E54" w:rsidRPr="00D75869" w14:paraId="5999D6A0" w14:textId="77777777" w:rsidTr="00AE0FA1">
        <w:trPr>
          <w:trHeight w:val="1139"/>
        </w:trPr>
        <w:tc>
          <w:tcPr>
            <w:tcW w:w="1973" w:type="dxa"/>
            <w:shd w:val="clear" w:color="auto" w:fill="F2F2F2" w:themeFill="background1" w:themeFillShade="F2"/>
          </w:tcPr>
          <w:p w14:paraId="1EAA4E81" w14:textId="30D1A7B2" w:rsidR="00C54E54" w:rsidRPr="00DB6664" w:rsidRDefault="00C54E54" w:rsidP="008E1CF2">
            <w:pPr>
              <w:rPr>
                <w:b/>
              </w:rPr>
            </w:pPr>
            <w:r w:rsidRPr="00DB6664">
              <w:rPr>
                <w:b/>
              </w:rPr>
              <w:lastRenderedPageBreak/>
              <w:t xml:space="preserve">Finance </w:t>
            </w:r>
            <w:r w:rsidR="008E1CF2">
              <w:rPr>
                <w:b/>
              </w:rPr>
              <w:t>l</w:t>
            </w:r>
            <w:r w:rsidRPr="00DB6664">
              <w:rPr>
                <w:b/>
              </w:rPr>
              <w:t>ease</w:t>
            </w:r>
          </w:p>
        </w:tc>
        <w:tc>
          <w:tcPr>
            <w:tcW w:w="7042" w:type="dxa"/>
            <w:shd w:val="clear" w:color="auto" w:fill="F2F2F2" w:themeFill="background1" w:themeFillShade="F2"/>
          </w:tcPr>
          <w:p w14:paraId="069275A5" w14:textId="367E2507" w:rsidR="00C54E54" w:rsidRPr="00284372" w:rsidRDefault="00131FB7" w:rsidP="00284372">
            <w:r>
              <w:t xml:space="preserve">This </w:t>
            </w:r>
            <w:r w:rsidR="00C54E54" w:rsidRPr="00284372">
              <w:t>effectively transfers ownership of the leased property from the company to the school at the end of the lease term, usually at a cost to the school (residual).</w:t>
            </w:r>
          </w:p>
          <w:p w14:paraId="3BB7F90F" w14:textId="77777777" w:rsidR="00C54E54" w:rsidRPr="00284372" w:rsidRDefault="00C54E54" w:rsidP="00284372">
            <w:r w:rsidRPr="00284372">
              <w:t>Characteristics of a finance lease are:</w:t>
            </w:r>
          </w:p>
          <w:p w14:paraId="1BDA7E2E" w14:textId="77777777" w:rsidR="00C54E54" w:rsidRPr="00F8472C" w:rsidRDefault="00C54E54" w:rsidP="00F8472C">
            <w:pPr>
              <w:pStyle w:val="ListBullet"/>
            </w:pPr>
            <w:r w:rsidRPr="00F8472C">
              <w:t>the lease is not able to be cancelled, or cancelled without the imposition of a large penalty</w:t>
            </w:r>
            <w:r w:rsidR="00A2647C">
              <w:t>;</w:t>
            </w:r>
          </w:p>
          <w:p w14:paraId="28277A5D" w14:textId="77777777" w:rsidR="00C54E54" w:rsidRPr="00F8472C" w:rsidRDefault="00C54E54" w:rsidP="00F8472C">
            <w:pPr>
              <w:pStyle w:val="ListBullet"/>
            </w:pPr>
            <w:r w:rsidRPr="00F8472C">
              <w:t>ownership of the object leased is transferred at the end of the lease</w:t>
            </w:r>
            <w:r w:rsidR="00A2647C">
              <w:t>;</w:t>
            </w:r>
          </w:p>
          <w:p w14:paraId="0D8DF87C" w14:textId="77777777" w:rsidR="00C54E54" w:rsidRPr="00F8472C" w:rsidRDefault="00C54E54" w:rsidP="00F8472C">
            <w:pPr>
              <w:pStyle w:val="ListBullet"/>
            </w:pPr>
            <w:r w:rsidRPr="00F8472C">
              <w:t>the lease contains a nominal purchase option</w:t>
            </w:r>
            <w:r w:rsidR="00A2647C">
              <w:t>;</w:t>
            </w:r>
          </w:p>
          <w:p w14:paraId="1A827774" w14:textId="77777777" w:rsidR="00C54E54" w:rsidRPr="00F8472C" w:rsidRDefault="00C54E54" w:rsidP="00F8472C">
            <w:pPr>
              <w:pStyle w:val="ListBullet"/>
            </w:pPr>
            <w:r w:rsidRPr="00F8472C">
              <w:t>the lease term is for 76 per cent or more than the useful life of the leased item</w:t>
            </w:r>
            <w:r w:rsidR="00A2647C">
              <w:t>;</w:t>
            </w:r>
          </w:p>
          <w:p w14:paraId="1EE646A5" w14:textId="77777777" w:rsidR="004B4E70" w:rsidRDefault="00C54E54" w:rsidP="004B4E70">
            <w:pPr>
              <w:pStyle w:val="ListBullet"/>
            </w:pPr>
            <w:r w:rsidRPr="00F8472C">
              <w:t>the present value of the minimum lease payments is equal or greater than 90 per cent of the fair value of the leased item.</w:t>
            </w:r>
            <w:r w:rsidR="004B4E70">
              <w:t xml:space="preserve"> </w:t>
            </w:r>
          </w:p>
          <w:p w14:paraId="1A2D5EC8" w14:textId="0FC8B113" w:rsidR="00C54E54" w:rsidRPr="00F8472C" w:rsidRDefault="004B4E70" w:rsidP="00AE0FA1">
            <w:pPr>
              <w:pStyle w:val="ListBullet"/>
              <w:numPr>
                <w:ilvl w:val="0"/>
                <w:numId w:val="0"/>
              </w:numPr>
            </w:pPr>
            <w:r>
              <w:t>Importantly, s</w:t>
            </w:r>
            <w:r w:rsidRPr="004B4E70">
              <w:t>chool councils do not have the authority to borrow money so therefore are unable to enter into finance leases (as opposed to operating leases).</w:t>
            </w:r>
          </w:p>
        </w:tc>
      </w:tr>
      <w:tr w:rsidR="004B4E70" w:rsidRPr="00D75869" w14:paraId="78CDF3BA" w14:textId="77777777" w:rsidTr="00AE0FA1">
        <w:trPr>
          <w:trHeight w:val="844"/>
        </w:trPr>
        <w:tc>
          <w:tcPr>
            <w:tcW w:w="1973" w:type="dxa"/>
            <w:shd w:val="clear" w:color="auto" w:fill="FFFFFF" w:themeFill="background1"/>
          </w:tcPr>
          <w:p w14:paraId="6C4664CA" w14:textId="2FC01BBB" w:rsidR="004B4E70" w:rsidRPr="00DB6664" w:rsidRDefault="004B4E70" w:rsidP="008E1CF2">
            <w:pPr>
              <w:rPr>
                <w:b/>
              </w:rPr>
            </w:pPr>
            <w:r>
              <w:rPr>
                <w:b/>
              </w:rPr>
              <w:t xml:space="preserve">Net </w:t>
            </w:r>
            <w:r w:rsidR="008E1CF2">
              <w:rPr>
                <w:b/>
              </w:rPr>
              <w:t>b</w:t>
            </w:r>
            <w:r>
              <w:rPr>
                <w:b/>
              </w:rPr>
              <w:t xml:space="preserve">ook </w:t>
            </w:r>
            <w:r w:rsidR="008E1CF2">
              <w:rPr>
                <w:b/>
              </w:rPr>
              <w:t>v</w:t>
            </w:r>
            <w:r>
              <w:rPr>
                <w:b/>
              </w:rPr>
              <w:t xml:space="preserve">alue </w:t>
            </w:r>
          </w:p>
        </w:tc>
        <w:tc>
          <w:tcPr>
            <w:tcW w:w="7042" w:type="dxa"/>
            <w:shd w:val="clear" w:color="auto" w:fill="FFFFFF" w:themeFill="background1"/>
          </w:tcPr>
          <w:p w14:paraId="63957C49" w14:textId="3D135E51" w:rsidR="004B4E70" w:rsidRDefault="004B4E70" w:rsidP="004B4E70">
            <w:r>
              <w:t>The net value of an asset. Equal to its original cost (its book value) minus depreciation and amortisation.</w:t>
            </w:r>
          </w:p>
        </w:tc>
      </w:tr>
      <w:tr w:rsidR="00CD3B93" w:rsidRPr="00D75869" w14:paraId="3D69E477" w14:textId="77777777" w:rsidTr="003E5CB7">
        <w:trPr>
          <w:trHeight w:val="2172"/>
        </w:trPr>
        <w:tc>
          <w:tcPr>
            <w:tcW w:w="1973" w:type="dxa"/>
            <w:shd w:val="clear" w:color="auto" w:fill="F2F2F2" w:themeFill="background1" w:themeFillShade="F2"/>
          </w:tcPr>
          <w:p w14:paraId="7DCBAC43" w14:textId="77777777" w:rsidR="00CD3B93" w:rsidRPr="00DB6664" w:rsidRDefault="00CD3B93" w:rsidP="00284372">
            <w:pPr>
              <w:rPr>
                <w:b/>
              </w:rPr>
            </w:pPr>
            <w:r w:rsidRPr="00DB6664">
              <w:rPr>
                <w:b/>
              </w:rPr>
              <w:t>Non-current physical asset</w:t>
            </w:r>
          </w:p>
        </w:tc>
        <w:tc>
          <w:tcPr>
            <w:tcW w:w="7042" w:type="dxa"/>
            <w:shd w:val="clear" w:color="auto" w:fill="F2F2F2" w:themeFill="background1" w:themeFillShade="F2"/>
          </w:tcPr>
          <w:p w14:paraId="099C7503" w14:textId="241FC6CB" w:rsidR="00CD3B93" w:rsidRPr="00284372" w:rsidRDefault="00131FB7" w:rsidP="00284372">
            <w:r>
              <w:t xml:space="preserve">These </w:t>
            </w:r>
            <w:r w:rsidR="00CD3B93" w:rsidRPr="00284372">
              <w:t xml:space="preserve">assets are </w:t>
            </w:r>
            <w:r w:rsidR="0019051C">
              <w:t>items</w:t>
            </w:r>
            <w:r w:rsidR="0019051C" w:rsidRPr="00284372">
              <w:t xml:space="preserve"> </w:t>
            </w:r>
            <w:r w:rsidR="00CD3B93" w:rsidRPr="00284372">
              <w:t>that are tangible – i.e. they have a physical nature and a useful life beyond the current accounting period, typically one year.</w:t>
            </w:r>
          </w:p>
          <w:p w14:paraId="5241B281" w14:textId="77777777" w:rsidR="00CD3B93" w:rsidRPr="00284372" w:rsidRDefault="00CD3B93" w:rsidP="00284372">
            <w:r w:rsidRPr="00284372">
              <w:t>Non-current physical assets differ from inventory items as inventory items are ‘consumable’ (used up, expended, have a limited life, are on sold), or under the recognition threshold for the category.</w:t>
            </w:r>
          </w:p>
        </w:tc>
      </w:tr>
      <w:tr w:rsidR="00C54E54" w:rsidRPr="00D75869" w14:paraId="4CB446F3" w14:textId="77777777" w:rsidTr="003E5CB7">
        <w:trPr>
          <w:trHeight w:val="1601"/>
        </w:trPr>
        <w:tc>
          <w:tcPr>
            <w:tcW w:w="1973" w:type="dxa"/>
            <w:shd w:val="clear" w:color="auto" w:fill="FFFFFF" w:themeFill="background1"/>
          </w:tcPr>
          <w:p w14:paraId="226E8EC3" w14:textId="2A4F60BB" w:rsidR="00C54E54" w:rsidRPr="00DB6664" w:rsidRDefault="00C54E54" w:rsidP="008E1CF2">
            <w:pPr>
              <w:rPr>
                <w:b/>
              </w:rPr>
            </w:pPr>
            <w:r w:rsidRPr="00DB6664">
              <w:rPr>
                <w:b/>
              </w:rPr>
              <w:t xml:space="preserve">Operating </w:t>
            </w:r>
            <w:r w:rsidR="008E1CF2">
              <w:rPr>
                <w:b/>
              </w:rPr>
              <w:t>l</w:t>
            </w:r>
            <w:r w:rsidRPr="00DB6664">
              <w:rPr>
                <w:b/>
              </w:rPr>
              <w:t xml:space="preserve">ease </w:t>
            </w:r>
          </w:p>
        </w:tc>
        <w:tc>
          <w:tcPr>
            <w:tcW w:w="7042" w:type="dxa"/>
            <w:shd w:val="clear" w:color="auto" w:fill="FFFFFF" w:themeFill="background1"/>
          </w:tcPr>
          <w:p w14:paraId="0667870A" w14:textId="4A8EB7B8" w:rsidR="00C54E54" w:rsidRPr="00284372" w:rsidRDefault="00131FB7" w:rsidP="00284372">
            <w:r>
              <w:t xml:space="preserve">This </w:t>
            </w:r>
            <w:r w:rsidR="00C54E54" w:rsidRPr="00284372">
              <w:t xml:space="preserve">is </w:t>
            </w:r>
            <w:r w:rsidRPr="00284372">
              <w:t>like</w:t>
            </w:r>
            <w:r w:rsidR="00C54E54" w:rsidRPr="00284372">
              <w:t xml:space="preserve"> a rental agreement where the goods are eventually returned to the lesser (company). For example, a school leases a photocopier for a period of three years. At the end of the three years, the school returns the photocopier to the company without further obligation.</w:t>
            </w:r>
          </w:p>
        </w:tc>
      </w:tr>
      <w:tr w:rsidR="00AE0FA1" w:rsidRPr="00D75869" w14:paraId="1D5C1FF0" w14:textId="77777777" w:rsidTr="003E5CB7">
        <w:trPr>
          <w:trHeight w:val="820"/>
        </w:trPr>
        <w:tc>
          <w:tcPr>
            <w:tcW w:w="1973" w:type="dxa"/>
            <w:shd w:val="clear" w:color="auto" w:fill="F2F2F2" w:themeFill="background1" w:themeFillShade="F2"/>
          </w:tcPr>
          <w:p w14:paraId="48393C9E" w14:textId="13AB554E" w:rsidR="00AE0FA1" w:rsidRPr="00DB6664" w:rsidRDefault="00AE0FA1" w:rsidP="00AE0FA1">
            <w:pPr>
              <w:rPr>
                <w:b/>
              </w:rPr>
            </w:pPr>
            <w:r>
              <w:rPr>
                <w:b/>
              </w:rPr>
              <w:t xml:space="preserve">Residual value </w:t>
            </w:r>
          </w:p>
        </w:tc>
        <w:tc>
          <w:tcPr>
            <w:tcW w:w="7042" w:type="dxa"/>
            <w:shd w:val="clear" w:color="auto" w:fill="F2F2F2" w:themeFill="background1" w:themeFillShade="F2"/>
          </w:tcPr>
          <w:p w14:paraId="56D75170" w14:textId="46C753B9" w:rsidR="00AE0FA1" w:rsidRPr="00284372" w:rsidRDefault="00AE0FA1" w:rsidP="00AE0FA1">
            <w:r>
              <w:t>The estimated amount that a school would currently obtain from disposal of the asset, after deducting the estimated costs of disposal, if the asset were already of the age and in the condition expected at the end of its useful life.</w:t>
            </w:r>
          </w:p>
        </w:tc>
      </w:tr>
      <w:tr w:rsidR="00C54E54" w:rsidRPr="00D75869" w14:paraId="2C794A13" w14:textId="77777777" w:rsidTr="003E5CB7">
        <w:trPr>
          <w:trHeight w:val="820"/>
        </w:trPr>
        <w:tc>
          <w:tcPr>
            <w:tcW w:w="1973" w:type="dxa"/>
            <w:shd w:val="clear" w:color="auto" w:fill="FFFFFF" w:themeFill="background1"/>
          </w:tcPr>
          <w:p w14:paraId="3B12BA95" w14:textId="77777777" w:rsidR="00C54E54" w:rsidRPr="00DB6664" w:rsidRDefault="00C54E54" w:rsidP="00284372">
            <w:pPr>
              <w:rPr>
                <w:b/>
              </w:rPr>
            </w:pPr>
            <w:r w:rsidRPr="00DB6664">
              <w:rPr>
                <w:b/>
              </w:rPr>
              <w:t>Stocktake</w:t>
            </w:r>
          </w:p>
        </w:tc>
        <w:tc>
          <w:tcPr>
            <w:tcW w:w="7042" w:type="dxa"/>
            <w:shd w:val="clear" w:color="auto" w:fill="FFFFFF" w:themeFill="background1"/>
          </w:tcPr>
          <w:p w14:paraId="588CCBF5" w14:textId="77777777" w:rsidR="00C54E54" w:rsidRPr="00284372" w:rsidRDefault="00C54E54" w:rsidP="00284372">
            <w:r w:rsidRPr="00284372">
              <w:t xml:space="preserve">Verification of the physical existence, location and condition of assets and inventories on a regular basis. </w:t>
            </w:r>
          </w:p>
        </w:tc>
      </w:tr>
      <w:tr w:rsidR="004B4E70" w:rsidRPr="00D75869" w14:paraId="2567E5BD" w14:textId="77777777" w:rsidTr="003E5CB7">
        <w:trPr>
          <w:trHeight w:val="820"/>
        </w:trPr>
        <w:tc>
          <w:tcPr>
            <w:tcW w:w="1973" w:type="dxa"/>
            <w:shd w:val="clear" w:color="auto" w:fill="F2F2F2" w:themeFill="background1" w:themeFillShade="F2"/>
          </w:tcPr>
          <w:p w14:paraId="19F44906" w14:textId="0570A52B" w:rsidR="004B4E70" w:rsidRPr="00DB6664" w:rsidRDefault="004B4E70" w:rsidP="00284372">
            <w:pPr>
              <w:rPr>
                <w:b/>
              </w:rPr>
            </w:pPr>
            <w:r>
              <w:rPr>
                <w:b/>
              </w:rPr>
              <w:t>Useful life</w:t>
            </w:r>
          </w:p>
        </w:tc>
        <w:tc>
          <w:tcPr>
            <w:tcW w:w="7042" w:type="dxa"/>
            <w:shd w:val="clear" w:color="auto" w:fill="F2F2F2" w:themeFill="background1" w:themeFillShade="F2"/>
          </w:tcPr>
          <w:p w14:paraId="4BA21E0E" w14:textId="63645771" w:rsidR="004B4E70" w:rsidRPr="00284372" w:rsidRDefault="004B4E70" w:rsidP="004B4E70">
            <w:r>
              <w:t>Is the period over which an asset is expected to be available for use by the school.</w:t>
            </w:r>
          </w:p>
        </w:tc>
      </w:tr>
    </w:tbl>
    <w:p w14:paraId="441B8D19" w14:textId="77777777" w:rsidR="002A0B3C" w:rsidRDefault="002A0B3C" w:rsidP="00F8472C"/>
    <w:p w14:paraId="5163194A" w14:textId="16F75502" w:rsidR="00E0344C" w:rsidRPr="006F7B96" w:rsidRDefault="00E0344C" w:rsidP="00E0344C">
      <w:pPr>
        <w:pStyle w:val="Heading2"/>
      </w:pPr>
      <w:r>
        <w:lastRenderedPageBreak/>
        <w:t>Additional r</w:t>
      </w:r>
      <w:r w:rsidRPr="006F7B96">
        <w:t>esources</w:t>
      </w:r>
    </w:p>
    <w:p w14:paraId="78E80EF8" w14:textId="25AAFEEA" w:rsidR="00F44638" w:rsidRPr="00A50C7F" w:rsidRDefault="00A50C7F" w:rsidP="00F44638">
      <w:pPr>
        <w:pStyle w:val="ListBullet"/>
        <w:numPr>
          <w:ilvl w:val="0"/>
          <w:numId w:val="61"/>
        </w:numPr>
        <w:rPr>
          <w:rStyle w:val="Hyperlink"/>
        </w:rPr>
      </w:pPr>
      <w:r w:rsidRPr="0007324E">
        <w:rPr>
          <w:color w:val="0000FF"/>
          <w:u w:val="single"/>
        </w:rPr>
        <w:fldChar w:fldCharType="begin"/>
      </w:r>
      <w:r>
        <w:rPr>
          <w:color w:val="0000FF"/>
          <w:u w:val="single"/>
        </w:rPr>
        <w:instrText xml:space="preserve"> HYPERLINK "https://edugate.eduweb.vic.gov.au/edulibrary/Schools/Forms/AllItems.aspx?RootFolder=%2fedulibrary%2fSchools%2fCASES21%2fCASES21%20Finance%2fFinance%20Business%20Process%20Guide&amp;FolderCTID=&amp;View=%7b393E28AF%2d9188%2d49EC%2d9B2F%2d5B1CA6BF217D%7d" </w:instrText>
      </w:r>
      <w:r w:rsidRPr="0007324E">
        <w:rPr>
          <w:color w:val="0000FF"/>
          <w:u w:val="single"/>
        </w:rPr>
        <w:fldChar w:fldCharType="separate"/>
      </w:r>
      <w:r w:rsidR="00F44638" w:rsidRPr="00A50C7F">
        <w:rPr>
          <w:rStyle w:val="Hyperlink"/>
        </w:rPr>
        <w:t>CASES21 Finance Business Process Guide Section 4 – Assets</w:t>
      </w:r>
    </w:p>
    <w:p w14:paraId="327926F8" w14:textId="2EF96506" w:rsidR="00650970" w:rsidRDefault="00A50C7F" w:rsidP="000F5524">
      <w:pPr>
        <w:pStyle w:val="ListParagraph"/>
        <w:numPr>
          <w:ilvl w:val="0"/>
          <w:numId w:val="61"/>
        </w:numPr>
      </w:pPr>
      <w:r w:rsidRPr="0007324E">
        <w:rPr>
          <w:rFonts w:eastAsiaTheme="minorHAnsi" w:cstheme="minorBidi"/>
          <w:color w:val="0000FF"/>
          <w:szCs w:val="22"/>
          <w:u w:val="single"/>
        </w:rPr>
        <w:fldChar w:fldCharType="end"/>
      </w:r>
      <w:hyperlink r:id="rId33" w:history="1">
        <w:r w:rsidR="00C54E54" w:rsidRPr="00650970">
          <w:rPr>
            <w:rStyle w:val="Hyperlink"/>
          </w:rPr>
          <w:t>Chart of Accounts for Victorian Government Schools</w:t>
        </w:r>
      </w:hyperlink>
      <w:r w:rsidR="00C54E54" w:rsidRPr="00F8472C">
        <w:t xml:space="preserve"> </w:t>
      </w:r>
    </w:p>
    <w:p w14:paraId="3E42BEFC" w14:textId="0FC5D95F" w:rsidR="00A2647C" w:rsidRDefault="000F5524" w:rsidP="003C7CAC">
      <w:pPr>
        <w:pStyle w:val="ListParagraph"/>
        <w:numPr>
          <w:ilvl w:val="0"/>
          <w:numId w:val="61"/>
        </w:numPr>
      </w:pPr>
      <w:hyperlink r:id="rId34" w:history="1">
        <w:r w:rsidR="00C54E54" w:rsidRPr="00650970">
          <w:rPr>
            <w:rStyle w:val="Hyperlink"/>
          </w:rPr>
          <w:t>School Policy and Advisory Guide</w:t>
        </w:r>
      </w:hyperlink>
      <w:r w:rsidR="00F8472C">
        <w:t xml:space="preserve"> </w:t>
      </w:r>
    </w:p>
    <w:p w14:paraId="21A5A03E" w14:textId="77777777" w:rsidR="00890D20" w:rsidRDefault="00890D20" w:rsidP="00284372"/>
    <w:p w14:paraId="6A012411" w14:textId="77777777" w:rsidR="00890D20" w:rsidRDefault="00890D20" w:rsidP="00284372"/>
    <w:p w14:paraId="48D18D32" w14:textId="77777777" w:rsidR="00890D20" w:rsidRDefault="00890D20" w:rsidP="00284372"/>
    <w:p w14:paraId="2A229C05" w14:textId="77777777" w:rsidR="00890D20" w:rsidRDefault="00890D20" w:rsidP="00284372"/>
    <w:p w14:paraId="0CC83207" w14:textId="77777777" w:rsidR="00890D20" w:rsidRDefault="00890D20" w:rsidP="00284372"/>
    <w:p w14:paraId="7733F195" w14:textId="77777777" w:rsidR="00890D20" w:rsidRDefault="00890D20" w:rsidP="00284372"/>
    <w:p w14:paraId="1EC7E66E" w14:textId="77777777" w:rsidR="00890D20" w:rsidRDefault="00890D20" w:rsidP="00284372"/>
    <w:p w14:paraId="75DFC2D4" w14:textId="77777777" w:rsidR="00890D20" w:rsidRDefault="00890D20" w:rsidP="00284372"/>
    <w:p w14:paraId="24423A0D" w14:textId="77777777" w:rsidR="00A2647C" w:rsidRDefault="00A2647C" w:rsidP="00284372"/>
    <w:p w14:paraId="1BB9C217" w14:textId="77777777" w:rsidR="00A2647C" w:rsidRDefault="00A2647C" w:rsidP="00284372"/>
    <w:p w14:paraId="4057BD21" w14:textId="77777777" w:rsidR="00A2647C" w:rsidRDefault="00A2647C" w:rsidP="00284372"/>
    <w:p w14:paraId="00FF6D7D" w14:textId="77777777" w:rsidR="00A2647C" w:rsidRDefault="00A2647C" w:rsidP="00284372"/>
    <w:p w14:paraId="6218075C" w14:textId="77777777" w:rsidR="00A2647C" w:rsidRDefault="00A2647C" w:rsidP="00284372"/>
    <w:p w14:paraId="0BCB7FA9" w14:textId="58CC0D91" w:rsidR="00E12C68" w:rsidRDefault="00E12C68" w:rsidP="00284372"/>
    <w:p w14:paraId="27315D54" w14:textId="6A64F9F6" w:rsidR="00E12C68" w:rsidRDefault="00E12C68" w:rsidP="00284372"/>
    <w:p w14:paraId="3ED63652" w14:textId="0BD2CC03" w:rsidR="00E12C68" w:rsidRDefault="00E12C68" w:rsidP="00284372"/>
    <w:p w14:paraId="30E94BDC" w14:textId="4936A993" w:rsidR="00E12C68" w:rsidRDefault="00E12C68" w:rsidP="00284372"/>
    <w:p w14:paraId="51145B4C" w14:textId="2E5113CA" w:rsidR="00E12C68" w:rsidRDefault="00E12C68" w:rsidP="00284372"/>
    <w:p w14:paraId="77710000" w14:textId="337EC1C1" w:rsidR="00E12C68" w:rsidRDefault="00E12C68" w:rsidP="00284372"/>
    <w:p w14:paraId="20DBE880" w14:textId="36F2795F" w:rsidR="00E12C68" w:rsidRDefault="00E12C68" w:rsidP="00284372"/>
    <w:p w14:paraId="0F27055C" w14:textId="2E23B423" w:rsidR="00E12C68" w:rsidRDefault="00E12C68" w:rsidP="00284372"/>
    <w:p w14:paraId="2AC27BA8" w14:textId="446F0375" w:rsidR="00E12C68" w:rsidRDefault="00E12C68" w:rsidP="00284372"/>
    <w:p w14:paraId="71E47D50" w14:textId="7B12D6C3" w:rsidR="00E12C68" w:rsidRDefault="00E12C68" w:rsidP="00284372"/>
    <w:p w14:paraId="54882240" w14:textId="7DD0DD79" w:rsidR="00CB0396" w:rsidRPr="00B44818" w:rsidRDefault="004B4E70" w:rsidP="00CB0396">
      <w:pPr>
        <w:pStyle w:val="Heading2"/>
      </w:pPr>
      <w:r>
        <w:t xml:space="preserve">Version and </w:t>
      </w:r>
      <w:r w:rsidR="008E1CF2">
        <w:t>r</w:t>
      </w:r>
      <w:r w:rsidR="00CB0396" w:rsidRPr="00B44818">
        <w:t xml:space="preserve">evision </w:t>
      </w:r>
      <w:r>
        <w:t xml:space="preserve">control </w:t>
      </w:r>
      <w:r w:rsidR="00CB0396" w:rsidRPr="00B44818">
        <w:t>record</w:t>
      </w:r>
    </w:p>
    <w:tbl>
      <w:tblPr>
        <w:tblStyle w:val="GridTable6Colorful1"/>
        <w:tblW w:w="0" w:type="auto"/>
        <w:tblLook w:val="04A0" w:firstRow="1" w:lastRow="0" w:firstColumn="1" w:lastColumn="0" w:noHBand="0" w:noVBand="1"/>
        <w:tblDescription w:val="table containing version and revision contraol"/>
      </w:tblPr>
      <w:tblGrid>
        <w:gridCol w:w="1318"/>
        <w:gridCol w:w="1133"/>
        <w:gridCol w:w="4914"/>
        <w:gridCol w:w="1689"/>
      </w:tblGrid>
      <w:tr w:rsidR="00CB0396" w:rsidRPr="00AD3210" w14:paraId="120B59BC" w14:textId="77777777" w:rsidTr="00FA3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shd w:val="clear" w:color="auto" w:fill="F2F2F2" w:themeFill="background1" w:themeFillShade="F2"/>
          </w:tcPr>
          <w:p w14:paraId="0596D13D" w14:textId="77777777" w:rsidR="00CB0396" w:rsidRPr="00284372" w:rsidRDefault="00CB0396" w:rsidP="00284372">
            <w:r w:rsidRPr="00284372">
              <w:t>Date</w:t>
            </w:r>
          </w:p>
        </w:tc>
        <w:tc>
          <w:tcPr>
            <w:tcW w:w="1133" w:type="dxa"/>
            <w:tcBorders>
              <w:bottom w:val="single" w:sz="4" w:space="0" w:color="auto"/>
            </w:tcBorders>
            <w:shd w:val="clear" w:color="auto" w:fill="F2F2F2" w:themeFill="background1" w:themeFillShade="F2"/>
          </w:tcPr>
          <w:p w14:paraId="05E5B86D" w14:textId="77777777" w:rsidR="00CB0396" w:rsidRPr="00284372" w:rsidRDefault="00CB0396" w:rsidP="00284372">
            <w:pPr>
              <w:cnfStyle w:val="100000000000" w:firstRow="1" w:lastRow="0" w:firstColumn="0" w:lastColumn="0" w:oddVBand="0" w:evenVBand="0" w:oddHBand="0" w:evenHBand="0" w:firstRowFirstColumn="0" w:firstRowLastColumn="0" w:lastRowFirstColumn="0" w:lastRowLastColumn="0"/>
            </w:pPr>
            <w:r w:rsidRPr="00284372">
              <w:t>Version</w:t>
            </w:r>
          </w:p>
        </w:tc>
        <w:tc>
          <w:tcPr>
            <w:tcW w:w="4914" w:type="dxa"/>
            <w:tcBorders>
              <w:bottom w:val="single" w:sz="4" w:space="0" w:color="auto"/>
            </w:tcBorders>
            <w:shd w:val="clear" w:color="auto" w:fill="F2F2F2" w:themeFill="background1" w:themeFillShade="F2"/>
          </w:tcPr>
          <w:p w14:paraId="58E0E7F7" w14:textId="77777777" w:rsidR="00CB0396" w:rsidRPr="00284372" w:rsidRDefault="00CB0396" w:rsidP="00284372">
            <w:pPr>
              <w:cnfStyle w:val="100000000000" w:firstRow="1" w:lastRow="0" w:firstColumn="0" w:lastColumn="0" w:oddVBand="0" w:evenVBand="0" w:oddHBand="0" w:evenHBand="0" w:firstRowFirstColumn="0" w:firstRowLastColumn="0" w:lastRowFirstColumn="0" w:lastRowLastColumn="0"/>
            </w:pPr>
            <w:r w:rsidRPr="00284372">
              <w:t>Approver</w:t>
            </w:r>
          </w:p>
        </w:tc>
        <w:tc>
          <w:tcPr>
            <w:tcW w:w="1689" w:type="dxa"/>
            <w:tcBorders>
              <w:bottom w:val="single" w:sz="4" w:space="0" w:color="auto"/>
            </w:tcBorders>
            <w:shd w:val="clear" w:color="auto" w:fill="F2F2F2" w:themeFill="background1" w:themeFillShade="F2"/>
          </w:tcPr>
          <w:p w14:paraId="472FDBAD" w14:textId="77777777" w:rsidR="00CB0396" w:rsidRPr="00284372" w:rsidRDefault="00CB0396" w:rsidP="00284372">
            <w:pPr>
              <w:cnfStyle w:val="100000000000" w:firstRow="1" w:lastRow="0" w:firstColumn="0" w:lastColumn="0" w:oddVBand="0" w:evenVBand="0" w:oddHBand="0" w:evenHBand="0" w:firstRowFirstColumn="0" w:firstRowLastColumn="0" w:lastRowFirstColumn="0" w:lastRowLastColumn="0"/>
            </w:pPr>
            <w:r w:rsidRPr="00284372">
              <w:t>Next Review</w:t>
            </w:r>
          </w:p>
        </w:tc>
      </w:tr>
      <w:tr w:rsidR="00CB0396" w:rsidRPr="00AD3210" w14:paraId="17F9B447" w14:textId="77777777" w:rsidTr="00FA35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587E4BA0" w14:textId="7027F022" w:rsidR="00CB0396" w:rsidRPr="00A2647C" w:rsidRDefault="00FA358A" w:rsidP="000002BF">
            <w:pPr>
              <w:rPr>
                <w:b w:val="0"/>
              </w:rPr>
            </w:pPr>
            <w:r>
              <w:rPr>
                <w:b w:val="0"/>
              </w:rPr>
              <w:t>0</w:t>
            </w:r>
            <w:r w:rsidR="000002BF">
              <w:rPr>
                <w:b w:val="0"/>
              </w:rPr>
              <w:t>1</w:t>
            </w:r>
            <w:r>
              <w:rPr>
                <w:b w:val="0"/>
              </w:rPr>
              <w:t>/20</w:t>
            </w:r>
            <w:r w:rsidR="000002BF">
              <w:rPr>
                <w:b w:val="0"/>
              </w:rPr>
              <w:t>19</w:t>
            </w:r>
          </w:p>
        </w:tc>
        <w:tc>
          <w:tcPr>
            <w:tcW w:w="1133" w:type="dxa"/>
            <w:tcBorders>
              <w:top w:val="single" w:sz="4" w:space="0" w:color="auto"/>
            </w:tcBorders>
            <w:shd w:val="clear" w:color="auto" w:fill="auto"/>
          </w:tcPr>
          <w:p w14:paraId="00281A29" w14:textId="1882544F" w:rsidR="00CB0396" w:rsidRPr="00E12C68" w:rsidRDefault="009B652A" w:rsidP="00284372">
            <w:pPr>
              <w:cnfStyle w:val="100000000000" w:firstRow="1" w:lastRow="0" w:firstColumn="0" w:lastColumn="0" w:oddVBand="0" w:evenVBand="0" w:oddHBand="0" w:evenHBand="0" w:firstRowFirstColumn="0" w:firstRowLastColumn="0" w:lastRowFirstColumn="0" w:lastRowLastColumn="0"/>
              <w:rPr>
                <w:b w:val="0"/>
              </w:rPr>
            </w:pPr>
            <w:r>
              <w:rPr>
                <w:b w:val="0"/>
              </w:rPr>
              <w:t>1.2</w:t>
            </w:r>
          </w:p>
        </w:tc>
        <w:tc>
          <w:tcPr>
            <w:tcW w:w="4914" w:type="dxa"/>
            <w:tcBorders>
              <w:top w:val="single" w:sz="4" w:space="0" w:color="auto"/>
              <w:bottom w:val="single" w:sz="4" w:space="0" w:color="auto"/>
            </w:tcBorders>
            <w:shd w:val="clear" w:color="auto" w:fill="auto"/>
          </w:tcPr>
          <w:p w14:paraId="1D8052FD" w14:textId="77777777" w:rsidR="00CB0396" w:rsidRPr="00E12C68" w:rsidRDefault="00CB0396" w:rsidP="00284372">
            <w:pPr>
              <w:cnfStyle w:val="100000000000" w:firstRow="1" w:lastRow="0" w:firstColumn="0" w:lastColumn="0" w:oddVBand="0" w:evenVBand="0" w:oddHBand="0" w:evenHBand="0" w:firstRowFirstColumn="0" w:firstRowLastColumn="0" w:lastRowFirstColumn="0" w:lastRowLastColumn="0"/>
              <w:rPr>
                <w:b w:val="0"/>
              </w:rPr>
            </w:pPr>
            <w:r w:rsidRPr="00E12C68">
              <w:rPr>
                <w:b w:val="0"/>
              </w:rPr>
              <w:t>Chief Finance Officer -  Financial Services Division</w:t>
            </w:r>
          </w:p>
        </w:tc>
        <w:tc>
          <w:tcPr>
            <w:tcW w:w="1689" w:type="dxa"/>
            <w:tcBorders>
              <w:top w:val="single" w:sz="4" w:space="0" w:color="auto"/>
            </w:tcBorders>
            <w:shd w:val="clear" w:color="auto" w:fill="auto"/>
          </w:tcPr>
          <w:p w14:paraId="5EFC8150" w14:textId="21329F42" w:rsidR="00CB0396" w:rsidRPr="00E12C68" w:rsidRDefault="00FA358A" w:rsidP="000002BF">
            <w:pPr>
              <w:cnfStyle w:val="100000000000" w:firstRow="1" w:lastRow="0" w:firstColumn="0" w:lastColumn="0" w:oddVBand="0" w:evenVBand="0" w:oddHBand="0" w:evenHBand="0" w:firstRowFirstColumn="0" w:firstRowLastColumn="0" w:lastRowFirstColumn="0" w:lastRowLastColumn="0"/>
              <w:rPr>
                <w:b w:val="0"/>
              </w:rPr>
            </w:pPr>
            <w:r w:rsidRPr="00E12C68">
              <w:rPr>
                <w:b w:val="0"/>
              </w:rPr>
              <w:t>0</w:t>
            </w:r>
            <w:r w:rsidR="000002BF">
              <w:rPr>
                <w:b w:val="0"/>
              </w:rPr>
              <w:t>1</w:t>
            </w:r>
            <w:r w:rsidRPr="00E12C68">
              <w:rPr>
                <w:b w:val="0"/>
              </w:rPr>
              <w:t>/20</w:t>
            </w:r>
            <w:r w:rsidR="000002BF">
              <w:rPr>
                <w:b w:val="0"/>
              </w:rPr>
              <w:t>20</w:t>
            </w:r>
          </w:p>
        </w:tc>
      </w:tr>
    </w:tbl>
    <w:p w14:paraId="6185D5F1" w14:textId="77777777" w:rsidR="0051778F" w:rsidRPr="00284372" w:rsidRDefault="0051778F" w:rsidP="00284372"/>
    <w:sectPr w:rsidR="0051778F" w:rsidRPr="00284372" w:rsidSect="00AD3210">
      <w:footerReference w:type="default" r:id="rId35"/>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F2CCB" w14:textId="77777777" w:rsidR="00235683" w:rsidRDefault="00235683" w:rsidP="008766A4">
      <w:r>
        <w:separator/>
      </w:r>
    </w:p>
  </w:endnote>
  <w:endnote w:type="continuationSeparator" w:id="0">
    <w:p w14:paraId="2322A6D7" w14:textId="77777777" w:rsidR="00235683" w:rsidRDefault="0023568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4565" w14:textId="4FCC2AEF" w:rsidR="000F5524" w:rsidRPr="003E29B5" w:rsidRDefault="000F5524" w:rsidP="00714E93">
    <w:pPr>
      <w:pStyle w:val="Footer"/>
    </w:pPr>
    <w:r w:rsidRPr="00006534">
      <w:rPr>
        <w:noProof/>
        <w:lang w:eastAsia="en-AU"/>
      </w:rPr>
      <w:drawing>
        <wp:anchor distT="0" distB="0" distL="114300" distR="114300" simplePos="0" relativeHeight="251665408" behindDoc="1" locked="0" layoutInCell="1" allowOverlap="1" wp14:anchorId="22BA5F05" wp14:editId="35AACEED">
          <wp:simplePos x="0" y="0"/>
          <wp:positionH relativeFrom="page">
            <wp:posOffset>762000</wp:posOffset>
          </wp:positionH>
          <wp:positionV relativeFrom="page">
            <wp:posOffset>9728200</wp:posOffset>
          </wp:positionV>
          <wp:extent cx="6627959" cy="721995"/>
          <wp:effectExtent l="0" t="0" r="1905" b="1905"/>
          <wp:wrapNone/>
          <wp:docPr id="1" name="Picture 1" descr="footer containing page name, number, review date and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27959" cy="721995"/>
                  </a:xfrm>
                  <a:prstGeom prst="rect">
                    <a:avLst/>
                  </a:prstGeom>
                </pic:spPr>
              </pic:pic>
            </a:graphicData>
          </a:graphic>
        </wp:anchor>
      </w:drawing>
    </w:r>
    <w:r>
      <w:rPr>
        <w:noProof/>
      </w:rPr>
      <w:t xml:space="preserve">Section13: Asset and Inventory Management </w:t>
    </w:r>
    <w:r w:rsidRPr="002743F7">
      <w:rPr>
        <w:noProof/>
      </w:rPr>
      <w:t xml:space="preserve">| </w:t>
    </w:r>
    <w:r>
      <w:rPr>
        <w:noProof/>
      </w:rPr>
      <w:t>July 2019</w:t>
    </w:r>
    <w:r>
      <w:rPr>
        <w:noProof/>
      </w:rPr>
      <w:tab/>
    </w:r>
    <w:sdt>
      <w:sdtPr>
        <w:rPr>
          <w:rFonts w:eastAsia="Arial" w:cs="Times New Roman"/>
        </w:rPr>
        <w:id w:val="208384299"/>
        <w:docPartObj>
          <w:docPartGallery w:val="Page Numbers (Bottom of Page)"/>
          <w:docPartUnique/>
        </w:docPartObj>
      </w:sdtPr>
      <w:sdtEndPr>
        <w:rPr>
          <w:noProof/>
        </w:rPr>
      </w:sdtEndPr>
      <w:sdtContent>
        <w:r>
          <w:rPr>
            <w:rFonts w:eastAsia="Arial" w:cs="Times New Roman"/>
          </w:rPr>
          <w:t xml:space="preserve">Page </w:t>
        </w:r>
        <w:r w:rsidRPr="00006534">
          <w:rPr>
            <w:rFonts w:eastAsia="Arial" w:cs="Times New Roman"/>
          </w:rPr>
          <w:fldChar w:fldCharType="begin"/>
        </w:r>
        <w:r w:rsidRPr="00006534">
          <w:rPr>
            <w:rFonts w:eastAsia="Arial" w:cs="Times New Roman"/>
          </w:rPr>
          <w:instrText xml:space="preserve"> TITLE  \* MERGEFORMAT </w:instrText>
        </w:r>
        <w:r w:rsidRPr="00006534">
          <w:rPr>
            <w:rFonts w:eastAsia="Arial" w:cs="Times New Roman"/>
          </w:rPr>
          <w:fldChar w:fldCharType="end"/>
        </w:r>
        <w:r w:rsidRPr="007B2B29">
          <w:rPr>
            <w:rFonts w:eastAsia="Arial" w:cs="Times New Roman"/>
          </w:rPr>
          <w:fldChar w:fldCharType="begin"/>
        </w:r>
        <w:r w:rsidRPr="007B2B29">
          <w:rPr>
            <w:rFonts w:eastAsia="Arial" w:cs="Times New Roman"/>
          </w:rPr>
          <w:instrText xml:space="preserve"> PAGE   \* MERGEFORMAT </w:instrText>
        </w:r>
        <w:r w:rsidRPr="007B2B29">
          <w:rPr>
            <w:rFonts w:eastAsia="Arial" w:cs="Times New Roman"/>
          </w:rPr>
          <w:fldChar w:fldCharType="separate"/>
        </w:r>
        <w:r w:rsidR="005D3038">
          <w:rPr>
            <w:rFonts w:eastAsia="Arial" w:cs="Times New Roman"/>
            <w:noProof/>
          </w:rPr>
          <w:t>26</w:t>
        </w:r>
        <w:r w:rsidRPr="007B2B29">
          <w:rPr>
            <w:rFonts w:eastAsia="Arial"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69A1" w14:textId="77777777" w:rsidR="00235683" w:rsidRDefault="00235683" w:rsidP="008766A4">
      <w:r>
        <w:separator/>
      </w:r>
    </w:p>
  </w:footnote>
  <w:footnote w:type="continuationSeparator" w:id="0">
    <w:p w14:paraId="2D534584" w14:textId="77777777" w:rsidR="00235683" w:rsidRDefault="00235683"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EB78D0"/>
    <w:multiLevelType w:val="hybridMultilevel"/>
    <w:tmpl w:val="FAD8E97C"/>
    <w:lvl w:ilvl="0" w:tplc="E584796A">
      <w:start w:val="1"/>
      <w:numFmt w:val="bullet"/>
      <w:pStyle w:val="ListBullet"/>
      <w:lvlText w:val=""/>
      <w:lvlJc w:val="left"/>
      <w:pPr>
        <w:ind w:left="786"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A0353A"/>
    <w:multiLevelType w:val="hybridMultilevel"/>
    <w:tmpl w:val="5DBEA6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1C44011"/>
    <w:multiLevelType w:val="hybridMultilevel"/>
    <w:tmpl w:val="487298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4861C1"/>
    <w:multiLevelType w:val="hybridMultilevel"/>
    <w:tmpl w:val="FA3E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C277DD"/>
    <w:multiLevelType w:val="hybridMultilevel"/>
    <w:tmpl w:val="737E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CD6309"/>
    <w:multiLevelType w:val="hybridMultilevel"/>
    <w:tmpl w:val="469C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B60EFA"/>
    <w:multiLevelType w:val="hybridMultilevel"/>
    <w:tmpl w:val="7E0E7AA8"/>
    <w:lvl w:ilvl="0" w:tplc="3D4C0414">
      <w:start w:val="1"/>
      <w:numFmt w:val="bullet"/>
      <w:lvlText w:val=""/>
      <w:lvlJc w:val="left"/>
      <w:pPr>
        <w:ind w:left="1636"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2D6776C1"/>
    <w:multiLevelType w:val="hybridMultilevel"/>
    <w:tmpl w:val="3974A37A"/>
    <w:lvl w:ilvl="0" w:tplc="3D4C0414">
      <w:start w:val="1"/>
      <w:numFmt w:val="bullet"/>
      <w:lvlText w:val=""/>
      <w:lvlJc w:val="left"/>
      <w:pPr>
        <w:ind w:left="1636"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343229"/>
    <w:multiLevelType w:val="hybridMultilevel"/>
    <w:tmpl w:val="39A27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2F4400"/>
    <w:multiLevelType w:val="hybridMultilevel"/>
    <w:tmpl w:val="FE582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E433FE"/>
    <w:multiLevelType w:val="hybridMultilevel"/>
    <w:tmpl w:val="98F4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28689B"/>
    <w:multiLevelType w:val="hybridMultilevel"/>
    <w:tmpl w:val="7E027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383ED8"/>
    <w:multiLevelType w:val="hybridMultilevel"/>
    <w:tmpl w:val="4534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E51E60"/>
    <w:multiLevelType w:val="hybridMultilevel"/>
    <w:tmpl w:val="E242B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06498B"/>
    <w:multiLevelType w:val="hybridMultilevel"/>
    <w:tmpl w:val="1E423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F952F0"/>
    <w:multiLevelType w:val="hybridMultilevel"/>
    <w:tmpl w:val="3134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A953A4"/>
    <w:multiLevelType w:val="hybridMultilevel"/>
    <w:tmpl w:val="F282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0C0870"/>
    <w:multiLevelType w:val="hybridMultilevel"/>
    <w:tmpl w:val="B22E356C"/>
    <w:lvl w:ilvl="0" w:tplc="0C090001">
      <w:start w:val="1"/>
      <w:numFmt w:val="bullet"/>
      <w:lvlText w:val=""/>
      <w:lvlJc w:val="left"/>
      <w:pPr>
        <w:ind w:left="455" w:hanging="360"/>
      </w:pPr>
      <w:rPr>
        <w:rFonts w:ascii="Symbol" w:hAnsi="Symbol"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36" w15:restartNumberingAfterBreak="0">
    <w:nsid w:val="43C5320B"/>
    <w:multiLevelType w:val="hybridMultilevel"/>
    <w:tmpl w:val="2AE873FA"/>
    <w:lvl w:ilvl="0" w:tplc="B09AB21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3E311FD"/>
    <w:multiLevelType w:val="hybridMultilevel"/>
    <w:tmpl w:val="BB648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4BF1643"/>
    <w:multiLevelType w:val="hybridMultilevel"/>
    <w:tmpl w:val="9F70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EF35D1"/>
    <w:multiLevelType w:val="hybridMultilevel"/>
    <w:tmpl w:val="7C56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4F1480"/>
    <w:multiLevelType w:val="hybridMultilevel"/>
    <w:tmpl w:val="DD56BDF0"/>
    <w:lvl w:ilvl="0" w:tplc="3D4C0414">
      <w:start w:val="1"/>
      <w:numFmt w:val="bullet"/>
      <w:lvlText w:val=""/>
      <w:lvlJc w:val="left"/>
      <w:pPr>
        <w:ind w:left="1636" w:hanging="360"/>
      </w:pPr>
      <w:rPr>
        <w:rFonts w:ascii="Symbol" w:hAnsi="Symbol" w:hint="default"/>
        <w:color w:val="000000" w:themeColor="text1"/>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1"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1E1CD5"/>
    <w:multiLevelType w:val="hybridMultilevel"/>
    <w:tmpl w:val="AF562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AAD1F49"/>
    <w:multiLevelType w:val="hybridMultilevel"/>
    <w:tmpl w:val="A1129946"/>
    <w:lvl w:ilvl="0" w:tplc="37C260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F2B6619"/>
    <w:multiLevelType w:val="multilevel"/>
    <w:tmpl w:val="AAAC1BFE"/>
    <w:lvl w:ilvl="0">
      <w:start w:val="4"/>
      <w:numFmt w:val="decimal"/>
      <w:suff w:val="space"/>
      <w:lvlText w:val="Section %1"/>
      <w:lvlJc w:val="left"/>
      <w:rPr>
        <w:rFonts w:ascii="Arial" w:hAnsi="Arial" w:cs="Times New Roman" w:hint="default"/>
        <w:b/>
        <w:i w:val="0"/>
        <w:caps w:val="0"/>
        <w:strike w:val="0"/>
        <w:dstrike w:val="0"/>
        <w:vanish w:val="0"/>
        <w:color w:val="auto"/>
        <w:sz w:val="36"/>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6"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064E4B"/>
    <w:multiLevelType w:val="hybridMultilevel"/>
    <w:tmpl w:val="D458BF34"/>
    <w:lvl w:ilvl="0" w:tplc="AD1EF17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4261D3"/>
    <w:multiLevelType w:val="hybridMultilevel"/>
    <w:tmpl w:val="35EE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0" w15:restartNumberingAfterBreak="0">
    <w:nsid w:val="65DE47F4"/>
    <w:multiLevelType w:val="hybridMultilevel"/>
    <w:tmpl w:val="5298133C"/>
    <w:lvl w:ilvl="0" w:tplc="3D4C0414">
      <w:start w:val="1"/>
      <w:numFmt w:val="bullet"/>
      <w:lvlText w:val=""/>
      <w:lvlJc w:val="left"/>
      <w:pPr>
        <w:ind w:left="1636"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191737"/>
    <w:multiLevelType w:val="hybridMultilevel"/>
    <w:tmpl w:val="00062592"/>
    <w:lvl w:ilvl="0" w:tplc="DA12926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61716EC"/>
    <w:multiLevelType w:val="hybridMultilevel"/>
    <w:tmpl w:val="2BFE0B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5"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56"/>
  </w:num>
  <w:num w:numId="14">
    <w:abstractNumId w:val="49"/>
  </w:num>
  <w:num w:numId="15">
    <w:abstractNumId w:val="54"/>
  </w:num>
  <w:num w:numId="16">
    <w:abstractNumId w:val="21"/>
  </w:num>
  <w:num w:numId="17">
    <w:abstractNumId w:val="30"/>
  </w:num>
  <w:num w:numId="18">
    <w:abstractNumId w:val="32"/>
  </w:num>
  <w:num w:numId="19">
    <w:abstractNumId w:val="55"/>
  </w:num>
  <w:num w:numId="20">
    <w:abstractNumId w:val="18"/>
  </w:num>
  <w:num w:numId="21">
    <w:abstractNumId w:val="16"/>
  </w:num>
  <w:num w:numId="22">
    <w:abstractNumId w:val="27"/>
  </w:num>
  <w:num w:numId="23">
    <w:abstractNumId w:val="42"/>
  </w:num>
  <w:num w:numId="24">
    <w:abstractNumId w:val="41"/>
  </w:num>
  <w:num w:numId="25">
    <w:abstractNumId w:val="46"/>
  </w:num>
  <w:num w:numId="26">
    <w:abstractNumId w:val="51"/>
  </w:num>
  <w:num w:numId="27">
    <w:abstractNumId w:val="12"/>
  </w:num>
  <w:num w:numId="28">
    <w:abstractNumId w:val="12"/>
  </w:num>
  <w:num w:numId="29">
    <w:abstractNumId w:val="12"/>
  </w:num>
  <w:num w:numId="30">
    <w:abstractNumId w:val="39"/>
  </w:num>
  <w:num w:numId="31">
    <w:abstractNumId w:val="40"/>
  </w:num>
  <w:num w:numId="32">
    <w:abstractNumId w:val="17"/>
  </w:num>
  <w:num w:numId="33">
    <w:abstractNumId w:val="25"/>
  </w:num>
  <w:num w:numId="34">
    <w:abstractNumId w:val="34"/>
  </w:num>
  <w:num w:numId="35">
    <w:abstractNumId w:val="33"/>
  </w:num>
  <w:num w:numId="36">
    <w:abstractNumId w:val="50"/>
  </w:num>
  <w:num w:numId="37">
    <w:abstractNumId w:val="20"/>
  </w:num>
  <w:num w:numId="38">
    <w:abstractNumId w:val="47"/>
  </w:num>
  <w:num w:numId="39">
    <w:abstractNumId w:val="38"/>
  </w:num>
  <w:num w:numId="40">
    <w:abstractNumId w:val="24"/>
  </w:num>
  <w:num w:numId="41">
    <w:abstractNumId w:val="15"/>
  </w:num>
  <w:num w:numId="42">
    <w:abstractNumId w:val="48"/>
  </w:num>
  <w:num w:numId="43">
    <w:abstractNumId w:val="36"/>
  </w:num>
  <w:num w:numId="44">
    <w:abstractNumId w:val="22"/>
  </w:num>
  <w:num w:numId="45">
    <w:abstractNumId w:val="12"/>
  </w:num>
  <w:num w:numId="46">
    <w:abstractNumId w:val="12"/>
  </w:num>
  <w:num w:numId="47">
    <w:abstractNumId w:val="45"/>
  </w:num>
  <w:num w:numId="48">
    <w:abstractNumId w:val="26"/>
  </w:num>
  <w:num w:numId="49">
    <w:abstractNumId w:val="13"/>
  </w:num>
  <w:num w:numId="50">
    <w:abstractNumId w:val="19"/>
  </w:num>
  <w:num w:numId="51">
    <w:abstractNumId w:val="23"/>
  </w:num>
  <w:num w:numId="52">
    <w:abstractNumId w:val="14"/>
  </w:num>
  <w:num w:numId="53">
    <w:abstractNumId w:val="44"/>
  </w:num>
  <w:num w:numId="54">
    <w:abstractNumId w:val="28"/>
  </w:num>
  <w:num w:numId="55">
    <w:abstractNumId w:val="29"/>
  </w:num>
  <w:num w:numId="56">
    <w:abstractNumId w:val="37"/>
  </w:num>
  <w:num w:numId="57">
    <w:abstractNumId w:val="12"/>
  </w:num>
  <w:num w:numId="58">
    <w:abstractNumId w:val="53"/>
  </w:num>
  <w:num w:numId="59">
    <w:abstractNumId w:val="35"/>
  </w:num>
  <w:num w:numId="60">
    <w:abstractNumId w:val="43"/>
  </w:num>
  <w:num w:numId="61">
    <w:abstractNumId w:val="52"/>
  </w:num>
  <w:num w:numId="62">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2BF"/>
    <w:rsid w:val="000038D4"/>
    <w:rsid w:val="00026035"/>
    <w:rsid w:val="0003247C"/>
    <w:rsid w:val="00033C0D"/>
    <w:rsid w:val="00035071"/>
    <w:rsid w:val="000359C1"/>
    <w:rsid w:val="000607EB"/>
    <w:rsid w:val="000712AE"/>
    <w:rsid w:val="0007324E"/>
    <w:rsid w:val="00073B44"/>
    <w:rsid w:val="00080349"/>
    <w:rsid w:val="000852D5"/>
    <w:rsid w:val="00091918"/>
    <w:rsid w:val="00096CA9"/>
    <w:rsid w:val="00097D0E"/>
    <w:rsid w:val="000A1C9A"/>
    <w:rsid w:val="000B0506"/>
    <w:rsid w:val="000B4A78"/>
    <w:rsid w:val="000B653F"/>
    <w:rsid w:val="000B6F69"/>
    <w:rsid w:val="000C01B4"/>
    <w:rsid w:val="000C499D"/>
    <w:rsid w:val="000C5885"/>
    <w:rsid w:val="000C68BB"/>
    <w:rsid w:val="000D2D95"/>
    <w:rsid w:val="000E4ACB"/>
    <w:rsid w:val="000F155E"/>
    <w:rsid w:val="000F2D64"/>
    <w:rsid w:val="000F47AB"/>
    <w:rsid w:val="000F4C22"/>
    <w:rsid w:val="000F5524"/>
    <w:rsid w:val="00103470"/>
    <w:rsid w:val="00104432"/>
    <w:rsid w:val="00105997"/>
    <w:rsid w:val="00114F00"/>
    <w:rsid w:val="001211F7"/>
    <w:rsid w:val="00124DC1"/>
    <w:rsid w:val="00127682"/>
    <w:rsid w:val="00127ECC"/>
    <w:rsid w:val="00130301"/>
    <w:rsid w:val="00131FB7"/>
    <w:rsid w:val="0013716D"/>
    <w:rsid w:val="0014310A"/>
    <w:rsid w:val="00146F8A"/>
    <w:rsid w:val="00150302"/>
    <w:rsid w:val="00151284"/>
    <w:rsid w:val="001534D7"/>
    <w:rsid w:val="00153E8B"/>
    <w:rsid w:val="001574A3"/>
    <w:rsid w:val="001656E7"/>
    <w:rsid w:val="00170377"/>
    <w:rsid w:val="001722D9"/>
    <w:rsid w:val="001853BB"/>
    <w:rsid w:val="00187894"/>
    <w:rsid w:val="0019051C"/>
    <w:rsid w:val="00193A4B"/>
    <w:rsid w:val="001A6947"/>
    <w:rsid w:val="001B17AF"/>
    <w:rsid w:val="001B3087"/>
    <w:rsid w:val="001C5C38"/>
    <w:rsid w:val="001D40A0"/>
    <w:rsid w:val="001D56F7"/>
    <w:rsid w:val="001E03D0"/>
    <w:rsid w:val="001E677C"/>
    <w:rsid w:val="001F639F"/>
    <w:rsid w:val="001F7D5C"/>
    <w:rsid w:val="00204861"/>
    <w:rsid w:val="00206738"/>
    <w:rsid w:val="00210128"/>
    <w:rsid w:val="00212F22"/>
    <w:rsid w:val="00220B63"/>
    <w:rsid w:val="0022212D"/>
    <w:rsid w:val="00223F53"/>
    <w:rsid w:val="00226517"/>
    <w:rsid w:val="00226B71"/>
    <w:rsid w:val="00230EF6"/>
    <w:rsid w:val="00231D0D"/>
    <w:rsid w:val="00232805"/>
    <w:rsid w:val="00234998"/>
    <w:rsid w:val="00235683"/>
    <w:rsid w:val="00244B45"/>
    <w:rsid w:val="00245210"/>
    <w:rsid w:val="002525C5"/>
    <w:rsid w:val="00255E0C"/>
    <w:rsid w:val="00261E81"/>
    <w:rsid w:val="00266121"/>
    <w:rsid w:val="00271AB6"/>
    <w:rsid w:val="00271F77"/>
    <w:rsid w:val="002732E7"/>
    <w:rsid w:val="00275795"/>
    <w:rsid w:val="002839CA"/>
    <w:rsid w:val="00284372"/>
    <w:rsid w:val="002A0B3C"/>
    <w:rsid w:val="002A494D"/>
    <w:rsid w:val="002A5102"/>
    <w:rsid w:val="002A6AA4"/>
    <w:rsid w:val="002A73C5"/>
    <w:rsid w:val="002B2D6F"/>
    <w:rsid w:val="002B37D8"/>
    <w:rsid w:val="002C51C3"/>
    <w:rsid w:val="002D0187"/>
    <w:rsid w:val="002E0BAE"/>
    <w:rsid w:val="002E5D6C"/>
    <w:rsid w:val="002F304C"/>
    <w:rsid w:val="002F38EF"/>
    <w:rsid w:val="002F3E3C"/>
    <w:rsid w:val="002F4E54"/>
    <w:rsid w:val="002F5485"/>
    <w:rsid w:val="00306C28"/>
    <w:rsid w:val="003102E3"/>
    <w:rsid w:val="00313358"/>
    <w:rsid w:val="00320E5E"/>
    <w:rsid w:val="00326F48"/>
    <w:rsid w:val="00334D5A"/>
    <w:rsid w:val="00336EA4"/>
    <w:rsid w:val="00346754"/>
    <w:rsid w:val="00347714"/>
    <w:rsid w:val="003514AD"/>
    <w:rsid w:val="00365685"/>
    <w:rsid w:val="00366BF2"/>
    <w:rsid w:val="003722D4"/>
    <w:rsid w:val="00384B07"/>
    <w:rsid w:val="003A4545"/>
    <w:rsid w:val="003B01B0"/>
    <w:rsid w:val="003B073D"/>
    <w:rsid w:val="003B0ACA"/>
    <w:rsid w:val="003B43EC"/>
    <w:rsid w:val="003B440D"/>
    <w:rsid w:val="003C7CAC"/>
    <w:rsid w:val="003C7FD3"/>
    <w:rsid w:val="003D4CFE"/>
    <w:rsid w:val="003D646A"/>
    <w:rsid w:val="003D7F75"/>
    <w:rsid w:val="003E29B5"/>
    <w:rsid w:val="003E2B3E"/>
    <w:rsid w:val="003E51EB"/>
    <w:rsid w:val="003E5CB7"/>
    <w:rsid w:val="003E7FAC"/>
    <w:rsid w:val="003F337C"/>
    <w:rsid w:val="003F3C92"/>
    <w:rsid w:val="003F5E75"/>
    <w:rsid w:val="004177BE"/>
    <w:rsid w:val="00421BF1"/>
    <w:rsid w:val="0042385D"/>
    <w:rsid w:val="0042565B"/>
    <w:rsid w:val="00434E35"/>
    <w:rsid w:val="0044081A"/>
    <w:rsid w:val="00441B70"/>
    <w:rsid w:val="00443FF4"/>
    <w:rsid w:val="004615C4"/>
    <w:rsid w:val="00461A0E"/>
    <w:rsid w:val="00470B6A"/>
    <w:rsid w:val="00474BCB"/>
    <w:rsid w:val="00475E0B"/>
    <w:rsid w:val="00477ABA"/>
    <w:rsid w:val="004801D1"/>
    <w:rsid w:val="00481381"/>
    <w:rsid w:val="0048402B"/>
    <w:rsid w:val="00494BC1"/>
    <w:rsid w:val="00494EB8"/>
    <w:rsid w:val="004A4B1B"/>
    <w:rsid w:val="004B0960"/>
    <w:rsid w:val="004B24FF"/>
    <w:rsid w:val="004B4E70"/>
    <w:rsid w:val="004C0967"/>
    <w:rsid w:val="004C34C9"/>
    <w:rsid w:val="004C4737"/>
    <w:rsid w:val="004C66DF"/>
    <w:rsid w:val="004D6461"/>
    <w:rsid w:val="004E2ED2"/>
    <w:rsid w:val="004E4D5B"/>
    <w:rsid w:val="004E6ADE"/>
    <w:rsid w:val="004E6EF8"/>
    <w:rsid w:val="00503C22"/>
    <w:rsid w:val="0051778F"/>
    <w:rsid w:val="00520E55"/>
    <w:rsid w:val="00544F79"/>
    <w:rsid w:val="005463F0"/>
    <w:rsid w:val="00552029"/>
    <w:rsid w:val="00553170"/>
    <w:rsid w:val="005711D2"/>
    <w:rsid w:val="00573E34"/>
    <w:rsid w:val="0057654B"/>
    <w:rsid w:val="00577EC4"/>
    <w:rsid w:val="005832B7"/>
    <w:rsid w:val="0058443C"/>
    <w:rsid w:val="00584781"/>
    <w:rsid w:val="00584886"/>
    <w:rsid w:val="00595EAB"/>
    <w:rsid w:val="00596923"/>
    <w:rsid w:val="005A0C09"/>
    <w:rsid w:val="005A1BE0"/>
    <w:rsid w:val="005A23F9"/>
    <w:rsid w:val="005A6DE8"/>
    <w:rsid w:val="005B05C1"/>
    <w:rsid w:val="005B3B56"/>
    <w:rsid w:val="005C2693"/>
    <w:rsid w:val="005C5CDD"/>
    <w:rsid w:val="005C7686"/>
    <w:rsid w:val="005C7EB3"/>
    <w:rsid w:val="005D1E06"/>
    <w:rsid w:val="005D285C"/>
    <w:rsid w:val="005D3038"/>
    <w:rsid w:val="005D4402"/>
    <w:rsid w:val="005D667F"/>
    <w:rsid w:val="005D7822"/>
    <w:rsid w:val="005D7B14"/>
    <w:rsid w:val="005E7F27"/>
    <w:rsid w:val="005F23E5"/>
    <w:rsid w:val="00600EB1"/>
    <w:rsid w:val="00604449"/>
    <w:rsid w:val="00610C0D"/>
    <w:rsid w:val="0061125D"/>
    <w:rsid w:val="006143AF"/>
    <w:rsid w:val="00623F69"/>
    <w:rsid w:val="00642DC8"/>
    <w:rsid w:val="00645C57"/>
    <w:rsid w:val="00650970"/>
    <w:rsid w:val="00651C93"/>
    <w:rsid w:val="0065422A"/>
    <w:rsid w:val="006554DD"/>
    <w:rsid w:val="006724C4"/>
    <w:rsid w:val="00675AB7"/>
    <w:rsid w:val="00684480"/>
    <w:rsid w:val="00685237"/>
    <w:rsid w:val="00687964"/>
    <w:rsid w:val="00692B07"/>
    <w:rsid w:val="006935C9"/>
    <w:rsid w:val="00694524"/>
    <w:rsid w:val="00694796"/>
    <w:rsid w:val="006969DA"/>
    <w:rsid w:val="006A4F51"/>
    <w:rsid w:val="006B381E"/>
    <w:rsid w:val="006B4909"/>
    <w:rsid w:val="006B5072"/>
    <w:rsid w:val="006B5AAD"/>
    <w:rsid w:val="006B7939"/>
    <w:rsid w:val="006B7C22"/>
    <w:rsid w:val="006C1202"/>
    <w:rsid w:val="006D63BD"/>
    <w:rsid w:val="006D7338"/>
    <w:rsid w:val="006E2451"/>
    <w:rsid w:val="006F05E1"/>
    <w:rsid w:val="00705E20"/>
    <w:rsid w:val="00711670"/>
    <w:rsid w:val="0071225A"/>
    <w:rsid w:val="00714E93"/>
    <w:rsid w:val="00717325"/>
    <w:rsid w:val="007178F0"/>
    <w:rsid w:val="00720270"/>
    <w:rsid w:val="007211DB"/>
    <w:rsid w:val="00722DD0"/>
    <w:rsid w:val="00724A58"/>
    <w:rsid w:val="00725687"/>
    <w:rsid w:val="00727502"/>
    <w:rsid w:val="007276C8"/>
    <w:rsid w:val="0073072D"/>
    <w:rsid w:val="00731042"/>
    <w:rsid w:val="007456EE"/>
    <w:rsid w:val="00751081"/>
    <w:rsid w:val="00760289"/>
    <w:rsid w:val="007640BE"/>
    <w:rsid w:val="007703A2"/>
    <w:rsid w:val="007805EE"/>
    <w:rsid w:val="00781803"/>
    <w:rsid w:val="007822A1"/>
    <w:rsid w:val="00784798"/>
    <w:rsid w:val="00785F21"/>
    <w:rsid w:val="007A654F"/>
    <w:rsid w:val="007B38EB"/>
    <w:rsid w:val="007B6B53"/>
    <w:rsid w:val="007B6F59"/>
    <w:rsid w:val="007B7408"/>
    <w:rsid w:val="007C50BD"/>
    <w:rsid w:val="007C7CF1"/>
    <w:rsid w:val="007D009B"/>
    <w:rsid w:val="007E2162"/>
    <w:rsid w:val="007F4A35"/>
    <w:rsid w:val="0081387A"/>
    <w:rsid w:val="00816ED5"/>
    <w:rsid w:val="00821910"/>
    <w:rsid w:val="00823C03"/>
    <w:rsid w:val="00831BB4"/>
    <w:rsid w:val="00837B32"/>
    <w:rsid w:val="008416DE"/>
    <w:rsid w:val="00841F2A"/>
    <w:rsid w:val="00846AE6"/>
    <w:rsid w:val="008678ED"/>
    <w:rsid w:val="00871EC0"/>
    <w:rsid w:val="008766A4"/>
    <w:rsid w:val="008768CB"/>
    <w:rsid w:val="00877262"/>
    <w:rsid w:val="0088781B"/>
    <w:rsid w:val="00887E2D"/>
    <w:rsid w:val="00890D20"/>
    <w:rsid w:val="00890EDC"/>
    <w:rsid w:val="008919D9"/>
    <w:rsid w:val="00895870"/>
    <w:rsid w:val="00896FF2"/>
    <w:rsid w:val="008A03EF"/>
    <w:rsid w:val="008A240B"/>
    <w:rsid w:val="008A5234"/>
    <w:rsid w:val="008B7A74"/>
    <w:rsid w:val="008C0B02"/>
    <w:rsid w:val="008C1830"/>
    <w:rsid w:val="008C6FA8"/>
    <w:rsid w:val="008D2D16"/>
    <w:rsid w:val="008D302E"/>
    <w:rsid w:val="008D3BDE"/>
    <w:rsid w:val="008E07B2"/>
    <w:rsid w:val="008E1CF2"/>
    <w:rsid w:val="008E2D29"/>
    <w:rsid w:val="008F185F"/>
    <w:rsid w:val="008F3046"/>
    <w:rsid w:val="009030AA"/>
    <w:rsid w:val="0091756B"/>
    <w:rsid w:val="00917F2A"/>
    <w:rsid w:val="00922566"/>
    <w:rsid w:val="009269FD"/>
    <w:rsid w:val="00926FA9"/>
    <w:rsid w:val="00927DEE"/>
    <w:rsid w:val="00933910"/>
    <w:rsid w:val="00941DFA"/>
    <w:rsid w:val="009441C7"/>
    <w:rsid w:val="00944675"/>
    <w:rsid w:val="009478ED"/>
    <w:rsid w:val="009652F7"/>
    <w:rsid w:val="00967755"/>
    <w:rsid w:val="00970B06"/>
    <w:rsid w:val="009728A8"/>
    <w:rsid w:val="00972BFB"/>
    <w:rsid w:val="009731D8"/>
    <w:rsid w:val="0097421F"/>
    <w:rsid w:val="00975187"/>
    <w:rsid w:val="00975771"/>
    <w:rsid w:val="00975863"/>
    <w:rsid w:val="00980015"/>
    <w:rsid w:val="00985105"/>
    <w:rsid w:val="009A25B7"/>
    <w:rsid w:val="009A27D3"/>
    <w:rsid w:val="009A58A8"/>
    <w:rsid w:val="009B1062"/>
    <w:rsid w:val="009B652A"/>
    <w:rsid w:val="009E28DE"/>
    <w:rsid w:val="009E2F47"/>
    <w:rsid w:val="009E4078"/>
    <w:rsid w:val="009E48F0"/>
    <w:rsid w:val="009F12E4"/>
    <w:rsid w:val="009F2302"/>
    <w:rsid w:val="00A04E5A"/>
    <w:rsid w:val="00A134EA"/>
    <w:rsid w:val="00A140E9"/>
    <w:rsid w:val="00A15474"/>
    <w:rsid w:val="00A24325"/>
    <w:rsid w:val="00A2647C"/>
    <w:rsid w:val="00A31C59"/>
    <w:rsid w:val="00A33B69"/>
    <w:rsid w:val="00A33C93"/>
    <w:rsid w:val="00A35727"/>
    <w:rsid w:val="00A3736C"/>
    <w:rsid w:val="00A50C7F"/>
    <w:rsid w:val="00A55989"/>
    <w:rsid w:val="00A62D1A"/>
    <w:rsid w:val="00A74400"/>
    <w:rsid w:val="00A8302C"/>
    <w:rsid w:val="00A94E33"/>
    <w:rsid w:val="00AB6054"/>
    <w:rsid w:val="00AB6988"/>
    <w:rsid w:val="00AB7003"/>
    <w:rsid w:val="00AC1CDD"/>
    <w:rsid w:val="00AD3210"/>
    <w:rsid w:val="00AD4561"/>
    <w:rsid w:val="00AE0841"/>
    <w:rsid w:val="00AE0FA1"/>
    <w:rsid w:val="00AE11B2"/>
    <w:rsid w:val="00AE44A6"/>
    <w:rsid w:val="00B00655"/>
    <w:rsid w:val="00B04F7A"/>
    <w:rsid w:val="00B05D8A"/>
    <w:rsid w:val="00B060FB"/>
    <w:rsid w:val="00B121EA"/>
    <w:rsid w:val="00B134F9"/>
    <w:rsid w:val="00B17AF7"/>
    <w:rsid w:val="00B230DB"/>
    <w:rsid w:val="00B239F0"/>
    <w:rsid w:val="00B310A3"/>
    <w:rsid w:val="00B3199D"/>
    <w:rsid w:val="00B40154"/>
    <w:rsid w:val="00B44818"/>
    <w:rsid w:val="00B46C68"/>
    <w:rsid w:val="00B5537C"/>
    <w:rsid w:val="00B578B2"/>
    <w:rsid w:val="00B60C6C"/>
    <w:rsid w:val="00B66391"/>
    <w:rsid w:val="00B669A0"/>
    <w:rsid w:val="00B70984"/>
    <w:rsid w:val="00B81DC2"/>
    <w:rsid w:val="00BA2FBD"/>
    <w:rsid w:val="00BB0B81"/>
    <w:rsid w:val="00BB0C3B"/>
    <w:rsid w:val="00BB5F6F"/>
    <w:rsid w:val="00BC3A77"/>
    <w:rsid w:val="00BC3DEC"/>
    <w:rsid w:val="00BC6377"/>
    <w:rsid w:val="00BD5232"/>
    <w:rsid w:val="00BE358E"/>
    <w:rsid w:val="00BF1D94"/>
    <w:rsid w:val="00BF3680"/>
    <w:rsid w:val="00C052CB"/>
    <w:rsid w:val="00C1688C"/>
    <w:rsid w:val="00C229BA"/>
    <w:rsid w:val="00C412C9"/>
    <w:rsid w:val="00C42A9A"/>
    <w:rsid w:val="00C439C3"/>
    <w:rsid w:val="00C50EBD"/>
    <w:rsid w:val="00C54B24"/>
    <w:rsid w:val="00C54B5D"/>
    <w:rsid w:val="00C54E54"/>
    <w:rsid w:val="00C60C9A"/>
    <w:rsid w:val="00C75380"/>
    <w:rsid w:val="00C823D3"/>
    <w:rsid w:val="00C84D64"/>
    <w:rsid w:val="00C85453"/>
    <w:rsid w:val="00C87FF8"/>
    <w:rsid w:val="00C90844"/>
    <w:rsid w:val="00C91AC2"/>
    <w:rsid w:val="00C93520"/>
    <w:rsid w:val="00C96775"/>
    <w:rsid w:val="00CA3387"/>
    <w:rsid w:val="00CA7DD8"/>
    <w:rsid w:val="00CB0396"/>
    <w:rsid w:val="00CB4A0A"/>
    <w:rsid w:val="00CC7F0A"/>
    <w:rsid w:val="00CD3608"/>
    <w:rsid w:val="00CD3B93"/>
    <w:rsid w:val="00CD44D5"/>
    <w:rsid w:val="00CD4B64"/>
    <w:rsid w:val="00CE1579"/>
    <w:rsid w:val="00CE6B2B"/>
    <w:rsid w:val="00CF454B"/>
    <w:rsid w:val="00D049D0"/>
    <w:rsid w:val="00D10694"/>
    <w:rsid w:val="00D111E9"/>
    <w:rsid w:val="00D14C5E"/>
    <w:rsid w:val="00D23240"/>
    <w:rsid w:val="00D26B9F"/>
    <w:rsid w:val="00D26CF0"/>
    <w:rsid w:val="00D31299"/>
    <w:rsid w:val="00D32E99"/>
    <w:rsid w:val="00D35199"/>
    <w:rsid w:val="00D4008A"/>
    <w:rsid w:val="00D43CFD"/>
    <w:rsid w:val="00D474C0"/>
    <w:rsid w:val="00D51424"/>
    <w:rsid w:val="00D61923"/>
    <w:rsid w:val="00D717D9"/>
    <w:rsid w:val="00D74138"/>
    <w:rsid w:val="00D80EB7"/>
    <w:rsid w:val="00D84C0F"/>
    <w:rsid w:val="00D864EC"/>
    <w:rsid w:val="00D93EDF"/>
    <w:rsid w:val="00D94EEA"/>
    <w:rsid w:val="00DA020D"/>
    <w:rsid w:val="00DA036C"/>
    <w:rsid w:val="00DA1D46"/>
    <w:rsid w:val="00DB6664"/>
    <w:rsid w:val="00DB7AE5"/>
    <w:rsid w:val="00DC426F"/>
    <w:rsid w:val="00DD7D45"/>
    <w:rsid w:val="00DD7E7E"/>
    <w:rsid w:val="00DE0F00"/>
    <w:rsid w:val="00DE1622"/>
    <w:rsid w:val="00DE643D"/>
    <w:rsid w:val="00DF1C42"/>
    <w:rsid w:val="00DF46DC"/>
    <w:rsid w:val="00DF64B1"/>
    <w:rsid w:val="00DF7324"/>
    <w:rsid w:val="00DF7C5D"/>
    <w:rsid w:val="00E0344C"/>
    <w:rsid w:val="00E12C68"/>
    <w:rsid w:val="00E274A2"/>
    <w:rsid w:val="00E425E9"/>
    <w:rsid w:val="00E42E39"/>
    <w:rsid w:val="00E632B7"/>
    <w:rsid w:val="00E66459"/>
    <w:rsid w:val="00E66B67"/>
    <w:rsid w:val="00E71FE2"/>
    <w:rsid w:val="00E756D0"/>
    <w:rsid w:val="00E97212"/>
    <w:rsid w:val="00E97774"/>
    <w:rsid w:val="00EA23E9"/>
    <w:rsid w:val="00EB6BC7"/>
    <w:rsid w:val="00EC48BF"/>
    <w:rsid w:val="00EC718D"/>
    <w:rsid w:val="00ED22E8"/>
    <w:rsid w:val="00EF04D3"/>
    <w:rsid w:val="00EF1BC2"/>
    <w:rsid w:val="00EF28EA"/>
    <w:rsid w:val="00F059C6"/>
    <w:rsid w:val="00F061D1"/>
    <w:rsid w:val="00F10D4B"/>
    <w:rsid w:val="00F12CF6"/>
    <w:rsid w:val="00F1425B"/>
    <w:rsid w:val="00F16129"/>
    <w:rsid w:val="00F27799"/>
    <w:rsid w:val="00F303C7"/>
    <w:rsid w:val="00F36897"/>
    <w:rsid w:val="00F36B81"/>
    <w:rsid w:val="00F37E0C"/>
    <w:rsid w:val="00F44638"/>
    <w:rsid w:val="00F46436"/>
    <w:rsid w:val="00F512FA"/>
    <w:rsid w:val="00F527CA"/>
    <w:rsid w:val="00F534C5"/>
    <w:rsid w:val="00F546B5"/>
    <w:rsid w:val="00F66535"/>
    <w:rsid w:val="00F67603"/>
    <w:rsid w:val="00F676E6"/>
    <w:rsid w:val="00F70CB4"/>
    <w:rsid w:val="00F7204D"/>
    <w:rsid w:val="00F8472C"/>
    <w:rsid w:val="00F84D08"/>
    <w:rsid w:val="00F85A04"/>
    <w:rsid w:val="00F85A39"/>
    <w:rsid w:val="00F91A79"/>
    <w:rsid w:val="00F94B0D"/>
    <w:rsid w:val="00F972D8"/>
    <w:rsid w:val="00F97B56"/>
    <w:rsid w:val="00FA25B1"/>
    <w:rsid w:val="00FA358A"/>
    <w:rsid w:val="00FA6B94"/>
    <w:rsid w:val="00FB1204"/>
    <w:rsid w:val="00FB5C2D"/>
    <w:rsid w:val="00FB66D6"/>
    <w:rsid w:val="00FC771C"/>
    <w:rsid w:val="00FD7308"/>
    <w:rsid w:val="00FD7F2F"/>
    <w:rsid w:val="00FE02FE"/>
    <w:rsid w:val="00FE7871"/>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76D53"/>
  <w15:docId w15:val="{0850F96E-6168-42D6-9E5B-B2A128AE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211F7"/>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731042"/>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731042"/>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D94EEA"/>
    <w:pPr>
      <w:tabs>
        <w:tab w:val="right" w:pos="7371"/>
      </w:tabs>
      <w:spacing w:before="0" w:line="240" w:lineRule="auto"/>
    </w:pPr>
    <w:rPr>
      <w:sz w:val="20"/>
    </w:rPr>
  </w:style>
  <w:style w:type="character" w:customStyle="1" w:styleId="FooterChar">
    <w:name w:val="Footer Char"/>
    <w:basedOn w:val="DefaultParagraphFont"/>
    <w:link w:val="Footer"/>
    <w:uiPriority w:val="99"/>
    <w:rsid w:val="00D94EEA"/>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731042"/>
    <w:pPr>
      <w:numPr>
        <w:numId w:val="27"/>
      </w:numPr>
      <w:ind w:left="284" w:hanging="284"/>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2A73C5"/>
    <w:pPr>
      <w:pBdr>
        <w:top w:val="single" w:sz="8" w:space="1" w:color="FF0000" w:shadow="1"/>
        <w:left w:val="single" w:sz="8" w:space="4" w:color="FF0000" w:shadow="1"/>
        <w:bottom w:val="single" w:sz="8" w:space="1" w:color="FF0000" w:shadow="1"/>
        <w:right w:val="single" w:sz="8" w:space="4" w:color="FF0000" w:shadow="1"/>
      </w:pBdr>
      <w:ind w:left="567" w:right="567"/>
    </w:pPr>
    <w:rPr>
      <w:rFonts w:eastAsiaTheme="minorHAnsi" w:cstheme="minorBidi"/>
      <w:b/>
      <w:color w:val="FF0000"/>
      <w:sz w:val="24"/>
      <w:szCs w:val="22"/>
    </w:rPr>
  </w:style>
  <w:style w:type="character" w:customStyle="1" w:styleId="BodyTextChar">
    <w:name w:val="Body Text Char"/>
    <w:basedOn w:val="DefaultParagraphFont"/>
    <w:link w:val="BodyText"/>
    <w:uiPriority w:val="99"/>
    <w:rsid w:val="002A73C5"/>
    <w:rPr>
      <w:rFonts w:ascii="Arial" w:eastAsiaTheme="minorHAnsi" w:hAnsi="Arial"/>
      <w:b/>
      <w:color w:val="FF0000"/>
      <w:szCs w:val="22"/>
      <w:lang w:val="en-AU"/>
    </w:rPr>
  </w:style>
  <w:style w:type="paragraph" w:styleId="BodyText2">
    <w:name w:val="Body Text 2"/>
    <w:basedOn w:val="Normal"/>
    <w:link w:val="BodyText2Char"/>
    <w:uiPriority w:val="99"/>
    <w:unhideWhenUsed/>
    <w:locked/>
    <w:rsid w:val="002A73C5"/>
    <w:pPr>
      <w:pBdr>
        <w:top w:val="single" w:sz="8" w:space="1" w:color="FF0000" w:shadow="1"/>
        <w:left w:val="single" w:sz="8" w:space="4" w:color="FF0000" w:shadow="1"/>
        <w:bottom w:val="single" w:sz="8" w:space="1" w:color="FF0000" w:shadow="1"/>
        <w:right w:val="single" w:sz="8" w:space="4" w:color="FF0000" w:shadow="1"/>
      </w:pBdr>
      <w:spacing w:before="60" w:after="60"/>
      <w:ind w:left="567" w:right="567"/>
    </w:pPr>
    <w:rPr>
      <w:rFonts w:eastAsiaTheme="minorHAnsi" w:cstheme="minorBidi"/>
      <w:szCs w:val="22"/>
    </w:rPr>
  </w:style>
  <w:style w:type="character" w:customStyle="1" w:styleId="BodyText2Char">
    <w:name w:val="Body Text 2 Char"/>
    <w:basedOn w:val="DefaultParagraphFont"/>
    <w:link w:val="BodyText2"/>
    <w:uiPriority w:val="99"/>
    <w:rsid w:val="002A73C5"/>
    <w:rPr>
      <w:rFonts w:ascii="Arial" w:eastAsiaTheme="minorHAnsi" w:hAnsi="Arial"/>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character" w:styleId="CommentReference">
    <w:name w:val="annotation reference"/>
    <w:basedOn w:val="DefaultParagraphFont"/>
    <w:unhideWhenUsed/>
    <w:locked/>
    <w:rsid w:val="00E97774"/>
    <w:rPr>
      <w:sz w:val="16"/>
      <w:szCs w:val="16"/>
    </w:rPr>
  </w:style>
  <w:style w:type="paragraph" w:styleId="CommentText">
    <w:name w:val="annotation text"/>
    <w:basedOn w:val="Normal"/>
    <w:link w:val="CommentTextChar"/>
    <w:unhideWhenUsed/>
    <w:locked/>
    <w:rsid w:val="00E97774"/>
    <w:pPr>
      <w:spacing w:line="240" w:lineRule="auto"/>
    </w:pPr>
    <w:rPr>
      <w:sz w:val="20"/>
      <w:szCs w:val="20"/>
      <w:lang w:val="en-US"/>
    </w:rPr>
  </w:style>
  <w:style w:type="character" w:customStyle="1" w:styleId="CommentTextChar">
    <w:name w:val="Comment Text Char"/>
    <w:basedOn w:val="DefaultParagraphFont"/>
    <w:link w:val="CommentText"/>
    <w:rsid w:val="00E977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E7871"/>
    <w:rPr>
      <w:b/>
      <w:bCs/>
      <w:lang w:val="en-AU"/>
    </w:rPr>
  </w:style>
  <w:style w:type="character" w:customStyle="1" w:styleId="CommentSubjectChar">
    <w:name w:val="Comment Subject Char"/>
    <w:basedOn w:val="CommentTextChar"/>
    <w:link w:val="CommentSubject"/>
    <w:uiPriority w:val="99"/>
    <w:semiHidden/>
    <w:rsid w:val="00FE7871"/>
    <w:rPr>
      <w:rFonts w:ascii="Arial" w:hAnsi="Arial" w:cs="Arial"/>
      <w:b/>
      <w:bCs/>
      <w:sz w:val="20"/>
      <w:szCs w:val="20"/>
      <w:lang w:val="en-AU"/>
    </w:rPr>
  </w:style>
  <w:style w:type="paragraph" w:styleId="Revision">
    <w:name w:val="Revision"/>
    <w:hidden/>
    <w:uiPriority w:val="99"/>
    <w:semiHidden/>
    <w:rsid w:val="00642DC8"/>
    <w:rPr>
      <w:rFonts w:ascii="Arial" w:hAnsi="Arial" w:cs="Arial"/>
      <w:sz w:val="22"/>
      <w:szCs w:val="18"/>
      <w:lang w:val="en-AU"/>
    </w:rPr>
  </w:style>
  <w:style w:type="character" w:customStyle="1" w:styleId="Mention2">
    <w:name w:val="Mention2"/>
    <w:basedOn w:val="DefaultParagraphFont"/>
    <w:uiPriority w:val="99"/>
    <w:semiHidden/>
    <w:unhideWhenUsed/>
    <w:rsid w:val="00975771"/>
    <w:rPr>
      <w:color w:val="2B579A"/>
      <w:shd w:val="clear" w:color="auto" w:fill="E6E6E6"/>
    </w:rPr>
  </w:style>
  <w:style w:type="paragraph" w:styleId="ListParagraph">
    <w:name w:val="List Paragraph"/>
    <w:basedOn w:val="Normal"/>
    <w:uiPriority w:val="34"/>
    <w:qFormat/>
    <w:locked/>
    <w:rsid w:val="0069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finance.support@edumail.vic.gov.au" TargetMode="External"/><Relationship Id="rId18" Type="http://schemas.openxmlformats.org/officeDocument/2006/relationships/hyperlink" Target="mailto:det.asset.accounting@edumail.vic.gov.au" TargetMode="External"/><Relationship Id="rId26" Type="http://schemas.openxmlformats.org/officeDocument/2006/relationships/hyperlink" Target="https://edugate.eduweb.vic.gov.au/sites/i/pages/production.aspx" TargetMode="External"/><Relationship Id="rId3" Type="http://schemas.openxmlformats.org/officeDocument/2006/relationships/customXml" Target="../customXml/item3.xml"/><Relationship Id="rId21" Type="http://schemas.openxmlformats.org/officeDocument/2006/relationships/hyperlink" Target="https://edugate.eduweb.vic.gov.au/edulibrary/Schools/Forms/AllItems.aspx?RootFolder=%2fedulibrary%2fSchools%2fInsurance%2fInsurance%2dGeneral&amp;FolderCTID=&amp;View=%7b393E28AF%2d9188%2d49EC%2d9B2F%2d5B1CA6BF217D%7d" TargetMode="External"/><Relationship Id="rId34" Type="http://schemas.openxmlformats.org/officeDocument/2006/relationships/hyperlink" Target="https://www.education.vic.gov.au/Documents/school/teachers/management/&#8226;%09http:/www.education.vic.gov.au/school/principals/spag/Pages/spag.aspx" TargetMode="External"/><Relationship Id="rId7" Type="http://schemas.openxmlformats.org/officeDocument/2006/relationships/settings" Target="settings.xml"/><Relationship Id="rId12" Type="http://schemas.openxmlformats.org/officeDocument/2006/relationships/hyperlink" Target="mailto:sams@edumail.vic.gov.au" TargetMode="External"/><Relationship Id="rId17" Type="http://schemas.openxmlformats.org/officeDocument/2006/relationships/hyperlink" Target="mailto:schools.finance.support@edumail.vic.gov.au" TargetMode="External"/><Relationship Id="rId25" Type="http://schemas.openxmlformats.org/officeDocument/2006/relationships/hyperlink" Target="http://www.education.vic.gov.au/Documents/school/principals/finance/assetstatuschangeform.docx" TargetMode="External"/><Relationship Id="rId33" Type="http://schemas.openxmlformats.org/officeDocument/2006/relationships/hyperlink" Target="https://www.education.vic.gov.au/Documents/school/teachers/management/&#8226;%09http:/www.education.vic.gov.au/school/teachers/management/finance/Pages/cases21.aspx"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finance/assetstatuschangeform.docx" TargetMode="External"/><Relationship Id="rId20" Type="http://schemas.openxmlformats.org/officeDocument/2006/relationships/hyperlink" Target="mailto:sams@edumail.vic.gov.au" TargetMode="External"/><Relationship Id="rId29" Type="http://schemas.openxmlformats.org/officeDocument/2006/relationships/hyperlink" Target="mailto:sams@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pages/production.aspx" TargetMode="External"/><Relationship Id="rId24" Type="http://schemas.openxmlformats.org/officeDocument/2006/relationships/hyperlink" Target="mailto:schools.finance.support@edumail.vic.gov.au" TargetMode="External"/><Relationship Id="rId32" Type="http://schemas.openxmlformats.org/officeDocument/2006/relationships/hyperlink" Target="mailto:"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3" Type="http://schemas.openxmlformats.org/officeDocument/2006/relationships/hyperlink" Target="http://www.education.vic.gov.au/Documents/school/principals/finance/assetstatuschangeform.docx" TargetMode="External"/><Relationship Id="rId28" Type="http://schemas.openxmlformats.org/officeDocument/2006/relationships/hyperlink" Target="mailto:sams@edumail.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chools.finance.support@edumail.vic.gov.au" TargetMode="External"/><Relationship Id="rId31" Type="http://schemas.openxmlformats.org/officeDocument/2006/relationships/hyperlink" Target="mailto:det.asset.accounting@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t.asset.accounting@edumail.vic.gov.au" TargetMode="External"/><Relationship Id="rId22" Type="http://schemas.openxmlformats.org/officeDocument/2006/relationships/hyperlink" Target="http://www.education.vic.gov.au/school/teachers/management/Pages/healthworksafe.aspx" TargetMode="External"/><Relationship Id="rId27" Type="http://schemas.openxmlformats.org/officeDocument/2006/relationships/hyperlink" Target="http://www.education.vic.gov.au/Documents/school/principals/finance/assetstatuschangeform.docx" TargetMode="External"/><Relationship Id="rId30" Type="http://schemas.openxmlformats.org/officeDocument/2006/relationships/hyperlink" Target="http://www.education.vic.gov.au/school/teachers/management/finance/Pages/cases21.aspx"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D157C0B6-CE45-44CA-8556-98E286710330}"/>
</file>

<file path=customXml/itemProps4.xml><?xml version="1.0" encoding="utf-8"?>
<ds:datastoreItem xmlns:ds="http://schemas.openxmlformats.org/officeDocument/2006/customXml" ds:itemID="{53CFC0E6-D9B1-4354-9F4A-B429FFCE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6855</Words>
  <Characters>39078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4</cp:revision>
  <cp:lastPrinted>2019-07-11T22:42:00Z</cp:lastPrinted>
  <dcterms:created xsi:type="dcterms:W3CDTF">2019-07-11T22:36:00Z</dcterms:created>
  <dcterms:modified xsi:type="dcterms:W3CDTF">2019-07-11T22:42:00Z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