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18BFD" w14:textId="77777777" w:rsidR="00927DEE" w:rsidRPr="00AC78D4" w:rsidRDefault="00B239F0" w:rsidP="00AC78D4">
      <w:pPr>
        <w:pStyle w:val="Heading1"/>
      </w:pPr>
      <w:bookmarkStart w:id="0" w:name="_Toc455499267"/>
      <w:bookmarkStart w:id="1" w:name="_Toc455499461"/>
      <w:bookmarkStart w:id="2" w:name="_Toc455501167"/>
      <w:bookmarkStart w:id="3" w:name="_GoBack"/>
      <w:bookmarkEnd w:id="3"/>
      <w:r w:rsidRPr="00AC78D4">
        <w:t>Section 11</w:t>
      </w:r>
      <w:r w:rsidR="00927DEE" w:rsidRPr="00AC78D4">
        <w:t xml:space="preserve">: </w:t>
      </w:r>
      <w:r w:rsidRPr="00AC78D4">
        <w:t>Expenditure Management</w:t>
      </w:r>
    </w:p>
    <w:p w14:paraId="64044286" w14:textId="77777777" w:rsidR="00927DEE" w:rsidRPr="00AC78D4" w:rsidRDefault="00B239F0" w:rsidP="00AC78D4">
      <w:pPr>
        <w:pStyle w:val="Heading2"/>
      </w:pPr>
      <w:r w:rsidRPr="00AC78D4">
        <w:t>11</w:t>
      </w:r>
      <w:r w:rsidR="00134B4E">
        <w:t>.1</w:t>
      </w:r>
      <w:r w:rsidR="00134B4E">
        <w:tab/>
      </w:r>
      <w:r w:rsidR="00927DEE" w:rsidRPr="00AC78D4">
        <w:t>Overview</w:t>
      </w:r>
    </w:p>
    <w:p w14:paraId="1278F1D0" w14:textId="77777777" w:rsidR="00927DEE" w:rsidRPr="00AC78D4" w:rsidRDefault="005A0C09" w:rsidP="00790B5E">
      <w:r w:rsidRPr="00AC78D4">
        <w:t xml:space="preserve">School councils may </w:t>
      </w:r>
      <w:r w:rsidR="009731D8" w:rsidRPr="00AC78D4">
        <w:t>enter into contracts, agreements or arrangements</w:t>
      </w:r>
      <w:r w:rsidRPr="00AC78D4">
        <w:t xml:space="preserve"> for the supply of goods, services, facilities, materials, equipment and other matters that are required for the conduct of the school including the provision of pre</w:t>
      </w:r>
      <w:r w:rsidR="00643E12">
        <w:t>-</w:t>
      </w:r>
      <w:r w:rsidRPr="00AC78D4">
        <w:t xml:space="preserve">school programs. </w:t>
      </w:r>
      <w:r w:rsidR="009731D8" w:rsidRPr="00AC78D4">
        <w:t>This will normally involve</w:t>
      </w:r>
      <w:r w:rsidR="00313358" w:rsidRPr="00AC78D4">
        <w:t xml:space="preserve"> procuring,</w:t>
      </w:r>
      <w:r w:rsidR="009731D8" w:rsidRPr="00AC78D4">
        <w:t xml:space="preserve"> ordering, taking delivery, being invoiced and making payment.</w:t>
      </w:r>
    </w:p>
    <w:p w14:paraId="18C398BF" w14:textId="77777777" w:rsidR="00927DEE" w:rsidRPr="00AC78D4" w:rsidRDefault="00B239F0" w:rsidP="00E6579E">
      <w:pPr>
        <w:pStyle w:val="Heading2"/>
      </w:pPr>
      <w:r w:rsidRPr="00AC78D4">
        <w:t>11</w:t>
      </w:r>
      <w:r w:rsidR="00134B4E">
        <w:t>.2</w:t>
      </w:r>
      <w:r w:rsidR="00E6579E">
        <w:tab/>
      </w:r>
      <w:r w:rsidR="00AD4561" w:rsidRPr="00AC78D4">
        <w:t>Procuring</w:t>
      </w:r>
    </w:p>
    <w:p w14:paraId="22C78758" w14:textId="77777777" w:rsidR="00927DEE" w:rsidRPr="00AC78D4" w:rsidRDefault="00B239F0" w:rsidP="00AC78D4">
      <w:pPr>
        <w:pStyle w:val="Heading3"/>
      </w:pPr>
      <w:r w:rsidRPr="00AC78D4">
        <w:t>11</w:t>
      </w:r>
      <w:r w:rsidR="00927DEE" w:rsidRPr="00AC78D4">
        <w:t xml:space="preserve">.2.1 </w:t>
      </w:r>
      <w:r w:rsidR="00E6579E">
        <w:tab/>
      </w:r>
      <w:r w:rsidR="00927DEE" w:rsidRPr="00AC78D4">
        <w:t>Mandatory policy (</w:t>
      </w:r>
      <w:r w:rsidR="00A807D3">
        <w:t>Must do</w:t>
      </w:r>
      <w:r w:rsidR="00927DEE" w:rsidRPr="00AC78D4">
        <w:t>)</w:t>
      </w:r>
      <w:r w:rsidR="001F7431">
        <w:t>:</w:t>
      </w:r>
    </w:p>
    <w:tbl>
      <w:tblPr>
        <w:tblStyle w:val="LightList-Accent3"/>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containing sequence number and policy information"/>
      </w:tblPr>
      <w:tblGrid>
        <w:gridCol w:w="1214"/>
        <w:gridCol w:w="6946"/>
        <w:gridCol w:w="837"/>
      </w:tblGrid>
      <w:tr w:rsidR="007F42E9" w:rsidRPr="00AC78D4" w14:paraId="3309E111" w14:textId="5329DF25" w:rsidTr="007F42E9">
        <w:trPr>
          <w:cnfStyle w:val="100000000000" w:firstRow="1" w:lastRow="0" w:firstColumn="0" w:lastColumn="0" w:oddVBand="0" w:evenVBand="0" w:oddHBand="0" w:evenHBand="0" w:firstRowFirstColumn="0" w:firstRowLastColumn="0" w:lastRowFirstColumn="0" w:lastRowLastColumn="0"/>
          <w:trHeight w:val="597"/>
          <w:tblHeader/>
        </w:trPr>
        <w:tc>
          <w:tcPr>
            <w:cnfStyle w:val="001000000000" w:firstRow="0" w:lastRow="0" w:firstColumn="1" w:lastColumn="0" w:oddVBand="0" w:evenVBand="0" w:oddHBand="0" w:evenHBand="0" w:firstRowFirstColumn="0" w:firstRowLastColumn="0" w:lastRowFirstColumn="0" w:lastRowLastColumn="0"/>
            <w:tcW w:w="1214" w:type="dxa"/>
            <w:shd w:val="clear" w:color="auto" w:fill="FFFFFF" w:themeFill="background1"/>
          </w:tcPr>
          <w:p w14:paraId="0DD00261" w14:textId="30497B2D" w:rsidR="007F42E9" w:rsidRPr="0079019F" w:rsidRDefault="007F42E9" w:rsidP="007541CB">
            <w:pPr>
              <w:rPr>
                <w:color w:val="000000" w:themeColor="text1"/>
              </w:rPr>
            </w:pPr>
            <w:r w:rsidRPr="0079019F">
              <w:rPr>
                <w:color w:val="auto"/>
                <w:sz w:val="18"/>
              </w:rPr>
              <w:t>Sequence Number</w:t>
            </w:r>
          </w:p>
        </w:tc>
        <w:tc>
          <w:tcPr>
            <w:tcW w:w="6946" w:type="dxa"/>
            <w:shd w:val="clear" w:color="auto" w:fill="auto"/>
          </w:tcPr>
          <w:p w14:paraId="7FF808EB" w14:textId="1286FC7D" w:rsidR="007F42E9" w:rsidRPr="002E4E58" w:rsidRDefault="007F42E9" w:rsidP="00290092">
            <w:pP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2E4E58">
              <w:rPr>
                <w:color w:val="000000" w:themeColor="text1"/>
                <w:sz w:val="20"/>
                <w:szCs w:val="20"/>
              </w:rPr>
              <w:t>Information</w:t>
            </w:r>
          </w:p>
        </w:tc>
        <w:tc>
          <w:tcPr>
            <w:tcW w:w="837" w:type="dxa"/>
            <w:tcBorders>
              <w:top w:val="nil"/>
              <w:right w:val="nil"/>
            </w:tcBorders>
            <w:shd w:val="clear" w:color="auto" w:fill="auto"/>
          </w:tcPr>
          <w:p w14:paraId="086264B0" w14:textId="77777777" w:rsidR="007F42E9" w:rsidRDefault="007F42E9" w:rsidP="00290092">
            <w:pPr>
              <w:cnfStyle w:val="100000000000" w:firstRow="1" w:lastRow="0" w:firstColumn="0" w:lastColumn="0" w:oddVBand="0" w:evenVBand="0" w:oddHBand="0" w:evenHBand="0" w:firstRowFirstColumn="0" w:firstRowLastColumn="0" w:lastRowFirstColumn="0" w:lastRowLastColumn="0"/>
              <w:rPr>
                <w:color w:val="000000" w:themeColor="text1"/>
              </w:rPr>
            </w:pPr>
          </w:p>
        </w:tc>
      </w:tr>
      <w:tr w:rsidR="007F42E9" w:rsidRPr="00AC78D4" w14:paraId="18B40DC9" w14:textId="41BD6A09" w:rsidTr="007F42E9">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1214" w:type="dxa"/>
            <w:tcBorders>
              <w:top w:val="none" w:sz="0" w:space="0" w:color="auto"/>
              <w:left w:val="none" w:sz="0" w:space="0" w:color="auto"/>
              <w:bottom w:val="none" w:sz="0" w:space="0" w:color="auto"/>
            </w:tcBorders>
            <w:shd w:val="clear" w:color="auto" w:fill="FFFFFF" w:themeFill="background1"/>
          </w:tcPr>
          <w:p w14:paraId="5B9FF809" w14:textId="77777777" w:rsidR="007F42E9" w:rsidRPr="00395E1B" w:rsidRDefault="007F42E9" w:rsidP="007541CB">
            <w:pPr>
              <w:rPr>
                <w:b w:val="0"/>
                <w:color w:val="000000" w:themeColor="text1"/>
              </w:rPr>
            </w:pPr>
            <w:r w:rsidRPr="00395E1B">
              <w:rPr>
                <w:b w:val="0"/>
                <w:color w:val="000000" w:themeColor="text1"/>
              </w:rPr>
              <w:t>11.2.1</w:t>
            </w:r>
          </w:p>
        </w:tc>
        <w:tc>
          <w:tcPr>
            <w:tcW w:w="6946" w:type="dxa"/>
            <w:tcBorders>
              <w:top w:val="none" w:sz="0" w:space="0" w:color="auto"/>
              <w:bottom w:val="none" w:sz="0" w:space="0" w:color="auto"/>
            </w:tcBorders>
            <w:shd w:val="clear" w:color="auto" w:fill="auto"/>
          </w:tcPr>
          <w:p w14:paraId="22FB4C89" w14:textId="77777777" w:rsidR="007F42E9" w:rsidRPr="007541CB" w:rsidRDefault="007F42E9" w:rsidP="00290092">
            <w:pPr>
              <w:cnfStyle w:val="000000100000" w:firstRow="0" w:lastRow="0" w:firstColumn="0" w:lastColumn="0" w:oddVBand="0" w:evenVBand="0" w:oddHBand="1" w:evenHBand="0" w:firstRowFirstColumn="0" w:firstRowLastColumn="0" w:lastRowFirstColumn="0" w:lastRowLastColumn="0"/>
              <w:rPr>
                <w:b/>
                <w:color w:val="000000" w:themeColor="text1"/>
              </w:rPr>
            </w:pPr>
            <w:r>
              <w:rPr>
                <w:color w:val="000000" w:themeColor="text1"/>
              </w:rPr>
              <w:t xml:space="preserve">Comply with the </w:t>
            </w:r>
            <w:hyperlink r:id="rId12" w:anchor="/app/content/2089/support_and_service_(schools)%252Fprocurement,_funding_and_travel%252Fprocurement%252Fprocurement_procedure" w:history="1">
              <w:r>
                <w:rPr>
                  <w:rStyle w:val="Hyperlink"/>
                </w:rPr>
                <w:t>Procurement Policy for Victorian Government Schools</w:t>
              </w:r>
            </w:hyperlink>
            <w:r w:rsidRPr="00290092">
              <w:rPr>
                <w:color w:val="000000" w:themeColor="text1"/>
              </w:rPr>
              <w:t>.</w:t>
            </w:r>
          </w:p>
        </w:tc>
        <w:tc>
          <w:tcPr>
            <w:tcW w:w="837" w:type="dxa"/>
            <w:tcBorders>
              <w:top w:val="none" w:sz="0" w:space="0" w:color="auto"/>
              <w:bottom w:val="none" w:sz="0" w:space="0" w:color="auto"/>
              <w:right w:val="none" w:sz="0" w:space="0" w:color="auto"/>
            </w:tcBorders>
          </w:tcPr>
          <w:p w14:paraId="1A99BAA8" w14:textId="77777777" w:rsidR="007F42E9" w:rsidRDefault="007F42E9" w:rsidP="00290092">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7F42E9" w:rsidRPr="00AC78D4" w14:paraId="3B7A60EA" w14:textId="169A7B47" w:rsidTr="007F42E9">
        <w:trPr>
          <w:trHeight w:val="567"/>
        </w:trPr>
        <w:tc>
          <w:tcPr>
            <w:cnfStyle w:val="001000000000" w:firstRow="0" w:lastRow="0" w:firstColumn="1" w:lastColumn="0" w:oddVBand="0" w:evenVBand="0" w:oddHBand="0" w:evenHBand="0" w:firstRowFirstColumn="0" w:firstRowLastColumn="0" w:lastRowFirstColumn="0" w:lastRowLastColumn="0"/>
            <w:tcW w:w="1214" w:type="dxa"/>
            <w:shd w:val="clear" w:color="auto" w:fill="FFFFFF" w:themeFill="background1"/>
          </w:tcPr>
          <w:p w14:paraId="4E818700" w14:textId="77777777" w:rsidR="007F42E9" w:rsidRPr="00395E1B" w:rsidRDefault="007F42E9" w:rsidP="00AC78D4">
            <w:pPr>
              <w:rPr>
                <w:b w:val="0"/>
              </w:rPr>
            </w:pPr>
            <w:r w:rsidRPr="00395E1B">
              <w:rPr>
                <w:b w:val="0"/>
              </w:rPr>
              <w:t>11.2.1.2</w:t>
            </w:r>
          </w:p>
        </w:tc>
        <w:tc>
          <w:tcPr>
            <w:tcW w:w="6946" w:type="dxa"/>
            <w:shd w:val="clear" w:color="auto" w:fill="auto"/>
          </w:tcPr>
          <w:p w14:paraId="5A24E091" w14:textId="1AD74451" w:rsidR="007F42E9" w:rsidRPr="00AC78D4" w:rsidRDefault="007F42E9" w:rsidP="00FA28AD">
            <w:pPr>
              <w:cnfStyle w:val="000000000000" w:firstRow="0" w:lastRow="0" w:firstColumn="0" w:lastColumn="0" w:oddVBand="0" w:evenVBand="0" w:oddHBand="0" w:evenHBand="0" w:firstRowFirstColumn="0" w:firstRowLastColumn="0" w:lastRowFirstColumn="0" w:lastRowLastColumn="0"/>
            </w:pPr>
            <w:r w:rsidRPr="00AC78D4">
              <w:t>Comply with the D</w:t>
            </w:r>
            <w:r>
              <w:t>epartment’s</w:t>
            </w:r>
            <w:r w:rsidRPr="00AC78D4">
              <w:t xml:space="preserve"> </w:t>
            </w:r>
            <w:hyperlink r:id="rId13" w:anchor="/app/content/2716/support_and_service_(schools)%252Ffunding,_purchasing_and_travel%252Ftravel_for_department_purposes%252Fstaff_travel_applications" w:history="1">
              <w:r w:rsidR="00AC51B8">
                <w:rPr>
                  <w:rStyle w:val="Hyperlink"/>
                  <w:rFonts w:cstheme="minorBidi"/>
                  <w:szCs w:val="22"/>
                </w:rPr>
                <w:t>Travel Policy</w:t>
              </w:r>
            </w:hyperlink>
            <w:r w:rsidRPr="00AC78D4">
              <w:t>.</w:t>
            </w:r>
          </w:p>
        </w:tc>
        <w:tc>
          <w:tcPr>
            <w:tcW w:w="837" w:type="dxa"/>
          </w:tcPr>
          <w:p w14:paraId="3F7807C5" w14:textId="77777777" w:rsidR="007F42E9" w:rsidRPr="00AC78D4" w:rsidRDefault="007F42E9" w:rsidP="00FA28AD">
            <w:pPr>
              <w:cnfStyle w:val="000000000000" w:firstRow="0" w:lastRow="0" w:firstColumn="0" w:lastColumn="0" w:oddVBand="0" w:evenVBand="0" w:oddHBand="0" w:evenHBand="0" w:firstRowFirstColumn="0" w:firstRowLastColumn="0" w:lastRowFirstColumn="0" w:lastRowLastColumn="0"/>
            </w:pPr>
          </w:p>
        </w:tc>
      </w:tr>
      <w:tr w:rsidR="007F42E9" w:rsidRPr="00AC78D4" w14:paraId="43704870" w14:textId="7ACED426" w:rsidTr="007F42E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14" w:type="dxa"/>
            <w:tcBorders>
              <w:top w:val="none" w:sz="0" w:space="0" w:color="auto"/>
              <w:left w:val="none" w:sz="0" w:space="0" w:color="auto"/>
              <w:bottom w:val="none" w:sz="0" w:space="0" w:color="auto"/>
            </w:tcBorders>
            <w:shd w:val="clear" w:color="auto" w:fill="FFFFFF" w:themeFill="background1"/>
          </w:tcPr>
          <w:p w14:paraId="60E4D03D" w14:textId="77777777" w:rsidR="007F42E9" w:rsidRPr="00395E1B" w:rsidRDefault="007F42E9" w:rsidP="00AC78D4">
            <w:pPr>
              <w:rPr>
                <w:b w:val="0"/>
              </w:rPr>
            </w:pPr>
            <w:r w:rsidRPr="00395E1B">
              <w:rPr>
                <w:b w:val="0"/>
              </w:rPr>
              <w:t>11.2.1.3</w:t>
            </w:r>
          </w:p>
        </w:tc>
        <w:tc>
          <w:tcPr>
            <w:tcW w:w="6946" w:type="dxa"/>
            <w:tcBorders>
              <w:top w:val="none" w:sz="0" w:space="0" w:color="auto"/>
              <w:bottom w:val="none" w:sz="0" w:space="0" w:color="auto"/>
            </w:tcBorders>
            <w:shd w:val="clear" w:color="auto" w:fill="auto"/>
          </w:tcPr>
          <w:p w14:paraId="4515AF31" w14:textId="77777777" w:rsidR="007F42E9" w:rsidRPr="00AC78D4" w:rsidRDefault="007F42E9" w:rsidP="00AC78D4">
            <w:pPr>
              <w:cnfStyle w:val="000000100000" w:firstRow="0" w:lastRow="0" w:firstColumn="0" w:lastColumn="0" w:oddVBand="0" w:evenVBand="0" w:oddHBand="1" w:evenHBand="0" w:firstRowFirstColumn="0" w:firstRowLastColumn="0" w:lastRowFirstColumn="0" w:lastRowLastColumn="0"/>
            </w:pPr>
            <w:r w:rsidRPr="00AC78D4">
              <w:t>Comply with the D</w:t>
            </w:r>
            <w:r>
              <w:t>epartment’s</w:t>
            </w:r>
            <w:r w:rsidRPr="00AC78D4">
              <w:t xml:space="preserve"> </w:t>
            </w:r>
            <w:hyperlink r:id="rId14" w:anchor="/app/content/2627/policies_(corporate)%252Fprocurement%252Fgifts,_benefits_and_hospitality_policy" w:history="1">
              <w:r w:rsidRPr="00643E12">
                <w:rPr>
                  <w:rStyle w:val="Hyperlink"/>
                  <w:rFonts w:cstheme="minorBidi"/>
                  <w:szCs w:val="22"/>
                </w:rPr>
                <w:t>Gifts, Benefits and Hospitality Policy</w:t>
              </w:r>
            </w:hyperlink>
            <w:r w:rsidRPr="00643E12">
              <w:rPr>
                <w:rStyle w:val="Hyperlink"/>
                <w:rFonts w:cstheme="minorBidi"/>
                <w:szCs w:val="22"/>
              </w:rPr>
              <w:t>.</w:t>
            </w:r>
          </w:p>
        </w:tc>
        <w:tc>
          <w:tcPr>
            <w:tcW w:w="837" w:type="dxa"/>
            <w:tcBorders>
              <w:top w:val="none" w:sz="0" w:space="0" w:color="auto"/>
              <w:bottom w:val="none" w:sz="0" w:space="0" w:color="auto"/>
              <w:right w:val="none" w:sz="0" w:space="0" w:color="auto"/>
            </w:tcBorders>
          </w:tcPr>
          <w:p w14:paraId="6BADAFDC" w14:textId="77777777" w:rsidR="007F42E9" w:rsidRPr="00AC78D4" w:rsidRDefault="007F42E9" w:rsidP="00AC78D4">
            <w:pPr>
              <w:cnfStyle w:val="000000100000" w:firstRow="0" w:lastRow="0" w:firstColumn="0" w:lastColumn="0" w:oddVBand="0" w:evenVBand="0" w:oddHBand="1" w:evenHBand="0" w:firstRowFirstColumn="0" w:firstRowLastColumn="0" w:lastRowFirstColumn="0" w:lastRowLastColumn="0"/>
            </w:pPr>
          </w:p>
        </w:tc>
      </w:tr>
      <w:tr w:rsidR="007F42E9" w:rsidRPr="00AC78D4" w14:paraId="31366ABF" w14:textId="01408715" w:rsidTr="007F42E9">
        <w:trPr>
          <w:trHeight w:val="567"/>
        </w:trPr>
        <w:tc>
          <w:tcPr>
            <w:cnfStyle w:val="001000000000" w:firstRow="0" w:lastRow="0" w:firstColumn="1" w:lastColumn="0" w:oddVBand="0" w:evenVBand="0" w:oddHBand="0" w:evenHBand="0" w:firstRowFirstColumn="0" w:firstRowLastColumn="0" w:lastRowFirstColumn="0" w:lastRowLastColumn="0"/>
            <w:tcW w:w="1214" w:type="dxa"/>
            <w:shd w:val="clear" w:color="auto" w:fill="FFFFFF" w:themeFill="background1"/>
          </w:tcPr>
          <w:p w14:paraId="4597CB6D" w14:textId="77777777" w:rsidR="007F42E9" w:rsidRPr="004273EC" w:rsidRDefault="007F42E9" w:rsidP="00AC78D4">
            <w:pPr>
              <w:rPr>
                <w:b w:val="0"/>
              </w:rPr>
            </w:pPr>
            <w:r w:rsidRPr="004273EC">
              <w:rPr>
                <w:b w:val="0"/>
              </w:rPr>
              <w:t>11.2.1.4</w:t>
            </w:r>
          </w:p>
        </w:tc>
        <w:tc>
          <w:tcPr>
            <w:tcW w:w="6946" w:type="dxa"/>
            <w:shd w:val="clear" w:color="auto" w:fill="auto"/>
          </w:tcPr>
          <w:p w14:paraId="6B63ED29" w14:textId="77777777" w:rsidR="007F42E9" w:rsidRPr="00AC78D4" w:rsidRDefault="007F42E9" w:rsidP="00AC78D4">
            <w:pPr>
              <w:cnfStyle w:val="000000000000" w:firstRow="0" w:lastRow="0" w:firstColumn="0" w:lastColumn="0" w:oddVBand="0" w:evenVBand="0" w:oddHBand="0" w:evenHBand="0" w:firstRowFirstColumn="0" w:firstRowLastColumn="0" w:lastRowFirstColumn="0" w:lastRowLastColumn="0"/>
            </w:pPr>
            <w:r>
              <w:t xml:space="preserve">Comply with the Department’s </w:t>
            </w:r>
            <w:hyperlink r:id="rId15" w:history="1">
              <w:r w:rsidRPr="004273EC">
                <w:rPr>
                  <w:rStyle w:val="Hyperlink"/>
                </w:rPr>
                <w:t>Personal Expense Reimbursement</w:t>
              </w:r>
            </w:hyperlink>
          </w:p>
        </w:tc>
        <w:tc>
          <w:tcPr>
            <w:tcW w:w="837" w:type="dxa"/>
          </w:tcPr>
          <w:p w14:paraId="238AE35C" w14:textId="77777777" w:rsidR="007F42E9" w:rsidRDefault="007F42E9" w:rsidP="00AC78D4">
            <w:pPr>
              <w:cnfStyle w:val="000000000000" w:firstRow="0" w:lastRow="0" w:firstColumn="0" w:lastColumn="0" w:oddVBand="0" w:evenVBand="0" w:oddHBand="0" w:evenHBand="0" w:firstRowFirstColumn="0" w:firstRowLastColumn="0" w:lastRowFirstColumn="0" w:lastRowLastColumn="0"/>
            </w:pPr>
          </w:p>
        </w:tc>
      </w:tr>
    </w:tbl>
    <w:bookmarkEnd w:id="0"/>
    <w:bookmarkEnd w:id="1"/>
    <w:bookmarkEnd w:id="2"/>
    <w:p w14:paraId="057404A1" w14:textId="77777777" w:rsidR="0051778F" w:rsidRPr="00AC78D4" w:rsidRDefault="00B239F0" w:rsidP="00AC78D4">
      <w:pPr>
        <w:pStyle w:val="Heading2"/>
      </w:pPr>
      <w:r w:rsidRPr="00AC78D4">
        <w:t>11</w:t>
      </w:r>
      <w:r w:rsidR="00134B4E">
        <w:t>.3</w:t>
      </w:r>
      <w:r w:rsidR="00E6579E">
        <w:tab/>
      </w:r>
      <w:r w:rsidR="00AD4561" w:rsidRPr="00AC78D4">
        <w:t>Ordering</w:t>
      </w:r>
    </w:p>
    <w:p w14:paraId="4EE23B60" w14:textId="77777777" w:rsidR="0051778F" w:rsidRPr="00AC78D4" w:rsidRDefault="00B239F0" w:rsidP="00AC78D4">
      <w:pPr>
        <w:pStyle w:val="Heading3"/>
      </w:pPr>
      <w:r w:rsidRPr="00AC78D4">
        <w:t>11</w:t>
      </w:r>
      <w:r w:rsidR="00134B4E">
        <w:t>.3.1</w:t>
      </w:r>
      <w:r w:rsidR="00134B4E">
        <w:tab/>
      </w:r>
      <w:r w:rsidR="0051778F" w:rsidRPr="00AC78D4">
        <w:t>Mandatory policy (</w:t>
      </w:r>
      <w:r w:rsidR="00A807D3">
        <w:t>Must do</w:t>
      </w:r>
      <w:r w:rsidR="0051778F" w:rsidRPr="00AC78D4">
        <w:t>)</w:t>
      </w:r>
      <w:r w:rsidR="001F7431">
        <w:t>:</w:t>
      </w:r>
    </w:p>
    <w:tbl>
      <w:tblPr>
        <w:tblStyle w:val="LightList-Accent3"/>
        <w:tblW w:w="0" w:type="auto"/>
        <w:tblInd w:w="52" w:type="dxa"/>
        <w:tblLayout w:type="fixed"/>
        <w:tblLook w:val="04A0" w:firstRow="1" w:lastRow="0" w:firstColumn="1" w:lastColumn="0" w:noHBand="0" w:noVBand="1"/>
        <w:tblDescription w:val="table containing sequence number and policy information"/>
      </w:tblPr>
      <w:tblGrid>
        <w:gridCol w:w="1219"/>
        <w:gridCol w:w="6946"/>
        <w:gridCol w:w="837"/>
      </w:tblGrid>
      <w:tr w:rsidR="007F42E9" w:rsidRPr="00AC78D4" w14:paraId="7FEEF54E" w14:textId="0F48F735" w:rsidTr="007F42E9">
        <w:trPr>
          <w:cnfStyle w:val="100000000000" w:firstRow="1" w:lastRow="0" w:firstColumn="0" w:lastColumn="0" w:oddVBand="0" w:evenVBand="0" w:oddHBand="0" w:evenHBand="0" w:firstRowFirstColumn="0" w:firstRowLastColumn="0" w:lastRowFirstColumn="0" w:lastRowLastColumn="0"/>
          <w:trHeight w:val="597"/>
          <w:tblHeader/>
        </w:trPr>
        <w:tc>
          <w:tcPr>
            <w:cnfStyle w:val="001000000000" w:firstRow="0" w:lastRow="0" w:firstColumn="1" w:lastColumn="0" w:oddVBand="0" w:evenVBand="0" w:oddHBand="0" w:evenHBand="0" w:firstRowFirstColumn="0" w:firstRowLastColumn="0" w:lastRowFirstColumn="0" w:lastRowLastColumn="0"/>
            <w:tcW w:w="1219" w:type="dxa"/>
            <w:tcBorders>
              <w:top w:val="single" w:sz="4" w:space="0" w:color="auto"/>
              <w:left w:val="single" w:sz="4" w:space="0" w:color="auto"/>
              <w:bottom w:val="single" w:sz="4" w:space="0" w:color="auto"/>
              <w:right w:val="single" w:sz="4" w:space="0" w:color="auto"/>
            </w:tcBorders>
            <w:shd w:val="clear" w:color="auto" w:fill="auto"/>
          </w:tcPr>
          <w:p w14:paraId="4D40BE99" w14:textId="740F8435" w:rsidR="007F42E9" w:rsidRPr="00395E1B" w:rsidRDefault="007F42E9" w:rsidP="00C86066">
            <w:pPr>
              <w:rPr>
                <w:color w:val="000000" w:themeColor="text1"/>
              </w:rPr>
            </w:pPr>
            <w:r w:rsidRPr="0079019F">
              <w:rPr>
                <w:color w:val="auto"/>
                <w:sz w:val="18"/>
              </w:rPr>
              <w:t>Sequence Number</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47DCE2A0" w14:textId="77777777" w:rsidR="007F42E9" w:rsidRPr="002E4E58" w:rsidRDefault="007F42E9" w:rsidP="00C86066">
            <w:pP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2E4E58">
              <w:rPr>
                <w:color w:val="000000" w:themeColor="text1"/>
                <w:sz w:val="20"/>
                <w:szCs w:val="20"/>
              </w:rPr>
              <w:t>Information</w:t>
            </w:r>
          </w:p>
        </w:tc>
        <w:tc>
          <w:tcPr>
            <w:tcW w:w="837" w:type="dxa"/>
            <w:tcBorders>
              <w:top w:val="nil"/>
              <w:left w:val="single" w:sz="4" w:space="0" w:color="auto"/>
              <w:bottom w:val="single" w:sz="4" w:space="0" w:color="auto"/>
              <w:right w:val="nil"/>
            </w:tcBorders>
            <w:shd w:val="clear" w:color="auto" w:fill="auto"/>
          </w:tcPr>
          <w:p w14:paraId="7D4062B9" w14:textId="77777777" w:rsidR="007F42E9" w:rsidRDefault="007F42E9" w:rsidP="00C86066">
            <w:pPr>
              <w:cnfStyle w:val="100000000000" w:firstRow="1" w:lastRow="0" w:firstColumn="0" w:lastColumn="0" w:oddVBand="0" w:evenVBand="0" w:oddHBand="0" w:evenHBand="0" w:firstRowFirstColumn="0" w:firstRowLastColumn="0" w:lastRowFirstColumn="0" w:lastRowLastColumn="0"/>
              <w:rPr>
                <w:color w:val="000000" w:themeColor="text1"/>
              </w:rPr>
            </w:pPr>
          </w:p>
        </w:tc>
      </w:tr>
      <w:tr w:rsidR="007F42E9" w:rsidRPr="00580912" w14:paraId="5AD81A5C" w14:textId="2A18556F" w:rsidTr="007F4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19" w:type="dxa"/>
            <w:tcBorders>
              <w:top w:val="single" w:sz="4" w:space="0" w:color="auto"/>
              <w:left w:val="single" w:sz="4" w:space="0" w:color="auto"/>
              <w:bottom w:val="single" w:sz="4" w:space="0" w:color="auto"/>
              <w:right w:val="single" w:sz="4" w:space="0" w:color="auto"/>
            </w:tcBorders>
            <w:shd w:val="clear" w:color="auto" w:fill="auto"/>
          </w:tcPr>
          <w:p w14:paraId="580CB621" w14:textId="76D21D27" w:rsidR="007F42E9" w:rsidRPr="00395E1B" w:rsidRDefault="007F42E9" w:rsidP="007541CB">
            <w:pPr>
              <w:rPr>
                <w:b w:val="0"/>
                <w:color w:val="000000" w:themeColor="text1"/>
              </w:rPr>
            </w:pPr>
            <w:r w:rsidRPr="00395E1B">
              <w:rPr>
                <w:b w:val="0"/>
                <w:color w:val="000000" w:themeColor="text1"/>
              </w:rPr>
              <w:t>11.3.1.1</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AB3EB2C" w14:textId="77777777" w:rsidR="007F42E9" w:rsidRPr="007541CB" w:rsidRDefault="007F42E9" w:rsidP="00790B5E">
            <w:pPr>
              <w:cnfStyle w:val="000000100000" w:firstRow="0" w:lastRow="0" w:firstColumn="0" w:lastColumn="0" w:oddVBand="0" w:evenVBand="0" w:oddHBand="1" w:evenHBand="0" w:firstRowFirstColumn="0" w:firstRowLastColumn="0" w:lastRowFirstColumn="0" w:lastRowLastColumn="0"/>
              <w:rPr>
                <w:b/>
                <w:color w:val="000000" w:themeColor="text1"/>
              </w:rPr>
            </w:pPr>
            <w:r w:rsidRPr="007541CB">
              <w:rPr>
                <w:color w:val="000000" w:themeColor="text1"/>
              </w:rPr>
              <w:t>School council must authorise and minute the names of people delegated to approve purchases and school expenditure.</w:t>
            </w:r>
          </w:p>
        </w:tc>
        <w:tc>
          <w:tcPr>
            <w:tcW w:w="837" w:type="dxa"/>
            <w:tcBorders>
              <w:top w:val="single" w:sz="4" w:space="0" w:color="auto"/>
              <w:left w:val="single" w:sz="4" w:space="0" w:color="auto"/>
              <w:bottom w:val="single" w:sz="4" w:space="0" w:color="auto"/>
              <w:right w:val="single" w:sz="4" w:space="0" w:color="auto"/>
            </w:tcBorders>
          </w:tcPr>
          <w:p w14:paraId="0292517A" w14:textId="77777777" w:rsidR="007F42E9" w:rsidRPr="007541CB" w:rsidRDefault="007F42E9" w:rsidP="00790B5E">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7F42E9" w:rsidRPr="00580912" w14:paraId="67FAA0BA" w14:textId="424C7A1B" w:rsidTr="007F4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cnfStyle w:val="001000000000" w:firstRow="0" w:lastRow="0" w:firstColumn="1" w:lastColumn="0" w:oddVBand="0" w:evenVBand="0" w:oddHBand="0" w:evenHBand="0" w:firstRowFirstColumn="0" w:firstRowLastColumn="0" w:lastRowFirstColumn="0" w:lastRowLastColumn="0"/>
            <w:tcW w:w="1219" w:type="dxa"/>
            <w:shd w:val="clear" w:color="auto" w:fill="FFFFFF" w:themeFill="background1"/>
          </w:tcPr>
          <w:p w14:paraId="2F781064" w14:textId="77777777" w:rsidR="007F42E9" w:rsidRPr="00395E1B" w:rsidRDefault="007F42E9" w:rsidP="00580912">
            <w:pPr>
              <w:rPr>
                <w:b w:val="0"/>
              </w:rPr>
            </w:pPr>
            <w:r w:rsidRPr="00395E1B">
              <w:rPr>
                <w:b w:val="0"/>
              </w:rPr>
              <w:t>11.3.1.2</w:t>
            </w:r>
          </w:p>
        </w:tc>
        <w:tc>
          <w:tcPr>
            <w:tcW w:w="6946" w:type="dxa"/>
            <w:shd w:val="clear" w:color="auto" w:fill="auto"/>
          </w:tcPr>
          <w:p w14:paraId="3B778BC1" w14:textId="77777777" w:rsidR="001D3D36" w:rsidRDefault="007F42E9" w:rsidP="001D3D36">
            <w:pPr>
              <w:cnfStyle w:val="000000000000" w:firstRow="0" w:lastRow="0" w:firstColumn="0" w:lastColumn="0" w:oddVBand="0" w:evenVBand="0" w:oddHBand="0" w:evenHBand="0" w:firstRowFirstColumn="0" w:firstRowLastColumn="0" w:lastRowFirstColumn="0" w:lastRowLastColumn="0"/>
            </w:pPr>
            <w:r w:rsidRPr="00580912">
              <w:t xml:space="preserve">Use a </w:t>
            </w:r>
            <w:r>
              <w:t>purchase</w:t>
            </w:r>
            <w:r w:rsidRPr="00580912">
              <w:t xml:space="preserve"> order</w:t>
            </w:r>
            <w:r>
              <w:t xml:space="preserve"> and </w:t>
            </w:r>
            <w:r w:rsidRPr="00580912">
              <w:t xml:space="preserve">obtain </w:t>
            </w:r>
            <w:r>
              <w:t xml:space="preserve">prior </w:t>
            </w:r>
            <w:r w:rsidRPr="00580912">
              <w:t xml:space="preserve">permission </w:t>
            </w:r>
            <w:r>
              <w:t xml:space="preserve">for all school purchases, </w:t>
            </w:r>
            <w:r w:rsidR="001D3D36">
              <w:t>except for u</w:t>
            </w:r>
            <w:r w:rsidRPr="0012339E">
              <w:t>tilities</w:t>
            </w:r>
            <w:r>
              <w:t xml:space="preserve"> and </w:t>
            </w:r>
            <w:r w:rsidRPr="00580912">
              <w:t>petty cash items approved by the principal or delegated officer</w:t>
            </w:r>
            <w:r>
              <w:t>.</w:t>
            </w:r>
            <w:r w:rsidR="001D3D36">
              <w:t xml:space="preserve"> </w:t>
            </w:r>
          </w:p>
          <w:p w14:paraId="2C19A56B" w14:textId="4898838D" w:rsidR="007F42E9" w:rsidRPr="00580912" w:rsidRDefault="001D3D36" w:rsidP="001D3D36">
            <w:pPr>
              <w:cnfStyle w:val="000000000000" w:firstRow="0" w:lastRow="0" w:firstColumn="0" w:lastColumn="0" w:oddVBand="0" w:evenVBand="0" w:oddHBand="0" w:evenHBand="0" w:firstRowFirstColumn="0" w:firstRowLastColumn="0" w:lastRowFirstColumn="0" w:lastRowLastColumn="0"/>
            </w:pPr>
            <w:r>
              <w:t>A standing order can be used for items or services associated with the day to day running of a school, are of an ongoing nature and are purchased for the current year.</w:t>
            </w:r>
          </w:p>
        </w:tc>
        <w:tc>
          <w:tcPr>
            <w:tcW w:w="837" w:type="dxa"/>
          </w:tcPr>
          <w:p w14:paraId="0AF52DEA" w14:textId="77777777" w:rsidR="007F42E9" w:rsidRPr="00580912" w:rsidRDefault="007F42E9" w:rsidP="00790B5E">
            <w:pPr>
              <w:cnfStyle w:val="000000000000" w:firstRow="0" w:lastRow="0" w:firstColumn="0" w:lastColumn="0" w:oddVBand="0" w:evenVBand="0" w:oddHBand="0" w:evenHBand="0" w:firstRowFirstColumn="0" w:firstRowLastColumn="0" w:lastRowFirstColumn="0" w:lastRowLastColumn="0"/>
            </w:pPr>
          </w:p>
        </w:tc>
      </w:tr>
      <w:tr w:rsidR="007F42E9" w:rsidRPr="00580912" w14:paraId="2C4A64F9" w14:textId="7AEF14CA" w:rsidTr="007F4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219" w:type="dxa"/>
            <w:tcBorders>
              <w:top w:val="single" w:sz="4" w:space="0" w:color="auto"/>
              <w:left w:val="single" w:sz="4" w:space="0" w:color="auto"/>
              <w:bottom w:val="single" w:sz="4" w:space="0" w:color="auto"/>
              <w:right w:val="single" w:sz="4" w:space="0" w:color="auto"/>
            </w:tcBorders>
            <w:shd w:val="clear" w:color="auto" w:fill="auto"/>
          </w:tcPr>
          <w:p w14:paraId="14F4F07D" w14:textId="77777777" w:rsidR="007F42E9" w:rsidRPr="00395E1B" w:rsidRDefault="007F42E9" w:rsidP="00580912">
            <w:pPr>
              <w:rPr>
                <w:b w:val="0"/>
              </w:rPr>
            </w:pPr>
            <w:r w:rsidRPr="00395E1B">
              <w:rPr>
                <w:b w:val="0"/>
              </w:rPr>
              <w:t>11.3.1.3</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13BABAFD" w14:textId="77777777" w:rsidR="007F42E9" w:rsidRPr="00580912" w:rsidRDefault="007F42E9" w:rsidP="00790B5E">
            <w:pPr>
              <w:cnfStyle w:val="000000100000" w:firstRow="0" w:lastRow="0" w:firstColumn="0" w:lastColumn="0" w:oddVBand="0" w:evenVBand="0" w:oddHBand="1" w:evenHBand="0" w:firstRowFirstColumn="0" w:firstRowLastColumn="0" w:lastRowFirstColumn="0" w:lastRowLastColumn="0"/>
            </w:pPr>
            <w:r w:rsidRPr="00580912">
              <w:t xml:space="preserve">Officers authorised to approve orders must check that the order: </w:t>
            </w:r>
          </w:p>
          <w:p w14:paraId="7DA42BA3" w14:textId="77777777" w:rsidR="007F42E9" w:rsidRPr="00580912" w:rsidRDefault="007F42E9" w:rsidP="00790B5E">
            <w:pPr>
              <w:pStyle w:val="ListBullet"/>
              <w:cnfStyle w:val="000000100000" w:firstRow="0" w:lastRow="0" w:firstColumn="0" w:lastColumn="0" w:oddVBand="0" w:evenVBand="0" w:oddHBand="1" w:evenHBand="0" w:firstRowFirstColumn="0" w:firstRowLastColumn="0" w:lastRowFirstColumn="0" w:lastRowLastColumn="0"/>
            </w:pPr>
            <w:r w:rsidRPr="00580912">
              <w:t>is for school purposes</w:t>
            </w:r>
            <w:r>
              <w:t>;</w:t>
            </w:r>
            <w:r w:rsidRPr="00580912">
              <w:t xml:space="preserve"> </w:t>
            </w:r>
          </w:p>
          <w:p w14:paraId="1E2B011B" w14:textId="77777777" w:rsidR="007F42E9" w:rsidRPr="00580912" w:rsidRDefault="007F42E9" w:rsidP="00790B5E">
            <w:pPr>
              <w:pStyle w:val="ListBullet"/>
              <w:cnfStyle w:val="000000100000" w:firstRow="0" w:lastRow="0" w:firstColumn="0" w:lastColumn="0" w:oddVBand="0" w:evenVBand="0" w:oddHBand="1" w:evenHBand="0" w:firstRowFirstColumn="0" w:firstRowLastColumn="0" w:lastRowFirstColumn="0" w:lastRowLastColumn="0"/>
            </w:pPr>
            <w:r w:rsidRPr="00580912">
              <w:t>is within budget</w:t>
            </w:r>
            <w:r>
              <w:t>;</w:t>
            </w:r>
          </w:p>
          <w:p w14:paraId="72D62A12" w14:textId="77777777" w:rsidR="007F42E9" w:rsidRPr="00380167" w:rsidRDefault="007F42E9" w:rsidP="00790B5E">
            <w:pPr>
              <w:pStyle w:val="ListBullet"/>
              <w:cnfStyle w:val="000000100000" w:firstRow="0" w:lastRow="0" w:firstColumn="0" w:lastColumn="0" w:oddVBand="0" w:evenVBand="0" w:oddHBand="1" w:evenHBand="0" w:firstRowFirstColumn="0" w:firstRowLastColumn="0" w:lastRowFirstColumn="0" w:lastRowLastColumn="0"/>
            </w:pPr>
            <w:r w:rsidRPr="00580912">
              <w:lastRenderedPageBreak/>
              <w:t xml:space="preserve">is in </w:t>
            </w:r>
            <w:r w:rsidRPr="00380167">
              <w:t>accordance with the school procurement policy and processes</w:t>
            </w:r>
            <w:r>
              <w:t>;</w:t>
            </w:r>
          </w:p>
          <w:p w14:paraId="1D18D666" w14:textId="77777777" w:rsidR="007F42E9" w:rsidRPr="00580912" w:rsidRDefault="007F42E9" w:rsidP="00790B5E">
            <w:pPr>
              <w:pStyle w:val="ListBullet"/>
              <w:cnfStyle w:val="000000100000" w:firstRow="0" w:lastRow="0" w:firstColumn="0" w:lastColumn="0" w:oddVBand="0" w:evenVBand="0" w:oddHBand="1" w:evenHBand="0" w:firstRowFirstColumn="0" w:firstRowLastColumn="0" w:lastRowFirstColumn="0" w:lastRowLastColumn="0"/>
            </w:pPr>
            <w:r w:rsidRPr="00380167">
              <w:t>meets any conditions placed on funds</w:t>
            </w:r>
            <w:r w:rsidRPr="00580912">
              <w:t xml:space="preserve"> that will be used for the purchase</w:t>
            </w:r>
            <w:r>
              <w:t>;</w:t>
            </w:r>
            <w:r w:rsidRPr="00580912">
              <w:t xml:space="preserve"> </w:t>
            </w:r>
          </w:p>
          <w:p w14:paraId="5CE5C338" w14:textId="77777777" w:rsidR="007F42E9" w:rsidRPr="00580912" w:rsidRDefault="007F42E9" w:rsidP="00790B5E">
            <w:pPr>
              <w:pStyle w:val="ListBullet"/>
              <w:cnfStyle w:val="000000100000" w:firstRow="0" w:lastRow="0" w:firstColumn="0" w:lastColumn="0" w:oddVBand="0" w:evenVBand="0" w:oddHBand="1" w:evenHBand="0" w:firstRowFirstColumn="0" w:firstRowLastColumn="0" w:lastRowFirstColumn="0" w:lastRowLastColumn="0"/>
            </w:pPr>
            <w:r w:rsidRPr="00580912">
              <w:t>there are available funds to meet the commitment.</w:t>
            </w:r>
          </w:p>
        </w:tc>
        <w:tc>
          <w:tcPr>
            <w:tcW w:w="837" w:type="dxa"/>
            <w:tcBorders>
              <w:top w:val="single" w:sz="4" w:space="0" w:color="auto"/>
              <w:left w:val="single" w:sz="4" w:space="0" w:color="auto"/>
              <w:bottom w:val="single" w:sz="4" w:space="0" w:color="auto"/>
              <w:right w:val="single" w:sz="4" w:space="0" w:color="auto"/>
            </w:tcBorders>
          </w:tcPr>
          <w:p w14:paraId="40FD7EB9" w14:textId="77777777" w:rsidR="007F42E9" w:rsidRPr="00580912" w:rsidRDefault="007F42E9" w:rsidP="00790B5E">
            <w:pPr>
              <w:cnfStyle w:val="000000100000" w:firstRow="0" w:lastRow="0" w:firstColumn="0" w:lastColumn="0" w:oddVBand="0" w:evenVBand="0" w:oddHBand="1" w:evenHBand="0" w:firstRowFirstColumn="0" w:firstRowLastColumn="0" w:lastRowFirstColumn="0" w:lastRowLastColumn="0"/>
            </w:pPr>
          </w:p>
        </w:tc>
      </w:tr>
      <w:tr w:rsidR="007F42E9" w:rsidRPr="00580912" w14:paraId="772C21A5" w14:textId="57F34411" w:rsidTr="007F4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cnfStyle w:val="001000000000" w:firstRow="0" w:lastRow="0" w:firstColumn="1" w:lastColumn="0" w:oddVBand="0" w:evenVBand="0" w:oddHBand="0" w:evenHBand="0" w:firstRowFirstColumn="0" w:firstRowLastColumn="0" w:lastRowFirstColumn="0" w:lastRowLastColumn="0"/>
            <w:tcW w:w="1219" w:type="dxa"/>
            <w:tcBorders>
              <w:top w:val="single" w:sz="4" w:space="0" w:color="auto"/>
              <w:left w:val="single" w:sz="4" w:space="0" w:color="auto"/>
              <w:bottom w:val="single" w:sz="4" w:space="0" w:color="auto"/>
            </w:tcBorders>
            <w:shd w:val="clear" w:color="auto" w:fill="auto"/>
          </w:tcPr>
          <w:p w14:paraId="3D1077DA" w14:textId="77777777" w:rsidR="007F42E9" w:rsidRPr="00395E1B" w:rsidRDefault="007F42E9" w:rsidP="00580912">
            <w:pPr>
              <w:rPr>
                <w:b w:val="0"/>
              </w:rPr>
            </w:pPr>
            <w:r w:rsidRPr="00395E1B">
              <w:rPr>
                <w:b w:val="0"/>
              </w:rPr>
              <w:t>11.3.1.4</w:t>
            </w:r>
          </w:p>
        </w:tc>
        <w:tc>
          <w:tcPr>
            <w:tcW w:w="6946" w:type="dxa"/>
            <w:tcBorders>
              <w:top w:val="single" w:sz="4" w:space="0" w:color="auto"/>
              <w:bottom w:val="single" w:sz="4" w:space="0" w:color="auto"/>
            </w:tcBorders>
            <w:shd w:val="clear" w:color="auto" w:fill="auto"/>
          </w:tcPr>
          <w:p w14:paraId="3BD2C667" w14:textId="7595AAAF" w:rsidR="007F42E9" w:rsidRPr="00580912" w:rsidRDefault="007F42E9" w:rsidP="00290092">
            <w:pPr>
              <w:cnfStyle w:val="000000000000" w:firstRow="0" w:lastRow="0" w:firstColumn="0" w:lastColumn="0" w:oddVBand="0" w:evenVBand="0" w:oddHBand="0" w:evenHBand="0" w:firstRowFirstColumn="0" w:firstRowLastColumn="0" w:lastRowFirstColumn="0" w:lastRowLastColumn="0"/>
            </w:pPr>
            <w:r w:rsidRPr="00580912">
              <w:t xml:space="preserve">Comply with GST requirements </w:t>
            </w:r>
            <w:hyperlink r:id="rId16" w:anchor="link100" w:history="1">
              <w:r w:rsidRPr="008C086C">
                <w:rPr>
                  <w:rStyle w:val="Hyperlink"/>
                </w:rPr>
                <w:t>(Refer to section 15 Taxation).</w:t>
              </w:r>
            </w:hyperlink>
          </w:p>
        </w:tc>
        <w:tc>
          <w:tcPr>
            <w:tcW w:w="837" w:type="dxa"/>
            <w:tcBorders>
              <w:top w:val="single" w:sz="4" w:space="0" w:color="auto"/>
              <w:bottom w:val="single" w:sz="4" w:space="0" w:color="auto"/>
            </w:tcBorders>
          </w:tcPr>
          <w:p w14:paraId="2A87173E" w14:textId="77777777" w:rsidR="007F42E9" w:rsidRPr="00580912" w:rsidRDefault="007F42E9" w:rsidP="00290092">
            <w:pPr>
              <w:cnfStyle w:val="000000000000" w:firstRow="0" w:lastRow="0" w:firstColumn="0" w:lastColumn="0" w:oddVBand="0" w:evenVBand="0" w:oddHBand="0" w:evenHBand="0" w:firstRowFirstColumn="0" w:firstRowLastColumn="0" w:lastRowFirstColumn="0" w:lastRowLastColumn="0"/>
            </w:pPr>
          </w:p>
        </w:tc>
      </w:tr>
    </w:tbl>
    <w:p w14:paraId="7313A502" w14:textId="77777777" w:rsidR="0051778F" w:rsidRPr="00AC78D4" w:rsidRDefault="00B239F0" w:rsidP="00AC78D4">
      <w:pPr>
        <w:pStyle w:val="Heading3"/>
      </w:pPr>
      <w:r w:rsidRPr="00AC78D4">
        <w:t>11</w:t>
      </w:r>
      <w:r w:rsidR="00134B4E">
        <w:t>.3.2</w:t>
      </w:r>
      <w:r w:rsidR="00134B4E">
        <w:tab/>
      </w:r>
      <w:r w:rsidR="0051778F" w:rsidRPr="00AC78D4">
        <w:t>Prohibited policy (</w:t>
      </w:r>
      <w:r w:rsidR="00A807D3">
        <w:t xml:space="preserve">Must </w:t>
      </w:r>
      <w:r w:rsidR="001459B5">
        <w:t>not</w:t>
      </w:r>
      <w:r w:rsidR="003278E4">
        <w:t xml:space="preserve"> do</w:t>
      </w:r>
      <w:r w:rsidR="0051778F" w:rsidRPr="00AC78D4">
        <w:t>)</w:t>
      </w:r>
      <w:r w:rsidR="001F7431">
        <w:t>:</w:t>
      </w:r>
    </w:p>
    <w:tbl>
      <w:tblPr>
        <w:tblStyle w:val="LightList-Accent3"/>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containing sequence number and policy information"/>
      </w:tblPr>
      <w:tblGrid>
        <w:gridCol w:w="1361"/>
        <w:gridCol w:w="6804"/>
        <w:gridCol w:w="837"/>
      </w:tblGrid>
      <w:tr w:rsidR="007F42E9" w:rsidRPr="00AC78D4" w14:paraId="381A8B2B" w14:textId="13714059" w:rsidTr="007F42E9">
        <w:trPr>
          <w:cnfStyle w:val="100000000000" w:firstRow="1" w:lastRow="0" w:firstColumn="0" w:lastColumn="0" w:oddVBand="0" w:evenVBand="0" w:oddHBand="0" w:evenHBand="0" w:firstRowFirstColumn="0" w:firstRowLastColumn="0" w:lastRowFirstColumn="0" w:lastRowLastColumn="0"/>
          <w:trHeight w:val="675"/>
          <w:tblHeader/>
        </w:trPr>
        <w:tc>
          <w:tcPr>
            <w:cnfStyle w:val="001000000000" w:firstRow="0" w:lastRow="0" w:firstColumn="1" w:lastColumn="0" w:oddVBand="0" w:evenVBand="0" w:oddHBand="0" w:evenHBand="0" w:firstRowFirstColumn="0" w:firstRowLastColumn="0" w:lastRowFirstColumn="0" w:lastRowLastColumn="0"/>
            <w:tcW w:w="1361" w:type="dxa"/>
            <w:shd w:val="clear" w:color="auto" w:fill="auto"/>
          </w:tcPr>
          <w:p w14:paraId="2E1FB136" w14:textId="1E59E376" w:rsidR="007F42E9" w:rsidRPr="007F42E9" w:rsidRDefault="007F42E9" w:rsidP="00C86066">
            <w:pPr>
              <w:rPr>
                <w:color w:val="000000" w:themeColor="text1"/>
                <w:sz w:val="18"/>
              </w:rPr>
            </w:pPr>
            <w:r>
              <w:rPr>
                <w:color w:val="000000" w:themeColor="text1"/>
                <w:sz w:val="18"/>
              </w:rPr>
              <w:t xml:space="preserve">Sequence </w:t>
            </w:r>
            <w:r w:rsidRPr="007F42E9">
              <w:rPr>
                <w:color w:val="000000" w:themeColor="text1"/>
                <w:sz w:val="18"/>
              </w:rPr>
              <w:t>Number</w:t>
            </w:r>
          </w:p>
        </w:tc>
        <w:tc>
          <w:tcPr>
            <w:tcW w:w="6804" w:type="dxa"/>
            <w:shd w:val="clear" w:color="auto" w:fill="auto"/>
          </w:tcPr>
          <w:p w14:paraId="10DE3817" w14:textId="77777777" w:rsidR="007F42E9" w:rsidRPr="002E4E58" w:rsidRDefault="007F42E9" w:rsidP="00C86066">
            <w:pPr>
              <w:cnfStyle w:val="100000000000" w:firstRow="1" w:lastRow="0" w:firstColumn="0" w:lastColumn="0" w:oddVBand="0" w:evenVBand="0" w:oddHBand="0" w:evenHBand="0" w:firstRowFirstColumn="0" w:firstRowLastColumn="0" w:lastRowFirstColumn="0" w:lastRowLastColumn="0"/>
              <w:rPr>
                <w:color w:val="000000" w:themeColor="text1"/>
                <w:sz w:val="20"/>
                <w:szCs w:val="20"/>
              </w:rPr>
            </w:pPr>
            <w:r w:rsidRPr="002E4E58">
              <w:rPr>
                <w:color w:val="000000" w:themeColor="text1"/>
                <w:sz w:val="20"/>
                <w:szCs w:val="20"/>
              </w:rPr>
              <w:t>Information</w:t>
            </w:r>
          </w:p>
        </w:tc>
        <w:tc>
          <w:tcPr>
            <w:tcW w:w="837" w:type="dxa"/>
            <w:tcBorders>
              <w:top w:val="nil"/>
              <w:right w:val="nil"/>
            </w:tcBorders>
            <w:shd w:val="clear" w:color="auto" w:fill="auto"/>
          </w:tcPr>
          <w:p w14:paraId="7ABE4755" w14:textId="77777777" w:rsidR="007F42E9" w:rsidRDefault="007F42E9" w:rsidP="00C86066">
            <w:pPr>
              <w:cnfStyle w:val="100000000000" w:firstRow="1" w:lastRow="0" w:firstColumn="0" w:lastColumn="0" w:oddVBand="0" w:evenVBand="0" w:oddHBand="0" w:evenHBand="0" w:firstRowFirstColumn="0" w:firstRowLastColumn="0" w:lastRowFirstColumn="0" w:lastRowLastColumn="0"/>
              <w:rPr>
                <w:color w:val="000000" w:themeColor="text1"/>
              </w:rPr>
            </w:pPr>
          </w:p>
        </w:tc>
      </w:tr>
      <w:tr w:rsidR="007F42E9" w:rsidRPr="00395E1B" w14:paraId="1EC3D9B4" w14:textId="70C38023" w:rsidTr="007F42E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361" w:type="dxa"/>
            <w:tcBorders>
              <w:top w:val="none" w:sz="0" w:space="0" w:color="auto"/>
              <w:left w:val="none" w:sz="0" w:space="0" w:color="auto"/>
              <w:bottom w:val="none" w:sz="0" w:space="0" w:color="auto"/>
            </w:tcBorders>
            <w:shd w:val="clear" w:color="auto" w:fill="auto"/>
          </w:tcPr>
          <w:p w14:paraId="53AE377C" w14:textId="60094DBE" w:rsidR="007F42E9" w:rsidRPr="00395E1B" w:rsidRDefault="007F42E9" w:rsidP="00AC78D4">
            <w:pPr>
              <w:rPr>
                <w:b w:val="0"/>
                <w:color w:val="000000" w:themeColor="text1"/>
              </w:rPr>
            </w:pPr>
            <w:r w:rsidRPr="00395E1B">
              <w:rPr>
                <w:b w:val="0"/>
                <w:color w:val="000000" w:themeColor="text1"/>
              </w:rPr>
              <w:t>11.3.2.1</w:t>
            </w:r>
          </w:p>
        </w:tc>
        <w:tc>
          <w:tcPr>
            <w:tcW w:w="6804" w:type="dxa"/>
            <w:tcBorders>
              <w:top w:val="none" w:sz="0" w:space="0" w:color="auto"/>
              <w:bottom w:val="none" w:sz="0" w:space="0" w:color="auto"/>
            </w:tcBorders>
            <w:shd w:val="clear" w:color="auto" w:fill="auto"/>
          </w:tcPr>
          <w:p w14:paraId="5D937054" w14:textId="77777777" w:rsidR="007F42E9" w:rsidRPr="00395E1B" w:rsidRDefault="007F42E9" w:rsidP="00790B5E">
            <w:pPr>
              <w:cnfStyle w:val="000000100000" w:firstRow="0" w:lastRow="0" w:firstColumn="0" w:lastColumn="0" w:oddVBand="0" w:evenVBand="0" w:oddHBand="1" w:evenHBand="0" w:firstRowFirstColumn="0" w:firstRowLastColumn="0" w:lastRowFirstColumn="0" w:lastRowLastColumn="0"/>
              <w:rPr>
                <w:b/>
                <w:color w:val="000000" w:themeColor="text1"/>
              </w:rPr>
            </w:pPr>
            <w:r w:rsidRPr="00395E1B">
              <w:rPr>
                <w:color w:val="000000" w:themeColor="text1"/>
              </w:rPr>
              <w:t>Use a school purchase order to obtain goods and services for private use.</w:t>
            </w:r>
          </w:p>
        </w:tc>
        <w:tc>
          <w:tcPr>
            <w:tcW w:w="837" w:type="dxa"/>
            <w:tcBorders>
              <w:top w:val="none" w:sz="0" w:space="0" w:color="auto"/>
              <w:bottom w:val="none" w:sz="0" w:space="0" w:color="auto"/>
              <w:right w:val="none" w:sz="0" w:space="0" w:color="auto"/>
            </w:tcBorders>
            <w:shd w:val="clear" w:color="auto" w:fill="auto"/>
          </w:tcPr>
          <w:p w14:paraId="1717AD16" w14:textId="77777777" w:rsidR="007F42E9" w:rsidRPr="00395E1B" w:rsidRDefault="007F42E9" w:rsidP="00790B5E">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7F42E9" w:rsidRPr="00AC78D4" w14:paraId="5874ACE6" w14:textId="0257EDE7" w:rsidTr="007F42E9">
        <w:trPr>
          <w:trHeight w:val="567"/>
        </w:trPr>
        <w:tc>
          <w:tcPr>
            <w:cnfStyle w:val="001000000000" w:firstRow="0" w:lastRow="0" w:firstColumn="1" w:lastColumn="0" w:oddVBand="0" w:evenVBand="0" w:oddHBand="0" w:evenHBand="0" w:firstRowFirstColumn="0" w:firstRowLastColumn="0" w:lastRowFirstColumn="0" w:lastRowLastColumn="0"/>
            <w:tcW w:w="1361" w:type="dxa"/>
            <w:shd w:val="clear" w:color="auto" w:fill="auto"/>
          </w:tcPr>
          <w:p w14:paraId="5A83968C" w14:textId="77777777" w:rsidR="007F42E9" w:rsidRPr="00395E1B" w:rsidRDefault="007F42E9" w:rsidP="00AC78D4">
            <w:pPr>
              <w:rPr>
                <w:b w:val="0"/>
              </w:rPr>
            </w:pPr>
            <w:r w:rsidRPr="00395E1B">
              <w:rPr>
                <w:b w:val="0"/>
              </w:rPr>
              <w:t>11.3.2.2</w:t>
            </w:r>
          </w:p>
        </w:tc>
        <w:tc>
          <w:tcPr>
            <w:tcW w:w="6804" w:type="dxa"/>
            <w:shd w:val="clear" w:color="auto" w:fill="auto"/>
          </w:tcPr>
          <w:p w14:paraId="05334FA1" w14:textId="2371CE6F" w:rsidR="007F42E9" w:rsidRPr="00AC78D4" w:rsidRDefault="007F42E9" w:rsidP="00790B5E">
            <w:pPr>
              <w:cnfStyle w:val="000000000000" w:firstRow="0" w:lastRow="0" w:firstColumn="0" w:lastColumn="0" w:oddVBand="0" w:evenVBand="0" w:oddHBand="0" w:evenHBand="0" w:firstRowFirstColumn="0" w:firstRowLastColumn="0" w:lastRowFirstColumn="0" w:lastRowLastColumn="0"/>
            </w:pPr>
            <w:r w:rsidRPr="00AC78D4">
              <w:t>Issue a duplicate order. Any order issued in replacement of an order not received by a supplier shall state that it is a replacement order.</w:t>
            </w:r>
          </w:p>
        </w:tc>
        <w:tc>
          <w:tcPr>
            <w:tcW w:w="837" w:type="dxa"/>
            <w:shd w:val="clear" w:color="auto" w:fill="auto"/>
          </w:tcPr>
          <w:p w14:paraId="024E6048" w14:textId="77777777" w:rsidR="007F42E9" w:rsidRPr="00AC78D4" w:rsidRDefault="007F42E9" w:rsidP="00790B5E">
            <w:pPr>
              <w:cnfStyle w:val="000000000000" w:firstRow="0" w:lastRow="0" w:firstColumn="0" w:lastColumn="0" w:oddVBand="0" w:evenVBand="0" w:oddHBand="0" w:evenHBand="0" w:firstRowFirstColumn="0" w:firstRowLastColumn="0" w:lastRowFirstColumn="0" w:lastRowLastColumn="0"/>
            </w:pPr>
          </w:p>
        </w:tc>
      </w:tr>
    </w:tbl>
    <w:p w14:paraId="0F19D8C9" w14:textId="77777777" w:rsidR="0051778F" w:rsidRPr="009F57A3" w:rsidRDefault="0051778F" w:rsidP="0051778F">
      <w:pPr>
        <w:rPr>
          <w:bCs/>
          <w:szCs w:val="22"/>
        </w:rPr>
      </w:pPr>
    </w:p>
    <w:p w14:paraId="6D9E59B4" w14:textId="77777777" w:rsidR="0051778F" w:rsidRPr="00AC78D4" w:rsidRDefault="00B239F0" w:rsidP="00AC78D4">
      <w:pPr>
        <w:pStyle w:val="Heading2"/>
      </w:pPr>
      <w:r w:rsidRPr="00AC78D4">
        <w:t>11</w:t>
      </w:r>
      <w:r w:rsidR="00134B4E">
        <w:t>.4</w:t>
      </w:r>
      <w:r w:rsidR="00134B4E">
        <w:tab/>
      </w:r>
      <w:r w:rsidR="00A62D1A" w:rsidRPr="00AC78D4">
        <w:t xml:space="preserve">Taking </w:t>
      </w:r>
      <w:r w:rsidR="00134B4E">
        <w:t>d</w:t>
      </w:r>
      <w:r w:rsidR="00A62D1A" w:rsidRPr="00AC78D4">
        <w:t>elivery</w:t>
      </w:r>
    </w:p>
    <w:p w14:paraId="6EE4418E" w14:textId="77777777" w:rsidR="0051778F" w:rsidRPr="00AC78D4" w:rsidRDefault="00B239F0" w:rsidP="00AC78D4">
      <w:pPr>
        <w:pStyle w:val="Heading3"/>
      </w:pPr>
      <w:r w:rsidRPr="00AC78D4">
        <w:t>11</w:t>
      </w:r>
      <w:r w:rsidR="00134B4E">
        <w:t>.4.1</w:t>
      </w:r>
      <w:r w:rsidR="00134B4E">
        <w:tab/>
      </w:r>
      <w:r w:rsidR="0051778F" w:rsidRPr="00AC78D4">
        <w:t>Mandatory policy (</w:t>
      </w:r>
      <w:r w:rsidR="00A807D3">
        <w:t>Must do</w:t>
      </w:r>
      <w:r w:rsidR="0051778F" w:rsidRPr="00AC78D4">
        <w:t>)</w:t>
      </w:r>
      <w:r w:rsidR="001F7431">
        <w:t>:</w:t>
      </w:r>
    </w:p>
    <w:tbl>
      <w:tblPr>
        <w:tblStyle w:val="TableGrid"/>
        <w:tblW w:w="9010" w:type="dxa"/>
        <w:tblInd w:w="57" w:type="dxa"/>
        <w:tblLayout w:type="fixed"/>
        <w:tblLook w:val="04A0" w:firstRow="1" w:lastRow="0" w:firstColumn="1" w:lastColumn="0" w:noHBand="0" w:noVBand="1"/>
        <w:tblDescription w:val="table containing sequence number and policy information"/>
      </w:tblPr>
      <w:tblGrid>
        <w:gridCol w:w="1134"/>
        <w:gridCol w:w="7088"/>
        <w:gridCol w:w="788"/>
      </w:tblGrid>
      <w:tr w:rsidR="007F42E9" w:rsidRPr="00AC78D4" w14:paraId="1AF895B4" w14:textId="79F0CC34" w:rsidTr="007F42E9">
        <w:trPr>
          <w:trHeight w:val="597"/>
          <w:tblHeader/>
        </w:trPr>
        <w:tc>
          <w:tcPr>
            <w:tcW w:w="1134" w:type="dxa"/>
          </w:tcPr>
          <w:p w14:paraId="41C20FA4" w14:textId="0A8EFF0F" w:rsidR="007F42E9" w:rsidRPr="0079019F" w:rsidRDefault="007F42E9" w:rsidP="00C86066">
            <w:pPr>
              <w:rPr>
                <w:b/>
                <w:color w:val="000000" w:themeColor="text1"/>
              </w:rPr>
            </w:pPr>
            <w:r w:rsidRPr="0079019F">
              <w:rPr>
                <w:b/>
                <w:sz w:val="18"/>
              </w:rPr>
              <w:t>Sequence Number</w:t>
            </w:r>
          </w:p>
        </w:tc>
        <w:tc>
          <w:tcPr>
            <w:tcW w:w="7088" w:type="dxa"/>
          </w:tcPr>
          <w:p w14:paraId="4CDED0AF" w14:textId="77777777" w:rsidR="007F42E9" w:rsidRPr="002E4E58" w:rsidRDefault="007F42E9" w:rsidP="00C86066">
            <w:pPr>
              <w:rPr>
                <w:b/>
                <w:color w:val="000000" w:themeColor="text1"/>
                <w:sz w:val="20"/>
                <w:szCs w:val="20"/>
              </w:rPr>
            </w:pPr>
            <w:r w:rsidRPr="002E4E58">
              <w:rPr>
                <w:b/>
                <w:color w:val="000000" w:themeColor="text1"/>
                <w:sz w:val="20"/>
                <w:szCs w:val="20"/>
              </w:rPr>
              <w:t>Information</w:t>
            </w:r>
          </w:p>
        </w:tc>
        <w:tc>
          <w:tcPr>
            <w:tcW w:w="788" w:type="dxa"/>
            <w:tcBorders>
              <w:top w:val="nil"/>
              <w:right w:val="nil"/>
            </w:tcBorders>
          </w:tcPr>
          <w:p w14:paraId="25D6D975" w14:textId="77777777" w:rsidR="007F42E9" w:rsidRPr="00F47F58" w:rsidRDefault="007F42E9" w:rsidP="007F42E9">
            <w:pPr>
              <w:tabs>
                <w:tab w:val="left" w:pos="540"/>
              </w:tabs>
              <w:rPr>
                <w:b/>
                <w:color w:val="000000" w:themeColor="text1"/>
              </w:rPr>
            </w:pPr>
          </w:p>
        </w:tc>
      </w:tr>
      <w:tr w:rsidR="007F42E9" w:rsidRPr="00AC78D4" w14:paraId="5397F8AE" w14:textId="3E612D01" w:rsidTr="007F42E9">
        <w:trPr>
          <w:trHeight w:val="567"/>
        </w:trPr>
        <w:tc>
          <w:tcPr>
            <w:tcW w:w="1134" w:type="dxa"/>
          </w:tcPr>
          <w:p w14:paraId="45B3C578" w14:textId="351DC155" w:rsidR="007F42E9" w:rsidRPr="00AC78D4" w:rsidRDefault="007F42E9" w:rsidP="00AC78D4">
            <w:r w:rsidRPr="00AC78D4">
              <w:t>11.4.1.</w:t>
            </w:r>
            <w:r>
              <w:t>1</w:t>
            </w:r>
          </w:p>
        </w:tc>
        <w:tc>
          <w:tcPr>
            <w:tcW w:w="7088" w:type="dxa"/>
          </w:tcPr>
          <w:p w14:paraId="1CAB6131" w14:textId="287F4243" w:rsidR="007F42E9" w:rsidRPr="00AC78D4" w:rsidRDefault="007F42E9" w:rsidP="00AC78D4">
            <w:r w:rsidRPr="00AC78D4">
              <w:t xml:space="preserve">Check that the goods have been delivered and/or the service </w:t>
            </w:r>
            <w:r>
              <w:t>has</w:t>
            </w:r>
            <w:r w:rsidRPr="00AC78D4">
              <w:t xml:space="preserve"> been performed and endorse the invoice as such.</w:t>
            </w:r>
          </w:p>
        </w:tc>
        <w:tc>
          <w:tcPr>
            <w:tcW w:w="788" w:type="dxa"/>
          </w:tcPr>
          <w:p w14:paraId="31084E7D" w14:textId="77777777" w:rsidR="007F42E9" w:rsidRPr="00AC78D4" w:rsidRDefault="007F42E9" w:rsidP="007F42E9">
            <w:pPr>
              <w:tabs>
                <w:tab w:val="left" w:pos="540"/>
              </w:tabs>
            </w:pPr>
          </w:p>
        </w:tc>
      </w:tr>
    </w:tbl>
    <w:p w14:paraId="082C05A7" w14:textId="77777777" w:rsidR="008C0B02" w:rsidRDefault="008C0B02" w:rsidP="0051778F">
      <w:pPr>
        <w:rPr>
          <w:w w:val="110"/>
        </w:rPr>
      </w:pPr>
    </w:p>
    <w:p w14:paraId="1BE1945D" w14:textId="77777777" w:rsidR="0051778F" w:rsidRPr="006364B4" w:rsidRDefault="00B239F0" w:rsidP="006364B4">
      <w:pPr>
        <w:pStyle w:val="Heading2"/>
      </w:pPr>
      <w:r w:rsidRPr="006364B4">
        <w:t>11</w:t>
      </w:r>
      <w:r w:rsidR="00134B4E">
        <w:t>.5</w:t>
      </w:r>
      <w:r w:rsidR="00134B4E">
        <w:tab/>
      </w:r>
      <w:r w:rsidR="00A62D1A" w:rsidRPr="006364B4">
        <w:t>Being invoiced</w:t>
      </w:r>
    </w:p>
    <w:p w14:paraId="38056C35" w14:textId="77777777" w:rsidR="0051778F" w:rsidRPr="006364B4" w:rsidRDefault="00B239F0" w:rsidP="006364B4">
      <w:pPr>
        <w:pStyle w:val="Heading3"/>
      </w:pPr>
      <w:r w:rsidRPr="006364B4">
        <w:t>11</w:t>
      </w:r>
      <w:r w:rsidR="0051778F" w:rsidRPr="006364B4">
        <w:t>.5.1</w:t>
      </w:r>
      <w:r w:rsidR="00134B4E">
        <w:tab/>
      </w:r>
      <w:r w:rsidR="0051778F" w:rsidRPr="006364B4">
        <w:t>Mandatory policy (</w:t>
      </w:r>
      <w:r w:rsidR="00A807D3">
        <w:t>Must do</w:t>
      </w:r>
      <w:r w:rsidR="0051778F" w:rsidRPr="006364B4">
        <w:t>)</w:t>
      </w:r>
      <w:r w:rsidR="001F7431">
        <w:t>:</w:t>
      </w:r>
    </w:p>
    <w:tbl>
      <w:tblPr>
        <w:tblStyle w:val="TableGrid"/>
        <w:tblW w:w="9152" w:type="dxa"/>
        <w:tblInd w:w="57" w:type="dxa"/>
        <w:tblLayout w:type="fixed"/>
        <w:tblLook w:val="04A0" w:firstRow="1" w:lastRow="0" w:firstColumn="1" w:lastColumn="0" w:noHBand="0" w:noVBand="1"/>
        <w:tblDescription w:val="table containing sequence number and policy information"/>
      </w:tblPr>
      <w:tblGrid>
        <w:gridCol w:w="1134"/>
        <w:gridCol w:w="7088"/>
        <w:gridCol w:w="930"/>
      </w:tblGrid>
      <w:tr w:rsidR="007F42E9" w:rsidRPr="00AC78D4" w14:paraId="50844B78" w14:textId="6DCEB005" w:rsidTr="007F42E9">
        <w:trPr>
          <w:trHeight w:val="737"/>
          <w:tblHeader/>
        </w:trPr>
        <w:tc>
          <w:tcPr>
            <w:tcW w:w="1134" w:type="dxa"/>
          </w:tcPr>
          <w:p w14:paraId="66433BC9" w14:textId="33966424" w:rsidR="007F42E9" w:rsidRPr="0079019F" w:rsidRDefault="007F42E9" w:rsidP="00C86066">
            <w:pPr>
              <w:rPr>
                <w:b/>
                <w:color w:val="000000" w:themeColor="text1"/>
              </w:rPr>
            </w:pPr>
            <w:r w:rsidRPr="0079019F">
              <w:rPr>
                <w:b/>
                <w:sz w:val="18"/>
              </w:rPr>
              <w:t>Sequence Number</w:t>
            </w:r>
          </w:p>
        </w:tc>
        <w:tc>
          <w:tcPr>
            <w:tcW w:w="7088" w:type="dxa"/>
          </w:tcPr>
          <w:p w14:paraId="3C597FB0" w14:textId="77777777" w:rsidR="007F42E9" w:rsidRPr="002E4E58" w:rsidRDefault="007F42E9" w:rsidP="00C86066">
            <w:pPr>
              <w:rPr>
                <w:b/>
                <w:color w:val="000000" w:themeColor="text1"/>
                <w:sz w:val="20"/>
                <w:szCs w:val="20"/>
              </w:rPr>
            </w:pPr>
            <w:r w:rsidRPr="002E4E58">
              <w:rPr>
                <w:b/>
                <w:color w:val="000000" w:themeColor="text1"/>
                <w:sz w:val="20"/>
                <w:szCs w:val="20"/>
              </w:rPr>
              <w:t>Information</w:t>
            </w:r>
          </w:p>
        </w:tc>
        <w:tc>
          <w:tcPr>
            <w:tcW w:w="930" w:type="dxa"/>
            <w:tcBorders>
              <w:top w:val="nil"/>
              <w:right w:val="nil"/>
            </w:tcBorders>
          </w:tcPr>
          <w:p w14:paraId="227555A7" w14:textId="77777777" w:rsidR="007F42E9" w:rsidRPr="00F47F58" w:rsidRDefault="007F42E9" w:rsidP="00C86066">
            <w:pPr>
              <w:rPr>
                <w:b/>
                <w:color w:val="000000" w:themeColor="text1"/>
              </w:rPr>
            </w:pPr>
          </w:p>
        </w:tc>
      </w:tr>
      <w:tr w:rsidR="007F42E9" w:rsidRPr="006364B4" w14:paraId="10A117C1" w14:textId="18E14046" w:rsidTr="007F42E9">
        <w:trPr>
          <w:trHeight w:val="567"/>
        </w:trPr>
        <w:tc>
          <w:tcPr>
            <w:tcW w:w="1134" w:type="dxa"/>
          </w:tcPr>
          <w:p w14:paraId="4314FE7A" w14:textId="52640468" w:rsidR="007F42E9" w:rsidRPr="006364B4" w:rsidRDefault="007F42E9" w:rsidP="006364B4">
            <w:r w:rsidRPr="006364B4">
              <w:t>11.5.1.1</w:t>
            </w:r>
          </w:p>
        </w:tc>
        <w:tc>
          <w:tcPr>
            <w:tcW w:w="7088" w:type="dxa"/>
          </w:tcPr>
          <w:p w14:paraId="17736444" w14:textId="77777777" w:rsidR="007F42E9" w:rsidRPr="006364B4" w:rsidRDefault="007F42E9" w:rsidP="006364B4">
            <w:r w:rsidRPr="006364B4">
              <w:t xml:space="preserve">Check that the goods have been delivered and/or the service </w:t>
            </w:r>
            <w:r>
              <w:t>has</w:t>
            </w:r>
            <w:r w:rsidRPr="006364B4">
              <w:t xml:space="preserve"> been performed and endorse the invoice as such.</w:t>
            </w:r>
          </w:p>
        </w:tc>
        <w:tc>
          <w:tcPr>
            <w:tcW w:w="930" w:type="dxa"/>
          </w:tcPr>
          <w:p w14:paraId="2D65A808" w14:textId="77777777" w:rsidR="007F42E9" w:rsidRPr="006364B4" w:rsidRDefault="007F42E9" w:rsidP="006364B4"/>
        </w:tc>
      </w:tr>
      <w:tr w:rsidR="007F42E9" w:rsidRPr="006364B4" w14:paraId="03CF7C39" w14:textId="79641F9D" w:rsidTr="007F42E9">
        <w:trPr>
          <w:trHeight w:val="567"/>
        </w:trPr>
        <w:tc>
          <w:tcPr>
            <w:tcW w:w="1134" w:type="dxa"/>
          </w:tcPr>
          <w:p w14:paraId="0F1901DC" w14:textId="77777777" w:rsidR="007F42E9" w:rsidRPr="006364B4" w:rsidRDefault="007F42E9" w:rsidP="006364B4">
            <w:r w:rsidRPr="006364B4">
              <w:t>11.5.1.2</w:t>
            </w:r>
          </w:p>
        </w:tc>
        <w:tc>
          <w:tcPr>
            <w:tcW w:w="7088" w:type="dxa"/>
          </w:tcPr>
          <w:p w14:paraId="4D6917FB" w14:textId="77777777" w:rsidR="007F42E9" w:rsidRPr="006364B4" w:rsidRDefault="007F42E9" w:rsidP="00EE2C7A">
            <w:r w:rsidRPr="006364B4">
              <w:t>Check that the amount on the invoice is no more tha</w:t>
            </w:r>
            <w:r>
              <w:t>n</w:t>
            </w:r>
            <w:r w:rsidRPr="006364B4">
              <w:t xml:space="preserve"> 15</w:t>
            </w:r>
            <w:r>
              <w:t xml:space="preserve"> per cent</w:t>
            </w:r>
            <w:r w:rsidRPr="006364B4">
              <w:t xml:space="preserve"> more than prices indicated on the purchase order. Where the variation is greater than 15 per cent, specific approval for payment must be </w:t>
            </w:r>
            <w:r w:rsidRPr="006364B4">
              <w:lastRenderedPageBreak/>
              <w:t xml:space="preserve">obtained from the school council. Where the quantity and price on the invoice is accepted, a notation </w:t>
            </w:r>
            <w:r>
              <w:t xml:space="preserve">must </w:t>
            </w:r>
            <w:r w:rsidRPr="006364B4">
              <w:t>be made on the Purchase Order</w:t>
            </w:r>
            <w:r>
              <w:t xml:space="preserve">. For example, </w:t>
            </w:r>
            <w:r w:rsidRPr="006364B4">
              <w:t>’oversupply accepted’ or ‘price increase accepted’.</w:t>
            </w:r>
          </w:p>
        </w:tc>
        <w:tc>
          <w:tcPr>
            <w:tcW w:w="930" w:type="dxa"/>
          </w:tcPr>
          <w:p w14:paraId="0EFE93E6" w14:textId="77777777" w:rsidR="007F42E9" w:rsidRPr="006364B4" w:rsidRDefault="007F42E9" w:rsidP="00EE2C7A"/>
        </w:tc>
      </w:tr>
      <w:tr w:rsidR="007F42E9" w:rsidRPr="006364B4" w14:paraId="37C1DA56" w14:textId="3D4F0A38" w:rsidTr="007F42E9">
        <w:trPr>
          <w:trHeight w:val="567"/>
        </w:trPr>
        <w:tc>
          <w:tcPr>
            <w:tcW w:w="1134" w:type="dxa"/>
          </w:tcPr>
          <w:p w14:paraId="49DD3FC4" w14:textId="77777777" w:rsidR="007F42E9" w:rsidRPr="006364B4" w:rsidRDefault="007F42E9" w:rsidP="006364B4">
            <w:r w:rsidRPr="006364B4">
              <w:t>11.5.1.3</w:t>
            </w:r>
          </w:p>
        </w:tc>
        <w:tc>
          <w:tcPr>
            <w:tcW w:w="7088" w:type="dxa"/>
          </w:tcPr>
          <w:p w14:paraId="47E430B9" w14:textId="4432C974" w:rsidR="007F42E9" w:rsidRPr="006364B4" w:rsidRDefault="007F42E9" w:rsidP="00290092">
            <w:r w:rsidRPr="006364B4">
              <w:t xml:space="preserve">Comply with GST requirements </w:t>
            </w:r>
            <w:hyperlink r:id="rId17" w:anchor="link100" w:history="1">
              <w:r w:rsidRPr="008C086C">
                <w:rPr>
                  <w:rStyle w:val="Hyperlink"/>
                </w:rPr>
                <w:t>(Refer to section 15 Taxation).</w:t>
              </w:r>
            </w:hyperlink>
          </w:p>
        </w:tc>
        <w:tc>
          <w:tcPr>
            <w:tcW w:w="930" w:type="dxa"/>
          </w:tcPr>
          <w:p w14:paraId="611AAD27" w14:textId="77777777" w:rsidR="007F42E9" w:rsidRPr="006364B4" w:rsidRDefault="007F42E9" w:rsidP="00290092"/>
        </w:tc>
      </w:tr>
    </w:tbl>
    <w:p w14:paraId="22E1D7C8" w14:textId="77777777" w:rsidR="008C0B02" w:rsidRPr="008C0B02" w:rsidRDefault="008C0B02" w:rsidP="008C0B02"/>
    <w:p w14:paraId="58DC215D" w14:textId="77777777" w:rsidR="0051778F" w:rsidRPr="006364B4" w:rsidRDefault="00B239F0" w:rsidP="006364B4">
      <w:pPr>
        <w:pStyle w:val="Heading2"/>
      </w:pPr>
      <w:r w:rsidRPr="006364B4">
        <w:t>11</w:t>
      </w:r>
      <w:r w:rsidR="00134B4E">
        <w:t>.6</w:t>
      </w:r>
      <w:r w:rsidR="00134B4E">
        <w:tab/>
      </w:r>
      <w:r w:rsidR="00A62D1A" w:rsidRPr="006364B4">
        <w:t>Payment</w:t>
      </w:r>
    </w:p>
    <w:p w14:paraId="0FF8DFF4" w14:textId="77777777" w:rsidR="0051778F" w:rsidRPr="006364B4" w:rsidRDefault="00B239F0" w:rsidP="006364B4">
      <w:pPr>
        <w:pStyle w:val="Heading3"/>
      </w:pPr>
      <w:r w:rsidRPr="006364B4">
        <w:t>11</w:t>
      </w:r>
      <w:r w:rsidR="00134B4E">
        <w:t>.6.1</w:t>
      </w:r>
      <w:r w:rsidR="00134B4E">
        <w:tab/>
      </w:r>
      <w:r w:rsidR="0051778F" w:rsidRPr="006364B4">
        <w:t>Mandatory policy (</w:t>
      </w:r>
      <w:r w:rsidR="00A807D3">
        <w:t>Must do</w:t>
      </w:r>
      <w:r w:rsidR="0051778F" w:rsidRPr="006364B4">
        <w:t>)</w:t>
      </w:r>
      <w:r w:rsidR="001F7431">
        <w:t>:</w:t>
      </w:r>
    </w:p>
    <w:tbl>
      <w:tblPr>
        <w:tblStyle w:val="TableGrid"/>
        <w:tblW w:w="9152" w:type="dxa"/>
        <w:tblInd w:w="57" w:type="dxa"/>
        <w:tblLayout w:type="fixed"/>
        <w:tblLook w:val="04A0" w:firstRow="1" w:lastRow="0" w:firstColumn="1" w:lastColumn="0" w:noHBand="0" w:noVBand="1"/>
        <w:tblDescription w:val="table containing sequence number and policy information"/>
      </w:tblPr>
      <w:tblGrid>
        <w:gridCol w:w="1134"/>
        <w:gridCol w:w="7088"/>
        <w:gridCol w:w="930"/>
      </w:tblGrid>
      <w:tr w:rsidR="007F42E9" w:rsidRPr="00AC78D4" w14:paraId="4A118E86" w14:textId="4E991A67" w:rsidTr="007F42E9">
        <w:trPr>
          <w:trHeight w:val="597"/>
          <w:tblHeader/>
        </w:trPr>
        <w:tc>
          <w:tcPr>
            <w:tcW w:w="1134" w:type="dxa"/>
          </w:tcPr>
          <w:p w14:paraId="538B29E0" w14:textId="1A801ED5" w:rsidR="007F42E9" w:rsidRPr="00F47F58" w:rsidRDefault="007F42E9" w:rsidP="00C86066">
            <w:pPr>
              <w:rPr>
                <w:b/>
                <w:color w:val="000000" w:themeColor="text1"/>
              </w:rPr>
            </w:pPr>
            <w:r w:rsidRPr="0079019F">
              <w:rPr>
                <w:b/>
                <w:sz w:val="18"/>
              </w:rPr>
              <w:t>Sequence Number</w:t>
            </w:r>
          </w:p>
        </w:tc>
        <w:tc>
          <w:tcPr>
            <w:tcW w:w="7088" w:type="dxa"/>
          </w:tcPr>
          <w:p w14:paraId="1CD2479A" w14:textId="77777777" w:rsidR="007F42E9" w:rsidRPr="002E4E58" w:rsidRDefault="007F42E9" w:rsidP="00C86066">
            <w:pPr>
              <w:rPr>
                <w:b/>
                <w:color w:val="000000" w:themeColor="text1"/>
                <w:sz w:val="20"/>
                <w:szCs w:val="20"/>
              </w:rPr>
            </w:pPr>
            <w:r w:rsidRPr="002E4E58">
              <w:rPr>
                <w:b/>
                <w:color w:val="000000" w:themeColor="text1"/>
                <w:sz w:val="20"/>
                <w:szCs w:val="20"/>
              </w:rPr>
              <w:t>Information</w:t>
            </w:r>
          </w:p>
        </w:tc>
        <w:tc>
          <w:tcPr>
            <w:tcW w:w="930" w:type="dxa"/>
            <w:tcBorders>
              <w:top w:val="nil"/>
              <w:right w:val="nil"/>
            </w:tcBorders>
          </w:tcPr>
          <w:p w14:paraId="6296AED2" w14:textId="77777777" w:rsidR="007F42E9" w:rsidRPr="00F47F58" w:rsidRDefault="007F42E9" w:rsidP="00C86066">
            <w:pPr>
              <w:rPr>
                <w:b/>
                <w:color w:val="000000" w:themeColor="text1"/>
              </w:rPr>
            </w:pPr>
          </w:p>
        </w:tc>
      </w:tr>
      <w:tr w:rsidR="007F42E9" w:rsidRPr="006364B4" w14:paraId="26B53232" w14:textId="49BD911F" w:rsidTr="007F42E9">
        <w:trPr>
          <w:trHeight w:val="567"/>
        </w:trPr>
        <w:tc>
          <w:tcPr>
            <w:tcW w:w="1134" w:type="dxa"/>
          </w:tcPr>
          <w:p w14:paraId="59B44E15" w14:textId="3BDD20A4" w:rsidR="007F42E9" w:rsidRPr="006364B4" w:rsidRDefault="007F42E9" w:rsidP="006364B4">
            <w:r w:rsidRPr="006364B4">
              <w:t>11.6.1.1</w:t>
            </w:r>
          </w:p>
        </w:tc>
        <w:tc>
          <w:tcPr>
            <w:tcW w:w="7088" w:type="dxa"/>
          </w:tcPr>
          <w:p w14:paraId="75246F8A" w14:textId="77777777" w:rsidR="007F42E9" w:rsidRPr="006364B4" w:rsidRDefault="007F42E9" w:rsidP="00790B5E">
            <w:r w:rsidRPr="006364B4">
              <w:t>A</w:t>
            </w:r>
            <w:r>
              <w:t>ll</w:t>
            </w:r>
            <w:r w:rsidRPr="006364B4">
              <w:t xml:space="preserve"> payments (whether cheque or electronic) drawn on any account kept under the control of school council must be authorised by the principal and a nominated school council member.</w:t>
            </w:r>
          </w:p>
        </w:tc>
        <w:tc>
          <w:tcPr>
            <w:tcW w:w="930" w:type="dxa"/>
          </w:tcPr>
          <w:p w14:paraId="08751C25" w14:textId="77777777" w:rsidR="007F42E9" w:rsidRPr="006364B4" w:rsidRDefault="007F42E9" w:rsidP="00790B5E"/>
        </w:tc>
      </w:tr>
      <w:tr w:rsidR="007F42E9" w:rsidRPr="006364B4" w14:paraId="069FC575" w14:textId="0FC56EAB" w:rsidTr="007F42E9">
        <w:trPr>
          <w:trHeight w:val="567"/>
        </w:trPr>
        <w:tc>
          <w:tcPr>
            <w:tcW w:w="1134" w:type="dxa"/>
          </w:tcPr>
          <w:p w14:paraId="10536D40" w14:textId="77777777" w:rsidR="007F42E9" w:rsidRPr="006364B4" w:rsidRDefault="007F42E9" w:rsidP="006364B4">
            <w:r>
              <w:t>11.6.1.2</w:t>
            </w:r>
          </w:p>
        </w:tc>
        <w:tc>
          <w:tcPr>
            <w:tcW w:w="7088" w:type="dxa"/>
          </w:tcPr>
          <w:p w14:paraId="6B92F5DB" w14:textId="77777777" w:rsidR="007F42E9" w:rsidRPr="006364B4" w:rsidRDefault="007F42E9" w:rsidP="005A2643">
            <w:r>
              <w:t>All payments must only be made on receipt of an invoice and never on the supplier statement alone.</w:t>
            </w:r>
          </w:p>
        </w:tc>
        <w:tc>
          <w:tcPr>
            <w:tcW w:w="930" w:type="dxa"/>
          </w:tcPr>
          <w:p w14:paraId="24334494" w14:textId="77777777" w:rsidR="007F42E9" w:rsidRDefault="007F42E9" w:rsidP="005A2643"/>
        </w:tc>
      </w:tr>
      <w:tr w:rsidR="007F42E9" w:rsidRPr="006364B4" w14:paraId="6ABE5AFD" w14:textId="5DDAACEB" w:rsidTr="007F42E9">
        <w:trPr>
          <w:trHeight w:val="567"/>
        </w:trPr>
        <w:tc>
          <w:tcPr>
            <w:tcW w:w="1134" w:type="dxa"/>
          </w:tcPr>
          <w:p w14:paraId="3A66CF61" w14:textId="77777777" w:rsidR="007F42E9" w:rsidRPr="006364B4" w:rsidRDefault="007F42E9" w:rsidP="006364B4">
            <w:r w:rsidRPr="006364B4">
              <w:t>11.6.1.</w:t>
            </w:r>
            <w:r>
              <w:t>3</w:t>
            </w:r>
          </w:p>
        </w:tc>
        <w:tc>
          <w:tcPr>
            <w:tcW w:w="7088" w:type="dxa"/>
          </w:tcPr>
          <w:p w14:paraId="152E86B8" w14:textId="77777777" w:rsidR="007F42E9" w:rsidRPr="006364B4" w:rsidRDefault="007F42E9" w:rsidP="0031115A">
            <w:r w:rsidRPr="006364B4">
              <w:t>A</w:t>
            </w:r>
            <w:r>
              <w:t xml:space="preserve">ll </w:t>
            </w:r>
            <w:r w:rsidRPr="006364B4">
              <w:t>purchase order</w:t>
            </w:r>
            <w:r>
              <w:t>s</w:t>
            </w:r>
            <w:r w:rsidRPr="006364B4">
              <w:t>, invoice</w:t>
            </w:r>
            <w:r>
              <w:t>s</w:t>
            </w:r>
            <w:r w:rsidRPr="006364B4">
              <w:t xml:space="preserve"> and any other supporting documents (quotes, etc</w:t>
            </w:r>
            <w:r>
              <w:t>.</w:t>
            </w:r>
            <w:r w:rsidRPr="006364B4">
              <w:t xml:space="preserve">) </w:t>
            </w:r>
            <w:r>
              <w:t xml:space="preserve">must be attached </w:t>
            </w:r>
            <w:r w:rsidRPr="006364B4">
              <w:t>to the payment voucher.</w:t>
            </w:r>
          </w:p>
        </w:tc>
        <w:tc>
          <w:tcPr>
            <w:tcW w:w="930" w:type="dxa"/>
          </w:tcPr>
          <w:p w14:paraId="29289454" w14:textId="77777777" w:rsidR="007F42E9" w:rsidRPr="006364B4" w:rsidRDefault="007F42E9" w:rsidP="0031115A"/>
        </w:tc>
      </w:tr>
      <w:tr w:rsidR="007F42E9" w:rsidRPr="006364B4" w14:paraId="70161088" w14:textId="14CF3602" w:rsidTr="007F42E9">
        <w:trPr>
          <w:trHeight w:val="567"/>
        </w:trPr>
        <w:tc>
          <w:tcPr>
            <w:tcW w:w="1134" w:type="dxa"/>
          </w:tcPr>
          <w:p w14:paraId="23B5906D" w14:textId="77777777" w:rsidR="007F42E9" w:rsidRPr="006364B4" w:rsidRDefault="007F42E9" w:rsidP="006364B4">
            <w:r w:rsidRPr="006364B4">
              <w:t>11.6.1.</w:t>
            </w:r>
            <w:r>
              <w:t>4</w:t>
            </w:r>
          </w:p>
        </w:tc>
        <w:tc>
          <w:tcPr>
            <w:tcW w:w="7088" w:type="dxa"/>
          </w:tcPr>
          <w:p w14:paraId="07726A63" w14:textId="77777777" w:rsidR="007F42E9" w:rsidRPr="006364B4" w:rsidRDefault="007F42E9" w:rsidP="006364B4">
            <w:r w:rsidRPr="006364B4">
              <w:t>Mark all vouchers, invoices and supporting documents as “paid” immediately upon passing accounts for payment.</w:t>
            </w:r>
          </w:p>
        </w:tc>
        <w:tc>
          <w:tcPr>
            <w:tcW w:w="930" w:type="dxa"/>
          </w:tcPr>
          <w:p w14:paraId="6C5795E2" w14:textId="77777777" w:rsidR="007F42E9" w:rsidRPr="006364B4" w:rsidRDefault="007F42E9" w:rsidP="006364B4"/>
        </w:tc>
      </w:tr>
      <w:tr w:rsidR="007F42E9" w:rsidRPr="006364B4" w14:paraId="50782B24" w14:textId="771DF0EA" w:rsidTr="007F42E9">
        <w:trPr>
          <w:trHeight w:val="567"/>
        </w:trPr>
        <w:tc>
          <w:tcPr>
            <w:tcW w:w="1134" w:type="dxa"/>
          </w:tcPr>
          <w:p w14:paraId="19852FD0" w14:textId="77777777" w:rsidR="007F42E9" w:rsidRPr="006364B4" w:rsidRDefault="007F42E9" w:rsidP="006364B4">
            <w:r w:rsidRPr="006364B4">
              <w:t>11.6.1.</w:t>
            </w:r>
            <w:r>
              <w:t>5</w:t>
            </w:r>
          </w:p>
        </w:tc>
        <w:tc>
          <w:tcPr>
            <w:tcW w:w="7088" w:type="dxa"/>
          </w:tcPr>
          <w:p w14:paraId="25880286" w14:textId="77777777" w:rsidR="007F42E9" w:rsidRPr="006364B4" w:rsidRDefault="007F42E9" w:rsidP="006364B4">
            <w:r w:rsidRPr="006364B4">
              <w:t>If paying via cheque:</w:t>
            </w:r>
          </w:p>
          <w:p w14:paraId="6DD59EDA" w14:textId="77777777" w:rsidR="007F42E9" w:rsidRPr="006364B4" w:rsidRDefault="007F42E9" w:rsidP="00395E1B">
            <w:pPr>
              <w:pStyle w:val="ListBullet"/>
            </w:pPr>
            <w:r w:rsidRPr="006364B4">
              <w:t xml:space="preserve">the cheque </w:t>
            </w:r>
            <w:r>
              <w:t xml:space="preserve">must </w:t>
            </w:r>
            <w:r w:rsidRPr="006364B4">
              <w:t>be crossed by having two parallel transverse lines drawn across the face of the cheque. The words ‘not negotiable’ are to be written between those lines unless the cheques are printed in this manner;</w:t>
            </w:r>
          </w:p>
          <w:p w14:paraId="373BF8AC" w14:textId="77777777" w:rsidR="007F42E9" w:rsidRPr="006364B4" w:rsidRDefault="007F42E9" w:rsidP="00395E1B">
            <w:pPr>
              <w:pStyle w:val="ListBullet"/>
            </w:pPr>
            <w:r w:rsidRPr="006364B4">
              <w:t xml:space="preserve">the cheque </w:t>
            </w:r>
            <w:r>
              <w:t xml:space="preserve">must </w:t>
            </w:r>
            <w:r w:rsidRPr="006364B4">
              <w:t>be drawn to ‘order’ by using any of the following methods:</w:t>
            </w:r>
          </w:p>
          <w:p w14:paraId="12BFB27B" w14:textId="77777777" w:rsidR="007F42E9" w:rsidRPr="006364B4" w:rsidRDefault="007F42E9" w:rsidP="00F27719">
            <w:pPr>
              <w:pStyle w:val="ListBullet2"/>
            </w:pPr>
            <w:r w:rsidRPr="006364B4">
              <w:t>cross out the word ‘bearer’</w:t>
            </w:r>
            <w:r>
              <w:t>;</w:t>
            </w:r>
          </w:p>
          <w:p w14:paraId="5F2EE3E9" w14:textId="77777777" w:rsidR="007F42E9" w:rsidRPr="006364B4" w:rsidRDefault="007F42E9" w:rsidP="00F27719">
            <w:pPr>
              <w:pStyle w:val="ListBullet2"/>
            </w:pPr>
            <w:r w:rsidRPr="006364B4">
              <w:t>cross out the word ‘bearer’ and write or print above it the word ‘order’;</w:t>
            </w:r>
          </w:p>
          <w:p w14:paraId="24EA4992" w14:textId="77777777" w:rsidR="007F42E9" w:rsidRPr="006364B4" w:rsidRDefault="007F42E9" w:rsidP="00F27719">
            <w:pPr>
              <w:pStyle w:val="ListBullet"/>
            </w:pPr>
            <w:r w:rsidRPr="006364B4">
              <w:t>cheques are to be drawn in numerical sequence;</w:t>
            </w:r>
          </w:p>
          <w:p w14:paraId="4B153D68" w14:textId="77777777" w:rsidR="007F42E9" w:rsidRPr="006364B4" w:rsidRDefault="007F42E9" w:rsidP="00F27719">
            <w:pPr>
              <w:pStyle w:val="ListBullet"/>
            </w:pPr>
            <w:r w:rsidRPr="006364B4">
              <w:t xml:space="preserve">individual cheques </w:t>
            </w:r>
            <w:r>
              <w:t xml:space="preserve">must </w:t>
            </w:r>
            <w:r w:rsidRPr="006364B4">
              <w:t>be attached to the payment voucher and supporting documentation and presented to the authorising Officers for signature.</w:t>
            </w:r>
          </w:p>
        </w:tc>
        <w:tc>
          <w:tcPr>
            <w:tcW w:w="930" w:type="dxa"/>
          </w:tcPr>
          <w:p w14:paraId="52B03DEA" w14:textId="77777777" w:rsidR="007F42E9" w:rsidRPr="006364B4" w:rsidRDefault="007F42E9" w:rsidP="006364B4"/>
        </w:tc>
      </w:tr>
      <w:tr w:rsidR="007F42E9" w:rsidRPr="006364B4" w14:paraId="1681C1DA" w14:textId="4E440C0E" w:rsidTr="007F42E9">
        <w:trPr>
          <w:trHeight w:val="567"/>
        </w:trPr>
        <w:tc>
          <w:tcPr>
            <w:tcW w:w="1134" w:type="dxa"/>
          </w:tcPr>
          <w:p w14:paraId="2D1BEC4E" w14:textId="77777777" w:rsidR="007F42E9" w:rsidRPr="006364B4" w:rsidRDefault="007F42E9" w:rsidP="006364B4">
            <w:r w:rsidRPr="006364B4">
              <w:t>11.6.1.</w:t>
            </w:r>
            <w:r>
              <w:t>6</w:t>
            </w:r>
          </w:p>
        </w:tc>
        <w:tc>
          <w:tcPr>
            <w:tcW w:w="7088" w:type="dxa"/>
          </w:tcPr>
          <w:p w14:paraId="23453937" w14:textId="77777777" w:rsidR="007F42E9" w:rsidRPr="006364B4" w:rsidRDefault="007F42E9" w:rsidP="006364B4">
            <w:r w:rsidRPr="006364B4">
              <w:t>If making electronic payment:</w:t>
            </w:r>
          </w:p>
          <w:p w14:paraId="31B0B465" w14:textId="77777777" w:rsidR="007F42E9" w:rsidRPr="006364B4" w:rsidRDefault="007F42E9" w:rsidP="00395E1B">
            <w:pPr>
              <w:pStyle w:val="ListBullet"/>
            </w:pPr>
            <w:r>
              <w:t>t</w:t>
            </w:r>
            <w:r w:rsidRPr="006364B4">
              <w:t xml:space="preserve">he Direct deposit listing from CASES21 </w:t>
            </w:r>
            <w:r>
              <w:t xml:space="preserve">must </w:t>
            </w:r>
            <w:r w:rsidRPr="006364B4">
              <w:t>be printed and attached to the payment vouchers</w:t>
            </w:r>
            <w:r>
              <w:t>;</w:t>
            </w:r>
          </w:p>
          <w:p w14:paraId="6305501F" w14:textId="77777777" w:rsidR="007F42E9" w:rsidRPr="006364B4" w:rsidRDefault="007F42E9" w:rsidP="00395E1B">
            <w:pPr>
              <w:pStyle w:val="ListBullet"/>
            </w:pPr>
            <w:r>
              <w:lastRenderedPageBreak/>
              <w:t>t</w:t>
            </w:r>
            <w:r w:rsidRPr="006364B4">
              <w:t xml:space="preserve">he Direct Credit file </w:t>
            </w:r>
            <w:r>
              <w:t>must</w:t>
            </w:r>
            <w:r w:rsidRPr="006364B4">
              <w:t xml:space="preserve"> then be uploaded to the bank using the </w:t>
            </w:r>
            <w:r>
              <w:t>b</w:t>
            </w:r>
            <w:r w:rsidRPr="006364B4">
              <w:t xml:space="preserve">usiness </w:t>
            </w:r>
            <w:r>
              <w:t>m</w:t>
            </w:r>
            <w:r w:rsidRPr="006364B4">
              <w:t>anagers token</w:t>
            </w:r>
            <w:r>
              <w:t>;</w:t>
            </w:r>
          </w:p>
          <w:p w14:paraId="5DDF8F66" w14:textId="77777777" w:rsidR="007F42E9" w:rsidRPr="006364B4" w:rsidRDefault="007F42E9" w:rsidP="003278E4">
            <w:pPr>
              <w:pStyle w:val="ListBullet"/>
            </w:pPr>
            <w:r>
              <w:t>a</w:t>
            </w:r>
            <w:r w:rsidRPr="006364B4">
              <w:t xml:space="preserve"> copy of the intended payment details from the banking software such as payees and amounts </w:t>
            </w:r>
            <w:r>
              <w:t xml:space="preserve">must </w:t>
            </w:r>
            <w:r w:rsidRPr="006364B4">
              <w:t>be printed and attached to the payment vouchers</w:t>
            </w:r>
            <w:r>
              <w:t>.</w:t>
            </w:r>
          </w:p>
        </w:tc>
        <w:tc>
          <w:tcPr>
            <w:tcW w:w="930" w:type="dxa"/>
          </w:tcPr>
          <w:p w14:paraId="238F4AF5" w14:textId="77777777" w:rsidR="007F42E9" w:rsidRPr="006364B4" w:rsidRDefault="007F42E9" w:rsidP="006364B4"/>
        </w:tc>
      </w:tr>
      <w:tr w:rsidR="007F42E9" w:rsidRPr="006364B4" w14:paraId="3D6CAE80" w14:textId="4B3B52A0" w:rsidTr="007F42E9">
        <w:trPr>
          <w:trHeight w:val="567"/>
        </w:trPr>
        <w:tc>
          <w:tcPr>
            <w:tcW w:w="1134" w:type="dxa"/>
          </w:tcPr>
          <w:p w14:paraId="0AF697EC" w14:textId="77777777" w:rsidR="007F42E9" w:rsidRPr="006364B4" w:rsidRDefault="007F42E9" w:rsidP="006364B4">
            <w:r w:rsidRPr="006364B4">
              <w:t>11.6.1.</w:t>
            </w:r>
            <w:r>
              <w:t>7</w:t>
            </w:r>
          </w:p>
        </w:tc>
        <w:tc>
          <w:tcPr>
            <w:tcW w:w="7088" w:type="dxa"/>
          </w:tcPr>
          <w:p w14:paraId="312EF667" w14:textId="77777777" w:rsidR="007F42E9" w:rsidRPr="006364B4" w:rsidRDefault="007F42E9" w:rsidP="006364B4">
            <w:r w:rsidRPr="006364B4">
              <w:t>Before authorising a payment, an officer is obliged to ensure that:</w:t>
            </w:r>
          </w:p>
          <w:p w14:paraId="71AF93B3" w14:textId="77777777" w:rsidR="007F42E9" w:rsidRPr="006364B4" w:rsidRDefault="007F42E9" w:rsidP="00C75CB9">
            <w:pPr>
              <w:pStyle w:val="ListBullet"/>
            </w:pPr>
            <w:r w:rsidRPr="006364B4">
              <w:t xml:space="preserve">the payment voucher is certified </w:t>
            </w:r>
            <w:r>
              <w:t>by the business manager/bursar</w:t>
            </w:r>
            <w:r w:rsidRPr="006364B4">
              <w:t>;</w:t>
            </w:r>
          </w:p>
          <w:p w14:paraId="77C22266" w14:textId="77777777" w:rsidR="007F42E9" w:rsidRPr="006364B4" w:rsidRDefault="007F42E9" w:rsidP="00C75CB9">
            <w:pPr>
              <w:pStyle w:val="ListBullet"/>
            </w:pPr>
            <w:r w:rsidRPr="006364B4">
              <w:t xml:space="preserve">the invoice is certified as </w:t>
            </w:r>
            <w:r>
              <w:t>a</w:t>
            </w:r>
            <w:r w:rsidRPr="006364B4">
              <w:t xml:space="preserve"> receipt of goods or services;</w:t>
            </w:r>
          </w:p>
          <w:p w14:paraId="6DAEA44E" w14:textId="77777777" w:rsidR="007F42E9" w:rsidRPr="006364B4" w:rsidRDefault="007F42E9" w:rsidP="00C75CB9">
            <w:pPr>
              <w:pStyle w:val="ListBullet"/>
            </w:pPr>
            <w:r w:rsidRPr="006364B4">
              <w:t>the relevant authorised purchase orders, certified invoices and correctly endorsed delivery dockets are attached to the payment voucher and marked as paid to prevent duplicate payment;</w:t>
            </w:r>
          </w:p>
          <w:p w14:paraId="5FE22AE9" w14:textId="77777777" w:rsidR="007F42E9" w:rsidRPr="006364B4" w:rsidRDefault="007F42E9" w:rsidP="00C75CB9">
            <w:pPr>
              <w:pStyle w:val="ListBullet"/>
            </w:pPr>
            <w:r w:rsidRPr="006364B4">
              <w:t>the payment is correctly drawn to the payee, as shown on the authorised payment voucher and invoice;</w:t>
            </w:r>
          </w:p>
          <w:p w14:paraId="0295201D" w14:textId="77777777" w:rsidR="007F42E9" w:rsidRPr="006364B4" w:rsidRDefault="007F42E9" w:rsidP="00C75CB9">
            <w:pPr>
              <w:pStyle w:val="ListBullet"/>
            </w:pPr>
            <w:r>
              <w:t>a</w:t>
            </w:r>
            <w:r w:rsidRPr="006364B4">
              <w:t>ny cheque issued has been crossed ‘not negotiable’ and drawn to order by crossing out ‘bearer’;</w:t>
            </w:r>
          </w:p>
          <w:p w14:paraId="2DFDA87E" w14:textId="77777777" w:rsidR="007F42E9" w:rsidRPr="006364B4" w:rsidRDefault="007F42E9" w:rsidP="00C75CB9">
            <w:pPr>
              <w:pStyle w:val="ListBullet"/>
            </w:pPr>
            <w:r w:rsidRPr="006364B4">
              <w:t>the amount of the payment agrees with the payment authorised on the payment voucher and invoice;</w:t>
            </w:r>
          </w:p>
          <w:p w14:paraId="7735A6D7" w14:textId="1C672402" w:rsidR="007F42E9" w:rsidRPr="006364B4" w:rsidRDefault="007F42E9" w:rsidP="00C75CB9">
            <w:pPr>
              <w:pStyle w:val="ListBullet"/>
            </w:pPr>
            <w:r w:rsidRPr="006364B4">
              <w:t>funds are available to meet the payment.</w:t>
            </w:r>
          </w:p>
        </w:tc>
        <w:tc>
          <w:tcPr>
            <w:tcW w:w="930" w:type="dxa"/>
          </w:tcPr>
          <w:p w14:paraId="3DDD91C0" w14:textId="77777777" w:rsidR="007F42E9" w:rsidRPr="006364B4" w:rsidRDefault="007F42E9" w:rsidP="006364B4"/>
        </w:tc>
      </w:tr>
    </w:tbl>
    <w:p w14:paraId="0D6F441D" w14:textId="77777777" w:rsidR="0051778F" w:rsidRPr="006364B4" w:rsidRDefault="00B239F0" w:rsidP="006364B4">
      <w:pPr>
        <w:pStyle w:val="Heading3"/>
      </w:pPr>
      <w:r w:rsidRPr="006364B4">
        <w:t>11</w:t>
      </w:r>
      <w:r w:rsidR="00134B4E">
        <w:t>.6.2</w:t>
      </w:r>
      <w:r w:rsidR="00E6579E">
        <w:tab/>
      </w:r>
      <w:r w:rsidR="0051778F" w:rsidRPr="006364B4">
        <w:t>Prohibited policy (</w:t>
      </w:r>
      <w:r w:rsidR="00A807D3">
        <w:t>Must not</w:t>
      </w:r>
      <w:r w:rsidR="003278E4">
        <w:t xml:space="preserve"> do</w:t>
      </w:r>
      <w:r w:rsidR="0051778F" w:rsidRPr="006364B4">
        <w:t>)</w:t>
      </w:r>
      <w:r w:rsidR="001F7431">
        <w:t>:</w:t>
      </w:r>
    </w:p>
    <w:tbl>
      <w:tblPr>
        <w:tblStyle w:val="TableGrid"/>
        <w:tblW w:w="9152" w:type="dxa"/>
        <w:tblInd w:w="57" w:type="dxa"/>
        <w:tblLayout w:type="fixed"/>
        <w:tblLook w:val="04A0" w:firstRow="1" w:lastRow="0" w:firstColumn="1" w:lastColumn="0" w:noHBand="0" w:noVBand="1"/>
        <w:tblDescription w:val="table containing sequence number and policy information"/>
      </w:tblPr>
      <w:tblGrid>
        <w:gridCol w:w="1129"/>
        <w:gridCol w:w="7173"/>
        <w:gridCol w:w="850"/>
      </w:tblGrid>
      <w:tr w:rsidR="007F42E9" w:rsidRPr="00AC78D4" w14:paraId="02531425" w14:textId="156A44B4" w:rsidTr="007F42E9">
        <w:trPr>
          <w:trHeight w:val="597"/>
          <w:tblHeader/>
        </w:trPr>
        <w:tc>
          <w:tcPr>
            <w:tcW w:w="1129" w:type="dxa"/>
          </w:tcPr>
          <w:p w14:paraId="28764548" w14:textId="28524751" w:rsidR="007F42E9" w:rsidRPr="00F47F58" w:rsidRDefault="007F42E9" w:rsidP="00C86066">
            <w:pPr>
              <w:rPr>
                <w:b/>
                <w:color w:val="000000" w:themeColor="text1"/>
              </w:rPr>
            </w:pPr>
            <w:r w:rsidRPr="0079019F">
              <w:rPr>
                <w:b/>
                <w:sz w:val="18"/>
              </w:rPr>
              <w:t>Sequence Number</w:t>
            </w:r>
          </w:p>
        </w:tc>
        <w:tc>
          <w:tcPr>
            <w:tcW w:w="7173" w:type="dxa"/>
          </w:tcPr>
          <w:p w14:paraId="5C4C9DEA" w14:textId="77777777" w:rsidR="007F42E9" w:rsidRPr="002E4E58" w:rsidRDefault="007F42E9" w:rsidP="00C86066">
            <w:pPr>
              <w:rPr>
                <w:b/>
                <w:color w:val="000000" w:themeColor="text1"/>
                <w:sz w:val="20"/>
                <w:szCs w:val="20"/>
              </w:rPr>
            </w:pPr>
            <w:r w:rsidRPr="002E4E58">
              <w:rPr>
                <w:b/>
                <w:color w:val="000000" w:themeColor="text1"/>
                <w:sz w:val="20"/>
                <w:szCs w:val="20"/>
              </w:rPr>
              <w:t>Information</w:t>
            </w:r>
          </w:p>
        </w:tc>
        <w:tc>
          <w:tcPr>
            <w:tcW w:w="850" w:type="dxa"/>
            <w:tcBorders>
              <w:top w:val="nil"/>
              <w:right w:val="nil"/>
            </w:tcBorders>
          </w:tcPr>
          <w:p w14:paraId="28DA6DC1" w14:textId="77777777" w:rsidR="007F42E9" w:rsidRPr="00F47F58" w:rsidRDefault="007F42E9" w:rsidP="00C86066">
            <w:pPr>
              <w:rPr>
                <w:b/>
                <w:color w:val="000000" w:themeColor="text1"/>
              </w:rPr>
            </w:pPr>
          </w:p>
        </w:tc>
      </w:tr>
      <w:tr w:rsidR="007F42E9" w:rsidRPr="006364B4" w14:paraId="76FC0799" w14:textId="5EB16013" w:rsidTr="007F42E9">
        <w:trPr>
          <w:trHeight w:val="567"/>
        </w:trPr>
        <w:tc>
          <w:tcPr>
            <w:tcW w:w="1129" w:type="dxa"/>
          </w:tcPr>
          <w:p w14:paraId="0094B753" w14:textId="466F570A" w:rsidR="007F42E9" w:rsidRPr="006364B4" w:rsidRDefault="007F42E9" w:rsidP="006364B4">
            <w:r w:rsidRPr="006364B4">
              <w:t>11.6.2.1</w:t>
            </w:r>
          </w:p>
        </w:tc>
        <w:tc>
          <w:tcPr>
            <w:tcW w:w="7173" w:type="dxa"/>
          </w:tcPr>
          <w:p w14:paraId="644993C3" w14:textId="77777777" w:rsidR="007F42E9" w:rsidRPr="006364B4" w:rsidRDefault="007F42E9" w:rsidP="006364B4">
            <w:r w:rsidRPr="006364B4">
              <w:t xml:space="preserve">The business manager, registrar or bursar must not be nominated as a signatory </w:t>
            </w:r>
            <w:r>
              <w:t xml:space="preserve">of payment </w:t>
            </w:r>
            <w:r w:rsidRPr="006364B4">
              <w:t>or an authoriser to school bank accounts even if they are a member of school council.</w:t>
            </w:r>
          </w:p>
        </w:tc>
        <w:tc>
          <w:tcPr>
            <w:tcW w:w="850" w:type="dxa"/>
          </w:tcPr>
          <w:p w14:paraId="55BFA65F" w14:textId="77777777" w:rsidR="007F42E9" w:rsidRPr="006364B4" w:rsidRDefault="007F42E9" w:rsidP="006364B4"/>
        </w:tc>
      </w:tr>
      <w:tr w:rsidR="007F42E9" w:rsidRPr="006364B4" w14:paraId="2E7DF120" w14:textId="345E72D0" w:rsidTr="007F42E9">
        <w:trPr>
          <w:trHeight w:val="567"/>
        </w:trPr>
        <w:tc>
          <w:tcPr>
            <w:tcW w:w="1129" w:type="dxa"/>
          </w:tcPr>
          <w:p w14:paraId="3DBC7BA2" w14:textId="77777777" w:rsidR="007F42E9" w:rsidRPr="006364B4" w:rsidRDefault="007F42E9" w:rsidP="006364B4">
            <w:r>
              <w:t>11.6.2.2</w:t>
            </w:r>
          </w:p>
        </w:tc>
        <w:tc>
          <w:tcPr>
            <w:tcW w:w="7173" w:type="dxa"/>
          </w:tcPr>
          <w:p w14:paraId="02DFC3DB" w14:textId="23C48D59" w:rsidR="007F42E9" w:rsidRPr="006364B4" w:rsidRDefault="007F42E9" w:rsidP="005A2643">
            <w:r>
              <w:t>Payment must never be made based on supplier statement alone.</w:t>
            </w:r>
          </w:p>
        </w:tc>
        <w:tc>
          <w:tcPr>
            <w:tcW w:w="850" w:type="dxa"/>
          </w:tcPr>
          <w:p w14:paraId="26676969" w14:textId="77777777" w:rsidR="007F42E9" w:rsidRDefault="007F42E9" w:rsidP="005A2643"/>
        </w:tc>
      </w:tr>
    </w:tbl>
    <w:p w14:paraId="30982906" w14:textId="7BF19F2D" w:rsidR="0051778F" w:rsidRDefault="0051778F" w:rsidP="0051778F">
      <w:pPr>
        <w:pStyle w:val="NoSpacing"/>
        <w:rPr>
          <w:w w:val="110"/>
        </w:rPr>
      </w:pPr>
    </w:p>
    <w:p w14:paraId="7F748777" w14:textId="1EAEC14F" w:rsidR="007F42E9" w:rsidRDefault="007F42E9" w:rsidP="0051778F">
      <w:pPr>
        <w:pStyle w:val="NoSpacing"/>
        <w:rPr>
          <w:w w:val="110"/>
        </w:rPr>
      </w:pPr>
    </w:p>
    <w:p w14:paraId="313AC333" w14:textId="334DBF39" w:rsidR="007F42E9" w:rsidRDefault="007F42E9" w:rsidP="0051778F">
      <w:pPr>
        <w:pStyle w:val="NoSpacing"/>
        <w:rPr>
          <w:w w:val="110"/>
        </w:rPr>
      </w:pPr>
    </w:p>
    <w:p w14:paraId="48ADC8F8" w14:textId="40CE8447" w:rsidR="007F42E9" w:rsidRDefault="007F42E9" w:rsidP="0051778F">
      <w:pPr>
        <w:pStyle w:val="NoSpacing"/>
        <w:rPr>
          <w:w w:val="110"/>
        </w:rPr>
      </w:pPr>
    </w:p>
    <w:p w14:paraId="4DB5742E" w14:textId="369DBBA4" w:rsidR="007F42E9" w:rsidRDefault="007F42E9" w:rsidP="0051778F">
      <w:pPr>
        <w:pStyle w:val="NoSpacing"/>
        <w:rPr>
          <w:w w:val="110"/>
        </w:rPr>
      </w:pPr>
    </w:p>
    <w:p w14:paraId="5C3450A7" w14:textId="44782840" w:rsidR="007F42E9" w:rsidRDefault="007F42E9" w:rsidP="0051778F">
      <w:pPr>
        <w:pStyle w:val="NoSpacing"/>
        <w:rPr>
          <w:w w:val="110"/>
        </w:rPr>
      </w:pPr>
    </w:p>
    <w:p w14:paraId="50ACF7D1" w14:textId="3B808B9D" w:rsidR="007F42E9" w:rsidRDefault="007F42E9" w:rsidP="0051778F">
      <w:pPr>
        <w:pStyle w:val="NoSpacing"/>
        <w:rPr>
          <w:w w:val="110"/>
        </w:rPr>
      </w:pPr>
    </w:p>
    <w:p w14:paraId="4D78D409" w14:textId="7467AC7B" w:rsidR="007F42E9" w:rsidRDefault="007F42E9" w:rsidP="0051778F">
      <w:pPr>
        <w:pStyle w:val="NoSpacing"/>
        <w:rPr>
          <w:w w:val="110"/>
        </w:rPr>
      </w:pPr>
    </w:p>
    <w:p w14:paraId="4850E830" w14:textId="77777777" w:rsidR="007F42E9" w:rsidRDefault="007F42E9" w:rsidP="0051778F">
      <w:pPr>
        <w:pStyle w:val="NoSpacing"/>
        <w:rPr>
          <w:w w:val="110"/>
        </w:rPr>
      </w:pPr>
    </w:p>
    <w:p w14:paraId="586AA132" w14:textId="77777777" w:rsidR="00232805" w:rsidRPr="006364B4" w:rsidRDefault="00B5537C" w:rsidP="006364B4">
      <w:pPr>
        <w:pStyle w:val="Heading2"/>
      </w:pPr>
      <w:r w:rsidRPr="006364B4">
        <w:lastRenderedPageBreak/>
        <w:t>11</w:t>
      </w:r>
      <w:r w:rsidR="00232805" w:rsidRPr="006364B4">
        <w:t>.7</w:t>
      </w:r>
      <w:r w:rsidR="00134B4E">
        <w:tab/>
      </w:r>
      <w:r w:rsidR="00232805" w:rsidRPr="006364B4">
        <w:t>Purchasing Card</w:t>
      </w:r>
    </w:p>
    <w:p w14:paraId="0DB6E916" w14:textId="77777777" w:rsidR="00232805" w:rsidRPr="006364B4" w:rsidRDefault="00232805" w:rsidP="00790B5E">
      <w:r w:rsidRPr="006364B4">
        <w:t xml:space="preserve">A school council may enter into </w:t>
      </w:r>
      <w:r w:rsidR="00F27719">
        <w:t>an agreement with the whole of government purchasing card supplier to access a purchasing card facility. The current supplier is Westpac.</w:t>
      </w:r>
    </w:p>
    <w:p w14:paraId="3D18B660" w14:textId="77777777" w:rsidR="00B5537C" w:rsidRPr="006364B4" w:rsidRDefault="00B5537C" w:rsidP="006364B4">
      <w:pPr>
        <w:pStyle w:val="Heading3"/>
      </w:pPr>
      <w:r w:rsidRPr="006364B4">
        <w:t>11</w:t>
      </w:r>
      <w:r w:rsidR="00232805" w:rsidRPr="006364B4">
        <w:t>.7</w:t>
      </w:r>
      <w:r w:rsidR="00134B4E">
        <w:t>.1</w:t>
      </w:r>
      <w:r w:rsidR="00134B4E">
        <w:tab/>
      </w:r>
      <w:r w:rsidRPr="006364B4">
        <w:t>Mandatory policy (</w:t>
      </w:r>
      <w:r w:rsidR="00A807D3">
        <w:t>Must do</w:t>
      </w:r>
      <w:r w:rsidRPr="006364B4">
        <w:t>)</w:t>
      </w:r>
      <w:r w:rsidR="00134B4E">
        <w:t>:</w:t>
      </w:r>
    </w:p>
    <w:tbl>
      <w:tblPr>
        <w:tblStyle w:val="TableGrid"/>
        <w:tblW w:w="9010" w:type="dxa"/>
        <w:tblInd w:w="57" w:type="dxa"/>
        <w:tblLayout w:type="fixed"/>
        <w:tblLook w:val="04A0" w:firstRow="1" w:lastRow="0" w:firstColumn="1" w:lastColumn="0" w:noHBand="0" w:noVBand="1"/>
        <w:tblDescription w:val="table containing sequence number and policy information"/>
      </w:tblPr>
      <w:tblGrid>
        <w:gridCol w:w="1134"/>
        <w:gridCol w:w="7088"/>
        <w:gridCol w:w="788"/>
      </w:tblGrid>
      <w:tr w:rsidR="007F42E9" w:rsidRPr="00AC78D4" w14:paraId="73295334" w14:textId="1E527309" w:rsidTr="007F42E9">
        <w:trPr>
          <w:trHeight w:val="597"/>
          <w:tblHeader/>
        </w:trPr>
        <w:tc>
          <w:tcPr>
            <w:tcW w:w="1134" w:type="dxa"/>
          </w:tcPr>
          <w:p w14:paraId="30ED1116" w14:textId="120E7B31" w:rsidR="007F42E9" w:rsidRPr="00F47F58" w:rsidRDefault="007F42E9" w:rsidP="00C86066">
            <w:pPr>
              <w:rPr>
                <w:b/>
                <w:color w:val="000000" w:themeColor="text1"/>
              </w:rPr>
            </w:pPr>
            <w:r w:rsidRPr="0079019F">
              <w:rPr>
                <w:b/>
                <w:sz w:val="18"/>
              </w:rPr>
              <w:t>Sequence Number</w:t>
            </w:r>
          </w:p>
        </w:tc>
        <w:tc>
          <w:tcPr>
            <w:tcW w:w="7088" w:type="dxa"/>
          </w:tcPr>
          <w:p w14:paraId="11B54BCB" w14:textId="77777777" w:rsidR="007F42E9" w:rsidRPr="002E4E58" w:rsidRDefault="007F42E9" w:rsidP="00C86066">
            <w:pPr>
              <w:rPr>
                <w:b/>
                <w:color w:val="000000" w:themeColor="text1"/>
                <w:sz w:val="20"/>
                <w:szCs w:val="20"/>
              </w:rPr>
            </w:pPr>
            <w:r w:rsidRPr="002E4E58">
              <w:rPr>
                <w:b/>
                <w:color w:val="000000" w:themeColor="text1"/>
                <w:sz w:val="20"/>
                <w:szCs w:val="20"/>
              </w:rPr>
              <w:t>Information</w:t>
            </w:r>
          </w:p>
        </w:tc>
        <w:tc>
          <w:tcPr>
            <w:tcW w:w="788" w:type="dxa"/>
            <w:tcBorders>
              <w:top w:val="nil"/>
              <w:right w:val="nil"/>
            </w:tcBorders>
          </w:tcPr>
          <w:p w14:paraId="5C13D3AB" w14:textId="77777777" w:rsidR="007F42E9" w:rsidRPr="00F47F58" w:rsidRDefault="007F42E9" w:rsidP="00C86066">
            <w:pPr>
              <w:rPr>
                <w:b/>
                <w:color w:val="000000" w:themeColor="text1"/>
              </w:rPr>
            </w:pPr>
          </w:p>
        </w:tc>
      </w:tr>
      <w:tr w:rsidR="007F42E9" w:rsidRPr="006364B4" w14:paraId="26C7EDDC" w14:textId="7FAC382F" w:rsidTr="007F42E9">
        <w:trPr>
          <w:trHeight w:val="567"/>
        </w:trPr>
        <w:tc>
          <w:tcPr>
            <w:tcW w:w="1134" w:type="dxa"/>
          </w:tcPr>
          <w:p w14:paraId="7819625B" w14:textId="691CEA25" w:rsidR="007F42E9" w:rsidRPr="006364B4" w:rsidRDefault="007F42E9" w:rsidP="006364B4">
            <w:r w:rsidRPr="006364B4">
              <w:t>11.7.1.1</w:t>
            </w:r>
          </w:p>
        </w:tc>
        <w:tc>
          <w:tcPr>
            <w:tcW w:w="7088" w:type="dxa"/>
          </w:tcPr>
          <w:p w14:paraId="00DF22F7" w14:textId="77777777" w:rsidR="007F42E9" w:rsidRPr="006364B4" w:rsidRDefault="007F42E9" w:rsidP="00790B5E">
            <w:r w:rsidRPr="006364B4">
              <w:t>Use the whole of government purchasing card supplier</w:t>
            </w:r>
            <w:r>
              <w:t>.</w:t>
            </w:r>
          </w:p>
        </w:tc>
        <w:tc>
          <w:tcPr>
            <w:tcW w:w="788" w:type="dxa"/>
          </w:tcPr>
          <w:p w14:paraId="0CF466F4" w14:textId="77777777" w:rsidR="007F42E9" w:rsidRPr="006364B4" w:rsidRDefault="007F42E9" w:rsidP="00790B5E"/>
        </w:tc>
      </w:tr>
      <w:tr w:rsidR="007F42E9" w:rsidRPr="006364B4" w14:paraId="5402A4C3" w14:textId="171E4621" w:rsidTr="007F42E9">
        <w:trPr>
          <w:trHeight w:val="791"/>
        </w:trPr>
        <w:tc>
          <w:tcPr>
            <w:tcW w:w="1134" w:type="dxa"/>
          </w:tcPr>
          <w:p w14:paraId="5EFCDA3D" w14:textId="77777777" w:rsidR="007F42E9" w:rsidRPr="006364B4" w:rsidRDefault="007F42E9" w:rsidP="006364B4">
            <w:r w:rsidRPr="006364B4">
              <w:t>11.7.1.2</w:t>
            </w:r>
          </w:p>
        </w:tc>
        <w:tc>
          <w:tcPr>
            <w:tcW w:w="7088" w:type="dxa"/>
          </w:tcPr>
          <w:p w14:paraId="254D3908" w14:textId="77777777" w:rsidR="007F42E9" w:rsidRPr="006364B4" w:rsidRDefault="007F42E9" w:rsidP="00790B5E">
            <w:r w:rsidRPr="006364B4">
              <w:t xml:space="preserve">Comply with the </w:t>
            </w:r>
            <w:hyperlink r:id="rId18" w:history="1">
              <w:r w:rsidRPr="006364B4">
                <w:rPr>
                  <w:rStyle w:val="Hyperlink"/>
                </w:rPr>
                <w:t>Schools Purchasing Card Department guidelines and procedures.</w:t>
              </w:r>
            </w:hyperlink>
          </w:p>
        </w:tc>
        <w:tc>
          <w:tcPr>
            <w:tcW w:w="788" w:type="dxa"/>
          </w:tcPr>
          <w:p w14:paraId="7F752F42" w14:textId="77777777" w:rsidR="007F42E9" w:rsidRPr="006364B4" w:rsidRDefault="007F42E9" w:rsidP="00790B5E"/>
        </w:tc>
      </w:tr>
      <w:tr w:rsidR="007F42E9" w:rsidRPr="006364B4" w14:paraId="426E0968" w14:textId="4DA2FDEC" w:rsidTr="007F42E9">
        <w:trPr>
          <w:trHeight w:val="567"/>
        </w:trPr>
        <w:tc>
          <w:tcPr>
            <w:tcW w:w="1134" w:type="dxa"/>
          </w:tcPr>
          <w:p w14:paraId="0477B718" w14:textId="77777777" w:rsidR="007F42E9" w:rsidRPr="006364B4" w:rsidRDefault="007F42E9" w:rsidP="006364B4">
            <w:r w:rsidRPr="006364B4">
              <w:t>11.7.1.3</w:t>
            </w:r>
          </w:p>
        </w:tc>
        <w:tc>
          <w:tcPr>
            <w:tcW w:w="7088" w:type="dxa"/>
          </w:tcPr>
          <w:p w14:paraId="7FB7B68F" w14:textId="77777777" w:rsidR="007F42E9" w:rsidRPr="006364B4" w:rsidRDefault="007F42E9" w:rsidP="00790B5E">
            <w:r>
              <w:t>Develop and d</w:t>
            </w:r>
            <w:r w:rsidRPr="006364B4">
              <w:t>ocument a policy for the use of the purchasing card.</w:t>
            </w:r>
          </w:p>
        </w:tc>
        <w:tc>
          <w:tcPr>
            <w:tcW w:w="788" w:type="dxa"/>
          </w:tcPr>
          <w:p w14:paraId="00F425D3" w14:textId="77777777" w:rsidR="007F42E9" w:rsidRDefault="007F42E9" w:rsidP="00790B5E"/>
        </w:tc>
      </w:tr>
      <w:tr w:rsidR="007F42E9" w:rsidRPr="006364B4" w14:paraId="0F9979D8" w14:textId="315BB006" w:rsidTr="007F42E9">
        <w:trPr>
          <w:trHeight w:val="797"/>
        </w:trPr>
        <w:tc>
          <w:tcPr>
            <w:tcW w:w="1134" w:type="dxa"/>
          </w:tcPr>
          <w:p w14:paraId="126BA291" w14:textId="77777777" w:rsidR="007F42E9" w:rsidRPr="006364B4" w:rsidRDefault="007F42E9" w:rsidP="006364B4">
            <w:r w:rsidRPr="006364B4">
              <w:t>11.7.1.4</w:t>
            </w:r>
          </w:p>
        </w:tc>
        <w:tc>
          <w:tcPr>
            <w:tcW w:w="7088" w:type="dxa"/>
          </w:tcPr>
          <w:p w14:paraId="4648489A" w14:textId="77777777" w:rsidR="007F42E9" w:rsidRPr="006364B4" w:rsidRDefault="007F42E9" w:rsidP="00790B5E">
            <w:r w:rsidRPr="006364B4">
              <w:t xml:space="preserve">Each cardholder must complete and sign an </w:t>
            </w:r>
            <w:hyperlink r:id="rId19" w:history="1">
              <w:r w:rsidRPr="00F27719">
                <w:rPr>
                  <w:rStyle w:val="Hyperlink"/>
                </w:rPr>
                <w:t>Undertaking by the Cardholder form.</w:t>
              </w:r>
            </w:hyperlink>
          </w:p>
        </w:tc>
        <w:tc>
          <w:tcPr>
            <w:tcW w:w="788" w:type="dxa"/>
          </w:tcPr>
          <w:p w14:paraId="257C9BA4" w14:textId="77777777" w:rsidR="007F42E9" w:rsidRPr="006364B4" w:rsidRDefault="007F42E9" w:rsidP="00790B5E"/>
        </w:tc>
      </w:tr>
      <w:tr w:rsidR="007F42E9" w:rsidRPr="006364B4" w14:paraId="364144FB" w14:textId="386BB02B" w:rsidTr="007F42E9">
        <w:trPr>
          <w:trHeight w:val="567"/>
        </w:trPr>
        <w:tc>
          <w:tcPr>
            <w:tcW w:w="1134" w:type="dxa"/>
          </w:tcPr>
          <w:p w14:paraId="0DE3FD95" w14:textId="77777777" w:rsidR="007F42E9" w:rsidRPr="006364B4" w:rsidRDefault="007F42E9" w:rsidP="006364B4">
            <w:r w:rsidRPr="006364B4">
              <w:t>11.7.1.5</w:t>
            </w:r>
          </w:p>
        </w:tc>
        <w:tc>
          <w:tcPr>
            <w:tcW w:w="7088" w:type="dxa"/>
          </w:tcPr>
          <w:p w14:paraId="7E83F3C0" w14:textId="77777777" w:rsidR="007F42E9" w:rsidRPr="006364B4" w:rsidRDefault="007F42E9" w:rsidP="00790B5E">
            <w:r w:rsidRPr="006364B4">
              <w:t xml:space="preserve">The Purchasing Card Register in CASES21 must be </w:t>
            </w:r>
            <w:r>
              <w:t>kept up to date.</w:t>
            </w:r>
          </w:p>
        </w:tc>
        <w:tc>
          <w:tcPr>
            <w:tcW w:w="788" w:type="dxa"/>
          </w:tcPr>
          <w:p w14:paraId="16522BB1" w14:textId="77777777" w:rsidR="007F42E9" w:rsidRPr="006364B4" w:rsidRDefault="007F42E9" w:rsidP="00790B5E"/>
        </w:tc>
      </w:tr>
      <w:tr w:rsidR="007F42E9" w:rsidRPr="006364B4" w14:paraId="70220968" w14:textId="6962DACC" w:rsidTr="007F42E9">
        <w:trPr>
          <w:trHeight w:val="567"/>
        </w:trPr>
        <w:tc>
          <w:tcPr>
            <w:tcW w:w="1134" w:type="dxa"/>
          </w:tcPr>
          <w:p w14:paraId="01002F26" w14:textId="77777777" w:rsidR="007F42E9" w:rsidRPr="006364B4" w:rsidRDefault="007F42E9" w:rsidP="003278E4">
            <w:r w:rsidRPr="006364B4">
              <w:t>11.7.1.</w:t>
            </w:r>
            <w:r>
              <w:t>6</w:t>
            </w:r>
          </w:p>
        </w:tc>
        <w:tc>
          <w:tcPr>
            <w:tcW w:w="7088" w:type="dxa"/>
          </w:tcPr>
          <w:p w14:paraId="7F1D6FBC" w14:textId="77777777" w:rsidR="007F42E9" w:rsidRPr="006364B4" w:rsidRDefault="007F42E9" w:rsidP="00790B5E">
            <w:r w:rsidRPr="006364B4">
              <w:t>Apply the principles outlined in 11.2, 11.3, 11.4, 11.5 and 11.6 to purchasing card expenditure.</w:t>
            </w:r>
          </w:p>
        </w:tc>
        <w:tc>
          <w:tcPr>
            <w:tcW w:w="788" w:type="dxa"/>
          </w:tcPr>
          <w:p w14:paraId="1070B87A" w14:textId="77777777" w:rsidR="007F42E9" w:rsidRPr="006364B4" w:rsidRDefault="007F42E9" w:rsidP="00790B5E"/>
        </w:tc>
      </w:tr>
      <w:tr w:rsidR="007F42E9" w:rsidRPr="006364B4" w14:paraId="125A447F" w14:textId="4F61D72B" w:rsidTr="007F42E9">
        <w:trPr>
          <w:trHeight w:val="825"/>
        </w:trPr>
        <w:tc>
          <w:tcPr>
            <w:tcW w:w="1134" w:type="dxa"/>
          </w:tcPr>
          <w:p w14:paraId="64CFC9F9" w14:textId="77777777" w:rsidR="007F42E9" w:rsidRPr="006364B4" w:rsidRDefault="007F42E9" w:rsidP="003278E4">
            <w:r w:rsidRPr="006364B4">
              <w:t>11.7.1.</w:t>
            </w:r>
            <w:r>
              <w:t>7</w:t>
            </w:r>
          </w:p>
        </w:tc>
        <w:tc>
          <w:tcPr>
            <w:tcW w:w="7088" w:type="dxa"/>
          </w:tcPr>
          <w:p w14:paraId="12844494" w14:textId="77777777" w:rsidR="007F42E9" w:rsidRPr="006364B4" w:rsidRDefault="007F42E9" w:rsidP="005A2643">
            <w:r w:rsidRPr="006364B4">
              <w:t>School Purchasing card monthly statements, associated documentation and payments</w:t>
            </w:r>
            <w:r>
              <w:t>,</w:t>
            </w:r>
            <w:r w:rsidRPr="006364B4">
              <w:t xml:space="preserve"> </w:t>
            </w:r>
            <w:r>
              <w:t xml:space="preserve">must </w:t>
            </w:r>
            <w:r w:rsidRPr="006364B4">
              <w:t>be approved by the principal.</w:t>
            </w:r>
          </w:p>
        </w:tc>
        <w:tc>
          <w:tcPr>
            <w:tcW w:w="788" w:type="dxa"/>
          </w:tcPr>
          <w:p w14:paraId="778864F5" w14:textId="77777777" w:rsidR="007F42E9" w:rsidRPr="006364B4" w:rsidRDefault="007F42E9" w:rsidP="005A2643"/>
        </w:tc>
      </w:tr>
      <w:tr w:rsidR="007F42E9" w:rsidRPr="006364B4" w14:paraId="11F6E2D0" w14:textId="46961120" w:rsidTr="007F42E9">
        <w:trPr>
          <w:trHeight w:val="567"/>
        </w:trPr>
        <w:tc>
          <w:tcPr>
            <w:tcW w:w="1134" w:type="dxa"/>
          </w:tcPr>
          <w:p w14:paraId="2C0281BF" w14:textId="77777777" w:rsidR="007F42E9" w:rsidRPr="006364B4" w:rsidRDefault="007F42E9" w:rsidP="003278E4">
            <w:r w:rsidRPr="006364B4">
              <w:t>11.7.1.</w:t>
            </w:r>
            <w:r>
              <w:t>8</w:t>
            </w:r>
          </w:p>
        </w:tc>
        <w:tc>
          <w:tcPr>
            <w:tcW w:w="7088" w:type="dxa"/>
          </w:tcPr>
          <w:p w14:paraId="77384C68" w14:textId="77777777" w:rsidR="007F42E9" w:rsidRPr="006364B4" w:rsidRDefault="007F42E9" w:rsidP="005A2643">
            <w:r w:rsidRPr="006364B4">
              <w:t xml:space="preserve">The school council president </w:t>
            </w:r>
            <w:r>
              <w:t xml:space="preserve">must </w:t>
            </w:r>
            <w:r w:rsidRPr="006364B4">
              <w:t>approve the principal’s purchasing card expenditure.</w:t>
            </w:r>
          </w:p>
        </w:tc>
        <w:tc>
          <w:tcPr>
            <w:tcW w:w="788" w:type="dxa"/>
          </w:tcPr>
          <w:p w14:paraId="061BD7DD" w14:textId="77777777" w:rsidR="007F42E9" w:rsidRPr="006364B4" w:rsidRDefault="007F42E9" w:rsidP="005A2643"/>
        </w:tc>
      </w:tr>
      <w:tr w:rsidR="007F42E9" w:rsidRPr="006364B4" w14:paraId="2587170C" w14:textId="7534E797" w:rsidTr="007F42E9">
        <w:trPr>
          <w:trHeight w:val="567"/>
        </w:trPr>
        <w:tc>
          <w:tcPr>
            <w:tcW w:w="1134" w:type="dxa"/>
          </w:tcPr>
          <w:p w14:paraId="4768100B" w14:textId="77777777" w:rsidR="007F42E9" w:rsidRPr="006364B4" w:rsidRDefault="007F42E9" w:rsidP="003278E4">
            <w:r w:rsidRPr="006364B4">
              <w:t>11.7.1.</w:t>
            </w:r>
            <w:r>
              <w:t>9</w:t>
            </w:r>
          </w:p>
        </w:tc>
        <w:tc>
          <w:tcPr>
            <w:tcW w:w="7088" w:type="dxa"/>
          </w:tcPr>
          <w:p w14:paraId="7E3C3E99" w14:textId="7C4E764A" w:rsidR="007F42E9" w:rsidRPr="006364B4" w:rsidRDefault="007F42E9" w:rsidP="005A2643">
            <w:r>
              <w:t>T</w:t>
            </w:r>
            <w:r w:rsidRPr="006364B4">
              <w:t xml:space="preserve">he school purchasing card monthly statement and associated documentation </w:t>
            </w:r>
            <w:r>
              <w:t xml:space="preserve">must be presented </w:t>
            </w:r>
            <w:r w:rsidRPr="006364B4">
              <w:t>to the finance committee for review, approval and to make a recommendation to the school council for ratification of payments. If the school does not have a finance committee</w:t>
            </w:r>
            <w:r>
              <w:t>,</w:t>
            </w:r>
            <w:r w:rsidRPr="006364B4">
              <w:t xml:space="preserve"> these documents must be provided to school council for </w:t>
            </w:r>
            <w:r>
              <w:t xml:space="preserve">review and </w:t>
            </w:r>
            <w:r w:rsidRPr="006364B4">
              <w:t>approval.</w:t>
            </w:r>
          </w:p>
        </w:tc>
        <w:tc>
          <w:tcPr>
            <w:tcW w:w="788" w:type="dxa"/>
          </w:tcPr>
          <w:p w14:paraId="09A56F70" w14:textId="77777777" w:rsidR="007F42E9" w:rsidRDefault="007F42E9" w:rsidP="005A2643"/>
        </w:tc>
      </w:tr>
    </w:tbl>
    <w:p w14:paraId="4A8BEC25" w14:textId="77777777" w:rsidR="00DA020D" w:rsidRPr="006364B4" w:rsidRDefault="00DA020D" w:rsidP="006364B4">
      <w:pPr>
        <w:pStyle w:val="Heading3"/>
      </w:pPr>
      <w:r w:rsidRPr="006364B4">
        <w:t xml:space="preserve">11.7.2 </w:t>
      </w:r>
      <w:r w:rsidR="00134B4E">
        <w:tab/>
      </w:r>
      <w:r w:rsidRPr="006364B4">
        <w:t>Prohibited policy (</w:t>
      </w:r>
      <w:r w:rsidR="00A807D3">
        <w:t>Must not</w:t>
      </w:r>
      <w:r w:rsidR="003278E4">
        <w:t xml:space="preserve"> do</w:t>
      </w:r>
      <w:r w:rsidRPr="006364B4">
        <w:t>)</w:t>
      </w:r>
      <w:r w:rsidR="00134B4E">
        <w:t>:</w:t>
      </w:r>
    </w:p>
    <w:tbl>
      <w:tblPr>
        <w:tblStyle w:val="TableGrid"/>
        <w:tblW w:w="9010" w:type="dxa"/>
        <w:tblInd w:w="57" w:type="dxa"/>
        <w:tblLayout w:type="fixed"/>
        <w:tblLook w:val="04A0" w:firstRow="1" w:lastRow="0" w:firstColumn="1" w:lastColumn="0" w:noHBand="0" w:noVBand="1"/>
        <w:tblDescription w:val="table containing sequence number and policy information"/>
      </w:tblPr>
      <w:tblGrid>
        <w:gridCol w:w="1129"/>
        <w:gridCol w:w="7088"/>
        <w:gridCol w:w="793"/>
      </w:tblGrid>
      <w:tr w:rsidR="007F42E9" w:rsidRPr="00AC78D4" w14:paraId="359AEDE8" w14:textId="50FB0F52" w:rsidTr="007F42E9">
        <w:trPr>
          <w:trHeight w:val="597"/>
          <w:tblHeader/>
        </w:trPr>
        <w:tc>
          <w:tcPr>
            <w:tcW w:w="1129" w:type="dxa"/>
          </w:tcPr>
          <w:p w14:paraId="4987E7DD" w14:textId="58D5C0C8" w:rsidR="007F42E9" w:rsidRPr="00F47F58" w:rsidRDefault="007F42E9" w:rsidP="00C86066">
            <w:pPr>
              <w:rPr>
                <w:b/>
                <w:color w:val="000000" w:themeColor="text1"/>
              </w:rPr>
            </w:pPr>
            <w:r w:rsidRPr="0079019F">
              <w:rPr>
                <w:b/>
                <w:sz w:val="18"/>
              </w:rPr>
              <w:t>Sequence Number</w:t>
            </w:r>
          </w:p>
        </w:tc>
        <w:tc>
          <w:tcPr>
            <w:tcW w:w="7088" w:type="dxa"/>
          </w:tcPr>
          <w:p w14:paraId="7DD6D449" w14:textId="77777777" w:rsidR="007F42E9" w:rsidRPr="002E4E58" w:rsidRDefault="007F42E9" w:rsidP="00C86066">
            <w:pPr>
              <w:rPr>
                <w:b/>
                <w:color w:val="000000" w:themeColor="text1"/>
                <w:sz w:val="20"/>
                <w:szCs w:val="20"/>
              </w:rPr>
            </w:pPr>
            <w:r w:rsidRPr="002E4E58">
              <w:rPr>
                <w:b/>
                <w:color w:val="000000" w:themeColor="text1"/>
                <w:sz w:val="20"/>
                <w:szCs w:val="20"/>
              </w:rPr>
              <w:t>Information</w:t>
            </w:r>
          </w:p>
        </w:tc>
        <w:tc>
          <w:tcPr>
            <w:tcW w:w="793" w:type="dxa"/>
            <w:tcBorders>
              <w:top w:val="nil"/>
              <w:right w:val="nil"/>
            </w:tcBorders>
          </w:tcPr>
          <w:p w14:paraId="4A87985A" w14:textId="77777777" w:rsidR="007F42E9" w:rsidRPr="00F47F58" w:rsidRDefault="007F42E9" w:rsidP="00C86066">
            <w:pPr>
              <w:rPr>
                <w:b/>
                <w:color w:val="000000" w:themeColor="text1"/>
              </w:rPr>
            </w:pPr>
          </w:p>
        </w:tc>
      </w:tr>
      <w:tr w:rsidR="007F42E9" w:rsidRPr="006364B4" w14:paraId="127067A6" w14:textId="4EEC8D2F" w:rsidTr="007F42E9">
        <w:trPr>
          <w:trHeight w:val="567"/>
        </w:trPr>
        <w:tc>
          <w:tcPr>
            <w:tcW w:w="1129" w:type="dxa"/>
          </w:tcPr>
          <w:p w14:paraId="74EF1789" w14:textId="3546152C" w:rsidR="007F42E9" w:rsidRPr="006364B4" w:rsidRDefault="007F42E9" w:rsidP="006364B4">
            <w:r w:rsidRPr="006364B4">
              <w:t>11.7.2.1</w:t>
            </w:r>
          </w:p>
        </w:tc>
        <w:tc>
          <w:tcPr>
            <w:tcW w:w="7088" w:type="dxa"/>
          </w:tcPr>
          <w:p w14:paraId="1366E9A5" w14:textId="77777777" w:rsidR="007F42E9" w:rsidRPr="006364B4" w:rsidRDefault="007F42E9" w:rsidP="006364B4">
            <w:r w:rsidRPr="006364B4">
              <w:t>A school purchasing card must not be used for non-school purchases.</w:t>
            </w:r>
          </w:p>
        </w:tc>
        <w:tc>
          <w:tcPr>
            <w:tcW w:w="793" w:type="dxa"/>
          </w:tcPr>
          <w:p w14:paraId="63F131C4" w14:textId="77777777" w:rsidR="007F42E9" w:rsidRPr="006364B4" w:rsidRDefault="007F42E9" w:rsidP="006364B4"/>
        </w:tc>
      </w:tr>
      <w:tr w:rsidR="007F42E9" w:rsidRPr="006364B4" w14:paraId="517BB074" w14:textId="370F2969" w:rsidTr="007F42E9">
        <w:trPr>
          <w:trHeight w:val="1068"/>
        </w:trPr>
        <w:tc>
          <w:tcPr>
            <w:tcW w:w="1129" w:type="dxa"/>
          </w:tcPr>
          <w:p w14:paraId="7D4514A8" w14:textId="77777777" w:rsidR="007F42E9" w:rsidRPr="006364B4" w:rsidRDefault="007F42E9" w:rsidP="006364B4">
            <w:r>
              <w:t>11.7.2.2</w:t>
            </w:r>
          </w:p>
        </w:tc>
        <w:tc>
          <w:tcPr>
            <w:tcW w:w="7088" w:type="dxa"/>
          </w:tcPr>
          <w:p w14:paraId="5E366A90" w14:textId="6018DF94" w:rsidR="007F42E9" w:rsidRPr="006364B4" w:rsidRDefault="007F42E9" w:rsidP="0000323A">
            <w:r>
              <w:t xml:space="preserve">A school must not use a financial institution other than the Government purchasing supplier, which is currently Westpac Banking Corporation. </w:t>
            </w:r>
          </w:p>
        </w:tc>
        <w:tc>
          <w:tcPr>
            <w:tcW w:w="793" w:type="dxa"/>
          </w:tcPr>
          <w:p w14:paraId="5BB468A0" w14:textId="77777777" w:rsidR="007F42E9" w:rsidRDefault="007F42E9" w:rsidP="0000323A"/>
        </w:tc>
      </w:tr>
    </w:tbl>
    <w:p w14:paraId="112D4383" w14:textId="77777777" w:rsidR="0051778F" w:rsidRPr="006364B4" w:rsidRDefault="0051778F" w:rsidP="006364B4"/>
    <w:p w14:paraId="1083A540" w14:textId="77777777" w:rsidR="00725687" w:rsidRPr="006364B4" w:rsidRDefault="00725687" w:rsidP="006364B4">
      <w:pPr>
        <w:pStyle w:val="Heading2"/>
      </w:pPr>
      <w:r w:rsidRPr="006364B4">
        <w:lastRenderedPageBreak/>
        <w:t xml:space="preserve">11.8 </w:t>
      </w:r>
      <w:r w:rsidR="00134B4E">
        <w:tab/>
      </w:r>
      <w:r w:rsidRPr="006364B4">
        <w:t>Utilities</w:t>
      </w:r>
    </w:p>
    <w:p w14:paraId="2567459E" w14:textId="77777777" w:rsidR="00725687" w:rsidRPr="006364B4" w:rsidRDefault="00725687" w:rsidP="006364B4">
      <w:r w:rsidRPr="006364B4">
        <w:t>Under Ministerial Direction</w:t>
      </w:r>
      <w:r w:rsidR="000805DB">
        <w:t>,</w:t>
      </w:r>
      <w:r w:rsidRPr="006364B4">
        <w:t xml:space="preserve"> all schools must purchase their electricity from a supplier </w:t>
      </w:r>
      <w:r w:rsidR="000805DB">
        <w:t>that</w:t>
      </w:r>
      <w:r w:rsidRPr="006364B4">
        <w:t xml:space="preserve"> the Department has an approved contract</w:t>
      </w:r>
      <w:r w:rsidR="000805DB">
        <w:t xml:space="preserve"> with</w:t>
      </w:r>
      <w:r w:rsidRPr="006364B4">
        <w:t xml:space="preserve">. </w:t>
      </w:r>
    </w:p>
    <w:p w14:paraId="05E68F2D" w14:textId="77777777" w:rsidR="00725687" w:rsidRPr="006364B4" w:rsidRDefault="00725687" w:rsidP="006364B4">
      <w:r w:rsidRPr="006364B4">
        <w:t>Under Ministerial Direction, all schools must purchase their natural gas from the natural gas supplier selected as the Whole of Victorian Government (WoVG) contractor</w:t>
      </w:r>
      <w:r w:rsidR="003500A5" w:rsidRPr="006364B4">
        <w:t>.</w:t>
      </w:r>
    </w:p>
    <w:p w14:paraId="790F5D7A" w14:textId="6FB5C3BD" w:rsidR="00725687" w:rsidRPr="006364B4" w:rsidRDefault="00134B4E" w:rsidP="006364B4">
      <w:pPr>
        <w:pStyle w:val="Heading3"/>
      </w:pPr>
      <w:r>
        <w:t>11.8.1</w:t>
      </w:r>
      <w:r>
        <w:tab/>
      </w:r>
      <w:r w:rsidR="00725687" w:rsidRPr="006364B4">
        <w:t>Mandatory policy (</w:t>
      </w:r>
      <w:r w:rsidR="00A807D3">
        <w:t>Must do</w:t>
      </w:r>
      <w:r w:rsidR="00725687" w:rsidRPr="006364B4">
        <w:t>)</w:t>
      </w:r>
      <w:r>
        <w:t>:</w:t>
      </w:r>
    </w:p>
    <w:tbl>
      <w:tblPr>
        <w:tblStyle w:val="TableGrid"/>
        <w:tblW w:w="9010" w:type="dxa"/>
        <w:tblInd w:w="57" w:type="dxa"/>
        <w:tblLayout w:type="fixed"/>
        <w:tblLook w:val="04A0" w:firstRow="1" w:lastRow="0" w:firstColumn="1" w:lastColumn="0" w:noHBand="0" w:noVBand="1"/>
        <w:tblDescription w:val="table containing sequence number and policy information"/>
      </w:tblPr>
      <w:tblGrid>
        <w:gridCol w:w="1134"/>
        <w:gridCol w:w="7088"/>
        <w:gridCol w:w="788"/>
      </w:tblGrid>
      <w:tr w:rsidR="007F42E9" w:rsidRPr="00AC78D4" w14:paraId="30AFDEC7" w14:textId="3FB747F2" w:rsidTr="007F42E9">
        <w:trPr>
          <w:trHeight w:val="548"/>
          <w:tblHeader/>
        </w:trPr>
        <w:tc>
          <w:tcPr>
            <w:tcW w:w="1134" w:type="dxa"/>
          </w:tcPr>
          <w:p w14:paraId="3312EF84" w14:textId="434DD02B" w:rsidR="007F42E9" w:rsidRPr="00F47F58" w:rsidRDefault="007F42E9" w:rsidP="00C86066">
            <w:pPr>
              <w:rPr>
                <w:b/>
                <w:color w:val="000000" w:themeColor="text1"/>
              </w:rPr>
            </w:pPr>
            <w:r w:rsidRPr="0079019F">
              <w:rPr>
                <w:b/>
                <w:sz w:val="18"/>
              </w:rPr>
              <w:t>Sequence Number</w:t>
            </w:r>
          </w:p>
        </w:tc>
        <w:tc>
          <w:tcPr>
            <w:tcW w:w="7088" w:type="dxa"/>
          </w:tcPr>
          <w:p w14:paraId="787B63C8" w14:textId="77777777" w:rsidR="007F42E9" w:rsidRPr="002E4E58" w:rsidRDefault="007F42E9" w:rsidP="00C86066">
            <w:pPr>
              <w:rPr>
                <w:b/>
                <w:color w:val="000000" w:themeColor="text1"/>
                <w:sz w:val="20"/>
                <w:szCs w:val="20"/>
              </w:rPr>
            </w:pPr>
            <w:r w:rsidRPr="002E4E58">
              <w:rPr>
                <w:b/>
                <w:color w:val="000000" w:themeColor="text1"/>
                <w:sz w:val="20"/>
                <w:szCs w:val="20"/>
              </w:rPr>
              <w:t>Information</w:t>
            </w:r>
          </w:p>
        </w:tc>
        <w:tc>
          <w:tcPr>
            <w:tcW w:w="788" w:type="dxa"/>
            <w:tcBorders>
              <w:top w:val="nil"/>
              <w:right w:val="nil"/>
            </w:tcBorders>
          </w:tcPr>
          <w:p w14:paraId="754FE60E" w14:textId="77777777" w:rsidR="007F42E9" w:rsidRPr="00F47F58" w:rsidRDefault="007F42E9" w:rsidP="00C86066">
            <w:pPr>
              <w:rPr>
                <w:b/>
                <w:color w:val="000000" w:themeColor="text1"/>
              </w:rPr>
            </w:pPr>
          </w:p>
        </w:tc>
      </w:tr>
      <w:tr w:rsidR="007F42E9" w:rsidRPr="006364B4" w14:paraId="69C411CC" w14:textId="15398A72" w:rsidTr="007F42E9">
        <w:trPr>
          <w:trHeight w:val="567"/>
        </w:trPr>
        <w:tc>
          <w:tcPr>
            <w:tcW w:w="1134" w:type="dxa"/>
          </w:tcPr>
          <w:p w14:paraId="5D8210FF" w14:textId="6561BE4F" w:rsidR="007F42E9" w:rsidRPr="006364B4" w:rsidRDefault="007F42E9" w:rsidP="006364B4">
            <w:r w:rsidRPr="006364B4">
              <w:t>11.8.1.1</w:t>
            </w:r>
          </w:p>
        </w:tc>
        <w:tc>
          <w:tcPr>
            <w:tcW w:w="7088" w:type="dxa"/>
          </w:tcPr>
          <w:p w14:paraId="61D2F441" w14:textId="137AB440" w:rsidR="007F42E9" w:rsidRPr="006364B4" w:rsidRDefault="007F42E9" w:rsidP="006364B4">
            <w:r w:rsidRPr="006364B4">
              <w:t>Use the whole of government natural gas and electricity suppliers.</w:t>
            </w:r>
          </w:p>
        </w:tc>
        <w:tc>
          <w:tcPr>
            <w:tcW w:w="788" w:type="dxa"/>
          </w:tcPr>
          <w:p w14:paraId="5B80E57E" w14:textId="77777777" w:rsidR="007F42E9" w:rsidRPr="006364B4" w:rsidRDefault="007F42E9" w:rsidP="006364B4"/>
        </w:tc>
      </w:tr>
    </w:tbl>
    <w:p w14:paraId="21EBA397" w14:textId="77777777" w:rsidR="00FB1204" w:rsidRPr="006364B4" w:rsidRDefault="00FB1204" w:rsidP="006364B4"/>
    <w:p w14:paraId="67EFA195" w14:textId="77777777" w:rsidR="00725687" w:rsidRPr="006364B4" w:rsidRDefault="00725687" w:rsidP="006364B4">
      <w:pPr>
        <w:pStyle w:val="Heading2"/>
      </w:pPr>
      <w:r w:rsidRPr="006364B4">
        <w:t xml:space="preserve">11.9 </w:t>
      </w:r>
      <w:r w:rsidR="00134B4E">
        <w:tab/>
      </w:r>
      <w:r w:rsidRPr="006364B4">
        <w:t>School local payroll</w:t>
      </w:r>
    </w:p>
    <w:p w14:paraId="6F16C723" w14:textId="77777777" w:rsidR="00725687" w:rsidRPr="006364B4" w:rsidRDefault="00035071" w:rsidP="006364B4">
      <w:r w:rsidRPr="006364B4">
        <w:t xml:space="preserve">School councils are empowered under Part 2.3 of the </w:t>
      </w:r>
      <w:r w:rsidRPr="00F27719">
        <w:rPr>
          <w:i/>
        </w:rPr>
        <w:t>Education and Training Reform Act 2006</w:t>
      </w:r>
      <w:r w:rsidRPr="006364B4">
        <w:t xml:space="preserve"> to employ </w:t>
      </w:r>
      <w:r w:rsidR="00D357C4">
        <w:t xml:space="preserve">some </w:t>
      </w:r>
      <w:r w:rsidRPr="006364B4">
        <w:t>staff</w:t>
      </w:r>
      <w:r w:rsidR="00D357C4">
        <w:t>.</w:t>
      </w:r>
    </w:p>
    <w:p w14:paraId="57E28D23" w14:textId="77777777" w:rsidR="006B7939" w:rsidRPr="006364B4" w:rsidRDefault="006B7939" w:rsidP="006364B4">
      <w:pPr>
        <w:pStyle w:val="Heading3"/>
      </w:pPr>
      <w:r w:rsidRPr="006364B4">
        <w:t>11</w:t>
      </w:r>
      <w:r w:rsidR="00DC426F" w:rsidRPr="006364B4">
        <w:t>.9</w:t>
      </w:r>
      <w:r w:rsidRPr="006364B4">
        <w:t>.1</w:t>
      </w:r>
      <w:r w:rsidR="00134B4E">
        <w:tab/>
      </w:r>
      <w:r w:rsidRPr="006364B4">
        <w:t>Mandatory policy (</w:t>
      </w:r>
      <w:r w:rsidR="00A807D3">
        <w:t>Must do</w:t>
      </w:r>
      <w:r w:rsidRPr="006364B4">
        <w:t>)</w:t>
      </w:r>
      <w:r w:rsidR="00134B4E">
        <w:t>:</w:t>
      </w:r>
    </w:p>
    <w:tbl>
      <w:tblPr>
        <w:tblStyle w:val="TableGrid"/>
        <w:tblW w:w="9010" w:type="dxa"/>
        <w:tblInd w:w="57" w:type="dxa"/>
        <w:tblLayout w:type="fixed"/>
        <w:tblLook w:val="04A0" w:firstRow="1" w:lastRow="0" w:firstColumn="1" w:lastColumn="0" w:noHBand="0" w:noVBand="1"/>
        <w:tblDescription w:val="table containing sequence number and policy information"/>
      </w:tblPr>
      <w:tblGrid>
        <w:gridCol w:w="1134"/>
        <w:gridCol w:w="7088"/>
        <w:gridCol w:w="788"/>
      </w:tblGrid>
      <w:tr w:rsidR="007F42E9" w:rsidRPr="00AC78D4" w14:paraId="6646FAB0" w14:textId="7C2E895B" w:rsidTr="007F42E9">
        <w:trPr>
          <w:trHeight w:val="597"/>
          <w:tblHeader/>
        </w:trPr>
        <w:tc>
          <w:tcPr>
            <w:tcW w:w="1134" w:type="dxa"/>
          </w:tcPr>
          <w:p w14:paraId="7946F6C4" w14:textId="3D15066F" w:rsidR="007F42E9" w:rsidRPr="00A41404" w:rsidRDefault="007F42E9" w:rsidP="00C86066">
            <w:pPr>
              <w:rPr>
                <w:b/>
                <w:color w:val="000000" w:themeColor="text1"/>
              </w:rPr>
            </w:pPr>
            <w:r w:rsidRPr="0079019F">
              <w:rPr>
                <w:b/>
                <w:sz w:val="18"/>
              </w:rPr>
              <w:t>Sequence Number</w:t>
            </w:r>
          </w:p>
        </w:tc>
        <w:tc>
          <w:tcPr>
            <w:tcW w:w="7088" w:type="dxa"/>
          </w:tcPr>
          <w:p w14:paraId="3275A4FB" w14:textId="77777777" w:rsidR="007F42E9" w:rsidRPr="002E4E58" w:rsidRDefault="007F42E9" w:rsidP="00C86066">
            <w:pPr>
              <w:rPr>
                <w:b/>
                <w:color w:val="000000" w:themeColor="text1"/>
                <w:sz w:val="20"/>
                <w:szCs w:val="20"/>
              </w:rPr>
            </w:pPr>
            <w:r w:rsidRPr="002E4E58">
              <w:rPr>
                <w:b/>
                <w:color w:val="000000" w:themeColor="text1"/>
                <w:sz w:val="20"/>
                <w:szCs w:val="20"/>
              </w:rPr>
              <w:t>Information</w:t>
            </w:r>
          </w:p>
        </w:tc>
        <w:tc>
          <w:tcPr>
            <w:tcW w:w="788" w:type="dxa"/>
            <w:tcBorders>
              <w:top w:val="nil"/>
              <w:right w:val="nil"/>
            </w:tcBorders>
          </w:tcPr>
          <w:p w14:paraId="20585F0C" w14:textId="77777777" w:rsidR="007F42E9" w:rsidRPr="00A41404" w:rsidRDefault="007F42E9" w:rsidP="00C86066">
            <w:pPr>
              <w:rPr>
                <w:b/>
                <w:color w:val="000000" w:themeColor="text1"/>
              </w:rPr>
            </w:pPr>
          </w:p>
        </w:tc>
      </w:tr>
      <w:tr w:rsidR="007F42E9" w:rsidRPr="006364B4" w14:paraId="644141D3" w14:textId="7943224D" w:rsidTr="007F42E9">
        <w:trPr>
          <w:trHeight w:val="751"/>
        </w:trPr>
        <w:tc>
          <w:tcPr>
            <w:tcW w:w="1134" w:type="dxa"/>
          </w:tcPr>
          <w:p w14:paraId="294D68A2" w14:textId="02001346" w:rsidR="007F42E9" w:rsidRPr="006364B4" w:rsidRDefault="007F42E9" w:rsidP="006364B4">
            <w:r w:rsidRPr="006364B4">
              <w:t>11.9.1.1</w:t>
            </w:r>
          </w:p>
        </w:tc>
        <w:tc>
          <w:tcPr>
            <w:tcW w:w="7088" w:type="dxa"/>
          </w:tcPr>
          <w:p w14:paraId="19B3DE6E" w14:textId="77777777" w:rsidR="007F42E9" w:rsidRPr="006364B4" w:rsidRDefault="007F42E9" w:rsidP="006364B4">
            <w:r w:rsidRPr="006364B4">
              <w:t xml:space="preserve">Comply with the policy and procedures relating to school council employees as outlined on </w:t>
            </w:r>
            <w:hyperlink r:id="rId20" w:history="1">
              <w:r w:rsidRPr="006364B4">
                <w:rPr>
                  <w:rStyle w:val="Hyperlink"/>
                </w:rPr>
                <w:t>HRWeb.</w:t>
              </w:r>
            </w:hyperlink>
          </w:p>
        </w:tc>
        <w:tc>
          <w:tcPr>
            <w:tcW w:w="788" w:type="dxa"/>
          </w:tcPr>
          <w:p w14:paraId="1F87E719" w14:textId="77777777" w:rsidR="007F42E9" w:rsidRPr="006364B4" w:rsidRDefault="007F42E9" w:rsidP="006364B4"/>
        </w:tc>
      </w:tr>
      <w:tr w:rsidR="007F42E9" w:rsidRPr="006364B4" w14:paraId="6D4EBC71" w14:textId="3BB97F20" w:rsidTr="007F42E9">
        <w:trPr>
          <w:trHeight w:val="567"/>
        </w:trPr>
        <w:tc>
          <w:tcPr>
            <w:tcW w:w="1134" w:type="dxa"/>
          </w:tcPr>
          <w:p w14:paraId="36872347" w14:textId="77777777" w:rsidR="007F42E9" w:rsidRPr="006364B4" w:rsidRDefault="007F42E9" w:rsidP="006364B4">
            <w:r w:rsidRPr="006364B4">
              <w:t>11.9.1.2</w:t>
            </w:r>
          </w:p>
        </w:tc>
        <w:tc>
          <w:tcPr>
            <w:tcW w:w="7088" w:type="dxa"/>
          </w:tcPr>
          <w:p w14:paraId="79613CA5" w14:textId="77777777" w:rsidR="007F42E9" w:rsidRPr="006364B4" w:rsidRDefault="007F42E9" w:rsidP="006364B4">
            <w:r w:rsidRPr="006364B4">
              <w:t>Maintain a register of V</w:t>
            </w:r>
            <w:r>
              <w:t xml:space="preserve">ictorian </w:t>
            </w:r>
            <w:r w:rsidRPr="006364B4">
              <w:t>I</w:t>
            </w:r>
            <w:r>
              <w:t xml:space="preserve">nstitute of </w:t>
            </w:r>
            <w:r w:rsidRPr="006364B4">
              <w:t>T</w:t>
            </w:r>
            <w:r>
              <w:t>eaching</w:t>
            </w:r>
            <w:r w:rsidRPr="006364B4">
              <w:t xml:space="preserve"> </w:t>
            </w:r>
            <w:r>
              <w:t xml:space="preserve">(VIT) </w:t>
            </w:r>
            <w:r w:rsidRPr="006364B4">
              <w:t>registration as per V</w:t>
            </w:r>
            <w:r>
              <w:t xml:space="preserve">ictorian </w:t>
            </w:r>
            <w:r w:rsidRPr="006364B4">
              <w:t>R</w:t>
            </w:r>
            <w:r>
              <w:t xml:space="preserve">egistration and </w:t>
            </w:r>
            <w:r w:rsidRPr="006364B4">
              <w:t>Q</w:t>
            </w:r>
            <w:r>
              <w:t xml:space="preserve">ualifications </w:t>
            </w:r>
            <w:r w:rsidRPr="006364B4">
              <w:t>A</w:t>
            </w:r>
            <w:r>
              <w:t>uthority</w:t>
            </w:r>
            <w:r w:rsidRPr="006364B4">
              <w:t xml:space="preserve"> </w:t>
            </w:r>
            <w:r>
              <w:t xml:space="preserve">(VRQA) </w:t>
            </w:r>
            <w:r w:rsidRPr="006364B4">
              <w:t>requirements, including each teachers name, registration number, VIT category of registration, expiry and renewal dates of registration.</w:t>
            </w:r>
          </w:p>
        </w:tc>
        <w:tc>
          <w:tcPr>
            <w:tcW w:w="788" w:type="dxa"/>
          </w:tcPr>
          <w:p w14:paraId="564ECEAF" w14:textId="77777777" w:rsidR="007F42E9" w:rsidRPr="006364B4" w:rsidRDefault="007F42E9" w:rsidP="006364B4"/>
        </w:tc>
      </w:tr>
      <w:tr w:rsidR="007F42E9" w:rsidRPr="006364B4" w14:paraId="698BFF76" w14:textId="285BE42C" w:rsidTr="007F42E9">
        <w:trPr>
          <w:trHeight w:val="567"/>
        </w:trPr>
        <w:tc>
          <w:tcPr>
            <w:tcW w:w="1134" w:type="dxa"/>
          </w:tcPr>
          <w:p w14:paraId="00A03856" w14:textId="77777777" w:rsidR="007F42E9" w:rsidRPr="006364B4" w:rsidRDefault="007F42E9" w:rsidP="006364B4">
            <w:r w:rsidRPr="006364B4">
              <w:t>11.9.1.3</w:t>
            </w:r>
          </w:p>
        </w:tc>
        <w:tc>
          <w:tcPr>
            <w:tcW w:w="7088" w:type="dxa"/>
          </w:tcPr>
          <w:p w14:paraId="1D9DE355" w14:textId="77777777" w:rsidR="007F42E9" w:rsidRPr="006364B4" w:rsidRDefault="007F42E9" w:rsidP="003278E4">
            <w:r w:rsidRPr="006364B4">
              <w:t xml:space="preserve">Maintain a register of </w:t>
            </w:r>
            <w:r>
              <w:t>W</w:t>
            </w:r>
            <w:r w:rsidRPr="006364B4">
              <w:t xml:space="preserve">orking with </w:t>
            </w:r>
            <w:r>
              <w:t>C</w:t>
            </w:r>
            <w:r w:rsidRPr="006364B4">
              <w:t xml:space="preserve">hildren </w:t>
            </w:r>
            <w:r>
              <w:t>C</w:t>
            </w:r>
            <w:r w:rsidRPr="006364B4">
              <w:t>hecks as per VRQA requirements.</w:t>
            </w:r>
          </w:p>
        </w:tc>
        <w:tc>
          <w:tcPr>
            <w:tcW w:w="788" w:type="dxa"/>
          </w:tcPr>
          <w:p w14:paraId="684D223B" w14:textId="77777777" w:rsidR="007F42E9" w:rsidRPr="006364B4" w:rsidRDefault="007F42E9" w:rsidP="003278E4"/>
        </w:tc>
      </w:tr>
      <w:tr w:rsidR="007F42E9" w:rsidRPr="006364B4" w14:paraId="2E920C21" w14:textId="72271EC0" w:rsidTr="007F42E9">
        <w:trPr>
          <w:trHeight w:val="567"/>
        </w:trPr>
        <w:tc>
          <w:tcPr>
            <w:tcW w:w="1134" w:type="dxa"/>
          </w:tcPr>
          <w:p w14:paraId="3AD4428F" w14:textId="77777777" w:rsidR="007F42E9" w:rsidRPr="006364B4" w:rsidRDefault="007F42E9" w:rsidP="006364B4">
            <w:r w:rsidRPr="006364B4">
              <w:t>11.9.1.4</w:t>
            </w:r>
          </w:p>
        </w:tc>
        <w:tc>
          <w:tcPr>
            <w:tcW w:w="7088" w:type="dxa"/>
          </w:tcPr>
          <w:p w14:paraId="7C0A48FA" w14:textId="77777777" w:rsidR="007F42E9" w:rsidRPr="006364B4" w:rsidRDefault="007F42E9" w:rsidP="005A2643">
            <w:r>
              <w:t>Must m</w:t>
            </w:r>
            <w:r w:rsidRPr="006364B4">
              <w:t>eet superannuation guarantee obligations.</w:t>
            </w:r>
          </w:p>
        </w:tc>
        <w:tc>
          <w:tcPr>
            <w:tcW w:w="788" w:type="dxa"/>
          </w:tcPr>
          <w:p w14:paraId="61D3AC7A" w14:textId="77777777" w:rsidR="007F42E9" w:rsidRDefault="007F42E9" w:rsidP="005A2643"/>
        </w:tc>
      </w:tr>
      <w:tr w:rsidR="007F42E9" w:rsidRPr="006364B4" w14:paraId="79435289" w14:textId="108CA08F" w:rsidTr="007F42E9">
        <w:trPr>
          <w:trHeight w:val="567"/>
        </w:trPr>
        <w:tc>
          <w:tcPr>
            <w:tcW w:w="1134" w:type="dxa"/>
          </w:tcPr>
          <w:p w14:paraId="33E827C1" w14:textId="77777777" w:rsidR="007F42E9" w:rsidRPr="006364B4" w:rsidRDefault="007F42E9" w:rsidP="006364B4">
            <w:r w:rsidRPr="006364B4">
              <w:t>11.9.1.5</w:t>
            </w:r>
          </w:p>
        </w:tc>
        <w:tc>
          <w:tcPr>
            <w:tcW w:w="7088" w:type="dxa"/>
          </w:tcPr>
          <w:p w14:paraId="6C49E1D0" w14:textId="77777777" w:rsidR="007F42E9" w:rsidRPr="006364B4" w:rsidRDefault="007F42E9" w:rsidP="005A2643">
            <w:r>
              <w:t>Must m</w:t>
            </w:r>
            <w:r w:rsidRPr="006364B4">
              <w:t>eet workers compensation obligations.</w:t>
            </w:r>
          </w:p>
        </w:tc>
        <w:tc>
          <w:tcPr>
            <w:tcW w:w="788" w:type="dxa"/>
          </w:tcPr>
          <w:p w14:paraId="7DF8586D" w14:textId="77777777" w:rsidR="007F42E9" w:rsidRDefault="007F42E9" w:rsidP="005A2643"/>
        </w:tc>
      </w:tr>
      <w:tr w:rsidR="007F42E9" w:rsidRPr="006364B4" w14:paraId="2FC304A8" w14:textId="3B653C91" w:rsidTr="007F42E9">
        <w:trPr>
          <w:trHeight w:val="567"/>
        </w:trPr>
        <w:tc>
          <w:tcPr>
            <w:tcW w:w="1134" w:type="dxa"/>
          </w:tcPr>
          <w:p w14:paraId="26C24769" w14:textId="77777777" w:rsidR="007F42E9" w:rsidRPr="006364B4" w:rsidRDefault="007F42E9" w:rsidP="006364B4">
            <w:r>
              <w:t>11.9.1.6</w:t>
            </w:r>
          </w:p>
        </w:tc>
        <w:tc>
          <w:tcPr>
            <w:tcW w:w="7088" w:type="dxa"/>
          </w:tcPr>
          <w:p w14:paraId="063A4184" w14:textId="37D1ADAA" w:rsidR="007F42E9" w:rsidRPr="006364B4" w:rsidRDefault="007F42E9" w:rsidP="005A2643">
            <w:r>
              <w:t>Must have a process in place to authorise hours worked and certify all payroll obligations.</w:t>
            </w:r>
          </w:p>
        </w:tc>
        <w:tc>
          <w:tcPr>
            <w:tcW w:w="788" w:type="dxa"/>
          </w:tcPr>
          <w:p w14:paraId="35D160F7" w14:textId="77777777" w:rsidR="007F42E9" w:rsidRDefault="007F42E9" w:rsidP="005A2643"/>
        </w:tc>
      </w:tr>
    </w:tbl>
    <w:p w14:paraId="67966B5C" w14:textId="66F4F2D4" w:rsidR="001C78F1" w:rsidRDefault="001C78F1" w:rsidP="006364B4"/>
    <w:p w14:paraId="5E148DA6" w14:textId="77777777" w:rsidR="007F42E9" w:rsidRDefault="007F42E9" w:rsidP="006364B4"/>
    <w:p w14:paraId="10A18975" w14:textId="77777777" w:rsidR="001C78F1" w:rsidRPr="006364B4" w:rsidRDefault="001C78F1" w:rsidP="001C78F1">
      <w:pPr>
        <w:pStyle w:val="Heading2"/>
      </w:pPr>
      <w:r w:rsidRPr="006364B4">
        <w:lastRenderedPageBreak/>
        <w:t xml:space="preserve">11.10 </w:t>
      </w:r>
      <w:r>
        <w:tab/>
      </w:r>
      <w:r w:rsidRPr="006364B4">
        <w:t xml:space="preserve">Petty </w:t>
      </w:r>
      <w:r w:rsidR="00B10DF4">
        <w:t>c</w:t>
      </w:r>
      <w:r w:rsidRPr="006364B4">
        <w:t>ash</w:t>
      </w:r>
    </w:p>
    <w:p w14:paraId="20230999" w14:textId="77777777" w:rsidR="001C78F1" w:rsidRDefault="001C78F1" w:rsidP="001C78F1">
      <w:r w:rsidRPr="006364B4">
        <w:t>The purpose of petty cash is to meet minor payments for school related purposes other than salary and wages.</w:t>
      </w:r>
    </w:p>
    <w:p w14:paraId="7B33FFFB" w14:textId="77777777" w:rsidR="00B134F9" w:rsidRPr="006364B4" w:rsidRDefault="00580912" w:rsidP="006364B4">
      <w:pPr>
        <w:pStyle w:val="Heading3"/>
      </w:pPr>
      <w:r>
        <w:t>11.10.1</w:t>
      </w:r>
      <w:r w:rsidR="00E6579E">
        <w:tab/>
      </w:r>
      <w:r>
        <w:tab/>
      </w:r>
      <w:r w:rsidR="00B134F9" w:rsidRPr="006364B4">
        <w:t>Mandatory policy (</w:t>
      </w:r>
      <w:r w:rsidR="00A807D3">
        <w:t>Must do</w:t>
      </w:r>
      <w:r w:rsidR="00B134F9" w:rsidRPr="006364B4">
        <w:t>)</w:t>
      </w:r>
      <w:r w:rsidR="00134B4E">
        <w:t>:</w:t>
      </w:r>
    </w:p>
    <w:tbl>
      <w:tblPr>
        <w:tblStyle w:val="TableGrid"/>
        <w:tblW w:w="9010" w:type="dxa"/>
        <w:tblInd w:w="57" w:type="dxa"/>
        <w:tblLayout w:type="fixed"/>
        <w:tblLook w:val="04A0" w:firstRow="1" w:lastRow="0" w:firstColumn="1" w:lastColumn="0" w:noHBand="0" w:noVBand="1"/>
        <w:tblDescription w:val="table containing sequence number and policy information"/>
      </w:tblPr>
      <w:tblGrid>
        <w:gridCol w:w="1134"/>
        <w:gridCol w:w="7088"/>
        <w:gridCol w:w="788"/>
      </w:tblGrid>
      <w:tr w:rsidR="00D83953" w:rsidRPr="00AC78D4" w14:paraId="4ED3BFB4" w14:textId="0069E927" w:rsidTr="00D83953">
        <w:trPr>
          <w:trHeight w:val="597"/>
          <w:tblHeader/>
        </w:trPr>
        <w:tc>
          <w:tcPr>
            <w:tcW w:w="1134" w:type="dxa"/>
          </w:tcPr>
          <w:p w14:paraId="19F42BD4" w14:textId="1B5F40A5" w:rsidR="00D83953" w:rsidRPr="00A41404" w:rsidRDefault="00D83953" w:rsidP="00C86066">
            <w:pPr>
              <w:rPr>
                <w:b/>
                <w:color w:val="000000" w:themeColor="text1"/>
              </w:rPr>
            </w:pPr>
            <w:r w:rsidRPr="0079019F">
              <w:rPr>
                <w:b/>
                <w:sz w:val="18"/>
              </w:rPr>
              <w:t>Sequence Number</w:t>
            </w:r>
          </w:p>
        </w:tc>
        <w:tc>
          <w:tcPr>
            <w:tcW w:w="7088" w:type="dxa"/>
          </w:tcPr>
          <w:p w14:paraId="47422008" w14:textId="77777777" w:rsidR="00D83953" w:rsidRPr="002E4E58" w:rsidRDefault="00D83953" w:rsidP="00C86066">
            <w:pPr>
              <w:rPr>
                <w:b/>
                <w:color w:val="000000" w:themeColor="text1"/>
                <w:sz w:val="20"/>
                <w:szCs w:val="20"/>
              </w:rPr>
            </w:pPr>
            <w:r w:rsidRPr="002E4E58">
              <w:rPr>
                <w:b/>
                <w:color w:val="000000" w:themeColor="text1"/>
                <w:sz w:val="20"/>
                <w:szCs w:val="20"/>
              </w:rPr>
              <w:t>Information</w:t>
            </w:r>
          </w:p>
        </w:tc>
        <w:tc>
          <w:tcPr>
            <w:tcW w:w="788" w:type="dxa"/>
            <w:tcBorders>
              <w:top w:val="nil"/>
              <w:right w:val="nil"/>
            </w:tcBorders>
          </w:tcPr>
          <w:p w14:paraId="7A222673" w14:textId="77777777" w:rsidR="00D83953" w:rsidRPr="00A41404" w:rsidRDefault="00D83953" w:rsidP="00C86066">
            <w:pPr>
              <w:rPr>
                <w:b/>
                <w:color w:val="000000" w:themeColor="text1"/>
              </w:rPr>
            </w:pPr>
          </w:p>
        </w:tc>
      </w:tr>
      <w:tr w:rsidR="00D83953" w:rsidRPr="006364B4" w14:paraId="3E063F9E" w14:textId="0B2A0D35" w:rsidTr="00D83953">
        <w:trPr>
          <w:trHeight w:val="567"/>
        </w:trPr>
        <w:tc>
          <w:tcPr>
            <w:tcW w:w="1134" w:type="dxa"/>
          </w:tcPr>
          <w:p w14:paraId="14F03261" w14:textId="5E21AB78" w:rsidR="00D83953" w:rsidRPr="006364B4" w:rsidRDefault="00D83953" w:rsidP="006364B4">
            <w:r w:rsidRPr="006364B4">
              <w:t>11.10.1.1</w:t>
            </w:r>
          </w:p>
        </w:tc>
        <w:tc>
          <w:tcPr>
            <w:tcW w:w="7088" w:type="dxa"/>
          </w:tcPr>
          <w:p w14:paraId="5DC95FD2" w14:textId="77777777" w:rsidR="00D83953" w:rsidRPr="006364B4" w:rsidRDefault="00D83953" w:rsidP="005A2643">
            <w:r>
              <w:t>The s</w:t>
            </w:r>
            <w:r w:rsidRPr="006364B4">
              <w:t xml:space="preserve">chool council </w:t>
            </w:r>
            <w:r>
              <w:t xml:space="preserve">must </w:t>
            </w:r>
            <w:r w:rsidRPr="006364B4">
              <w:t xml:space="preserve">approve and minute </w:t>
            </w:r>
            <w:r>
              <w:t xml:space="preserve">the </w:t>
            </w:r>
            <w:r w:rsidRPr="006364B4">
              <w:t>approval of the petty cash advance amount.</w:t>
            </w:r>
          </w:p>
        </w:tc>
        <w:tc>
          <w:tcPr>
            <w:tcW w:w="788" w:type="dxa"/>
          </w:tcPr>
          <w:p w14:paraId="67495CAE" w14:textId="77777777" w:rsidR="00D83953" w:rsidRDefault="00D83953" w:rsidP="005A2643"/>
        </w:tc>
      </w:tr>
      <w:tr w:rsidR="00D83953" w:rsidRPr="006364B4" w14:paraId="6D90B1E7" w14:textId="0475626C" w:rsidTr="00D83953">
        <w:trPr>
          <w:trHeight w:val="567"/>
        </w:trPr>
        <w:tc>
          <w:tcPr>
            <w:tcW w:w="1134" w:type="dxa"/>
          </w:tcPr>
          <w:p w14:paraId="10C36286" w14:textId="77777777" w:rsidR="00D83953" w:rsidRPr="006364B4" w:rsidRDefault="00D83953" w:rsidP="006364B4">
            <w:r w:rsidRPr="006364B4">
              <w:t>11.10.1.2</w:t>
            </w:r>
          </w:p>
        </w:tc>
        <w:tc>
          <w:tcPr>
            <w:tcW w:w="7088" w:type="dxa"/>
          </w:tcPr>
          <w:p w14:paraId="32A76527" w14:textId="77777777" w:rsidR="00D83953" w:rsidRPr="006364B4" w:rsidRDefault="00D83953" w:rsidP="005A2643">
            <w:r w:rsidRPr="006364B4">
              <w:t xml:space="preserve">The school </w:t>
            </w:r>
            <w:r>
              <w:t xml:space="preserve">must have a </w:t>
            </w:r>
            <w:r w:rsidRPr="006364B4">
              <w:t>petty cash policy in place.</w:t>
            </w:r>
          </w:p>
        </w:tc>
        <w:tc>
          <w:tcPr>
            <w:tcW w:w="788" w:type="dxa"/>
          </w:tcPr>
          <w:p w14:paraId="264D693B" w14:textId="77777777" w:rsidR="00D83953" w:rsidRPr="006364B4" w:rsidRDefault="00D83953" w:rsidP="005A2643"/>
        </w:tc>
      </w:tr>
      <w:tr w:rsidR="00D83953" w:rsidRPr="006364B4" w14:paraId="37F2247B" w14:textId="02CAC56B" w:rsidTr="00D83953">
        <w:trPr>
          <w:trHeight w:val="567"/>
        </w:trPr>
        <w:tc>
          <w:tcPr>
            <w:tcW w:w="1134" w:type="dxa"/>
          </w:tcPr>
          <w:p w14:paraId="6305EE7D" w14:textId="77777777" w:rsidR="00D83953" w:rsidRPr="006364B4" w:rsidRDefault="00D83953" w:rsidP="006364B4">
            <w:r w:rsidRPr="006364B4">
              <w:t>11.10.1.3</w:t>
            </w:r>
          </w:p>
        </w:tc>
        <w:tc>
          <w:tcPr>
            <w:tcW w:w="7088" w:type="dxa"/>
          </w:tcPr>
          <w:p w14:paraId="759B301C" w14:textId="77777777" w:rsidR="00D83953" w:rsidRPr="006364B4" w:rsidRDefault="00D83953" w:rsidP="005A2643">
            <w:r w:rsidRPr="006364B4">
              <w:t xml:space="preserve">Any petty cash advance </w:t>
            </w:r>
            <w:r>
              <w:t xml:space="preserve">must be </w:t>
            </w:r>
            <w:r w:rsidRPr="006364B4">
              <w:t>maintained under an imprest system.</w:t>
            </w:r>
          </w:p>
        </w:tc>
        <w:tc>
          <w:tcPr>
            <w:tcW w:w="788" w:type="dxa"/>
          </w:tcPr>
          <w:p w14:paraId="38044A33" w14:textId="77777777" w:rsidR="00D83953" w:rsidRPr="006364B4" w:rsidRDefault="00D83953" w:rsidP="005A2643"/>
        </w:tc>
      </w:tr>
      <w:tr w:rsidR="00D83953" w:rsidRPr="006364B4" w14:paraId="127E1C3B" w14:textId="179F6671" w:rsidTr="00D83953">
        <w:trPr>
          <w:trHeight w:val="567"/>
        </w:trPr>
        <w:tc>
          <w:tcPr>
            <w:tcW w:w="1134" w:type="dxa"/>
          </w:tcPr>
          <w:p w14:paraId="5F6E575A" w14:textId="77777777" w:rsidR="00D83953" w:rsidRPr="006364B4" w:rsidRDefault="00D83953" w:rsidP="006364B4">
            <w:r w:rsidRPr="006364B4">
              <w:t>11.10.1.4</w:t>
            </w:r>
          </w:p>
        </w:tc>
        <w:tc>
          <w:tcPr>
            <w:tcW w:w="7088" w:type="dxa"/>
          </w:tcPr>
          <w:p w14:paraId="2719FB47" w14:textId="77777777" w:rsidR="00D83953" w:rsidRPr="006364B4" w:rsidRDefault="00D83953" w:rsidP="005A2643">
            <w:r w:rsidRPr="006364B4">
              <w:t>The limit on any one payment</w:t>
            </w:r>
            <w:r>
              <w:t xml:space="preserve"> must only be </w:t>
            </w:r>
            <w:r w:rsidRPr="006364B4">
              <w:t>$200.</w:t>
            </w:r>
          </w:p>
        </w:tc>
        <w:tc>
          <w:tcPr>
            <w:tcW w:w="788" w:type="dxa"/>
          </w:tcPr>
          <w:p w14:paraId="5929B459" w14:textId="77777777" w:rsidR="00D83953" w:rsidRPr="006364B4" w:rsidRDefault="00D83953" w:rsidP="005A2643"/>
        </w:tc>
      </w:tr>
      <w:tr w:rsidR="00D83953" w:rsidRPr="006364B4" w14:paraId="3A5182B4" w14:textId="2FF8961F" w:rsidTr="00D83953">
        <w:trPr>
          <w:trHeight w:val="567"/>
        </w:trPr>
        <w:tc>
          <w:tcPr>
            <w:tcW w:w="1134" w:type="dxa"/>
          </w:tcPr>
          <w:p w14:paraId="0B0DB5A4" w14:textId="77777777" w:rsidR="00D83953" w:rsidRPr="006364B4" w:rsidRDefault="00D83953" w:rsidP="006364B4">
            <w:r w:rsidRPr="006364B4">
              <w:t>11.10.1.5</w:t>
            </w:r>
          </w:p>
        </w:tc>
        <w:tc>
          <w:tcPr>
            <w:tcW w:w="7088" w:type="dxa"/>
          </w:tcPr>
          <w:p w14:paraId="27FDFC84" w14:textId="77777777" w:rsidR="00D83953" w:rsidRPr="006364B4" w:rsidRDefault="00D83953" w:rsidP="00380167">
            <w:r w:rsidRPr="006364B4">
              <w:t xml:space="preserve">Only one officer </w:t>
            </w:r>
            <w:r>
              <w:t xml:space="preserve">must </w:t>
            </w:r>
            <w:r w:rsidRPr="006364B4">
              <w:t>be the custodian of a petty cash advance and accountable for it.</w:t>
            </w:r>
          </w:p>
        </w:tc>
        <w:tc>
          <w:tcPr>
            <w:tcW w:w="788" w:type="dxa"/>
          </w:tcPr>
          <w:p w14:paraId="6EA3EA4B" w14:textId="77777777" w:rsidR="00D83953" w:rsidRPr="006364B4" w:rsidRDefault="00D83953" w:rsidP="00380167"/>
        </w:tc>
      </w:tr>
      <w:tr w:rsidR="00D83953" w:rsidRPr="006364B4" w14:paraId="46F799D4" w14:textId="21602095" w:rsidTr="00D83953">
        <w:trPr>
          <w:trHeight w:val="567"/>
        </w:trPr>
        <w:tc>
          <w:tcPr>
            <w:tcW w:w="1134" w:type="dxa"/>
          </w:tcPr>
          <w:p w14:paraId="641014A5" w14:textId="77777777" w:rsidR="00D83953" w:rsidRPr="006364B4" w:rsidRDefault="00D83953" w:rsidP="006364B4">
            <w:r w:rsidRPr="006364B4">
              <w:t>11.10.1.6</w:t>
            </w:r>
          </w:p>
        </w:tc>
        <w:tc>
          <w:tcPr>
            <w:tcW w:w="7088" w:type="dxa"/>
          </w:tcPr>
          <w:p w14:paraId="57F4F54D" w14:textId="77777777" w:rsidR="00D83953" w:rsidRPr="006364B4" w:rsidRDefault="00D83953" w:rsidP="005A2643">
            <w:r w:rsidRPr="006364B4">
              <w:t xml:space="preserve">Cash on hand </w:t>
            </w:r>
            <w:r>
              <w:t xml:space="preserve">must </w:t>
            </w:r>
            <w:r w:rsidRPr="006364B4">
              <w:t>be kept in a secure location at all times.</w:t>
            </w:r>
          </w:p>
        </w:tc>
        <w:tc>
          <w:tcPr>
            <w:tcW w:w="788" w:type="dxa"/>
          </w:tcPr>
          <w:p w14:paraId="7FCEA5CE" w14:textId="77777777" w:rsidR="00D83953" w:rsidRPr="006364B4" w:rsidRDefault="00D83953" w:rsidP="005A2643"/>
        </w:tc>
      </w:tr>
      <w:tr w:rsidR="00D83953" w:rsidRPr="006364B4" w14:paraId="1E32A7D7" w14:textId="35BBBA16" w:rsidTr="00D83953">
        <w:trPr>
          <w:trHeight w:val="567"/>
        </w:trPr>
        <w:tc>
          <w:tcPr>
            <w:tcW w:w="1134" w:type="dxa"/>
          </w:tcPr>
          <w:p w14:paraId="23D52279" w14:textId="77777777" w:rsidR="00D83953" w:rsidRPr="006364B4" w:rsidRDefault="00D83953" w:rsidP="006364B4">
            <w:r w:rsidRPr="006364B4">
              <w:t>11.10.1.7</w:t>
            </w:r>
          </w:p>
        </w:tc>
        <w:tc>
          <w:tcPr>
            <w:tcW w:w="7088" w:type="dxa"/>
          </w:tcPr>
          <w:p w14:paraId="4298483C" w14:textId="489A2F9E" w:rsidR="00D83953" w:rsidRPr="006364B4" w:rsidRDefault="00D83953" w:rsidP="005A2643">
            <w:r w:rsidRPr="006364B4">
              <w:t xml:space="preserve">The principal, or an officer appointed by the principal, </w:t>
            </w:r>
            <w:r>
              <w:t xml:space="preserve">must </w:t>
            </w:r>
            <w:r w:rsidRPr="006364B4">
              <w:t>carry out checks (at least two per year) where they monitor the petty cash balances without having given advance advice of the check.</w:t>
            </w:r>
          </w:p>
        </w:tc>
        <w:tc>
          <w:tcPr>
            <w:tcW w:w="788" w:type="dxa"/>
          </w:tcPr>
          <w:p w14:paraId="7DDEA758" w14:textId="77777777" w:rsidR="00D83953" w:rsidRPr="006364B4" w:rsidRDefault="00D83953" w:rsidP="005A2643"/>
        </w:tc>
      </w:tr>
    </w:tbl>
    <w:p w14:paraId="74A0EF1D" w14:textId="77777777" w:rsidR="0079019F" w:rsidRDefault="0079019F">
      <w:pPr>
        <w:spacing w:before="0" w:line="240" w:lineRule="auto"/>
      </w:pPr>
    </w:p>
    <w:p w14:paraId="52D3E80F" w14:textId="4444C755" w:rsidR="00B10DF4" w:rsidRDefault="00B10DF4">
      <w:pPr>
        <w:spacing w:before="0" w:line="240" w:lineRule="auto"/>
      </w:pPr>
    </w:p>
    <w:p w14:paraId="267A6051" w14:textId="58D64E3B" w:rsidR="0051778F" w:rsidRPr="00103913" w:rsidRDefault="0079019F" w:rsidP="00103913">
      <w:pPr>
        <w:pStyle w:val="Heading2"/>
      </w:pPr>
      <w:r>
        <w:t>L</w:t>
      </w:r>
      <w:r w:rsidR="0051778F" w:rsidRPr="00103913">
        <w:t>egislative requirements</w:t>
      </w:r>
    </w:p>
    <w:p w14:paraId="3FCDC73C" w14:textId="77777777" w:rsidR="0051778F" w:rsidRPr="00103913" w:rsidRDefault="0051778F" w:rsidP="00103913">
      <w:pPr>
        <w:pStyle w:val="Heading3"/>
      </w:pPr>
      <w:r w:rsidRPr="00103913">
        <w:t>Legislation</w:t>
      </w:r>
    </w:p>
    <w:p w14:paraId="54613165" w14:textId="77777777" w:rsidR="0051778F" w:rsidRPr="00103913" w:rsidRDefault="0051778F" w:rsidP="00103913">
      <w:r w:rsidRPr="00103913">
        <w:t>The advice in this section was based on requirements outlined in the following legislation:</w:t>
      </w:r>
    </w:p>
    <w:p w14:paraId="2FB0DF69" w14:textId="77777777" w:rsidR="0051778F" w:rsidRPr="00103913" w:rsidRDefault="0051778F" w:rsidP="00301254">
      <w:pPr>
        <w:pStyle w:val="ListBullet"/>
        <w:ind w:left="426"/>
      </w:pPr>
      <w:r w:rsidRPr="00301254">
        <w:rPr>
          <w:i/>
        </w:rPr>
        <w:t xml:space="preserve">Education and Training Reform Act 2006 </w:t>
      </w:r>
      <w:r w:rsidRPr="00103913">
        <w:t xml:space="preserve">– Division 4 Accounts and records </w:t>
      </w:r>
    </w:p>
    <w:p w14:paraId="2F779251" w14:textId="77777777" w:rsidR="003E764B" w:rsidRPr="0008210B" w:rsidRDefault="003E764B" w:rsidP="003E764B">
      <w:pPr>
        <w:pStyle w:val="ListBullet"/>
        <w:ind w:left="426"/>
      </w:pPr>
      <w:r w:rsidRPr="00F1501C">
        <w:rPr>
          <w:i/>
        </w:rPr>
        <w:t>Education and Training Regulations 20</w:t>
      </w:r>
      <w:r>
        <w:rPr>
          <w:i/>
        </w:rPr>
        <w:t>1</w:t>
      </w:r>
      <w:r w:rsidRPr="00F1501C">
        <w:rPr>
          <w:i/>
        </w:rPr>
        <w:t>7</w:t>
      </w:r>
      <w:r w:rsidRPr="0008210B">
        <w:t xml:space="preserve"> – Part </w:t>
      </w:r>
      <w:r>
        <w:t>4</w:t>
      </w:r>
      <w:r w:rsidRPr="0008210B">
        <w:t xml:space="preserve"> – Government School Councils</w:t>
      </w:r>
      <w:r>
        <w:t xml:space="preserve"> and Parents Clubs.</w:t>
      </w:r>
    </w:p>
    <w:p w14:paraId="1934F8BB" w14:textId="77777777" w:rsidR="0051778F" w:rsidRPr="00103913" w:rsidRDefault="0051778F" w:rsidP="00301254">
      <w:pPr>
        <w:pStyle w:val="ListBullet"/>
        <w:ind w:left="426"/>
      </w:pPr>
      <w:r w:rsidRPr="00301254">
        <w:rPr>
          <w:i/>
        </w:rPr>
        <w:t>Financial Management Act 1994</w:t>
      </w:r>
      <w:r w:rsidRPr="00103913">
        <w:t xml:space="preserve"> – </w:t>
      </w:r>
      <w:r w:rsidR="0012339E">
        <w:t>Part 7 Accountability and Reporting</w:t>
      </w:r>
    </w:p>
    <w:p w14:paraId="2036E677" w14:textId="2A861DB5" w:rsidR="0051778F" w:rsidRPr="00103913" w:rsidRDefault="0051778F" w:rsidP="00301254">
      <w:pPr>
        <w:pStyle w:val="ListBullet"/>
        <w:ind w:left="426"/>
      </w:pPr>
      <w:r w:rsidRPr="00103913">
        <w:t xml:space="preserve">Standing Directions of the Minister of Finance </w:t>
      </w:r>
      <w:r w:rsidR="009E2CD9">
        <w:t>2018</w:t>
      </w:r>
      <w:r w:rsidR="009979CA">
        <w:t xml:space="preserve"> </w:t>
      </w:r>
      <w:r w:rsidR="00DF62C5">
        <w:t xml:space="preserve">under the </w:t>
      </w:r>
      <w:r w:rsidR="00DF62C5" w:rsidRPr="00DF62C5">
        <w:rPr>
          <w:i/>
        </w:rPr>
        <w:t>Financial Management Act 1994</w:t>
      </w:r>
      <w:r w:rsidR="00DF62C5">
        <w:t xml:space="preserve"> </w:t>
      </w:r>
      <w:r w:rsidRPr="00103913">
        <w:t xml:space="preserve">- Section </w:t>
      </w:r>
      <w:r w:rsidR="00FD7308" w:rsidRPr="00103913">
        <w:t xml:space="preserve">3.3 Financial Authorisations, </w:t>
      </w:r>
      <w:r w:rsidRPr="00103913">
        <w:t>3.4 Internal Control System and 3.</w:t>
      </w:r>
      <w:r w:rsidR="00FD7308" w:rsidRPr="00103913">
        <w:t>6</w:t>
      </w:r>
      <w:r w:rsidRPr="00103913">
        <w:t xml:space="preserve"> </w:t>
      </w:r>
      <w:r w:rsidR="00FD7308" w:rsidRPr="00103913">
        <w:t>Purchasing and prepaid debit cards</w:t>
      </w:r>
    </w:p>
    <w:p w14:paraId="75343679" w14:textId="77777777" w:rsidR="0058443C" w:rsidRDefault="0058443C" w:rsidP="00103913"/>
    <w:p w14:paraId="6F1AB897" w14:textId="77777777" w:rsidR="0051778F" w:rsidRPr="00103913" w:rsidRDefault="0051778F" w:rsidP="00103913">
      <w:pPr>
        <w:pStyle w:val="Heading2"/>
      </w:pPr>
      <w:r w:rsidRPr="00103913">
        <w:lastRenderedPageBreak/>
        <w:t xml:space="preserve">Definitions </w:t>
      </w:r>
    </w:p>
    <w:tbl>
      <w:tblPr>
        <w:tblStyle w:val="GridTable6Colorful1"/>
        <w:tblW w:w="9064" w:type="dxa"/>
        <w:tblInd w:w="-5" w:type="dxa"/>
        <w:tblLayout w:type="fixed"/>
        <w:tblLook w:val="04A0" w:firstRow="1" w:lastRow="0" w:firstColumn="1" w:lastColumn="0" w:noHBand="0" w:noVBand="1"/>
        <w:tblDescription w:val="table containing sequence number and policy information"/>
      </w:tblPr>
      <w:tblGrid>
        <w:gridCol w:w="1795"/>
        <w:gridCol w:w="7269"/>
      </w:tblGrid>
      <w:tr w:rsidR="00A41404" w:rsidRPr="00AC78D4" w14:paraId="184463FA" w14:textId="77777777" w:rsidTr="00733820">
        <w:trPr>
          <w:cnfStyle w:val="100000000000" w:firstRow="1" w:lastRow="0" w:firstColumn="0" w:lastColumn="0" w:oddVBand="0" w:evenVBand="0" w:oddHBand="0" w:evenHBand="0" w:firstRowFirstColumn="0" w:firstRowLastColumn="0" w:lastRowFirstColumn="0" w:lastRowLastColumn="0"/>
          <w:trHeight w:val="597"/>
          <w:tblHeader/>
        </w:trPr>
        <w:tc>
          <w:tcPr>
            <w:cnfStyle w:val="001000000000" w:firstRow="0" w:lastRow="0" w:firstColumn="1" w:lastColumn="0" w:oddVBand="0" w:evenVBand="0" w:oddHBand="0" w:evenHBand="0" w:firstRowFirstColumn="0" w:firstRowLastColumn="0" w:lastRowFirstColumn="0" w:lastRowLastColumn="0"/>
            <w:tcW w:w="1795" w:type="dxa"/>
            <w:tcBorders>
              <w:bottom w:val="single" w:sz="4" w:space="0" w:color="auto"/>
            </w:tcBorders>
            <w:shd w:val="clear" w:color="auto" w:fill="EEECE1" w:themeFill="background2"/>
          </w:tcPr>
          <w:p w14:paraId="3A304C20" w14:textId="0DF6ACC8" w:rsidR="00A41404" w:rsidRPr="00395E1B" w:rsidRDefault="00A41404" w:rsidP="00A41404">
            <w:r>
              <w:t>Term</w:t>
            </w:r>
          </w:p>
        </w:tc>
        <w:tc>
          <w:tcPr>
            <w:tcW w:w="7269" w:type="dxa"/>
            <w:tcBorders>
              <w:bottom w:val="single" w:sz="4" w:space="0" w:color="auto"/>
            </w:tcBorders>
            <w:shd w:val="clear" w:color="auto" w:fill="EEECE1" w:themeFill="background2"/>
          </w:tcPr>
          <w:p w14:paraId="69E52EE1" w14:textId="27A3E957" w:rsidR="00A41404" w:rsidRDefault="00A41404" w:rsidP="00C86066">
            <w:pPr>
              <w:cnfStyle w:val="100000000000" w:firstRow="1" w:lastRow="0" w:firstColumn="0" w:lastColumn="0" w:oddVBand="0" w:evenVBand="0" w:oddHBand="0" w:evenHBand="0" w:firstRowFirstColumn="0" w:firstRowLastColumn="0" w:lastRowFirstColumn="0" w:lastRowLastColumn="0"/>
            </w:pPr>
            <w:r>
              <w:t>Definition</w:t>
            </w:r>
          </w:p>
        </w:tc>
      </w:tr>
      <w:tr w:rsidR="00790B5E" w:rsidRPr="00103913" w14:paraId="451213A6" w14:textId="77777777" w:rsidTr="00733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auto"/>
              <w:left w:val="single" w:sz="4" w:space="0" w:color="auto"/>
              <w:bottom w:val="single" w:sz="4" w:space="0" w:color="auto"/>
              <w:right w:val="single" w:sz="4" w:space="0" w:color="auto"/>
            </w:tcBorders>
            <w:shd w:val="clear" w:color="auto" w:fill="auto"/>
          </w:tcPr>
          <w:p w14:paraId="6F2863C7" w14:textId="77777777" w:rsidR="00790B5E" w:rsidRPr="00735315" w:rsidRDefault="00790B5E" w:rsidP="00103913">
            <w:r w:rsidRPr="00735315">
              <w:t>CASES21</w:t>
            </w:r>
          </w:p>
        </w:tc>
        <w:tc>
          <w:tcPr>
            <w:tcW w:w="7269" w:type="dxa"/>
            <w:tcBorders>
              <w:top w:val="single" w:sz="4" w:space="0" w:color="auto"/>
              <w:left w:val="single" w:sz="4" w:space="0" w:color="auto"/>
              <w:bottom w:val="single" w:sz="4" w:space="0" w:color="auto"/>
              <w:right w:val="single" w:sz="4" w:space="0" w:color="auto"/>
            </w:tcBorders>
            <w:shd w:val="clear" w:color="auto" w:fill="auto"/>
          </w:tcPr>
          <w:p w14:paraId="7B88AAEC" w14:textId="77777777" w:rsidR="00790B5E" w:rsidRPr="00790B5E" w:rsidRDefault="00790B5E" w:rsidP="00103913">
            <w:pPr>
              <w:cnfStyle w:val="000000100000" w:firstRow="0" w:lastRow="0" w:firstColumn="0" w:lastColumn="0" w:oddVBand="0" w:evenVBand="0" w:oddHBand="1" w:evenHBand="0" w:firstRowFirstColumn="0" w:firstRowLastColumn="0" w:lastRowFirstColumn="0" w:lastRowLastColumn="0"/>
              <w:rPr>
                <w:b/>
              </w:rPr>
            </w:pPr>
            <w:r w:rsidRPr="00790B5E">
              <w:t xml:space="preserve">CASES21 (Computerised Administrative System Environment in Schools) is the </w:t>
            </w:r>
            <w:r w:rsidR="002E03E0">
              <w:t xml:space="preserve">software </w:t>
            </w:r>
            <w:r w:rsidRPr="00790B5E">
              <w:t>package provided to Victorian government schools to support school administration, finance and central reporting.</w:t>
            </w:r>
          </w:p>
        </w:tc>
      </w:tr>
      <w:tr w:rsidR="00790B5E" w:rsidRPr="00103913" w14:paraId="3CAE63ED" w14:textId="77777777" w:rsidTr="00A414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88A124" w14:textId="77777777" w:rsidR="00790B5E" w:rsidRPr="00735315" w:rsidRDefault="00790B5E" w:rsidP="00103913">
            <w:r>
              <w:t>Imprest System</w:t>
            </w:r>
          </w:p>
        </w:tc>
        <w:tc>
          <w:tcPr>
            <w:tcW w:w="7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9ADA1D" w14:textId="77777777" w:rsidR="00790B5E" w:rsidRPr="00103913" w:rsidRDefault="00790B5E" w:rsidP="00103913">
            <w:pPr>
              <w:cnfStyle w:val="000000000000" w:firstRow="0" w:lastRow="0" w:firstColumn="0" w:lastColumn="0" w:oddVBand="0" w:evenVBand="0" w:oddHBand="0" w:evenHBand="0" w:firstRowFirstColumn="0" w:firstRowLastColumn="0" w:lastRowFirstColumn="0" w:lastRowLastColumn="0"/>
            </w:pPr>
            <w:r>
              <w:t>A petty cash system whereby a fixed amount is held (the petty cash advance) and replenished at the end of a period or whenever the cash on hand falls below a specified amount.</w:t>
            </w:r>
          </w:p>
        </w:tc>
      </w:tr>
      <w:tr w:rsidR="00790B5E" w:rsidRPr="00103913" w14:paraId="6B565042" w14:textId="77777777" w:rsidTr="00A414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auto"/>
              <w:left w:val="single" w:sz="4" w:space="0" w:color="auto"/>
              <w:bottom w:val="single" w:sz="4" w:space="0" w:color="auto"/>
              <w:right w:val="single" w:sz="4" w:space="0" w:color="auto"/>
            </w:tcBorders>
            <w:shd w:val="clear" w:color="auto" w:fill="auto"/>
          </w:tcPr>
          <w:p w14:paraId="093C4954" w14:textId="77777777" w:rsidR="00790B5E" w:rsidRPr="00735315" w:rsidRDefault="00790B5E" w:rsidP="00103913">
            <w:r w:rsidRPr="00735315">
              <w:t>Procurement</w:t>
            </w:r>
          </w:p>
        </w:tc>
        <w:tc>
          <w:tcPr>
            <w:tcW w:w="7269" w:type="dxa"/>
            <w:tcBorders>
              <w:top w:val="single" w:sz="4" w:space="0" w:color="auto"/>
              <w:left w:val="single" w:sz="4" w:space="0" w:color="auto"/>
              <w:bottom w:val="single" w:sz="4" w:space="0" w:color="auto"/>
              <w:right w:val="single" w:sz="4" w:space="0" w:color="auto"/>
            </w:tcBorders>
            <w:shd w:val="clear" w:color="auto" w:fill="auto"/>
          </w:tcPr>
          <w:p w14:paraId="68D5C0E7" w14:textId="77777777" w:rsidR="00790B5E" w:rsidRPr="00103913" w:rsidRDefault="00790B5E" w:rsidP="00103913">
            <w:pPr>
              <w:cnfStyle w:val="000000100000" w:firstRow="0" w:lastRow="0" w:firstColumn="0" w:lastColumn="0" w:oddVBand="0" w:evenVBand="0" w:oddHBand="1" w:evenHBand="0" w:firstRowFirstColumn="0" w:firstRowLastColumn="0" w:lastRowFirstColumn="0" w:lastRowLastColumn="0"/>
            </w:pPr>
            <w:r w:rsidRPr="007541CB">
              <w:t>Term used to describe the collective group of activities undertaken to obtain goods and / or services from third parties.</w:t>
            </w:r>
          </w:p>
        </w:tc>
      </w:tr>
      <w:tr w:rsidR="00790B5E" w:rsidRPr="00103913" w14:paraId="0DCF3491" w14:textId="77777777" w:rsidTr="00A414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51D4DB" w14:textId="77777777" w:rsidR="00790B5E" w:rsidRPr="00735315" w:rsidRDefault="00790B5E" w:rsidP="00103913">
            <w:r w:rsidRPr="00735315">
              <w:t>Purchasing Card</w:t>
            </w:r>
          </w:p>
        </w:tc>
        <w:tc>
          <w:tcPr>
            <w:tcW w:w="7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5FD085" w14:textId="77777777" w:rsidR="00790B5E" w:rsidRPr="00103913" w:rsidRDefault="00790B5E" w:rsidP="00AA15E1">
            <w:pPr>
              <w:cnfStyle w:val="000000000000" w:firstRow="0" w:lastRow="0" w:firstColumn="0" w:lastColumn="0" w:oddVBand="0" w:evenVBand="0" w:oddHBand="0" w:evenHBand="0" w:firstRowFirstColumn="0" w:firstRowLastColumn="0" w:lastRowFirstColumn="0" w:lastRowLastColumn="0"/>
            </w:pPr>
            <w:r w:rsidRPr="00103913">
              <w:t>A method of payment utilising a corporate charge card</w:t>
            </w:r>
            <w:r w:rsidR="00AA15E1">
              <w:t xml:space="preserve"> </w:t>
            </w:r>
            <w:r w:rsidR="002E03E0">
              <w:t xml:space="preserve">to buy </w:t>
            </w:r>
            <w:r w:rsidR="00AA15E1" w:rsidRPr="00AA15E1">
              <w:t>goods or services on behalf of the school.</w:t>
            </w:r>
          </w:p>
        </w:tc>
      </w:tr>
      <w:tr w:rsidR="00103913" w:rsidRPr="00103913" w14:paraId="02786412" w14:textId="77777777" w:rsidTr="00A414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auto"/>
              <w:left w:val="single" w:sz="4" w:space="0" w:color="auto"/>
              <w:bottom w:val="single" w:sz="4" w:space="0" w:color="auto"/>
              <w:right w:val="single" w:sz="4" w:space="0" w:color="auto"/>
            </w:tcBorders>
            <w:shd w:val="clear" w:color="auto" w:fill="auto"/>
          </w:tcPr>
          <w:p w14:paraId="612065A2" w14:textId="77777777" w:rsidR="0051778F" w:rsidRPr="00735315" w:rsidRDefault="00FD7308" w:rsidP="00103913">
            <w:r w:rsidRPr="00735315">
              <w:t>Purchase Order</w:t>
            </w:r>
          </w:p>
        </w:tc>
        <w:tc>
          <w:tcPr>
            <w:tcW w:w="7269" w:type="dxa"/>
            <w:tcBorders>
              <w:top w:val="single" w:sz="4" w:space="0" w:color="auto"/>
              <w:left w:val="single" w:sz="4" w:space="0" w:color="auto"/>
              <w:bottom w:val="single" w:sz="4" w:space="0" w:color="auto"/>
              <w:right w:val="single" w:sz="4" w:space="0" w:color="auto"/>
            </w:tcBorders>
            <w:shd w:val="clear" w:color="auto" w:fill="auto"/>
          </w:tcPr>
          <w:p w14:paraId="32E7D237" w14:textId="77777777" w:rsidR="0051778F" w:rsidRPr="00103913" w:rsidRDefault="0003247C" w:rsidP="00103913">
            <w:pPr>
              <w:cnfStyle w:val="000000100000" w:firstRow="0" w:lastRow="0" w:firstColumn="0" w:lastColumn="0" w:oddVBand="0" w:evenVBand="0" w:oddHBand="1" w:evenHBand="0" w:firstRowFirstColumn="0" w:firstRowLastColumn="0" w:lastRowFirstColumn="0" w:lastRowLastColumn="0"/>
            </w:pPr>
            <w:r w:rsidRPr="00103913">
              <w:t>A document that authorises a purchase transaction.</w:t>
            </w:r>
          </w:p>
        </w:tc>
      </w:tr>
      <w:tr w:rsidR="00AA15E1" w:rsidRPr="00103913" w14:paraId="49FAB1CA" w14:textId="77777777" w:rsidTr="00A414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6"/>
        </w:trPr>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A3C314" w14:textId="16B666F6" w:rsidR="00AA15E1" w:rsidRPr="00735315" w:rsidRDefault="0034769A" w:rsidP="0034769A">
            <w:r>
              <w:t xml:space="preserve">Schools </w:t>
            </w:r>
            <w:r w:rsidR="00733820">
              <w:t>Certification Checklist</w:t>
            </w:r>
          </w:p>
        </w:tc>
        <w:tc>
          <w:tcPr>
            <w:tcW w:w="7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FCD7B" w14:textId="07C733CC" w:rsidR="00AA15E1" w:rsidRPr="00103913" w:rsidRDefault="00EE370E" w:rsidP="0034769A">
            <w:pPr>
              <w:cnfStyle w:val="000000000000" w:firstRow="0" w:lastRow="0" w:firstColumn="0" w:lastColumn="0" w:oddVBand="0" w:evenVBand="0" w:oddHBand="0" w:evenHBand="0" w:firstRowFirstColumn="0" w:firstRowLastColumn="0" w:lastRowFirstColumn="0" w:lastRowLastColumn="0"/>
            </w:pPr>
            <w:r>
              <w:t>The</w:t>
            </w:r>
            <w:r w:rsidR="0034769A">
              <w:t xml:space="preserve"> School</w:t>
            </w:r>
            <w:r w:rsidR="00733820" w:rsidRPr="00733820">
              <w:t xml:space="preserve">s Certification Checklist regarding appropriate school purchasing card usage, </w:t>
            </w:r>
            <w:r>
              <w:t>is</w:t>
            </w:r>
            <w:r w:rsidR="00733820" w:rsidRPr="00733820">
              <w:t xml:space="preserve"> initiated by the Department of Education and Training</w:t>
            </w:r>
            <w:r w:rsidR="00733820" w:rsidRPr="00544DD1">
              <w:t xml:space="preserve">.  The </w:t>
            </w:r>
            <w:r w:rsidR="0034769A">
              <w:t>Schools</w:t>
            </w:r>
            <w:r w:rsidR="00733820">
              <w:t xml:space="preserve"> Certification Checklist</w:t>
            </w:r>
            <w:r w:rsidR="00733820" w:rsidRPr="00544DD1">
              <w:t xml:space="preserve"> will be distributed by DET Financial Services Division for reporting as at 30 June each Financial Year.</w:t>
            </w:r>
          </w:p>
        </w:tc>
      </w:tr>
      <w:tr w:rsidR="00D5171C" w:rsidRPr="00103913" w14:paraId="441BE8A3" w14:textId="77777777" w:rsidTr="00A414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1286"/>
        </w:trPr>
        <w:tc>
          <w:tcPr>
            <w:cnfStyle w:val="001000000000" w:firstRow="0" w:lastRow="0" w:firstColumn="1" w:lastColumn="0" w:oddVBand="0" w:evenVBand="0" w:oddHBand="0" w:evenHBand="0" w:firstRowFirstColumn="0" w:firstRowLastColumn="0" w:lastRowFirstColumn="0" w:lastRowLastColumn="0"/>
            <w:tcW w:w="1795" w:type="dxa"/>
            <w:tcBorders>
              <w:top w:val="single" w:sz="4" w:space="0" w:color="auto"/>
              <w:left w:val="single" w:sz="4" w:space="0" w:color="auto"/>
              <w:bottom w:val="single" w:sz="4" w:space="0" w:color="auto"/>
              <w:right w:val="single" w:sz="4" w:space="0" w:color="auto"/>
            </w:tcBorders>
            <w:shd w:val="clear" w:color="auto" w:fill="auto"/>
          </w:tcPr>
          <w:p w14:paraId="31835E83" w14:textId="77777777" w:rsidR="00D5171C" w:rsidRPr="00AA15E1" w:rsidRDefault="00D5171C" w:rsidP="00D5171C">
            <w:pPr>
              <w:rPr>
                <w:b w:val="0"/>
                <w:bCs w:val="0"/>
              </w:rPr>
            </w:pPr>
            <w:r w:rsidRPr="0002112A">
              <w:t>Undertaking by Cardholder</w:t>
            </w:r>
          </w:p>
        </w:tc>
        <w:tc>
          <w:tcPr>
            <w:tcW w:w="7269" w:type="dxa"/>
            <w:tcBorders>
              <w:top w:val="single" w:sz="4" w:space="0" w:color="auto"/>
              <w:left w:val="single" w:sz="4" w:space="0" w:color="auto"/>
              <w:bottom w:val="single" w:sz="4" w:space="0" w:color="auto"/>
              <w:right w:val="single" w:sz="4" w:space="0" w:color="auto"/>
            </w:tcBorders>
            <w:shd w:val="clear" w:color="auto" w:fill="auto"/>
          </w:tcPr>
          <w:p w14:paraId="17CD900C" w14:textId="77777777" w:rsidR="00D5171C" w:rsidRPr="00AA15E1" w:rsidRDefault="00D5171C" w:rsidP="00D5171C">
            <w:pPr>
              <w:cnfStyle w:val="000000100000" w:firstRow="0" w:lastRow="0" w:firstColumn="0" w:lastColumn="0" w:oddVBand="0" w:evenVBand="0" w:oddHBand="1" w:evenHBand="0" w:firstRowFirstColumn="0" w:firstRowLastColumn="0" w:lastRowFirstColumn="0" w:lastRowLastColumn="0"/>
            </w:pPr>
            <w:r w:rsidRPr="0002112A">
              <w:t>Formal document completed and signed by cardholder and principal prior to card issue, which outlines the conditions, terms and obligations that the cardholder agrees to in relation to his/her usage of the purchasing card</w:t>
            </w:r>
            <w:r w:rsidR="00FF6A90">
              <w:t>.</w:t>
            </w:r>
          </w:p>
        </w:tc>
      </w:tr>
    </w:tbl>
    <w:p w14:paraId="7E252DE4" w14:textId="77777777" w:rsidR="0051778F" w:rsidRPr="00103913" w:rsidRDefault="0051778F" w:rsidP="00103913">
      <w:pPr>
        <w:pStyle w:val="Heading2"/>
      </w:pPr>
      <w:r w:rsidRPr="00103913">
        <w:t xml:space="preserve">Additional </w:t>
      </w:r>
      <w:r w:rsidR="00B10DF4">
        <w:t>r</w:t>
      </w:r>
      <w:r w:rsidRPr="00103913">
        <w:t>esources</w:t>
      </w:r>
    </w:p>
    <w:p w14:paraId="735E8D8B" w14:textId="77777777" w:rsidR="00DF62C5" w:rsidRDefault="002F2D4C" w:rsidP="00DF62C5">
      <w:pPr>
        <w:pStyle w:val="ListBullet"/>
        <w:ind w:left="426"/>
      </w:pPr>
      <w:hyperlink r:id="rId21" w:history="1">
        <w:r w:rsidR="00DF62C5" w:rsidRPr="00840DC5">
          <w:rPr>
            <w:color w:val="0000FF"/>
            <w:u w:val="single"/>
          </w:rPr>
          <w:t xml:space="preserve">CASES21 Finance Business Process Guide Section </w:t>
        </w:r>
        <w:r w:rsidR="00DF62C5">
          <w:rPr>
            <w:color w:val="0000FF"/>
            <w:u w:val="single"/>
          </w:rPr>
          <w:t>3</w:t>
        </w:r>
        <w:r w:rsidR="00DF62C5" w:rsidRPr="00840DC5">
          <w:rPr>
            <w:color w:val="0000FF"/>
            <w:u w:val="single"/>
          </w:rPr>
          <w:t xml:space="preserve"> </w:t>
        </w:r>
        <w:r w:rsidR="00DF62C5">
          <w:rPr>
            <w:color w:val="0000FF"/>
            <w:u w:val="single"/>
          </w:rPr>
          <w:t>- Creditors</w:t>
        </w:r>
      </w:hyperlink>
    </w:p>
    <w:p w14:paraId="6069BDAE" w14:textId="77777777" w:rsidR="00782902" w:rsidRDefault="002F2D4C" w:rsidP="00DF62C5">
      <w:pPr>
        <w:pStyle w:val="ListBullet"/>
        <w:ind w:left="426"/>
      </w:pPr>
      <w:hyperlink r:id="rId22" w:history="1">
        <w:r w:rsidR="00DF62C5" w:rsidRPr="00782902">
          <w:rPr>
            <w:rStyle w:val="Hyperlink"/>
          </w:rPr>
          <w:t>HRWeb – School Council Employment</w:t>
        </w:r>
      </w:hyperlink>
    </w:p>
    <w:p w14:paraId="11706717" w14:textId="77777777" w:rsidR="00DF62C5" w:rsidRPr="00FF6A90" w:rsidRDefault="002F2D4C" w:rsidP="00DF62C5">
      <w:pPr>
        <w:pStyle w:val="ListBullet"/>
        <w:ind w:left="426"/>
        <w:rPr>
          <w:rStyle w:val="Hyperlink"/>
          <w:color w:val="auto"/>
          <w:u w:val="none"/>
        </w:rPr>
      </w:pPr>
      <w:hyperlink r:id="rId23" w:anchor="/app/content/2089/support_and_service_(schools)%252Fprocurement,_funding_and_travel%252Fprocurement%252Fprocurement_procedure" w:history="1">
        <w:r w:rsidR="00DF62C5" w:rsidRPr="00D5171C">
          <w:rPr>
            <w:rStyle w:val="Hyperlink"/>
          </w:rPr>
          <w:t>Procurement Policy for Victorian Government Schools</w:t>
        </w:r>
      </w:hyperlink>
      <w:r w:rsidR="00DF62C5" w:rsidRPr="00D5171C">
        <w:rPr>
          <w:rStyle w:val="Hyperlink"/>
        </w:rPr>
        <w:t>.</w:t>
      </w:r>
    </w:p>
    <w:p w14:paraId="3F3B5BCB" w14:textId="77777777" w:rsidR="00782902" w:rsidRDefault="002F2D4C" w:rsidP="00835CFD">
      <w:pPr>
        <w:pStyle w:val="ListBullet"/>
        <w:ind w:left="426"/>
      </w:pPr>
      <w:hyperlink r:id="rId24" w:history="1">
        <w:r w:rsidR="00DF62C5" w:rsidRPr="00782902">
          <w:rPr>
            <w:rStyle w:val="Hyperlink"/>
          </w:rPr>
          <w:t>Schools Electronic Funds Management Guidelines</w:t>
        </w:r>
      </w:hyperlink>
    </w:p>
    <w:p w14:paraId="7ADF788C" w14:textId="77777777" w:rsidR="00782902" w:rsidRDefault="002F2D4C" w:rsidP="00835CFD">
      <w:pPr>
        <w:pStyle w:val="ListBullet"/>
        <w:ind w:left="426"/>
      </w:pPr>
      <w:hyperlink r:id="rId25" w:history="1">
        <w:r w:rsidR="00BB5F6F" w:rsidRPr="00782902">
          <w:rPr>
            <w:rStyle w:val="Hyperlink"/>
          </w:rPr>
          <w:t>School financial guidelines</w:t>
        </w:r>
      </w:hyperlink>
    </w:p>
    <w:p w14:paraId="3E055F7E" w14:textId="78935656" w:rsidR="00782902" w:rsidRDefault="002F2D4C" w:rsidP="00CB5AEE">
      <w:pPr>
        <w:pStyle w:val="ListBullet"/>
        <w:numPr>
          <w:ilvl w:val="0"/>
          <w:numId w:val="30"/>
        </w:numPr>
        <w:ind w:left="426"/>
      </w:pPr>
      <w:hyperlink r:id="rId26" w:history="1">
        <w:r w:rsidR="00BB5F6F" w:rsidRPr="00782902">
          <w:rPr>
            <w:rStyle w:val="Hyperlink"/>
          </w:rPr>
          <w:t>Schools Purchasing Card Department Guidelines and Procedures</w:t>
        </w:r>
      </w:hyperlink>
    </w:p>
    <w:p w14:paraId="5A351DD3" w14:textId="13CA927D" w:rsidR="00D5171C" w:rsidRDefault="00D5171C" w:rsidP="00CB5AEE">
      <w:pPr>
        <w:pStyle w:val="ListBullet"/>
        <w:numPr>
          <w:ilvl w:val="0"/>
          <w:numId w:val="30"/>
        </w:numPr>
        <w:ind w:left="426"/>
      </w:pPr>
      <w:r>
        <w:t xml:space="preserve">The </w:t>
      </w:r>
      <w:r w:rsidR="00366BF2" w:rsidRPr="00103913">
        <w:t>D</w:t>
      </w:r>
      <w:r>
        <w:t xml:space="preserve">epartment’s </w:t>
      </w:r>
      <w:hyperlink r:id="rId27" w:anchor="/app/content/2716/support_and_service_(schools)%252Ffunding,_purchasing_and_travel%252Ftravel_for_department_purposes%252Fstaff_travel_applications" w:history="1">
        <w:r w:rsidR="00AC51B8">
          <w:rPr>
            <w:rStyle w:val="Hyperlink"/>
          </w:rPr>
          <w:t>Travel Policy</w:t>
        </w:r>
      </w:hyperlink>
      <w:r w:rsidR="00290092" w:rsidRPr="00AC78D4">
        <w:t>.</w:t>
      </w:r>
    </w:p>
    <w:p w14:paraId="42C60683" w14:textId="77777777" w:rsidR="00D5171C" w:rsidRPr="00DF62C5" w:rsidRDefault="00D5171C" w:rsidP="00D5171C">
      <w:pPr>
        <w:pStyle w:val="ListBullet"/>
        <w:numPr>
          <w:ilvl w:val="0"/>
          <w:numId w:val="30"/>
        </w:numPr>
        <w:ind w:left="426"/>
        <w:rPr>
          <w:rStyle w:val="Hyperlink"/>
          <w:color w:val="auto"/>
          <w:u w:val="none"/>
        </w:rPr>
      </w:pPr>
      <w:r>
        <w:t xml:space="preserve">The </w:t>
      </w:r>
      <w:r w:rsidR="002F304C" w:rsidRPr="00103913">
        <w:t>D</w:t>
      </w:r>
      <w:r>
        <w:t>epartment’s</w:t>
      </w:r>
      <w:r w:rsidR="002F304C" w:rsidRPr="00103913">
        <w:t xml:space="preserve"> </w:t>
      </w:r>
      <w:hyperlink r:id="rId28" w:anchor="/app/content/2627/policies_(corporate)%252Fprocurement%252Fgifts,_benefits_and_hospitality_policy" w:history="1">
        <w:r w:rsidR="00290092" w:rsidRPr="00643E12">
          <w:rPr>
            <w:rStyle w:val="Hyperlink"/>
          </w:rPr>
          <w:t>Gifts, Benefits and Hospitality Policy</w:t>
        </w:r>
      </w:hyperlink>
      <w:r w:rsidR="00290092" w:rsidRPr="00643E12">
        <w:rPr>
          <w:rStyle w:val="Hyperlink"/>
        </w:rPr>
        <w:t>.</w:t>
      </w:r>
    </w:p>
    <w:p w14:paraId="41F4A7C8" w14:textId="77777777" w:rsidR="00DF62C5" w:rsidRPr="00D5171C" w:rsidRDefault="00DF62C5" w:rsidP="00D5171C">
      <w:pPr>
        <w:pStyle w:val="ListBullet"/>
        <w:numPr>
          <w:ilvl w:val="0"/>
          <w:numId w:val="30"/>
        </w:numPr>
        <w:ind w:left="426"/>
        <w:rPr>
          <w:rStyle w:val="Hyperlink"/>
          <w:color w:val="auto"/>
          <w:u w:val="none"/>
        </w:rPr>
      </w:pPr>
      <w:r>
        <w:t xml:space="preserve">The </w:t>
      </w:r>
      <w:r w:rsidRPr="00103913">
        <w:t>D</w:t>
      </w:r>
      <w:r>
        <w:t xml:space="preserve">epartment’s </w:t>
      </w:r>
      <w:hyperlink r:id="rId29" w:history="1">
        <w:r w:rsidRPr="004273EC">
          <w:rPr>
            <w:rStyle w:val="Hyperlink"/>
          </w:rPr>
          <w:t>Personal Expense Reimbursement</w:t>
        </w:r>
      </w:hyperlink>
    </w:p>
    <w:p w14:paraId="61D5757A" w14:textId="1E925E18" w:rsidR="00F546B5" w:rsidRPr="00103913" w:rsidRDefault="002F2D4C" w:rsidP="00D5171C">
      <w:pPr>
        <w:pStyle w:val="ListBullet"/>
        <w:ind w:left="426"/>
      </w:pPr>
      <w:hyperlink r:id="rId30" w:history="1">
        <w:r w:rsidR="00F546B5" w:rsidRPr="00782902">
          <w:rPr>
            <w:rStyle w:val="Hyperlink"/>
          </w:rPr>
          <w:t>Whole of Government Utility Contract details</w:t>
        </w:r>
      </w:hyperlink>
      <w:r w:rsidR="00103913">
        <w:br/>
      </w:r>
    </w:p>
    <w:p w14:paraId="5508B0A5" w14:textId="77777777" w:rsidR="00790B5E" w:rsidRDefault="00790B5E" w:rsidP="00103913"/>
    <w:p w14:paraId="08BC1949" w14:textId="77777777" w:rsidR="00790B5E" w:rsidRDefault="00790B5E" w:rsidP="00103913"/>
    <w:p w14:paraId="3322C2AA" w14:textId="77777777" w:rsidR="007541CB" w:rsidRPr="007541CB" w:rsidRDefault="00DF62C5" w:rsidP="007541CB">
      <w:pPr>
        <w:keepNext/>
        <w:keepLines/>
        <w:pBdr>
          <w:top w:val="single" w:sz="8" w:space="3" w:color="AF272F"/>
        </w:pBdr>
        <w:spacing w:before="240" w:after="120"/>
        <w:ind w:left="851" w:hanging="851"/>
        <w:outlineLvl w:val="1"/>
        <w:rPr>
          <w:rFonts w:eastAsiaTheme="majorEastAsia" w:cstheme="majorBidi"/>
          <w:b/>
          <w:color w:val="AF272F"/>
          <w:sz w:val="36"/>
          <w:szCs w:val="20"/>
        </w:rPr>
      </w:pPr>
      <w:r>
        <w:rPr>
          <w:rFonts w:eastAsiaTheme="majorEastAsia" w:cstheme="majorBidi"/>
          <w:b/>
          <w:color w:val="AF272F"/>
          <w:sz w:val="36"/>
          <w:szCs w:val="20"/>
        </w:rPr>
        <w:t xml:space="preserve">Version and </w:t>
      </w:r>
      <w:r w:rsidR="00B10DF4">
        <w:rPr>
          <w:rFonts w:eastAsiaTheme="majorEastAsia" w:cstheme="majorBidi"/>
          <w:b/>
          <w:color w:val="AF272F"/>
          <w:sz w:val="36"/>
          <w:szCs w:val="20"/>
        </w:rPr>
        <w:t>r</w:t>
      </w:r>
      <w:r w:rsidR="007541CB" w:rsidRPr="007541CB">
        <w:rPr>
          <w:rFonts w:eastAsiaTheme="majorEastAsia" w:cstheme="majorBidi"/>
          <w:b/>
          <w:color w:val="AF272F"/>
          <w:sz w:val="36"/>
          <w:szCs w:val="20"/>
        </w:rPr>
        <w:t xml:space="preserve">evision </w:t>
      </w:r>
      <w:r>
        <w:rPr>
          <w:rFonts w:eastAsiaTheme="majorEastAsia" w:cstheme="majorBidi"/>
          <w:b/>
          <w:color w:val="AF272F"/>
          <w:sz w:val="36"/>
          <w:szCs w:val="20"/>
        </w:rPr>
        <w:t xml:space="preserve">control </w:t>
      </w:r>
      <w:r w:rsidR="007541CB" w:rsidRPr="007541CB">
        <w:rPr>
          <w:rFonts w:eastAsiaTheme="majorEastAsia" w:cstheme="majorBidi"/>
          <w:b/>
          <w:color w:val="AF272F"/>
          <w:sz w:val="36"/>
          <w:szCs w:val="20"/>
        </w:rPr>
        <w:t xml:space="preserve">record </w:t>
      </w:r>
    </w:p>
    <w:tbl>
      <w:tblPr>
        <w:tblStyle w:val="GridTable6Colorful10"/>
        <w:tblW w:w="0" w:type="auto"/>
        <w:tblLook w:val="04A0" w:firstRow="1" w:lastRow="0" w:firstColumn="1" w:lastColumn="0" w:noHBand="0" w:noVBand="1"/>
        <w:tblDescription w:val="table containing version and revision control information"/>
      </w:tblPr>
      <w:tblGrid>
        <w:gridCol w:w="1318"/>
        <w:gridCol w:w="1133"/>
        <w:gridCol w:w="4914"/>
        <w:gridCol w:w="1689"/>
      </w:tblGrid>
      <w:tr w:rsidR="007541CB" w:rsidRPr="007541CB" w14:paraId="2C363403" w14:textId="77777777" w:rsidTr="007829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18" w:type="dxa"/>
            <w:tcBorders>
              <w:top w:val="single" w:sz="4" w:space="0" w:color="auto"/>
              <w:left w:val="single" w:sz="4" w:space="0" w:color="auto"/>
              <w:bottom w:val="single" w:sz="4" w:space="0" w:color="auto"/>
            </w:tcBorders>
            <w:shd w:val="clear" w:color="auto" w:fill="F2F2F2" w:themeFill="background1" w:themeFillShade="F2"/>
          </w:tcPr>
          <w:p w14:paraId="5792AFA0" w14:textId="77777777" w:rsidR="007541CB" w:rsidRPr="007541CB" w:rsidRDefault="007541CB" w:rsidP="007541CB">
            <w:r w:rsidRPr="007541CB">
              <w:t>Date</w:t>
            </w:r>
          </w:p>
        </w:tc>
        <w:tc>
          <w:tcPr>
            <w:tcW w:w="1133" w:type="dxa"/>
            <w:tcBorders>
              <w:top w:val="single" w:sz="4" w:space="0" w:color="auto"/>
              <w:bottom w:val="single" w:sz="4" w:space="0" w:color="auto"/>
            </w:tcBorders>
            <w:shd w:val="clear" w:color="auto" w:fill="F2F2F2" w:themeFill="background1" w:themeFillShade="F2"/>
          </w:tcPr>
          <w:p w14:paraId="31686BFC" w14:textId="77777777" w:rsidR="007541CB" w:rsidRPr="007541CB" w:rsidRDefault="007541CB" w:rsidP="007541CB">
            <w:pPr>
              <w:cnfStyle w:val="100000000000" w:firstRow="1" w:lastRow="0" w:firstColumn="0" w:lastColumn="0" w:oddVBand="0" w:evenVBand="0" w:oddHBand="0" w:evenHBand="0" w:firstRowFirstColumn="0" w:firstRowLastColumn="0" w:lastRowFirstColumn="0" w:lastRowLastColumn="0"/>
            </w:pPr>
            <w:r w:rsidRPr="007541CB">
              <w:t>Version</w:t>
            </w:r>
          </w:p>
        </w:tc>
        <w:tc>
          <w:tcPr>
            <w:tcW w:w="4914" w:type="dxa"/>
            <w:tcBorders>
              <w:top w:val="single" w:sz="4" w:space="0" w:color="auto"/>
              <w:bottom w:val="single" w:sz="4" w:space="0" w:color="auto"/>
            </w:tcBorders>
            <w:shd w:val="clear" w:color="auto" w:fill="F2F2F2" w:themeFill="background1" w:themeFillShade="F2"/>
          </w:tcPr>
          <w:p w14:paraId="0E037ABE" w14:textId="77777777" w:rsidR="007541CB" w:rsidRPr="007541CB" w:rsidRDefault="007541CB" w:rsidP="007541CB">
            <w:pPr>
              <w:cnfStyle w:val="100000000000" w:firstRow="1" w:lastRow="0" w:firstColumn="0" w:lastColumn="0" w:oddVBand="0" w:evenVBand="0" w:oddHBand="0" w:evenHBand="0" w:firstRowFirstColumn="0" w:firstRowLastColumn="0" w:lastRowFirstColumn="0" w:lastRowLastColumn="0"/>
            </w:pPr>
            <w:r w:rsidRPr="007541CB">
              <w:t>Approver</w:t>
            </w:r>
          </w:p>
        </w:tc>
        <w:tc>
          <w:tcPr>
            <w:tcW w:w="1689" w:type="dxa"/>
            <w:tcBorders>
              <w:top w:val="single" w:sz="4" w:space="0" w:color="auto"/>
              <w:bottom w:val="single" w:sz="4" w:space="0" w:color="auto"/>
              <w:right w:val="single" w:sz="4" w:space="0" w:color="auto"/>
            </w:tcBorders>
            <w:shd w:val="clear" w:color="auto" w:fill="F2F2F2" w:themeFill="background1" w:themeFillShade="F2"/>
          </w:tcPr>
          <w:p w14:paraId="3688767C" w14:textId="77777777" w:rsidR="007541CB" w:rsidRPr="007541CB" w:rsidRDefault="007541CB" w:rsidP="007541CB">
            <w:pPr>
              <w:cnfStyle w:val="100000000000" w:firstRow="1" w:lastRow="0" w:firstColumn="0" w:lastColumn="0" w:oddVBand="0" w:evenVBand="0" w:oddHBand="0" w:evenHBand="0" w:firstRowFirstColumn="0" w:firstRowLastColumn="0" w:lastRowFirstColumn="0" w:lastRowLastColumn="0"/>
            </w:pPr>
            <w:r w:rsidRPr="007541CB">
              <w:t>Next Review</w:t>
            </w:r>
          </w:p>
        </w:tc>
      </w:tr>
      <w:tr w:rsidR="007541CB" w:rsidRPr="007541CB" w14:paraId="2CC31238" w14:textId="77777777" w:rsidTr="008A48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Borders>
              <w:top w:val="single" w:sz="4" w:space="0" w:color="auto"/>
            </w:tcBorders>
            <w:shd w:val="clear" w:color="auto" w:fill="auto"/>
          </w:tcPr>
          <w:p w14:paraId="36761D13" w14:textId="0FC81E5B" w:rsidR="007541CB" w:rsidRPr="007541CB" w:rsidRDefault="00E60678" w:rsidP="0079019F">
            <w:pPr>
              <w:rPr>
                <w:b w:val="0"/>
              </w:rPr>
            </w:pPr>
            <w:r>
              <w:rPr>
                <w:b w:val="0"/>
              </w:rPr>
              <w:t>01/2019</w:t>
            </w:r>
          </w:p>
        </w:tc>
        <w:tc>
          <w:tcPr>
            <w:tcW w:w="1133" w:type="dxa"/>
            <w:tcBorders>
              <w:top w:val="single" w:sz="4" w:space="0" w:color="auto"/>
            </w:tcBorders>
            <w:shd w:val="clear" w:color="auto" w:fill="auto"/>
          </w:tcPr>
          <w:p w14:paraId="6C462E67" w14:textId="1F34DA03" w:rsidR="007541CB" w:rsidRPr="007541CB" w:rsidRDefault="007541CB" w:rsidP="007541CB">
            <w:pPr>
              <w:cnfStyle w:val="000000100000" w:firstRow="0" w:lastRow="0" w:firstColumn="0" w:lastColumn="0" w:oddVBand="0" w:evenVBand="0" w:oddHBand="1" w:evenHBand="0" w:firstRowFirstColumn="0" w:firstRowLastColumn="0" w:lastRowFirstColumn="0" w:lastRowLastColumn="0"/>
            </w:pPr>
            <w:r w:rsidRPr="007541CB">
              <w:t>1</w:t>
            </w:r>
            <w:r w:rsidR="000A2AFD">
              <w:t>.2</w:t>
            </w:r>
          </w:p>
        </w:tc>
        <w:tc>
          <w:tcPr>
            <w:tcW w:w="4914" w:type="dxa"/>
            <w:tcBorders>
              <w:top w:val="single" w:sz="4" w:space="0" w:color="auto"/>
            </w:tcBorders>
            <w:shd w:val="clear" w:color="auto" w:fill="auto"/>
          </w:tcPr>
          <w:p w14:paraId="5B6F10B7" w14:textId="77777777" w:rsidR="007541CB" w:rsidRPr="007541CB" w:rsidRDefault="007541CB" w:rsidP="007541CB">
            <w:pPr>
              <w:cnfStyle w:val="000000100000" w:firstRow="0" w:lastRow="0" w:firstColumn="0" w:lastColumn="0" w:oddVBand="0" w:evenVBand="0" w:oddHBand="1" w:evenHBand="0" w:firstRowFirstColumn="0" w:firstRowLastColumn="0" w:lastRowFirstColumn="0" w:lastRowLastColumn="0"/>
            </w:pPr>
            <w:r w:rsidRPr="007541CB">
              <w:t>Chief Finance Officer -  Financial Services Division</w:t>
            </w:r>
          </w:p>
        </w:tc>
        <w:tc>
          <w:tcPr>
            <w:tcW w:w="1689" w:type="dxa"/>
            <w:tcBorders>
              <w:top w:val="single" w:sz="4" w:space="0" w:color="auto"/>
            </w:tcBorders>
            <w:shd w:val="clear" w:color="auto" w:fill="auto"/>
          </w:tcPr>
          <w:p w14:paraId="4EE11A84" w14:textId="26E21469" w:rsidR="007541CB" w:rsidRPr="007541CB" w:rsidRDefault="00E60678" w:rsidP="00E60678">
            <w:pPr>
              <w:cnfStyle w:val="000000100000" w:firstRow="0" w:lastRow="0" w:firstColumn="0" w:lastColumn="0" w:oddVBand="0" w:evenVBand="0" w:oddHBand="1" w:evenHBand="0" w:firstRowFirstColumn="0" w:firstRowLastColumn="0" w:lastRowFirstColumn="0" w:lastRowLastColumn="0"/>
            </w:pPr>
            <w:r>
              <w:t>01</w:t>
            </w:r>
            <w:r w:rsidR="0079019F">
              <w:t>/20</w:t>
            </w:r>
            <w:r>
              <w:t>20</w:t>
            </w:r>
          </w:p>
        </w:tc>
      </w:tr>
    </w:tbl>
    <w:p w14:paraId="529EC722" w14:textId="77777777" w:rsidR="0051778F" w:rsidRDefault="0051778F" w:rsidP="00395E1B"/>
    <w:sectPr w:rsidR="0051778F" w:rsidSect="00A056F0">
      <w:footerReference w:type="default" r:id="rId31"/>
      <w:pgSz w:w="11900" w:h="16840" w:code="9"/>
      <w:pgMar w:top="1701" w:right="1418" w:bottom="1701" w:left="1418" w:header="567" w:footer="851"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A34A7" w14:textId="77777777" w:rsidR="002F2D4C" w:rsidRDefault="002F2D4C" w:rsidP="008766A4">
      <w:r>
        <w:separator/>
      </w:r>
    </w:p>
  </w:endnote>
  <w:endnote w:type="continuationSeparator" w:id="0">
    <w:p w14:paraId="6FEF811A" w14:textId="77777777" w:rsidR="002F2D4C" w:rsidRDefault="002F2D4C"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3DF1F" w14:textId="0359B22E" w:rsidR="003500A5" w:rsidRPr="00103913" w:rsidRDefault="00B963F1" w:rsidP="00103913">
    <w:pPr>
      <w:pStyle w:val="Footer"/>
    </w:pPr>
    <w:r>
      <w:rPr>
        <w:noProof/>
      </w:rPr>
      <w:t xml:space="preserve">Section 11: Expenditure Management </w:t>
    </w:r>
    <w:r w:rsidRPr="008A1405">
      <w:t>|</w:t>
    </w:r>
    <w:r>
      <w:t xml:space="preserve"> </w:t>
    </w:r>
    <w:r w:rsidR="008C086C" w:rsidRPr="00103913">
      <w:rPr>
        <w:noProof/>
        <w:lang w:eastAsia="en-AU"/>
      </w:rPr>
      <w:drawing>
        <wp:anchor distT="0" distB="0" distL="114300" distR="114300" simplePos="0" relativeHeight="251660288" behindDoc="1" locked="0" layoutInCell="1" allowOverlap="1" wp14:anchorId="320ACC43" wp14:editId="634AE966">
          <wp:simplePos x="0" y="0"/>
          <wp:positionH relativeFrom="page">
            <wp:align>right</wp:align>
          </wp:positionH>
          <wp:positionV relativeFrom="page">
            <wp:posOffset>9779000</wp:posOffset>
          </wp:positionV>
          <wp:extent cx="6724650" cy="721995"/>
          <wp:effectExtent l="0" t="0" r="0" b="1905"/>
          <wp:wrapNone/>
          <wp:docPr id="2" name="Picture 2" descr="footer containing document name, page number and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6724650" cy="721995"/>
                  </a:xfrm>
                  <a:prstGeom prst="rect">
                    <a:avLst/>
                  </a:prstGeom>
                </pic:spPr>
              </pic:pic>
            </a:graphicData>
          </a:graphic>
        </wp:anchor>
      </w:drawing>
    </w:r>
    <w:r w:rsidR="00E60678">
      <w:t>January</w:t>
    </w:r>
    <w:r w:rsidR="008C086C">
      <w:t xml:space="preserve"> </w:t>
    </w:r>
    <w:r w:rsidR="001D239D">
      <w:t>201</w:t>
    </w:r>
    <w:r w:rsidR="00E60678">
      <w:t>9</w:t>
    </w:r>
    <w:r w:rsidR="00103913" w:rsidRPr="00103913">
      <w:tab/>
    </w:r>
    <w:sdt>
      <w:sdtPr>
        <w:id w:val="208384299"/>
        <w:docPartObj>
          <w:docPartGallery w:val="Page Numbers (Bottom of Page)"/>
          <w:docPartUnique/>
        </w:docPartObj>
      </w:sdtPr>
      <w:sdtEndPr/>
      <w:sdtContent>
        <w:r w:rsidR="003500A5" w:rsidRPr="00103913">
          <w:t>Page</w:t>
        </w:r>
        <w:r w:rsidR="00103913" w:rsidRPr="00103913">
          <w:t xml:space="preserve"> </w:t>
        </w:r>
        <w:r w:rsidR="008A589B" w:rsidRPr="00103913">
          <w:fldChar w:fldCharType="begin"/>
        </w:r>
        <w:r w:rsidR="003500A5" w:rsidRPr="00103913">
          <w:instrText xml:space="preserve"> TITLE  \* MERGEFORMAT </w:instrText>
        </w:r>
        <w:r w:rsidR="008A589B" w:rsidRPr="00103913">
          <w:fldChar w:fldCharType="end"/>
        </w:r>
        <w:r w:rsidR="008A589B" w:rsidRPr="00103913">
          <w:fldChar w:fldCharType="begin"/>
        </w:r>
        <w:r w:rsidR="003500A5" w:rsidRPr="00103913">
          <w:instrText xml:space="preserve"> PAGE   \* MERGEFORMAT </w:instrText>
        </w:r>
        <w:r w:rsidR="008A589B" w:rsidRPr="00103913">
          <w:fldChar w:fldCharType="separate"/>
        </w:r>
        <w:r w:rsidR="00DB3C85">
          <w:rPr>
            <w:noProof/>
          </w:rPr>
          <w:t>1</w:t>
        </w:r>
        <w:r w:rsidR="008A589B" w:rsidRPr="00103913">
          <w:fldChar w:fldCharType="end"/>
        </w:r>
      </w:sdtContent>
    </w:sdt>
    <w:r w:rsidR="003500A5" w:rsidRPr="0010391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01345" w14:textId="77777777" w:rsidR="002F2D4C" w:rsidRDefault="002F2D4C" w:rsidP="008766A4">
      <w:r>
        <w:separator/>
      </w:r>
    </w:p>
  </w:footnote>
  <w:footnote w:type="continuationSeparator" w:id="0">
    <w:p w14:paraId="5931E4B9" w14:textId="77777777" w:rsidR="002F2D4C" w:rsidRDefault="002F2D4C" w:rsidP="00876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lvlText w:val=""/>
      <w:lvlJc w:val="left"/>
      <w:pPr>
        <w:ind w:left="-600" w:hanging="360"/>
      </w:pPr>
      <w:rPr>
        <w:rFonts w:ascii="Symbol" w:hAnsi="Symbol" w:hint="default"/>
        <w:color w:val="AF272F"/>
      </w:rPr>
    </w:lvl>
    <w:lvl w:ilvl="1">
      <w:start w:val="1"/>
      <w:numFmt w:val="bullet"/>
      <w:lvlText w:val=""/>
      <w:lvlJc w:val="left"/>
      <w:pPr>
        <w:tabs>
          <w:tab w:val="num" w:pos="-240"/>
        </w:tabs>
        <w:ind w:left="120" w:hanging="360"/>
      </w:pPr>
      <w:rPr>
        <w:rFonts w:ascii="Symbol" w:hAnsi="Symbol" w:hint="default"/>
      </w:rPr>
    </w:lvl>
    <w:lvl w:ilvl="2">
      <w:start w:val="1"/>
      <w:numFmt w:val="bullet"/>
      <w:lvlText w:val="o"/>
      <w:lvlJc w:val="left"/>
      <w:pPr>
        <w:tabs>
          <w:tab w:val="num" w:pos="480"/>
        </w:tabs>
        <w:ind w:left="840" w:hanging="360"/>
      </w:pPr>
      <w:rPr>
        <w:rFonts w:ascii="Courier New" w:hAnsi="Courier New" w:cs="Courier New" w:hint="default"/>
      </w:rPr>
    </w:lvl>
    <w:lvl w:ilvl="3">
      <w:start w:val="1"/>
      <w:numFmt w:val="bullet"/>
      <w:lvlText w:val=""/>
      <w:lvlJc w:val="left"/>
      <w:pPr>
        <w:tabs>
          <w:tab w:val="num" w:pos="1200"/>
        </w:tabs>
        <w:ind w:left="1560" w:hanging="360"/>
      </w:pPr>
      <w:rPr>
        <w:rFonts w:ascii="Wingdings" w:hAnsi="Wingdings" w:hint="default"/>
        <w:color w:val="AF272F"/>
      </w:rPr>
    </w:lvl>
    <w:lvl w:ilvl="4">
      <w:start w:val="1"/>
      <w:numFmt w:val="bullet"/>
      <w:lvlText w:val=""/>
      <w:lvlJc w:val="left"/>
      <w:pPr>
        <w:tabs>
          <w:tab w:val="num" w:pos="1920"/>
        </w:tabs>
        <w:ind w:left="2280" w:hanging="360"/>
      </w:pPr>
      <w:rPr>
        <w:rFonts w:ascii="Wingdings" w:hAnsi="Wingdings" w:hint="default"/>
      </w:rPr>
    </w:lvl>
    <w:lvl w:ilvl="5">
      <w:start w:val="1"/>
      <w:numFmt w:val="bullet"/>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lvlText w:val=""/>
      <w:lvlJc w:val="left"/>
      <w:pPr>
        <w:tabs>
          <w:tab w:val="num" w:pos="4080"/>
        </w:tabs>
        <w:ind w:left="4440" w:hanging="360"/>
      </w:pPr>
      <w:rPr>
        <w:rFonts w:ascii="Wingdings" w:hAnsi="Wingdings" w:hint="default"/>
      </w:rPr>
    </w:lvl>
    <w:lvl w:ilvl="8">
      <w:start w:val="1"/>
      <w:numFmt w:val="bullet"/>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B996525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29C2B6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32412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244E75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94C63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D6F9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D500E4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DE42A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AB4F0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4CCCFF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0E8552F"/>
    <w:multiLevelType w:val="hybridMultilevel"/>
    <w:tmpl w:val="D6262EF2"/>
    <w:lvl w:ilvl="0" w:tplc="15FA9146">
      <w:start w:val="1"/>
      <w:numFmt w:val="bullet"/>
      <w:pStyle w:val="ListBullet"/>
      <w:lvlText w:val=""/>
      <w:lvlJc w:val="left"/>
      <w:pPr>
        <w:ind w:left="36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67406E"/>
    <w:multiLevelType w:val="hybridMultilevel"/>
    <w:tmpl w:val="D4CE9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213050"/>
    <w:multiLevelType w:val="hybridMultilevel"/>
    <w:tmpl w:val="749C2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164D5B"/>
    <w:multiLevelType w:val="hybridMultilevel"/>
    <w:tmpl w:val="60E837CE"/>
    <w:lvl w:ilvl="0" w:tplc="F3189634">
      <w:numFmt w:val="bullet"/>
      <w:lvlText w:val="•"/>
      <w:lvlJc w:val="left"/>
      <w:pPr>
        <w:ind w:left="720" w:hanging="360"/>
      </w:pPr>
      <w:rPr>
        <w:rFonts w:ascii="Times New Roman" w:eastAsia="Times New Roman" w:hAnsi="Times New Roman" w:hint="default"/>
        <w:color w:val="7A7B7D"/>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7" w15:restartNumberingAfterBreak="0">
    <w:nsid w:val="32617FD5"/>
    <w:multiLevelType w:val="hybridMultilevel"/>
    <w:tmpl w:val="A992B4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64CAE"/>
    <w:multiLevelType w:val="hybridMultilevel"/>
    <w:tmpl w:val="3662B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EC1BAF"/>
    <w:multiLevelType w:val="hybridMultilevel"/>
    <w:tmpl w:val="6146592C"/>
    <w:lvl w:ilvl="0" w:tplc="15269862">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15:restartNumberingAfterBreak="0">
    <w:nsid w:val="63D9395B"/>
    <w:multiLevelType w:val="hybridMultilevel"/>
    <w:tmpl w:val="29B68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3358D0"/>
    <w:multiLevelType w:val="hybridMultilevel"/>
    <w:tmpl w:val="D19CE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C8392A"/>
    <w:multiLevelType w:val="hybridMultilevel"/>
    <w:tmpl w:val="63680E2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6" w15:restartNumberingAfterBreak="0">
    <w:nsid w:val="7F36218B"/>
    <w:multiLevelType w:val="hybridMultilevel"/>
    <w:tmpl w:val="F120EBD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27"/>
  </w:num>
  <w:num w:numId="14">
    <w:abstractNumId w:val="21"/>
  </w:num>
  <w:num w:numId="15">
    <w:abstractNumId w:val="25"/>
  </w:num>
  <w:num w:numId="16">
    <w:abstractNumId w:val="16"/>
  </w:num>
  <w:num w:numId="17">
    <w:abstractNumId w:val="18"/>
  </w:num>
  <w:num w:numId="18">
    <w:abstractNumId w:val="19"/>
  </w:num>
  <w:num w:numId="19">
    <w:abstractNumId w:val="26"/>
  </w:num>
  <w:num w:numId="20">
    <w:abstractNumId w:val="15"/>
  </w:num>
  <w:num w:numId="21">
    <w:abstractNumId w:val="13"/>
  </w:num>
  <w:num w:numId="22">
    <w:abstractNumId w:val="17"/>
  </w:num>
  <w:num w:numId="23">
    <w:abstractNumId w:val="22"/>
  </w:num>
  <w:num w:numId="24">
    <w:abstractNumId w:val="23"/>
  </w:num>
  <w:num w:numId="25">
    <w:abstractNumId w:val="12"/>
  </w:num>
  <w:num w:numId="26">
    <w:abstractNumId w:val="14"/>
  </w:num>
  <w:num w:numId="27">
    <w:abstractNumId w:val="12"/>
  </w:num>
  <w:num w:numId="28">
    <w:abstractNumId w:val="12"/>
  </w:num>
  <w:num w:numId="29">
    <w:abstractNumId w:val="12"/>
  </w:num>
  <w:num w:numId="30">
    <w:abstractNumId w:val="2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AU" w:vendorID="64" w:dllVersion="0" w:nlCheck="1" w:checkStyle="0"/>
  <w:activeWritingStyle w:appName="MSWord" w:lang="en-AU" w:vendorID="64" w:dllVersion="6" w:nlCheck="1" w:checkStyle="0"/>
  <w:activeWritingStyle w:appName="MSWord" w:lang="en-AU" w:vendorID="64" w:dllVersion="131078" w:nlCheck="1" w:checkStyle="1"/>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194B"/>
    <w:rsid w:val="0000323A"/>
    <w:rsid w:val="00027DB8"/>
    <w:rsid w:val="0003247C"/>
    <w:rsid w:val="00035071"/>
    <w:rsid w:val="000805DB"/>
    <w:rsid w:val="000A2AFD"/>
    <w:rsid w:val="000B0506"/>
    <w:rsid w:val="000B2BEB"/>
    <w:rsid w:val="000B6F69"/>
    <w:rsid w:val="000C499D"/>
    <w:rsid w:val="000C5885"/>
    <w:rsid w:val="000D6EFB"/>
    <w:rsid w:val="000E4ACB"/>
    <w:rsid w:val="000F155E"/>
    <w:rsid w:val="000F2D4C"/>
    <w:rsid w:val="000F4C22"/>
    <w:rsid w:val="00103913"/>
    <w:rsid w:val="0012339E"/>
    <w:rsid w:val="00124DC1"/>
    <w:rsid w:val="00127682"/>
    <w:rsid w:val="00134B4E"/>
    <w:rsid w:val="0013716D"/>
    <w:rsid w:val="0014310A"/>
    <w:rsid w:val="001459B5"/>
    <w:rsid w:val="00155DEA"/>
    <w:rsid w:val="00170377"/>
    <w:rsid w:val="00186190"/>
    <w:rsid w:val="00193A4B"/>
    <w:rsid w:val="001A20BD"/>
    <w:rsid w:val="001A6947"/>
    <w:rsid w:val="001C5C38"/>
    <w:rsid w:val="001C78F1"/>
    <w:rsid w:val="001D239D"/>
    <w:rsid w:val="001D3D36"/>
    <w:rsid w:val="001D7A3F"/>
    <w:rsid w:val="001F1121"/>
    <w:rsid w:val="001F7431"/>
    <w:rsid w:val="00215720"/>
    <w:rsid w:val="0022212D"/>
    <w:rsid w:val="00223E36"/>
    <w:rsid w:val="00226B71"/>
    <w:rsid w:val="00231D0D"/>
    <w:rsid w:val="00232805"/>
    <w:rsid w:val="00255E0C"/>
    <w:rsid w:val="00260578"/>
    <w:rsid w:val="00271AB6"/>
    <w:rsid w:val="00271F77"/>
    <w:rsid w:val="00290092"/>
    <w:rsid w:val="0029107F"/>
    <w:rsid w:val="002A494D"/>
    <w:rsid w:val="002B2D6F"/>
    <w:rsid w:val="002B37D8"/>
    <w:rsid w:val="002B4CE4"/>
    <w:rsid w:val="002E03E0"/>
    <w:rsid w:val="002E49CA"/>
    <w:rsid w:val="002E4E58"/>
    <w:rsid w:val="002F2D4C"/>
    <w:rsid w:val="002F304C"/>
    <w:rsid w:val="002F4E54"/>
    <w:rsid w:val="00300E75"/>
    <w:rsid w:val="00301254"/>
    <w:rsid w:val="00301498"/>
    <w:rsid w:val="0030587F"/>
    <w:rsid w:val="0031115A"/>
    <w:rsid w:val="00313358"/>
    <w:rsid w:val="00320E5E"/>
    <w:rsid w:val="00326F48"/>
    <w:rsid w:val="003278E4"/>
    <w:rsid w:val="0034769A"/>
    <w:rsid w:val="00347714"/>
    <w:rsid w:val="003500A5"/>
    <w:rsid w:val="00350EB7"/>
    <w:rsid w:val="003514AD"/>
    <w:rsid w:val="00362AAB"/>
    <w:rsid w:val="00366BF2"/>
    <w:rsid w:val="00367A33"/>
    <w:rsid w:val="00374358"/>
    <w:rsid w:val="00380167"/>
    <w:rsid w:val="003924A9"/>
    <w:rsid w:val="00395E1B"/>
    <w:rsid w:val="003B01B0"/>
    <w:rsid w:val="003C14C8"/>
    <w:rsid w:val="003E1610"/>
    <w:rsid w:val="003E29B5"/>
    <w:rsid w:val="003E51EB"/>
    <w:rsid w:val="003E764B"/>
    <w:rsid w:val="003E7FAC"/>
    <w:rsid w:val="003F3945"/>
    <w:rsid w:val="003F3C92"/>
    <w:rsid w:val="003F5E75"/>
    <w:rsid w:val="004177BE"/>
    <w:rsid w:val="0042385D"/>
    <w:rsid w:val="004273EC"/>
    <w:rsid w:val="00443FF4"/>
    <w:rsid w:val="004615C4"/>
    <w:rsid w:val="004801D1"/>
    <w:rsid w:val="00484051"/>
    <w:rsid w:val="004B24FF"/>
    <w:rsid w:val="004D6461"/>
    <w:rsid w:val="0051778F"/>
    <w:rsid w:val="0052445D"/>
    <w:rsid w:val="005355BC"/>
    <w:rsid w:val="005711D2"/>
    <w:rsid w:val="0057654B"/>
    <w:rsid w:val="00580912"/>
    <w:rsid w:val="005832B7"/>
    <w:rsid w:val="0058443C"/>
    <w:rsid w:val="00596923"/>
    <w:rsid w:val="005A0C09"/>
    <w:rsid w:val="005A23F9"/>
    <w:rsid w:val="005A2643"/>
    <w:rsid w:val="005B3B56"/>
    <w:rsid w:val="00600EB1"/>
    <w:rsid w:val="006018BE"/>
    <w:rsid w:val="0062425A"/>
    <w:rsid w:val="00633371"/>
    <w:rsid w:val="006364B4"/>
    <w:rsid w:val="00643E12"/>
    <w:rsid w:val="00651C93"/>
    <w:rsid w:val="006529EB"/>
    <w:rsid w:val="00675AB7"/>
    <w:rsid w:val="006935C9"/>
    <w:rsid w:val="00694796"/>
    <w:rsid w:val="006A4F51"/>
    <w:rsid w:val="006B3670"/>
    <w:rsid w:val="006B7939"/>
    <w:rsid w:val="006E2451"/>
    <w:rsid w:val="006E5977"/>
    <w:rsid w:val="006F004D"/>
    <w:rsid w:val="0070104D"/>
    <w:rsid w:val="0071225A"/>
    <w:rsid w:val="007136E6"/>
    <w:rsid w:val="007178F0"/>
    <w:rsid w:val="00725687"/>
    <w:rsid w:val="0073072D"/>
    <w:rsid w:val="00733820"/>
    <w:rsid w:val="00735315"/>
    <w:rsid w:val="00735367"/>
    <w:rsid w:val="00751081"/>
    <w:rsid w:val="007541CB"/>
    <w:rsid w:val="007778A1"/>
    <w:rsid w:val="00782902"/>
    <w:rsid w:val="00784798"/>
    <w:rsid w:val="0079019F"/>
    <w:rsid w:val="00790B5E"/>
    <w:rsid w:val="007C07FD"/>
    <w:rsid w:val="007E2162"/>
    <w:rsid w:val="007E3423"/>
    <w:rsid w:val="007F42E9"/>
    <w:rsid w:val="007F4A35"/>
    <w:rsid w:val="007F78DC"/>
    <w:rsid w:val="00816ED5"/>
    <w:rsid w:val="00831BB4"/>
    <w:rsid w:val="00840DC5"/>
    <w:rsid w:val="00841F2A"/>
    <w:rsid w:val="00871EC0"/>
    <w:rsid w:val="008766A4"/>
    <w:rsid w:val="00877262"/>
    <w:rsid w:val="00887E2D"/>
    <w:rsid w:val="00895870"/>
    <w:rsid w:val="00896FF2"/>
    <w:rsid w:val="008A4819"/>
    <w:rsid w:val="008A5234"/>
    <w:rsid w:val="008A589B"/>
    <w:rsid w:val="008B3B91"/>
    <w:rsid w:val="008C086C"/>
    <w:rsid w:val="008C0B02"/>
    <w:rsid w:val="008C6FA8"/>
    <w:rsid w:val="008D25A9"/>
    <w:rsid w:val="008D2D16"/>
    <w:rsid w:val="008D3BDE"/>
    <w:rsid w:val="008F3046"/>
    <w:rsid w:val="009163EA"/>
    <w:rsid w:val="00917F2A"/>
    <w:rsid w:val="009269FD"/>
    <w:rsid w:val="00927DEE"/>
    <w:rsid w:val="00933910"/>
    <w:rsid w:val="00967755"/>
    <w:rsid w:val="009702F8"/>
    <w:rsid w:val="009731D8"/>
    <w:rsid w:val="0097421F"/>
    <w:rsid w:val="00980015"/>
    <w:rsid w:val="009979CA"/>
    <w:rsid w:val="009A25B7"/>
    <w:rsid w:val="009D097D"/>
    <w:rsid w:val="009E2CD9"/>
    <w:rsid w:val="009E4078"/>
    <w:rsid w:val="009F2302"/>
    <w:rsid w:val="009F5B73"/>
    <w:rsid w:val="00A056F0"/>
    <w:rsid w:val="00A13895"/>
    <w:rsid w:val="00A140E9"/>
    <w:rsid w:val="00A24325"/>
    <w:rsid w:val="00A33C93"/>
    <w:rsid w:val="00A41404"/>
    <w:rsid w:val="00A43C4C"/>
    <w:rsid w:val="00A62D1A"/>
    <w:rsid w:val="00A807D3"/>
    <w:rsid w:val="00A85140"/>
    <w:rsid w:val="00AA15E1"/>
    <w:rsid w:val="00AC03B1"/>
    <w:rsid w:val="00AC2B9B"/>
    <w:rsid w:val="00AC51B8"/>
    <w:rsid w:val="00AC78D4"/>
    <w:rsid w:val="00AD4561"/>
    <w:rsid w:val="00AD4FE6"/>
    <w:rsid w:val="00AE2F70"/>
    <w:rsid w:val="00AF15FE"/>
    <w:rsid w:val="00AF6011"/>
    <w:rsid w:val="00B10DF4"/>
    <w:rsid w:val="00B134F9"/>
    <w:rsid w:val="00B17AF7"/>
    <w:rsid w:val="00B239F0"/>
    <w:rsid w:val="00B40154"/>
    <w:rsid w:val="00B5537C"/>
    <w:rsid w:val="00B963F1"/>
    <w:rsid w:val="00BB5F6F"/>
    <w:rsid w:val="00BC3DEC"/>
    <w:rsid w:val="00C052CB"/>
    <w:rsid w:val="00C1688C"/>
    <w:rsid w:val="00C412C9"/>
    <w:rsid w:val="00C61E8A"/>
    <w:rsid w:val="00C75380"/>
    <w:rsid w:val="00C75C25"/>
    <w:rsid w:val="00C75CB9"/>
    <w:rsid w:val="00C91AC2"/>
    <w:rsid w:val="00C96775"/>
    <w:rsid w:val="00CC46FD"/>
    <w:rsid w:val="00CC7F0A"/>
    <w:rsid w:val="00D049D0"/>
    <w:rsid w:val="00D31299"/>
    <w:rsid w:val="00D357C4"/>
    <w:rsid w:val="00D5171C"/>
    <w:rsid w:val="00D83953"/>
    <w:rsid w:val="00D84C0F"/>
    <w:rsid w:val="00D8707B"/>
    <w:rsid w:val="00DA020D"/>
    <w:rsid w:val="00DB3C85"/>
    <w:rsid w:val="00DB6481"/>
    <w:rsid w:val="00DC426F"/>
    <w:rsid w:val="00DE0F00"/>
    <w:rsid w:val="00DE643D"/>
    <w:rsid w:val="00DF1C42"/>
    <w:rsid w:val="00DF62C5"/>
    <w:rsid w:val="00E233DB"/>
    <w:rsid w:val="00E23584"/>
    <w:rsid w:val="00E3211B"/>
    <w:rsid w:val="00E42E39"/>
    <w:rsid w:val="00E60678"/>
    <w:rsid w:val="00E6579E"/>
    <w:rsid w:val="00E774AC"/>
    <w:rsid w:val="00EC718D"/>
    <w:rsid w:val="00EE2C7A"/>
    <w:rsid w:val="00EE370E"/>
    <w:rsid w:val="00EF04D3"/>
    <w:rsid w:val="00EF1BC2"/>
    <w:rsid w:val="00EF64DC"/>
    <w:rsid w:val="00F015B4"/>
    <w:rsid w:val="00F06875"/>
    <w:rsid w:val="00F16129"/>
    <w:rsid w:val="00F27719"/>
    <w:rsid w:val="00F27799"/>
    <w:rsid w:val="00F36897"/>
    <w:rsid w:val="00F37E0C"/>
    <w:rsid w:val="00F47F58"/>
    <w:rsid w:val="00F50E1E"/>
    <w:rsid w:val="00F512FA"/>
    <w:rsid w:val="00F534C5"/>
    <w:rsid w:val="00F546B5"/>
    <w:rsid w:val="00F70CB4"/>
    <w:rsid w:val="00F7204D"/>
    <w:rsid w:val="00F85A04"/>
    <w:rsid w:val="00F85A39"/>
    <w:rsid w:val="00F91A79"/>
    <w:rsid w:val="00F97B56"/>
    <w:rsid w:val="00FA28AD"/>
    <w:rsid w:val="00FA6B94"/>
    <w:rsid w:val="00FB1204"/>
    <w:rsid w:val="00FB1557"/>
    <w:rsid w:val="00FB5C2D"/>
    <w:rsid w:val="00FD7308"/>
    <w:rsid w:val="00FE1421"/>
    <w:rsid w:val="00FF6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0E5644"/>
  <w15:docId w15:val="{63C86155-92D5-4061-AEFF-FBB4A53D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6F004D"/>
    <w:pPr>
      <w:spacing w:before="120" w:line="280" w:lineRule="atLeast"/>
    </w:pPr>
    <w:rPr>
      <w:rFonts w:ascii="Arial" w:hAnsi="Arial" w:cs="Arial"/>
      <w:sz w:val="22"/>
      <w:szCs w:val="18"/>
      <w:lang w:val="en-AU"/>
    </w:rPr>
  </w:style>
  <w:style w:type="paragraph" w:styleId="Heading1">
    <w:name w:val="heading 1"/>
    <w:basedOn w:val="Normal"/>
    <w:next w:val="Normal"/>
    <w:link w:val="Heading1Char"/>
    <w:uiPriority w:val="9"/>
    <w:qFormat/>
    <w:locked/>
    <w:rsid w:val="00134B4E"/>
    <w:pPr>
      <w:keepNext/>
      <w:keepLines/>
      <w:spacing w:before="240" w:after="120"/>
      <w:outlineLvl w:val="0"/>
    </w:pPr>
    <w:rPr>
      <w:rFonts w:eastAsiaTheme="majorEastAsia" w:cstheme="majorBidi"/>
      <w:b/>
      <w:bCs/>
      <w:color w:val="AF272F"/>
      <w:sz w:val="44"/>
      <w:szCs w:val="20"/>
    </w:rPr>
  </w:style>
  <w:style w:type="paragraph" w:styleId="Heading2">
    <w:name w:val="heading 2"/>
    <w:basedOn w:val="Heading1"/>
    <w:next w:val="Normal"/>
    <w:link w:val="Heading2Char"/>
    <w:uiPriority w:val="9"/>
    <w:qFormat/>
    <w:locked/>
    <w:rsid w:val="00134B4E"/>
    <w:pPr>
      <w:pBdr>
        <w:top w:val="single" w:sz="8" w:space="3" w:color="AF272F"/>
      </w:pBdr>
      <w:ind w:left="851" w:hanging="851"/>
      <w:outlineLvl w:val="1"/>
    </w:pPr>
    <w:rPr>
      <w:bCs w:val="0"/>
      <w:sz w:val="36"/>
    </w:rPr>
  </w:style>
  <w:style w:type="paragraph" w:styleId="Heading3">
    <w:name w:val="heading 3"/>
    <w:basedOn w:val="Normal"/>
    <w:next w:val="Normal"/>
    <w:link w:val="Heading3Char"/>
    <w:uiPriority w:val="9"/>
    <w:qFormat/>
    <w:locked/>
    <w:rsid w:val="00C61E8A"/>
    <w:pPr>
      <w:tabs>
        <w:tab w:val="left" w:pos="851"/>
      </w:tabs>
      <w:spacing w:before="240" w:after="120"/>
      <w:outlineLvl w:val="2"/>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1F1121"/>
    <w:pPr>
      <w:tabs>
        <w:tab w:val="right" w:pos="7371"/>
      </w:tabs>
      <w:spacing w:before="0" w:line="240" w:lineRule="auto"/>
    </w:pPr>
    <w:rPr>
      <w:sz w:val="20"/>
    </w:rPr>
  </w:style>
  <w:style w:type="character" w:customStyle="1" w:styleId="FooterChar">
    <w:name w:val="Footer Char"/>
    <w:basedOn w:val="DefaultParagraphFont"/>
    <w:link w:val="Footer"/>
    <w:uiPriority w:val="99"/>
    <w:rsid w:val="001F1121"/>
    <w:rPr>
      <w:rFonts w:ascii="Arial" w:hAnsi="Arial" w:cs="Arial"/>
      <w:sz w:val="20"/>
      <w:szCs w:val="18"/>
      <w:lang w:val="en-AU"/>
    </w:rPr>
  </w:style>
  <w:style w:type="paragraph" w:styleId="Subtitle">
    <w:name w:val="Subtitle"/>
    <w:basedOn w:val="Normal"/>
    <w:next w:val="Normal"/>
    <w:link w:val="SubtitleChar"/>
    <w:uiPriority w:val="11"/>
    <w:semiHidden/>
    <w:qFormat/>
    <w:locked/>
    <w:rsid w:val="00980015"/>
    <w:pPr>
      <w:numPr>
        <w:ilvl w:val="1"/>
      </w:numPr>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rsid w:val="00134B4E"/>
    <w:rPr>
      <w:rFonts w:ascii="Arial" w:eastAsiaTheme="majorEastAsia" w:hAnsi="Arial" w:cstheme="majorBidi"/>
      <w:b/>
      <w:bCs/>
      <w:color w:val="AF272F"/>
      <w:sz w:val="44"/>
      <w:szCs w:val="20"/>
      <w:lang w:val="en-AU"/>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rsid w:val="00134B4E"/>
    <w:rPr>
      <w:rFonts w:ascii="Arial" w:eastAsiaTheme="majorEastAsia" w:hAnsi="Arial" w:cstheme="majorBidi"/>
      <w:b/>
      <w:color w:val="AF272F"/>
      <w:sz w:val="36"/>
      <w:szCs w:val="20"/>
      <w:lang w:val="en-AU"/>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locked/>
    <w:rsid w:val="006F004D"/>
    <w:pPr>
      <w:spacing w:before="0" w:line="240" w:lineRule="auto"/>
    </w:pPr>
    <w:rPr>
      <w:sz w:val="20"/>
    </w:rPr>
  </w:style>
  <w:style w:type="character" w:customStyle="1" w:styleId="HeaderChar">
    <w:name w:val="Header Char"/>
    <w:basedOn w:val="DefaultParagraphFont"/>
    <w:link w:val="Header"/>
    <w:uiPriority w:val="99"/>
    <w:rsid w:val="006F004D"/>
    <w:rPr>
      <w:rFonts w:ascii="Arial" w:hAnsi="Arial" w:cs="Arial"/>
      <w:sz w:val="20"/>
      <w:szCs w:val="18"/>
      <w:lang w:val="en-AU"/>
    </w:rPr>
  </w:style>
  <w:style w:type="character" w:customStyle="1" w:styleId="Heading3Char">
    <w:name w:val="Heading 3 Char"/>
    <w:basedOn w:val="DefaultParagraphFont"/>
    <w:link w:val="Heading3"/>
    <w:uiPriority w:val="9"/>
    <w:rsid w:val="00C61E8A"/>
    <w:rPr>
      <w:rFonts w:ascii="Arial" w:hAnsi="Arial" w:cs="Arial"/>
      <w:b/>
      <w:color w:val="000000" w:themeColor="text1"/>
      <w:szCs w:val="18"/>
      <w:lang w:val="en-AU"/>
    </w:rPr>
  </w:style>
  <w:style w:type="paragraph" w:styleId="TOAHeading">
    <w:name w:val="toa heading"/>
    <w:basedOn w:val="Normal"/>
    <w:next w:val="Normal"/>
    <w:uiPriority w:val="99"/>
    <w:semiHidden/>
    <w:locked/>
    <w:rsid w:val="00751081"/>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after="0"/>
      <w:outlineLvl w:val="9"/>
    </w:pPr>
    <w:rPr>
      <w:rFonts w:asciiTheme="majorHAnsi" w:hAnsiTheme="majorHAnsi"/>
      <w:b w:val="0"/>
      <w:bCs w:val="0"/>
      <w:caps/>
      <w:color w:val="365F91" w:themeColor="accent1" w:themeShade="BF"/>
      <w:sz w:val="32"/>
      <w:szCs w:val="32"/>
    </w:rPr>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character" w:styleId="EndnoteReference">
    <w:name w:val="endnote reference"/>
    <w:uiPriority w:val="99"/>
    <w:unhideWhenUsed/>
    <w:locked/>
    <w:rsid w:val="00271F77"/>
    <w:rPr>
      <w:b w:val="0"/>
      <w:i w:val="0"/>
      <w:sz w:val="15"/>
      <w:szCs w:val="15"/>
      <w:lang w:val="en-AU"/>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927DEE"/>
    <w:rPr>
      <w:color w:val="0000FF"/>
      <w:u w:val="single"/>
    </w:rPr>
  </w:style>
  <w:style w:type="paragraph" w:styleId="ListBullet">
    <w:name w:val="List Bullet"/>
    <w:basedOn w:val="Normal"/>
    <w:uiPriority w:val="99"/>
    <w:locked/>
    <w:rsid w:val="001F1121"/>
    <w:pPr>
      <w:numPr>
        <w:numId w:val="25"/>
      </w:numPr>
      <w:ind w:left="284" w:hanging="284"/>
    </w:pPr>
    <w:rPr>
      <w:rFonts w:eastAsiaTheme="minorHAnsi" w:cstheme="minorBidi"/>
      <w:szCs w:val="22"/>
    </w:rPr>
  </w:style>
  <w:style w:type="paragraph" w:styleId="ListBullet2">
    <w:name w:val="List Bullet 2"/>
    <w:basedOn w:val="Normal"/>
    <w:uiPriority w:val="99"/>
    <w:locked/>
    <w:rsid w:val="001F1121"/>
    <w:pPr>
      <w:numPr>
        <w:numId w:val="31"/>
      </w:numPr>
      <w:spacing w:before="60"/>
      <w:ind w:left="568" w:hanging="284"/>
    </w:pPr>
    <w:rPr>
      <w:rFonts w:eastAsiaTheme="minorHAnsi" w:cstheme="minorBidi"/>
      <w:szCs w:val="22"/>
    </w:rPr>
  </w:style>
  <w:style w:type="table" w:styleId="LightList-Accent3">
    <w:name w:val="Light List Accent 3"/>
    <w:basedOn w:val="TableNormal"/>
    <w:uiPriority w:val="61"/>
    <w:locked/>
    <w:rsid w:val="00927DEE"/>
    <w:rPr>
      <w:rFonts w:eastAsiaTheme="minorHAnsi"/>
      <w:sz w:val="22"/>
      <w:szCs w:val="22"/>
      <w:lang w:val="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locked/>
    <w:rsid w:val="0051778F"/>
    <w:rPr>
      <w:color w:val="0000FF"/>
      <w:u w:val="single"/>
    </w:rPr>
  </w:style>
  <w:style w:type="paragraph" w:styleId="ListContinue">
    <w:name w:val="List Continue"/>
    <w:basedOn w:val="Normal"/>
    <w:uiPriority w:val="99"/>
    <w:unhideWhenUsed/>
    <w:locked/>
    <w:rsid w:val="0051778F"/>
    <w:pPr>
      <w:ind w:left="284"/>
    </w:pPr>
    <w:rPr>
      <w:rFonts w:eastAsiaTheme="minorHAnsi" w:cstheme="minorBidi"/>
      <w:szCs w:val="22"/>
    </w:rPr>
  </w:style>
  <w:style w:type="paragraph" w:styleId="BodyText">
    <w:name w:val="Body Text"/>
    <w:basedOn w:val="Normal"/>
    <w:link w:val="BodyTextChar"/>
    <w:uiPriority w:val="99"/>
    <w:unhideWhenUsed/>
    <w:locked/>
    <w:rsid w:val="0051778F"/>
    <w:pPr>
      <w:pBdr>
        <w:top w:val="single" w:sz="2" w:space="1" w:color="F79646" w:themeColor="accent6" w:shadow="1"/>
        <w:left w:val="single" w:sz="2" w:space="4" w:color="F79646" w:themeColor="accent6" w:shadow="1"/>
        <w:bottom w:val="single" w:sz="2" w:space="1" w:color="F79646" w:themeColor="accent6" w:shadow="1"/>
        <w:right w:val="single" w:sz="2" w:space="4" w:color="F79646" w:themeColor="accent6" w:shadow="1"/>
      </w:pBdr>
      <w:ind w:left="567" w:right="567"/>
    </w:pPr>
    <w:rPr>
      <w:rFonts w:eastAsiaTheme="minorHAnsi" w:cstheme="minorBidi"/>
      <w:b/>
      <w:color w:val="F79646" w:themeColor="accent6"/>
      <w:sz w:val="24"/>
      <w:szCs w:val="22"/>
    </w:rPr>
  </w:style>
  <w:style w:type="character" w:customStyle="1" w:styleId="BodyTextChar">
    <w:name w:val="Body Text Char"/>
    <w:basedOn w:val="DefaultParagraphFont"/>
    <w:link w:val="BodyText"/>
    <w:uiPriority w:val="99"/>
    <w:rsid w:val="0051778F"/>
    <w:rPr>
      <w:rFonts w:ascii="Candara" w:eastAsiaTheme="minorHAnsi" w:hAnsi="Candara"/>
      <w:b/>
      <w:color w:val="F79646" w:themeColor="accent6"/>
      <w:szCs w:val="22"/>
      <w:lang w:val="en-AU"/>
    </w:rPr>
  </w:style>
  <w:style w:type="paragraph" w:styleId="BodyText2">
    <w:name w:val="Body Text 2"/>
    <w:basedOn w:val="Normal"/>
    <w:link w:val="BodyText2Char"/>
    <w:uiPriority w:val="99"/>
    <w:unhideWhenUsed/>
    <w:locked/>
    <w:rsid w:val="0051778F"/>
    <w:pPr>
      <w:pBdr>
        <w:top w:val="single" w:sz="2" w:space="1" w:color="F79646" w:themeColor="accent6" w:shadow="1"/>
        <w:left w:val="single" w:sz="2" w:space="4" w:color="F79646" w:themeColor="accent6" w:shadow="1"/>
        <w:bottom w:val="single" w:sz="2" w:space="1" w:color="F79646" w:themeColor="accent6" w:shadow="1"/>
        <w:right w:val="single" w:sz="2" w:space="4" w:color="F79646" w:themeColor="accent6" w:shadow="1"/>
      </w:pBdr>
      <w:ind w:left="567" w:right="567"/>
    </w:pPr>
    <w:rPr>
      <w:rFonts w:eastAsiaTheme="minorHAnsi" w:cstheme="minorBidi"/>
      <w:szCs w:val="22"/>
    </w:rPr>
  </w:style>
  <w:style w:type="character" w:customStyle="1" w:styleId="BodyText2Char">
    <w:name w:val="Body Text 2 Char"/>
    <w:basedOn w:val="DefaultParagraphFont"/>
    <w:link w:val="BodyText2"/>
    <w:uiPriority w:val="99"/>
    <w:rsid w:val="0051778F"/>
    <w:rPr>
      <w:rFonts w:ascii="Candara" w:eastAsiaTheme="minorHAnsi" w:hAnsi="Candara"/>
      <w:sz w:val="22"/>
      <w:szCs w:val="22"/>
      <w:lang w:val="en-AU"/>
    </w:rPr>
  </w:style>
  <w:style w:type="paragraph" w:styleId="NoSpacing">
    <w:name w:val="No Spacing"/>
    <w:uiPriority w:val="1"/>
    <w:qFormat/>
    <w:locked/>
    <w:rsid w:val="0051778F"/>
    <w:rPr>
      <w:rFonts w:ascii="Candara" w:eastAsiaTheme="minorHAnsi" w:hAnsi="Candara"/>
      <w:sz w:val="22"/>
      <w:szCs w:val="22"/>
      <w:lang w:val="en-AU"/>
    </w:rPr>
  </w:style>
  <w:style w:type="table" w:customStyle="1" w:styleId="GridTable6Colorful1">
    <w:name w:val="Grid Table 6 Colorful1"/>
    <w:basedOn w:val="TableNormal"/>
    <w:uiPriority w:val="51"/>
    <w:locked/>
    <w:rsid w:val="0051778F"/>
    <w:rPr>
      <w:rFonts w:eastAsiaTheme="minorHAnsi"/>
      <w:color w:val="000000" w:themeColor="text1"/>
      <w:sz w:val="22"/>
      <w:szCs w:val="22"/>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locked/>
    <w:rsid w:val="00443FF4"/>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43FF4"/>
    <w:rPr>
      <w:rFonts w:ascii="Segoe UI" w:hAnsi="Segoe UI" w:cs="Segoe UI"/>
      <w:sz w:val="18"/>
      <w:szCs w:val="18"/>
    </w:rPr>
  </w:style>
  <w:style w:type="paragraph" w:customStyle="1" w:styleId="Default">
    <w:name w:val="Default"/>
    <w:rsid w:val="00232805"/>
    <w:pPr>
      <w:autoSpaceDE w:val="0"/>
      <w:autoSpaceDN w:val="0"/>
      <w:adjustRightInd w:val="0"/>
    </w:pPr>
    <w:rPr>
      <w:rFonts w:ascii="Times New Roman" w:hAnsi="Times New Roman" w:cs="Times New Roman"/>
      <w:color w:val="000000"/>
      <w:lang w:val="en-AU"/>
    </w:rPr>
  </w:style>
  <w:style w:type="character" w:styleId="CommentReference">
    <w:name w:val="annotation reference"/>
    <w:basedOn w:val="DefaultParagraphFont"/>
    <w:uiPriority w:val="99"/>
    <w:semiHidden/>
    <w:unhideWhenUsed/>
    <w:locked/>
    <w:rsid w:val="00FE1421"/>
    <w:rPr>
      <w:sz w:val="16"/>
      <w:szCs w:val="16"/>
    </w:rPr>
  </w:style>
  <w:style w:type="paragraph" w:styleId="CommentText">
    <w:name w:val="annotation text"/>
    <w:basedOn w:val="Normal"/>
    <w:link w:val="CommentTextChar"/>
    <w:uiPriority w:val="99"/>
    <w:semiHidden/>
    <w:unhideWhenUsed/>
    <w:locked/>
    <w:rsid w:val="00FE1421"/>
    <w:pPr>
      <w:spacing w:line="240" w:lineRule="auto"/>
    </w:pPr>
    <w:rPr>
      <w:sz w:val="20"/>
      <w:szCs w:val="20"/>
    </w:rPr>
  </w:style>
  <w:style w:type="character" w:customStyle="1" w:styleId="CommentTextChar">
    <w:name w:val="Comment Text Char"/>
    <w:basedOn w:val="DefaultParagraphFont"/>
    <w:link w:val="CommentText"/>
    <w:uiPriority w:val="99"/>
    <w:semiHidden/>
    <w:rsid w:val="00FE142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locked/>
    <w:rsid w:val="00FE1421"/>
    <w:rPr>
      <w:b/>
      <w:bCs/>
    </w:rPr>
  </w:style>
  <w:style w:type="character" w:customStyle="1" w:styleId="CommentSubjectChar">
    <w:name w:val="Comment Subject Char"/>
    <w:basedOn w:val="CommentTextChar"/>
    <w:link w:val="CommentSubject"/>
    <w:uiPriority w:val="99"/>
    <w:semiHidden/>
    <w:rsid w:val="00FE1421"/>
    <w:rPr>
      <w:rFonts w:ascii="Arial" w:hAnsi="Arial" w:cs="Arial"/>
      <w:b/>
      <w:bCs/>
      <w:sz w:val="20"/>
      <w:szCs w:val="20"/>
    </w:rPr>
  </w:style>
  <w:style w:type="paragraph" w:styleId="Revision">
    <w:name w:val="Revision"/>
    <w:hidden/>
    <w:uiPriority w:val="99"/>
    <w:semiHidden/>
    <w:rsid w:val="000F2D4C"/>
    <w:rPr>
      <w:rFonts w:ascii="Candara" w:hAnsi="Candara" w:cs="Arial"/>
      <w:sz w:val="22"/>
      <w:szCs w:val="18"/>
    </w:rPr>
  </w:style>
  <w:style w:type="table" w:customStyle="1" w:styleId="GridTable6Colorful10">
    <w:name w:val="Grid Table 6 Colorful1"/>
    <w:basedOn w:val="TableNormal"/>
    <w:next w:val="GridTable6Colorful1"/>
    <w:uiPriority w:val="51"/>
    <w:rsid w:val="007541CB"/>
    <w:rPr>
      <w:rFonts w:eastAsiaTheme="minorHAnsi"/>
      <w:color w:val="000000" w:themeColor="text1"/>
      <w:sz w:val="22"/>
      <w:szCs w:val="22"/>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semiHidden/>
    <w:qFormat/>
    <w:locked/>
    <w:rsid w:val="00395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gate.eduweb.vic.gov.au/sites/i/pages/production.aspx" TargetMode="External"/><Relationship Id="rId18" Type="http://schemas.openxmlformats.org/officeDocument/2006/relationships/hyperlink" Target="http://www.education.vic.gov.au/school/teachers/management/finance/Pages/purchasingcard.aspx" TargetMode="External"/><Relationship Id="rId26" Type="http://schemas.openxmlformats.org/officeDocument/2006/relationships/hyperlink" Target="https://www.education.vic.gov.au/school/teachers/management/finance/Pages/guidelines.aspx?Redirect=1" TargetMode="External"/><Relationship Id="rId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hyperlink" Target="https://edugate.eduweb.vic.gov.au/edulibrary/Schools/Forms/AllItems.aspx?RootFolder=%2fedulibrary%2fSchools%2fCASES21%2fCASES21%20Finance%2fFinance%20Business%20Process%20Guide&amp;FolderCTID=&amp;View=%7b393E28AF%2d9188%2d49EC%2d9B2F%2d5B1CA6BF217D%7d" TargetMode="External"/><Relationship Id="rId7" Type="http://schemas.openxmlformats.org/officeDocument/2006/relationships/styles" Target="styles.xml"/><Relationship Id="rId12" Type="http://schemas.openxmlformats.org/officeDocument/2006/relationships/hyperlink" Target="https://edugate.eduweb.vic.gov.au/sites/i/pages/production.aspx" TargetMode="External"/><Relationship Id="rId17" Type="http://schemas.openxmlformats.org/officeDocument/2006/relationships/hyperlink" Target="https://www.education.vic.gov.au/school/teachers/management/finance/Pages/guidelines.aspx" TargetMode="External"/><Relationship Id="rId25" Type="http://schemas.openxmlformats.org/officeDocument/2006/relationships/hyperlink" Target="http://www.education.vic.gov.au/school/teachers/management/finance/Pages/guidelines.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ducation.vic.gov.au/school/teachers/management/finance/Pages/guidelines.aspx" TargetMode="External"/><Relationship Id="rId20" Type="http://schemas.openxmlformats.org/officeDocument/2006/relationships/hyperlink" Target="http://www.education.vic.gov.au/hrweb/employcond/Pages/School_Council_Employment.aspx" TargetMode="External"/><Relationship Id="rId29" Type="http://schemas.openxmlformats.org/officeDocument/2006/relationships/hyperlink" Target="http://www.education.vic.gov.au/hrweb/employcond/Pages/pexpT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ducation.vic.gov.au/school/teachers/management/finance/Pages/guidelines.aspx"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ducation.vic.gov.au/hrweb/employcond/Pages/pexpTS.aspx" TargetMode="External"/><Relationship Id="rId23" Type="http://schemas.openxmlformats.org/officeDocument/2006/relationships/hyperlink" Target="https://edugate.eduweb.vic.gov.au/sites/i/pages/production.aspx" TargetMode="External"/><Relationship Id="rId28" Type="http://schemas.openxmlformats.org/officeDocument/2006/relationships/hyperlink" Target="https://edugate.eduweb.vic.gov.au/sites/i/pages/production.aspx" TargetMode="External"/><Relationship Id="rId10" Type="http://schemas.openxmlformats.org/officeDocument/2006/relationships/footnotes" Target="footnotes.xml"/><Relationship Id="rId19" Type="http://schemas.openxmlformats.org/officeDocument/2006/relationships/hyperlink" Target="http://www.education.vic.gov.au/school/teachers/management/finance/Pages/purchasingcard.aspx" TargetMode="External"/><Relationship Id="rId31" Type="http://schemas.openxmlformats.org/officeDocument/2006/relationships/footer" Target="footer1.xml"/><Relationship Id="rId30" Type="http://schemas.openxmlformats.org/officeDocument/2006/relationships/hyperlink" Target="http://www.education.vic.gov.au/school/teachers/management/finance/pages/srpref034.aspx" TargetMode="External"/><Relationship Id="rId9" Type="http://schemas.openxmlformats.org/officeDocument/2006/relationships/webSettings" Target="webSettings.xml"/><Relationship Id="rId14" Type="http://schemas.openxmlformats.org/officeDocument/2006/relationships/hyperlink" Target="https://edugate.eduweb.vic.gov.au/sites/i/pages/production.aspx" TargetMode="External"/><Relationship Id="rId22" Type="http://schemas.openxmlformats.org/officeDocument/2006/relationships/hyperlink" Target="http://www.education.vic.gov.au/hrweb/employcond/Pages/School_Council_Employment.aspx" TargetMode="External"/><Relationship Id="rId27" Type="http://schemas.openxmlformats.org/officeDocument/2006/relationships/hyperlink" Target="https://edugate.eduweb.vic.gov.au/sites/i/pages/production.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Finance manual for Victorian Government Schools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500c308d-f2fb-4fe0-9990-16f1afa0b8fb"/>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95BBCF7D-F534-4327-8F32-6DD38F5B1748}"/>
</file>

<file path=customXml/itemProps4.xml><?xml version="1.0" encoding="utf-8"?>
<ds:datastoreItem xmlns:ds="http://schemas.openxmlformats.org/officeDocument/2006/customXml" ds:itemID="{F95904BC-A24A-49B9-A267-F68672A1C79A}">
  <ds:schemaRefs>
    <ds:schemaRef ds:uri="http://schemas.microsoft.com/sharepoint/events"/>
  </ds:schemaRefs>
</ds:datastoreItem>
</file>

<file path=customXml/itemProps5.xml><?xml version="1.0" encoding="utf-8"?>
<ds:datastoreItem xmlns:ds="http://schemas.openxmlformats.org/officeDocument/2006/customXml" ds:itemID="{B5998CBF-6587-4533-AA59-9B52FD96A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2210</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cp:lastModifiedBy>Chantelle Cox</cp:lastModifiedBy>
  <cp:revision>2</cp:revision>
  <cp:lastPrinted>2019-09-04T04:26:00Z</cp:lastPrinted>
  <dcterms:created xsi:type="dcterms:W3CDTF">2019-09-05T03:48:00Z</dcterms:created>
  <dcterms:modified xsi:type="dcterms:W3CDTF">2019-09-05T03:48:00Z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