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EE" w:rsidRPr="00933A7C" w:rsidRDefault="006F7DA9" w:rsidP="00933A7C">
      <w:pPr>
        <w:pStyle w:val="Heading1"/>
      </w:pPr>
      <w:bookmarkStart w:id="0" w:name="_Toc455499267"/>
      <w:bookmarkStart w:id="1" w:name="_Toc455499461"/>
      <w:bookmarkStart w:id="2" w:name="_Toc455501167"/>
      <w:r>
        <w:t>Comparison t</w:t>
      </w:r>
      <w:r w:rsidR="00372656">
        <w:t>able</w:t>
      </w:r>
      <w:r w:rsidR="00D470B2">
        <w:t xml:space="preserve"> of content</w:t>
      </w:r>
    </w:p>
    <w:p w:rsidR="008A4AC9" w:rsidRPr="00EC4B15" w:rsidRDefault="008A4AC9" w:rsidP="008A4AC9">
      <w:pPr>
        <w:pStyle w:val="Heading2"/>
      </w:pPr>
      <w:r w:rsidRPr="00CA1867">
        <w:t>Overview</w:t>
      </w:r>
    </w:p>
    <w:p w:rsidR="001D1B98" w:rsidRDefault="00CA1867" w:rsidP="00D470B2">
      <w:r>
        <w:t xml:space="preserve">The </w:t>
      </w:r>
      <w:r w:rsidR="00F65190">
        <w:t xml:space="preserve">following </w:t>
      </w:r>
      <w:r w:rsidR="00D470B2">
        <w:t xml:space="preserve">comparison table lists the sections of content in the updated June 2017 version of the Finance Manual for Victorian Government </w:t>
      </w:r>
      <w:r w:rsidR="005158DA">
        <w:t>s</w:t>
      </w:r>
      <w:r w:rsidR="00D470B2">
        <w:t>chools to the June 2016 version</w:t>
      </w:r>
      <w:r w:rsidR="001D1B98">
        <w:t xml:space="preserve">. </w:t>
      </w:r>
      <w:r w:rsidR="00D470B2">
        <w:t>Th</w:t>
      </w:r>
      <w:r w:rsidR="001D1B98">
        <w:t>e</w:t>
      </w:r>
      <w:r w:rsidR="00D470B2">
        <w:t xml:space="preserve"> table </w:t>
      </w:r>
      <w:r w:rsidR="001D1B98">
        <w:t xml:space="preserve">below </w:t>
      </w:r>
      <w:r w:rsidR="00D470B2">
        <w:t>documents which sections of content have been amalgamated from</w:t>
      </w:r>
      <w:r w:rsidR="00A43DCA">
        <w:t xml:space="preserve"> the </w:t>
      </w:r>
      <w:r w:rsidR="00D470B2">
        <w:t xml:space="preserve">June 2016 version into the sections of content in the June 2017 version of the Finance Manual for Victorian Government </w:t>
      </w:r>
      <w:r w:rsidR="005158DA">
        <w:t>s</w:t>
      </w:r>
      <w:r w:rsidR="00D470B2">
        <w:t>chools</w:t>
      </w:r>
      <w:r w:rsidR="001D1B98">
        <w:t xml:space="preserve">. </w:t>
      </w:r>
    </w:p>
    <w:p w:rsidR="00AB76C9" w:rsidRDefault="00AB76C9" w:rsidP="00D470B2"/>
    <w:p w:rsidR="00384E90" w:rsidRPr="00EC4B15" w:rsidRDefault="00D470B2" w:rsidP="00384E90">
      <w:pPr>
        <w:keepNext/>
        <w:keepLines/>
        <w:pBdr>
          <w:top w:val="single" w:sz="8" w:space="3" w:color="AF272F"/>
        </w:pBdr>
        <w:spacing w:before="360" w:after="120"/>
        <w:ind w:left="851" w:hanging="851"/>
        <w:outlineLvl w:val="1"/>
        <w:rPr>
          <w:rFonts w:eastAsiaTheme="majorEastAsia" w:cstheme="majorBidi"/>
          <w:b/>
          <w:color w:val="AF272F"/>
          <w:sz w:val="36"/>
          <w:szCs w:val="20"/>
        </w:rPr>
      </w:pPr>
      <w:r>
        <w:rPr>
          <w:rFonts w:eastAsiaTheme="majorEastAsia" w:cstheme="majorBidi"/>
          <w:b/>
          <w:color w:val="AF272F"/>
          <w:sz w:val="36"/>
          <w:szCs w:val="20"/>
        </w:rPr>
        <w:t>Comparison table</w:t>
      </w:r>
      <w:r w:rsidR="00233670">
        <w:rPr>
          <w:rFonts w:eastAsiaTheme="majorEastAsia" w:cstheme="majorBidi"/>
          <w:b/>
          <w:color w:val="AF272F"/>
          <w:sz w:val="36"/>
          <w:szCs w:val="20"/>
        </w:rPr>
        <w:t xml:space="preserve"> of content</w:t>
      </w:r>
    </w:p>
    <w:tbl>
      <w:tblPr>
        <w:tblStyle w:val="PlainTable41"/>
        <w:tblW w:w="9039" w:type="dxa"/>
        <w:tblLayout w:type="fixed"/>
        <w:tblLook w:val="04A0" w:firstRow="1" w:lastRow="0" w:firstColumn="1" w:lastColumn="0" w:noHBand="0" w:noVBand="1"/>
        <w:tblDescription w:val="Comparison table of content"/>
      </w:tblPr>
      <w:tblGrid>
        <w:gridCol w:w="4503"/>
        <w:gridCol w:w="4536"/>
      </w:tblGrid>
      <w:tr w:rsidR="00170436" w:rsidRPr="00CA54BA" w:rsidTr="008C2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AF272F"/>
          </w:tcPr>
          <w:p w:rsidR="00170436" w:rsidRPr="00987203" w:rsidRDefault="00987203" w:rsidP="00987203">
            <w:pPr>
              <w:rPr>
                <w:color w:val="FFFFFF" w:themeColor="background1"/>
                <w:sz w:val="20"/>
                <w:szCs w:val="20"/>
              </w:rPr>
            </w:pPr>
            <w:r w:rsidRPr="00987203">
              <w:rPr>
                <w:color w:val="FFFFFF" w:themeColor="background1"/>
                <w:sz w:val="20"/>
                <w:szCs w:val="20"/>
              </w:rPr>
              <w:t xml:space="preserve">Updated </w:t>
            </w:r>
            <w:r w:rsidR="006F7DA9">
              <w:rPr>
                <w:color w:val="FFFFFF" w:themeColor="background1"/>
                <w:sz w:val="20"/>
                <w:szCs w:val="20"/>
              </w:rPr>
              <w:t xml:space="preserve">June 2017 </w:t>
            </w:r>
            <w:r w:rsidRPr="00987203">
              <w:rPr>
                <w:color w:val="FFFFFF" w:themeColor="background1"/>
                <w:sz w:val="20"/>
                <w:szCs w:val="20"/>
              </w:rPr>
              <w:t>Finance Manual</w:t>
            </w:r>
          </w:p>
        </w:tc>
        <w:tc>
          <w:tcPr>
            <w:tcW w:w="4536" w:type="dxa"/>
            <w:shd w:val="clear" w:color="auto" w:fill="AF272F"/>
          </w:tcPr>
          <w:p w:rsidR="00170436" w:rsidRPr="00987203" w:rsidRDefault="006F7DA9" w:rsidP="006F7D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June 2016 </w:t>
            </w:r>
            <w:r w:rsidR="00987203">
              <w:rPr>
                <w:color w:val="FFFFFF" w:themeColor="background1"/>
                <w:sz w:val="20"/>
                <w:szCs w:val="20"/>
              </w:rPr>
              <w:t xml:space="preserve">Finance Manual </w:t>
            </w:r>
          </w:p>
        </w:tc>
      </w:tr>
      <w:tr w:rsidR="00987203" w:rsidRPr="00CA54BA" w:rsidTr="00463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2F2F2" w:themeFill="background1" w:themeFillShade="F2"/>
          </w:tcPr>
          <w:p w:rsidR="00987203" w:rsidRPr="008C2D1F" w:rsidRDefault="00372656" w:rsidP="00463839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Section 1</w:t>
            </w:r>
            <w:r w:rsidR="00041B2D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: </w:t>
            </w:r>
            <w:r w:rsidR="00987203"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Introduction 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987203" w:rsidRPr="00463839" w:rsidRDefault="000738B9" w:rsidP="00463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463839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 xml:space="preserve">New </w:t>
            </w:r>
            <w:r w:rsidR="00CD2BFE" w:rsidRPr="00463839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section</w:t>
            </w:r>
          </w:p>
        </w:tc>
      </w:tr>
      <w:tr w:rsidR="000738B9" w:rsidRPr="00CA54BA" w:rsidTr="00463839">
        <w:trPr>
          <w:trHeight w:hRule="exact"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738B9" w:rsidRPr="008C2D1F" w:rsidRDefault="00372656" w:rsidP="00463839">
            <w:pPr>
              <w:rPr>
                <w:b w:val="0"/>
                <w:sz w:val="18"/>
              </w:rPr>
            </w:pPr>
            <w:r w:rsidRPr="008C2D1F">
              <w:rPr>
                <w:b w:val="0"/>
                <w:sz w:val="18"/>
              </w:rPr>
              <w:t xml:space="preserve">Section </w:t>
            </w:r>
            <w:r w:rsidR="000738B9" w:rsidRPr="008C2D1F">
              <w:rPr>
                <w:b w:val="0"/>
                <w:sz w:val="18"/>
              </w:rPr>
              <w:t>2</w:t>
            </w:r>
            <w:r w:rsidR="00041B2D">
              <w:rPr>
                <w:b w:val="0"/>
                <w:sz w:val="18"/>
              </w:rPr>
              <w:t>:</w:t>
            </w:r>
            <w:r w:rsidR="000738B9" w:rsidRPr="008C2D1F">
              <w:rPr>
                <w:b w:val="0"/>
                <w:sz w:val="18"/>
              </w:rPr>
              <w:t xml:space="preserve"> Governance </w:t>
            </w:r>
          </w:p>
        </w:tc>
        <w:tc>
          <w:tcPr>
            <w:tcW w:w="4536" w:type="dxa"/>
          </w:tcPr>
          <w:p w:rsidR="000738B9" w:rsidRPr="008C2D1F" w:rsidRDefault="00372656" w:rsidP="00463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Section </w:t>
            </w:r>
            <w:r w:rsidR="000738B9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1</w:t>
            </w: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.T</w:t>
            </w:r>
            <w:r w:rsidR="000738B9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he School Council</w:t>
            </w:r>
          </w:p>
          <w:p w:rsidR="000738B9" w:rsidRPr="008C2D1F" w:rsidRDefault="00372656" w:rsidP="00463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Section </w:t>
            </w:r>
            <w:r w:rsidR="000738B9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2</w:t>
            </w: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.</w:t>
            </w:r>
            <w:r w:rsidR="000738B9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 The Principal</w:t>
            </w:r>
          </w:p>
          <w:p w:rsidR="000738B9" w:rsidRPr="008C2D1F" w:rsidRDefault="00372656" w:rsidP="00463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Section </w:t>
            </w:r>
            <w:r w:rsidR="000738B9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5</w:t>
            </w: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. </w:t>
            </w:r>
            <w:r w:rsidR="000738B9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Retention of financial records</w:t>
            </w:r>
          </w:p>
          <w:p w:rsidR="000738B9" w:rsidRPr="008C2D1F" w:rsidRDefault="00372656" w:rsidP="00463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Section </w:t>
            </w:r>
            <w:r w:rsidR="000738B9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6</w:t>
            </w:r>
            <w:r w:rsidR="00233670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.</w:t>
            </w:r>
            <w:r w:rsidR="000738B9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 Register of accountable documents </w:t>
            </w:r>
          </w:p>
        </w:tc>
      </w:tr>
      <w:tr w:rsidR="000738B9" w:rsidRPr="00CA54BA" w:rsidTr="00463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2F2F2" w:themeFill="background1" w:themeFillShade="F2"/>
          </w:tcPr>
          <w:p w:rsidR="000738B9" w:rsidRPr="008C2D1F" w:rsidRDefault="00372656" w:rsidP="00463839">
            <w:pPr>
              <w:spacing w:line="240" w:lineRule="auto"/>
              <w:rPr>
                <w:b w:val="0"/>
                <w:sz w:val="18"/>
              </w:rPr>
            </w:pPr>
            <w:r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Section</w:t>
            </w:r>
            <w:r w:rsidR="00D470B2"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</w:t>
            </w:r>
            <w:r w:rsidR="000738B9"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3</w:t>
            </w:r>
            <w:r w:rsidR="00041B2D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="000738B9"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Risk Management</w:t>
            </w:r>
            <w:r w:rsidR="000738B9" w:rsidRPr="008C2D1F">
              <w:rPr>
                <w:b w:val="0"/>
                <w:sz w:val="18"/>
              </w:rPr>
              <w:t xml:space="preserve"> 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EF244C" w:rsidRDefault="000738B9" w:rsidP="00463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Section 3</w:t>
            </w:r>
            <w:r w:rsidR="00372656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.</w:t>
            </w:r>
            <w:r w:rsidR="00233670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 </w:t>
            </w: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Conflict of </w:t>
            </w:r>
            <w:r w:rsidR="00233670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I</w:t>
            </w: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nterest</w:t>
            </w:r>
          </w:p>
          <w:p w:rsidR="000738B9" w:rsidRDefault="00EF244C" w:rsidP="00463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Section 9 Reporting of Losses, Theft and Fraud</w:t>
            </w:r>
          </w:p>
          <w:p w:rsidR="00EF244C" w:rsidRDefault="00EF244C" w:rsidP="00463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</w:p>
          <w:p w:rsidR="00EF244C" w:rsidRDefault="00EF244C" w:rsidP="00463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</w:p>
          <w:p w:rsidR="00EF244C" w:rsidRDefault="00EF244C" w:rsidP="00463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</w:p>
          <w:p w:rsidR="00EF244C" w:rsidRPr="008C2D1F" w:rsidRDefault="00EF244C" w:rsidP="00463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</w:p>
          <w:p w:rsidR="000738B9" w:rsidRPr="008C2D1F" w:rsidRDefault="000738B9" w:rsidP="00463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Section 9</w:t>
            </w:r>
            <w:r w:rsidR="00372656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. </w:t>
            </w: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Reporting of Losses, Theft and Fraud</w:t>
            </w:r>
          </w:p>
        </w:tc>
      </w:tr>
      <w:tr w:rsidR="000738B9" w:rsidRPr="00CA54BA" w:rsidTr="00463839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738B9" w:rsidRPr="008C2D1F" w:rsidRDefault="00372656" w:rsidP="00463839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Section </w:t>
            </w:r>
            <w:r w:rsidR="000738B9"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4</w:t>
            </w:r>
            <w:r w:rsidR="00041B2D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="000738B9"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Internal </w:t>
            </w:r>
            <w:r w:rsid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C</w:t>
            </w:r>
            <w:r w:rsidR="000738B9"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ontrols </w:t>
            </w:r>
          </w:p>
        </w:tc>
        <w:tc>
          <w:tcPr>
            <w:tcW w:w="4536" w:type="dxa"/>
          </w:tcPr>
          <w:p w:rsidR="000738B9" w:rsidRPr="008C2D1F" w:rsidRDefault="000738B9" w:rsidP="00463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Section 7</w:t>
            </w:r>
            <w:r w:rsidR="00372656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. </w:t>
            </w: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Internal Control</w:t>
            </w:r>
          </w:p>
          <w:p w:rsidR="000738B9" w:rsidRPr="008C2D1F" w:rsidRDefault="000738B9" w:rsidP="00463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Section 16</w:t>
            </w:r>
            <w:r w:rsidR="00372656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. </w:t>
            </w: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End of Financial Year (30 June)</w:t>
            </w:r>
          </w:p>
        </w:tc>
      </w:tr>
      <w:bookmarkEnd w:id="0"/>
      <w:bookmarkEnd w:id="1"/>
      <w:bookmarkEnd w:id="2"/>
      <w:tr w:rsidR="000738B9" w:rsidRPr="00CA54BA" w:rsidTr="00463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2F2F2" w:themeFill="background1" w:themeFillShade="F2"/>
          </w:tcPr>
          <w:p w:rsidR="000738B9" w:rsidRPr="008C2D1F" w:rsidRDefault="00372656" w:rsidP="00463839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Section </w:t>
            </w:r>
            <w:r w:rsidR="000738B9"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5</w:t>
            </w:r>
            <w:r w:rsidR="00041B2D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="000738B9"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School </w:t>
            </w:r>
            <w:r w:rsid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Council Financial Assurance Program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0738B9" w:rsidRPr="008C2D1F" w:rsidRDefault="000738B9" w:rsidP="00463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Section 8</w:t>
            </w:r>
            <w:r w:rsidR="00372656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. </w:t>
            </w: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School Operational Audit Program</w:t>
            </w:r>
          </w:p>
        </w:tc>
      </w:tr>
      <w:tr w:rsidR="000738B9" w:rsidRPr="00CA54BA" w:rsidTr="00463839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738B9" w:rsidRPr="008C2D1F" w:rsidRDefault="00372656" w:rsidP="00463839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Section </w:t>
            </w:r>
            <w:r w:rsidR="000738B9"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6</w:t>
            </w:r>
            <w:r w:rsidR="00041B2D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="00D470B2"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</w:t>
            </w:r>
            <w:r w:rsidR="000738B9"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Budget </w:t>
            </w:r>
            <w:r w:rsidR="006F7DA9"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M</w:t>
            </w:r>
            <w:r w:rsidR="000738B9"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anagement</w:t>
            </w:r>
          </w:p>
        </w:tc>
        <w:tc>
          <w:tcPr>
            <w:tcW w:w="4536" w:type="dxa"/>
          </w:tcPr>
          <w:p w:rsidR="000738B9" w:rsidRPr="008C2D1F" w:rsidRDefault="000738B9" w:rsidP="00463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Section 14</w:t>
            </w:r>
            <w:r w:rsidR="00611CD7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. </w:t>
            </w: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Budget Management</w:t>
            </w:r>
          </w:p>
        </w:tc>
      </w:tr>
      <w:tr w:rsidR="000738B9" w:rsidRPr="00CA54BA" w:rsidTr="00463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2F2F2" w:themeFill="background1" w:themeFillShade="F2"/>
          </w:tcPr>
          <w:p w:rsidR="000738B9" w:rsidRPr="008C2D1F" w:rsidRDefault="00372656" w:rsidP="00463839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Section </w:t>
            </w:r>
            <w:r w:rsidR="000738B9"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7</w:t>
            </w:r>
            <w:r w:rsidR="00041B2D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</w:t>
            </w:r>
            <w:r w:rsidR="000738B9"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Chart of </w:t>
            </w:r>
            <w:r w:rsidR="006F7DA9"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A</w:t>
            </w:r>
            <w:r w:rsidR="000738B9"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ccounts 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0738B9" w:rsidRPr="008C2D1F" w:rsidRDefault="000738B9" w:rsidP="00463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Section 13</w:t>
            </w:r>
            <w:r w:rsidR="00611CD7" w:rsidRPr="008C2D1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 xml:space="preserve">. </w:t>
            </w:r>
            <w:r w:rsidRPr="008C2D1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 xml:space="preserve">Chart of </w:t>
            </w:r>
            <w:r w:rsidR="006F7DA9" w:rsidRPr="008C2D1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A</w:t>
            </w:r>
            <w:r w:rsidRPr="008C2D1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ccounts</w:t>
            </w:r>
          </w:p>
        </w:tc>
      </w:tr>
      <w:tr w:rsidR="000738B9" w:rsidRPr="00CA54BA" w:rsidTr="00463839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738B9" w:rsidRPr="008C2D1F" w:rsidRDefault="00372656" w:rsidP="00463839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Section </w:t>
            </w:r>
            <w:r w:rsidR="000738B9"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8</w:t>
            </w:r>
            <w:r w:rsidR="00041B2D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="000738B9"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Bank accounts and Investments </w:t>
            </w:r>
          </w:p>
        </w:tc>
        <w:tc>
          <w:tcPr>
            <w:tcW w:w="4536" w:type="dxa"/>
          </w:tcPr>
          <w:p w:rsidR="000738B9" w:rsidRPr="008C2D1F" w:rsidRDefault="000738B9" w:rsidP="00463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Section 10</w:t>
            </w:r>
            <w:r w:rsidR="00611CD7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. </w:t>
            </w: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Investment of school funds</w:t>
            </w:r>
          </w:p>
        </w:tc>
      </w:tr>
      <w:tr w:rsidR="000738B9" w:rsidRPr="00CA54BA" w:rsidTr="00463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2F2F2" w:themeFill="background1" w:themeFillShade="F2"/>
          </w:tcPr>
          <w:p w:rsidR="000738B9" w:rsidRPr="008C2D1F" w:rsidRDefault="00372656" w:rsidP="00463839">
            <w:pPr>
              <w:rPr>
                <w:b w:val="0"/>
                <w:sz w:val="18"/>
              </w:rPr>
            </w:pPr>
            <w:r w:rsidRPr="008C2D1F">
              <w:rPr>
                <w:b w:val="0"/>
                <w:sz w:val="18"/>
              </w:rPr>
              <w:t xml:space="preserve">Section </w:t>
            </w:r>
            <w:r w:rsidR="000738B9" w:rsidRPr="008C2D1F">
              <w:rPr>
                <w:b w:val="0"/>
                <w:sz w:val="18"/>
              </w:rPr>
              <w:t>9</w:t>
            </w:r>
            <w:r w:rsidR="00041B2D">
              <w:rPr>
                <w:b w:val="0"/>
                <w:sz w:val="18"/>
              </w:rPr>
              <w:t>:</w:t>
            </w:r>
            <w:r w:rsidR="000738B9" w:rsidRPr="008C2D1F">
              <w:rPr>
                <w:b w:val="0"/>
                <w:sz w:val="18"/>
              </w:rPr>
              <w:t xml:space="preserve"> Funding </w:t>
            </w:r>
            <w:r w:rsidR="00041B2D">
              <w:rPr>
                <w:b w:val="0"/>
                <w:sz w:val="18"/>
              </w:rPr>
              <w:t>S</w:t>
            </w:r>
            <w:r w:rsidR="000738B9" w:rsidRPr="008C2D1F">
              <w:rPr>
                <w:b w:val="0"/>
                <w:sz w:val="18"/>
              </w:rPr>
              <w:t xml:space="preserve">ources 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0738B9" w:rsidRPr="008C2D1F" w:rsidRDefault="000738B9" w:rsidP="00463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Section </w:t>
            </w:r>
            <w:r w:rsidR="00233670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4. School funding</w:t>
            </w:r>
          </w:p>
          <w:p w:rsidR="00611CD7" w:rsidRPr="008C2D1F" w:rsidRDefault="00611CD7" w:rsidP="00463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Section 11. Financial arrangements for school community associations</w:t>
            </w:r>
          </w:p>
          <w:p w:rsidR="00611CD7" w:rsidRPr="008C2D1F" w:rsidRDefault="00611CD7" w:rsidP="00463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Section 12. Fundraising</w:t>
            </w:r>
          </w:p>
          <w:p w:rsidR="00611CD7" w:rsidRPr="008C2D1F" w:rsidRDefault="00611CD7" w:rsidP="00463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Section 22. Program Coordinator Schools</w:t>
            </w:r>
          </w:p>
        </w:tc>
      </w:tr>
      <w:tr w:rsidR="000738B9" w:rsidRPr="00CA54BA" w:rsidTr="00463839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738B9" w:rsidRPr="00463839" w:rsidRDefault="00745995" w:rsidP="00463839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463839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Section </w:t>
            </w:r>
            <w:r w:rsidR="000738B9" w:rsidRPr="00463839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10</w:t>
            </w:r>
            <w:r w:rsidR="00041B2D" w:rsidRPr="00463839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="000738B9" w:rsidRPr="00463839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Receivables </w:t>
            </w:r>
            <w:r w:rsidR="00156069" w:rsidRPr="00463839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Management </w:t>
            </w:r>
            <w:r w:rsidR="000738B9" w:rsidRPr="00463839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and </w:t>
            </w:r>
            <w:r w:rsidR="00156069" w:rsidRPr="00463839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C</w:t>
            </w:r>
            <w:r w:rsidR="000738B9" w:rsidRPr="00463839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ash </w:t>
            </w:r>
            <w:r w:rsidR="00156069" w:rsidRPr="00463839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Handling.</w:t>
            </w:r>
          </w:p>
        </w:tc>
        <w:tc>
          <w:tcPr>
            <w:tcW w:w="4536" w:type="dxa"/>
          </w:tcPr>
          <w:p w:rsidR="000738B9" w:rsidRPr="008C2D1F" w:rsidRDefault="006F7DA9" w:rsidP="00463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Section 16. End of Financial Year </w:t>
            </w:r>
            <w:r w:rsidR="00053A56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 reporting </w:t>
            </w: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(30 June)</w:t>
            </w:r>
          </w:p>
          <w:p w:rsidR="006F7DA9" w:rsidRPr="008C2D1F" w:rsidRDefault="006F7DA9" w:rsidP="00463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Section 17. Receipting and banking</w:t>
            </w:r>
          </w:p>
          <w:p w:rsidR="006F7DA9" w:rsidRPr="008C2D1F" w:rsidRDefault="006F7DA9" w:rsidP="00463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Section 18. Purchasing </w:t>
            </w:r>
            <w:r w:rsidRPr="008C2D1F">
              <w:rPr>
                <w:sz w:val="18"/>
              </w:rPr>
              <w:t xml:space="preserve"> </w:t>
            </w:r>
          </w:p>
        </w:tc>
      </w:tr>
      <w:tr w:rsidR="000738B9" w:rsidRPr="00CA54BA" w:rsidTr="00463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2F2F2" w:themeFill="background1" w:themeFillShade="F2"/>
          </w:tcPr>
          <w:p w:rsidR="000738B9" w:rsidRPr="008C2D1F" w:rsidRDefault="00745995" w:rsidP="00463839">
            <w:pPr>
              <w:rPr>
                <w:b w:val="0"/>
                <w:sz w:val="18"/>
              </w:rPr>
            </w:pPr>
            <w:r w:rsidRPr="008C2D1F">
              <w:rPr>
                <w:b w:val="0"/>
                <w:sz w:val="18"/>
              </w:rPr>
              <w:lastRenderedPageBreak/>
              <w:t xml:space="preserve">Section. </w:t>
            </w:r>
            <w:r w:rsidR="000738B9" w:rsidRPr="008C2D1F">
              <w:rPr>
                <w:b w:val="0"/>
                <w:sz w:val="18"/>
              </w:rPr>
              <w:t>11</w:t>
            </w:r>
            <w:r w:rsidR="00041B2D">
              <w:rPr>
                <w:b w:val="0"/>
                <w:sz w:val="18"/>
              </w:rPr>
              <w:t>:</w:t>
            </w:r>
            <w:r w:rsidR="000738B9" w:rsidRPr="008C2D1F">
              <w:rPr>
                <w:b w:val="0"/>
                <w:sz w:val="18"/>
              </w:rPr>
              <w:t xml:space="preserve"> Expenditure </w:t>
            </w:r>
            <w:r w:rsidR="00156069">
              <w:rPr>
                <w:b w:val="0"/>
                <w:sz w:val="18"/>
              </w:rPr>
              <w:t>M</w:t>
            </w:r>
            <w:r w:rsidR="000738B9" w:rsidRPr="008C2D1F">
              <w:rPr>
                <w:b w:val="0"/>
                <w:sz w:val="18"/>
              </w:rPr>
              <w:t xml:space="preserve">anagement 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0738B9" w:rsidRPr="008C2D1F" w:rsidRDefault="000738B9" w:rsidP="00463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Section 18</w:t>
            </w:r>
            <w:r w:rsidR="006F7DA9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. </w:t>
            </w: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Purchasing </w:t>
            </w:r>
          </w:p>
          <w:p w:rsidR="000738B9" w:rsidRPr="008C2D1F" w:rsidRDefault="000738B9" w:rsidP="00463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Section 19</w:t>
            </w:r>
            <w:r w:rsidR="006F7DA9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. </w:t>
            </w: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School Level Payroll</w:t>
            </w:r>
          </w:p>
          <w:p w:rsidR="000738B9" w:rsidRPr="008C2D1F" w:rsidRDefault="000738B9" w:rsidP="00463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Section 20</w:t>
            </w:r>
            <w:r w:rsidR="006F7DA9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. </w:t>
            </w: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Contracts</w:t>
            </w:r>
          </w:p>
        </w:tc>
      </w:tr>
      <w:tr w:rsidR="000738B9" w:rsidRPr="00CA54BA" w:rsidTr="00463839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738B9" w:rsidRPr="008C2D1F" w:rsidRDefault="00745995" w:rsidP="00463839">
            <w:pPr>
              <w:rPr>
                <w:b w:val="0"/>
                <w:sz w:val="18"/>
              </w:rPr>
            </w:pPr>
            <w:r w:rsidRPr="008C2D1F">
              <w:rPr>
                <w:b w:val="0"/>
                <w:sz w:val="18"/>
              </w:rPr>
              <w:t xml:space="preserve">Section </w:t>
            </w:r>
            <w:r w:rsidR="000738B9" w:rsidRPr="008C2D1F">
              <w:rPr>
                <w:b w:val="0"/>
                <w:sz w:val="18"/>
              </w:rPr>
              <w:t>12</w:t>
            </w:r>
            <w:r w:rsidR="00041B2D">
              <w:rPr>
                <w:b w:val="0"/>
                <w:sz w:val="18"/>
              </w:rPr>
              <w:t>:</w:t>
            </w:r>
            <w:r w:rsidR="000738B9" w:rsidRPr="008C2D1F">
              <w:rPr>
                <w:b w:val="0"/>
                <w:sz w:val="18"/>
              </w:rPr>
              <w:t xml:space="preserve"> Trading Operations </w:t>
            </w:r>
          </w:p>
        </w:tc>
        <w:tc>
          <w:tcPr>
            <w:tcW w:w="4536" w:type="dxa"/>
          </w:tcPr>
          <w:p w:rsidR="000738B9" w:rsidRPr="008C2D1F" w:rsidRDefault="00745995" w:rsidP="00463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Section 23</w:t>
            </w:r>
            <w:r w:rsidR="00935481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. Trading </w:t>
            </w:r>
            <w:r w:rsidR="00CD2BFE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O</w:t>
            </w:r>
            <w:r w:rsidR="00935481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perations </w:t>
            </w:r>
          </w:p>
          <w:p w:rsidR="00745995" w:rsidRPr="008C2D1F" w:rsidRDefault="00745995" w:rsidP="00463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Section 24</w:t>
            </w:r>
            <w:r w:rsidR="00935481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. Canteens</w:t>
            </w:r>
          </w:p>
        </w:tc>
      </w:tr>
      <w:tr w:rsidR="000738B9" w:rsidRPr="00CA54BA" w:rsidTr="00463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2F2F2" w:themeFill="background1" w:themeFillShade="F2"/>
          </w:tcPr>
          <w:p w:rsidR="000738B9" w:rsidRPr="008C2D1F" w:rsidRDefault="00745995" w:rsidP="00463839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Section </w:t>
            </w:r>
            <w:r w:rsidR="000738B9"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13</w:t>
            </w:r>
            <w:r w:rsidR="00041B2D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="000738B9"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Asset and </w:t>
            </w:r>
            <w:r w:rsidR="00156069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I</w:t>
            </w:r>
            <w:r w:rsidR="000738B9"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nventory </w:t>
            </w:r>
            <w:r w:rsidR="00156069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M</w:t>
            </w:r>
            <w:r w:rsidR="000738B9"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anagement 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0738B9" w:rsidRPr="008C2D1F" w:rsidRDefault="006F7DA9" w:rsidP="00463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Section 21. Asset Management</w:t>
            </w:r>
          </w:p>
        </w:tc>
      </w:tr>
      <w:tr w:rsidR="00170436" w:rsidRPr="00CA54BA" w:rsidTr="00463839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2D46BC" w:rsidRPr="008C2D1F" w:rsidRDefault="00745995" w:rsidP="00463839">
            <w:pPr>
              <w:rPr>
                <w:b w:val="0"/>
                <w:sz w:val="18"/>
              </w:rPr>
            </w:pPr>
            <w:r w:rsidRPr="008C2D1F">
              <w:rPr>
                <w:b w:val="0"/>
                <w:sz w:val="18"/>
              </w:rPr>
              <w:t>Section 14</w:t>
            </w:r>
            <w:r w:rsidR="00041B2D">
              <w:rPr>
                <w:b w:val="0"/>
                <w:sz w:val="18"/>
              </w:rPr>
              <w:t>:</w:t>
            </w:r>
            <w:r w:rsidRPr="008C2D1F">
              <w:rPr>
                <w:b w:val="0"/>
                <w:sz w:val="18"/>
              </w:rPr>
              <w:t xml:space="preserve"> Liabilities Management</w:t>
            </w:r>
          </w:p>
        </w:tc>
        <w:tc>
          <w:tcPr>
            <w:tcW w:w="4536" w:type="dxa"/>
          </w:tcPr>
          <w:p w:rsidR="002D46BC" w:rsidRPr="008C2D1F" w:rsidRDefault="006F7DA9" w:rsidP="00463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Section 16.</w:t>
            </w:r>
            <w:r w:rsidR="00935481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 End of Financial Year reporting (30 June)</w:t>
            </w:r>
          </w:p>
          <w:p w:rsidR="006F7DA9" w:rsidRPr="008C2D1F" w:rsidRDefault="006F7DA9" w:rsidP="00463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Section 25.</w:t>
            </w:r>
            <w:r w:rsidR="00935481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 Cooperative </w:t>
            </w:r>
            <w:r w:rsidR="00CD2BFE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A</w:t>
            </w:r>
            <w:r w:rsidR="00935481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ccounts </w:t>
            </w:r>
          </w:p>
        </w:tc>
      </w:tr>
      <w:tr w:rsidR="00311626" w:rsidRPr="00CA54BA" w:rsidTr="00463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2F2F2" w:themeFill="background1" w:themeFillShade="F2"/>
          </w:tcPr>
          <w:p w:rsidR="00311626" w:rsidRPr="008C2D1F" w:rsidRDefault="00745995" w:rsidP="00463839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Section. 15</w:t>
            </w:r>
            <w:r w:rsidR="00041B2D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Taxation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311626" w:rsidRPr="008C2D1F" w:rsidRDefault="00935481" w:rsidP="00463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New</w:t>
            </w:r>
            <w:r w:rsidR="00145261" w:rsidRPr="008C2D1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 xml:space="preserve"> </w:t>
            </w:r>
            <w:r w:rsidR="00B9377A" w:rsidRPr="008C2D1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 xml:space="preserve">section </w:t>
            </w:r>
            <w:r w:rsidR="00145261" w:rsidRPr="008C2D1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and part of section 18 Purchasing (GST)</w:t>
            </w:r>
          </w:p>
        </w:tc>
      </w:tr>
      <w:tr w:rsidR="00170436" w:rsidRPr="00CA54BA" w:rsidTr="004638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40B6F" w:rsidRPr="008C2D1F" w:rsidRDefault="00745995" w:rsidP="00463839">
            <w:pPr>
              <w:rPr>
                <w:b w:val="0"/>
                <w:sz w:val="18"/>
              </w:rPr>
            </w:pPr>
            <w:r w:rsidRPr="008C2D1F">
              <w:rPr>
                <w:b w:val="0"/>
                <w:sz w:val="18"/>
              </w:rPr>
              <w:t>Section 16</w:t>
            </w:r>
            <w:r w:rsidR="00041B2D">
              <w:rPr>
                <w:b w:val="0"/>
                <w:sz w:val="18"/>
              </w:rPr>
              <w:t>:</w:t>
            </w:r>
            <w:r w:rsidRPr="008C2D1F">
              <w:rPr>
                <w:b w:val="0"/>
                <w:sz w:val="18"/>
              </w:rPr>
              <w:t xml:space="preserve"> Reporting Performance</w:t>
            </w:r>
          </w:p>
        </w:tc>
        <w:tc>
          <w:tcPr>
            <w:tcW w:w="4536" w:type="dxa"/>
          </w:tcPr>
          <w:p w:rsidR="00935481" w:rsidRPr="008C2D1F" w:rsidRDefault="00145261" w:rsidP="00463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New</w:t>
            </w:r>
            <w:r w:rsidR="00B9377A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 section</w:t>
            </w:r>
          </w:p>
          <w:p w:rsidR="00145261" w:rsidRPr="008C2D1F" w:rsidRDefault="00145261" w:rsidP="00463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Section 15. Financial Commitment Summary</w:t>
            </w:r>
          </w:p>
        </w:tc>
      </w:tr>
      <w:tr w:rsidR="00A40B6F" w:rsidRPr="00CA54BA" w:rsidTr="00463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2F2F2" w:themeFill="background1" w:themeFillShade="F2"/>
          </w:tcPr>
          <w:p w:rsidR="00A40B6F" w:rsidRPr="008C2D1F" w:rsidRDefault="00745995" w:rsidP="00463839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Section 17</w:t>
            </w:r>
            <w:r w:rsidR="00041B2D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End of Year (31 December)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A40B6F" w:rsidRPr="008C2D1F" w:rsidRDefault="00145261" w:rsidP="00463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New</w:t>
            </w:r>
            <w:r w:rsidR="00B9377A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 section</w:t>
            </w:r>
          </w:p>
        </w:tc>
      </w:tr>
      <w:tr w:rsidR="00170436" w:rsidRPr="00CA54BA" w:rsidTr="00463839">
        <w:trPr>
          <w:trHeight w:hRule="exact"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40B6F" w:rsidRPr="008C2D1F" w:rsidRDefault="00745995" w:rsidP="00463839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Section 18</w:t>
            </w:r>
            <w:r w:rsidR="00041B2D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End of Financial Year</w:t>
            </w:r>
            <w:r w:rsidR="00156069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reporting (</w:t>
            </w:r>
            <w:r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30 June</w:t>
            </w:r>
            <w:r w:rsidR="00156069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)</w:t>
            </w:r>
          </w:p>
        </w:tc>
        <w:tc>
          <w:tcPr>
            <w:tcW w:w="4536" w:type="dxa"/>
          </w:tcPr>
          <w:p w:rsidR="00A40B6F" w:rsidRPr="008C2D1F" w:rsidRDefault="00935481" w:rsidP="00463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Section </w:t>
            </w:r>
            <w:r w:rsidR="00145261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16</w:t>
            </w: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. </w:t>
            </w:r>
            <w:r w:rsidR="00145261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End of Financial Year reporting (30 June</w:t>
            </w:r>
            <w:r w:rsidR="00145261" w:rsidRPr="008C2D1F">
              <w:rPr>
                <w:rFonts w:eastAsia="Times New Roman"/>
                <w:b/>
                <w:color w:val="181717"/>
                <w:kern w:val="24"/>
                <w:sz w:val="18"/>
                <w:lang w:eastAsia="en-AU"/>
              </w:rPr>
              <w:t>)</w:t>
            </w:r>
          </w:p>
        </w:tc>
      </w:tr>
      <w:tr w:rsidR="00A40B6F" w:rsidRPr="00CA54BA" w:rsidTr="00463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2F2F2" w:themeFill="background1" w:themeFillShade="F2"/>
          </w:tcPr>
          <w:p w:rsidR="00A40B6F" w:rsidRPr="008C2D1F" w:rsidRDefault="00745995" w:rsidP="00463839">
            <w:pPr>
              <w:spacing w:line="240" w:lineRule="auto"/>
              <w:rPr>
                <w:b w:val="0"/>
                <w:sz w:val="18"/>
              </w:rPr>
            </w:pPr>
            <w:r w:rsidRPr="00463839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Section 19</w:t>
            </w:r>
            <w:r w:rsidR="00041B2D" w:rsidRPr="00463839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Pr="00463839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Financial Handover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A40B6F" w:rsidRPr="00EF244C" w:rsidRDefault="00935481" w:rsidP="00463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EF244C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Section 2</w:t>
            </w:r>
            <w:r w:rsidR="00B9377A" w:rsidRPr="00EF244C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6</w:t>
            </w:r>
            <w:r w:rsidRPr="00EF244C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. </w:t>
            </w:r>
            <w:r w:rsidR="00B9377A" w:rsidRPr="00EF244C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Handover of Financial Information (Change of Principal) </w:t>
            </w:r>
          </w:p>
          <w:p w:rsidR="00EF244C" w:rsidRPr="008C2D1F" w:rsidRDefault="00EF244C" w:rsidP="00463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F244C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Section</w:t>
            </w:r>
            <w:r>
              <w:rPr>
                <w:sz w:val="18"/>
              </w:rPr>
              <w:t xml:space="preserve"> 28 Principal Financial Handover Statement</w:t>
            </w:r>
          </w:p>
        </w:tc>
      </w:tr>
      <w:tr w:rsidR="00170436" w:rsidRPr="00220464" w:rsidTr="00463839">
        <w:trPr>
          <w:trHeight w:hRule="exact"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40B6F" w:rsidRPr="008C2D1F" w:rsidRDefault="00745995" w:rsidP="00463839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Section 20</w:t>
            </w:r>
            <w:r w:rsidR="00041B2D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Opening</w:t>
            </w:r>
            <w:r w:rsidR="00156069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, Closing and </w:t>
            </w:r>
            <w:r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Merging</w:t>
            </w:r>
            <w:r w:rsidR="00156069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Schools</w:t>
            </w:r>
          </w:p>
        </w:tc>
        <w:tc>
          <w:tcPr>
            <w:tcW w:w="4536" w:type="dxa"/>
          </w:tcPr>
          <w:p w:rsidR="00A40B6F" w:rsidRPr="008C2D1F" w:rsidRDefault="00B9377A" w:rsidP="00463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Section 27. School Closure/Merger Financial Arrangements</w:t>
            </w:r>
          </w:p>
        </w:tc>
      </w:tr>
      <w:tr w:rsidR="00A40B6F" w:rsidRPr="00CA54BA" w:rsidTr="00463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2F2F2" w:themeFill="background1" w:themeFillShade="F2"/>
          </w:tcPr>
          <w:p w:rsidR="00A40B6F" w:rsidRPr="008C2D1F" w:rsidRDefault="00B70470" w:rsidP="00463839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Section 21</w:t>
            </w:r>
            <w:r w:rsidR="00041B2D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Insurance</w:t>
            </w:r>
            <w:r w:rsidR="00041B2D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Arrangements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A40B6F" w:rsidRPr="008C2D1F" w:rsidRDefault="00745995" w:rsidP="00463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New</w:t>
            </w:r>
            <w:r w:rsidR="00B9377A"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 xml:space="preserve"> section</w:t>
            </w:r>
          </w:p>
        </w:tc>
      </w:tr>
      <w:tr w:rsidR="00170436" w:rsidRPr="00CA54BA" w:rsidTr="00463839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40B6F" w:rsidRPr="008C2D1F" w:rsidRDefault="00B70470" w:rsidP="00463839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Appendix A</w:t>
            </w:r>
            <w:r w:rsidR="00041B2D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:</w:t>
            </w:r>
            <w:r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 </w:t>
            </w:r>
            <w:r w:rsidR="005A4326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 xml:space="preserve">Glossary of terms and </w:t>
            </w:r>
            <w:r w:rsidR="00053A56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a</w:t>
            </w:r>
            <w:r w:rsidRP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cronym</w:t>
            </w:r>
            <w:r w:rsidR="008C2D1F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s</w:t>
            </w:r>
          </w:p>
        </w:tc>
        <w:tc>
          <w:tcPr>
            <w:tcW w:w="4536" w:type="dxa"/>
          </w:tcPr>
          <w:p w:rsidR="00A40B6F" w:rsidRPr="008C2D1F" w:rsidRDefault="00745995" w:rsidP="004638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Section 3</w:t>
            </w:r>
            <w:r w:rsidR="00B9377A" w:rsidRPr="008C2D1F">
              <w:rPr>
                <w:rFonts w:eastAsia="Times New Roman"/>
                <w:bCs/>
                <w:color w:val="181717"/>
                <w:kern w:val="24"/>
                <w:sz w:val="18"/>
                <w:lang w:eastAsia="en-AU"/>
              </w:rPr>
              <w:t>1. Glossary</w:t>
            </w:r>
          </w:p>
        </w:tc>
      </w:tr>
      <w:tr w:rsidR="00B62738" w:rsidRPr="00CA54BA" w:rsidTr="00463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2F2F2" w:themeFill="background1" w:themeFillShade="F2"/>
          </w:tcPr>
          <w:p w:rsidR="00B62738" w:rsidRPr="008C2D1F" w:rsidRDefault="00156069" w:rsidP="00463839">
            <w:pPr>
              <w:spacing w:line="240" w:lineRule="auto"/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</w:pPr>
            <w:r w:rsidRPr="00156069">
              <w:rPr>
                <w:rFonts w:eastAsia="Times New Roman"/>
                <w:b w:val="0"/>
                <w:color w:val="181717"/>
                <w:kern w:val="24"/>
                <w:sz w:val="18"/>
                <w:lang w:eastAsia="en-AU"/>
              </w:rPr>
              <w:t>Comparison table of content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B62738" w:rsidRPr="008C2D1F" w:rsidRDefault="00745995" w:rsidP="00463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81717"/>
                <w:kern w:val="24"/>
                <w:sz w:val="18"/>
                <w:lang w:eastAsia="en-AU"/>
              </w:rPr>
            </w:pPr>
            <w:r w:rsidRPr="008C2D1F">
              <w:rPr>
                <w:rFonts w:eastAsia="Times New Roman"/>
                <w:color w:val="181717"/>
                <w:kern w:val="24"/>
                <w:sz w:val="18"/>
                <w:lang w:eastAsia="en-AU"/>
              </w:rPr>
              <w:t>New</w:t>
            </w:r>
          </w:p>
        </w:tc>
      </w:tr>
      <w:tr w:rsidR="00170436" w:rsidRPr="00CA54BA" w:rsidTr="00463839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FFFFF" w:themeFill="background1"/>
          </w:tcPr>
          <w:p w:rsidR="00A40B6F" w:rsidRPr="008C2D1F" w:rsidRDefault="00156069" w:rsidP="00463839">
            <w:pPr>
              <w:rPr>
                <w:sz w:val="18"/>
              </w:rPr>
            </w:pPr>
            <w:r w:rsidRPr="00156069">
              <w:rPr>
                <w:b w:val="0"/>
                <w:sz w:val="18"/>
              </w:rPr>
              <w:t xml:space="preserve">Version and </w:t>
            </w:r>
            <w:r w:rsidR="00041B2D">
              <w:rPr>
                <w:b w:val="0"/>
                <w:sz w:val="18"/>
              </w:rPr>
              <w:t>r</w:t>
            </w:r>
            <w:r w:rsidRPr="00156069">
              <w:rPr>
                <w:b w:val="0"/>
                <w:sz w:val="18"/>
              </w:rPr>
              <w:t>evision control record</w:t>
            </w:r>
          </w:p>
        </w:tc>
        <w:tc>
          <w:tcPr>
            <w:tcW w:w="4536" w:type="dxa"/>
            <w:shd w:val="clear" w:color="auto" w:fill="FFFFFF" w:themeFill="background1"/>
          </w:tcPr>
          <w:p w:rsidR="00AF3B73" w:rsidRPr="008C2D1F" w:rsidRDefault="00CD2BFE" w:rsidP="00463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C2D1F">
              <w:rPr>
                <w:sz w:val="18"/>
              </w:rPr>
              <w:t>New</w:t>
            </w:r>
          </w:p>
        </w:tc>
      </w:tr>
      <w:tr w:rsidR="00A40B6F" w:rsidRPr="00CA54BA" w:rsidTr="00463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2F2F2" w:themeFill="background1" w:themeFillShade="F2"/>
          </w:tcPr>
          <w:p w:rsidR="00A40B6F" w:rsidRPr="008C2D1F" w:rsidRDefault="00A40B6F" w:rsidP="00463839">
            <w:pPr>
              <w:rPr>
                <w:sz w:val="18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:rsidR="00A40B6F" w:rsidRPr="008C2D1F" w:rsidRDefault="00935481" w:rsidP="00463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8C2D1F">
              <w:rPr>
                <w:sz w:val="18"/>
              </w:rPr>
              <w:t>Retired Section 29</w:t>
            </w:r>
            <w:r w:rsidR="00156069">
              <w:rPr>
                <w:sz w:val="18"/>
              </w:rPr>
              <w:t>.</w:t>
            </w:r>
            <w:r w:rsidRPr="008C2D1F">
              <w:rPr>
                <w:sz w:val="18"/>
              </w:rPr>
              <w:t xml:space="preserve"> Cash</w:t>
            </w:r>
            <w:r w:rsidR="00053A56">
              <w:rPr>
                <w:sz w:val="18"/>
              </w:rPr>
              <w:t xml:space="preserve"> F</w:t>
            </w:r>
            <w:r w:rsidRPr="008C2D1F">
              <w:rPr>
                <w:sz w:val="18"/>
              </w:rPr>
              <w:t>low Report Example</w:t>
            </w:r>
          </w:p>
        </w:tc>
      </w:tr>
      <w:tr w:rsidR="00170436" w:rsidRPr="00CA54BA" w:rsidTr="00463839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FFFFF" w:themeFill="background1"/>
          </w:tcPr>
          <w:p w:rsidR="00A40B6F" w:rsidRPr="008C2D1F" w:rsidRDefault="00A40B6F" w:rsidP="00463839">
            <w:pPr>
              <w:rPr>
                <w:sz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40B6F" w:rsidRPr="008C2D1F" w:rsidRDefault="00CD2BFE" w:rsidP="00463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C2D1F">
              <w:rPr>
                <w:sz w:val="18"/>
              </w:rPr>
              <w:t>Retired Section 30</w:t>
            </w:r>
            <w:r w:rsidR="00156069">
              <w:rPr>
                <w:sz w:val="18"/>
              </w:rPr>
              <w:t>.</w:t>
            </w:r>
            <w:r w:rsidRPr="008C2D1F">
              <w:rPr>
                <w:sz w:val="18"/>
              </w:rPr>
              <w:t xml:space="preserve"> References</w:t>
            </w:r>
          </w:p>
        </w:tc>
      </w:tr>
    </w:tbl>
    <w:p w:rsidR="00CA2F7D" w:rsidRDefault="00CA2F7D" w:rsidP="00CA2F7D"/>
    <w:p w:rsidR="0051778F" w:rsidRPr="006F7B96" w:rsidRDefault="00317AB9" w:rsidP="00CA2F7D">
      <w:pPr>
        <w:pStyle w:val="Heading2"/>
      </w:pPr>
      <w:r>
        <w:t>Additional r</w:t>
      </w:r>
      <w:r w:rsidR="0051778F" w:rsidRPr="006F7B96">
        <w:t>esources</w:t>
      </w:r>
      <w:r w:rsidR="00A223D8" w:rsidRPr="006F7B96">
        <w:t xml:space="preserve"> </w:t>
      </w:r>
      <w:r w:rsidR="00F1412D">
        <w:t>and support</w:t>
      </w:r>
    </w:p>
    <w:p w:rsidR="005B2959" w:rsidRPr="00803374" w:rsidRDefault="005B2959" w:rsidP="005B2959">
      <w:pPr>
        <w:pStyle w:val="ListBullet"/>
      </w:pPr>
      <w:r w:rsidRPr="00803374">
        <w:t xml:space="preserve">For </w:t>
      </w:r>
      <w:r>
        <w:t>more</w:t>
      </w:r>
      <w:r w:rsidRPr="00803374">
        <w:t xml:space="preserve"> information, contact the CASES21 Support staff via the Service Gateway or Service Desk. Access </w:t>
      </w:r>
      <w:r w:rsidR="003E253C" w:rsidRPr="00803374">
        <w:t xml:space="preserve">the </w:t>
      </w:r>
      <w:hyperlink r:id="rId12" w:history="1">
        <w:r w:rsidR="003E253C" w:rsidRPr="003E253C">
          <w:rPr>
            <w:rStyle w:val="Hyperlink"/>
          </w:rPr>
          <w:t>Service Gateway</w:t>
        </w:r>
      </w:hyperlink>
      <w:r w:rsidR="003E253C">
        <w:t xml:space="preserve"> </w:t>
      </w:r>
      <w:r w:rsidRPr="00803374">
        <w:t>or 1800 641 943</w:t>
      </w:r>
      <w:r>
        <w:t>.</w:t>
      </w:r>
    </w:p>
    <w:p w:rsidR="005B2959" w:rsidRDefault="005B2959" w:rsidP="00F836BE">
      <w:pPr>
        <w:pStyle w:val="ListBullet"/>
      </w:pPr>
      <w:r w:rsidRPr="005B2959">
        <w:t xml:space="preserve">Contact the Schools Financial Management Support team. Email </w:t>
      </w:r>
      <w:hyperlink r:id="rId13" w:history="1">
        <w:r w:rsidRPr="005B2959">
          <w:rPr>
            <w:rStyle w:val="Hyperlink"/>
          </w:rPr>
          <w:t>schools.finance.support@edumail.vic.gov.au</w:t>
        </w:r>
      </w:hyperlink>
      <w:r>
        <w:t xml:space="preserve"> for assistance.</w:t>
      </w:r>
    </w:p>
    <w:p w:rsidR="001D1B98" w:rsidRDefault="001D1B98" w:rsidP="001D1B98">
      <w:pPr>
        <w:pStyle w:val="ListBullet"/>
        <w:numPr>
          <w:ilvl w:val="0"/>
          <w:numId w:val="0"/>
        </w:numPr>
        <w:ind w:left="360" w:hanging="360"/>
      </w:pPr>
    </w:p>
    <w:p w:rsidR="00AB76C9" w:rsidRDefault="00AB76C9">
      <w:pPr>
        <w:spacing w:before="0" w:line="240" w:lineRule="auto"/>
        <w:rPr>
          <w:rFonts w:eastAsiaTheme="minorHAnsi" w:cstheme="minorBidi"/>
          <w:szCs w:val="22"/>
          <w:lang w:val="en-AU"/>
        </w:rPr>
      </w:pPr>
      <w:r>
        <w:br w:type="page"/>
      </w:r>
    </w:p>
    <w:p w:rsidR="001D1B98" w:rsidRDefault="001D1B98" w:rsidP="001D1B98">
      <w:pPr>
        <w:pStyle w:val="ListBullet"/>
        <w:numPr>
          <w:ilvl w:val="0"/>
          <w:numId w:val="0"/>
        </w:numPr>
        <w:ind w:left="360" w:hanging="360"/>
      </w:pPr>
    </w:p>
    <w:p w:rsidR="001D1B98" w:rsidRDefault="001D1B98" w:rsidP="001D1B98">
      <w:pPr>
        <w:pStyle w:val="ListBullet"/>
        <w:numPr>
          <w:ilvl w:val="0"/>
          <w:numId w:val="0"/>
        </w:numPr>
        <w:ind w:left="360" w:hanging="360"/>
      </w:pPr>
    </w:p>
    <w:p w:rsidR="001D1B98" w:rsidRDefault="001D1B98" w:rsidP="001D1B98">
      <w:pPr>
        <w:pStyle w:val="ListBullet"/>
        <w:numPr>
          <w:ilvl w:val="0"/>
          <w:numId w:val="0"/>
        </w:numPr>
        <w:ind w:left="360" w:hanging="360"/>
      </w:pPr>
    </w:p>
    <w:p w:rsidR="001D1B98" w:rsidRDefault="001D1B98" w:rsidP="001D1B98">
      <w:pPr>
        <w:pStyle w:val="ListBullet"/>
        <w:numPr>
          <w:ilvl w:val="0"/>
          <w:numId w:val="0"/>
        </w:numPr>
        <w:ind w:left="360" w:hanging="360"/>
      </w:pPr>
    </w:p>
    <w:p w:rsidR="001D1B98" w:rsidRDefault="001D1B98" w:rsidP="001D1B98">
      <w:pPr>
        <w:pStyle w:val="ListBullet"/>
        <w:numPr>
          <w:ilvl w:val="0"/>
          <w:numId w:val="0"/>
        </w:numPr>
        <w:ind w:left="360" w:hanging="360"/>
      </w:pPr>
    </w:p>
    <w:p w:rsidR="001D1B98" w:rsidRDefault="001D1B98" w:rsidP="001D1B98">
      <w:pPr>
        <w:pStyle w:val="ListBullet"/>
        <w:numPr>
          <w:ilvl w:val="0"/>
          <w:numId w:val="0"/>
        </w:numPr>
        <w:ind w:left="360" w:hanging="360"/>
      </w:pPr>
    </w:p>
    <w:p w:rsidR="001D1B98" w:rsidRDefault="001D1B98" w:rsidP="001D1B98">
      <w:pPr>
        <w:pStyle w:val="ListBullet"/>
        <w:numPr>
          <w:ilvl w:val="0"/>
          <w:numId w:val="0"/>
        </w:numPr>
        <w:ind w:left="360" w:hanging="360"/>
      </w:pPr>
    </w:p>
    <w:p w:rsidR="001D1B98" w:rsidRDefault="001D1B98" w:rsidP="001D1B98">
      <w:pPr>
        <w:pStyle w:val="ListBullet"/>
        <w:numPr>
          <w:ilvl w:val="0"/>
          <w:numId w:val="0"/>
        </w:numPr>
        <w:ind w:left="360" w:hanging="360"/>
      </w:pPr>
    </w:p>
    <w:p w:rsidR="001D1B98" w:rsidRDefault="001D1B98" w:rsidP="001D1B98">
      <w:pPr>
        <w:pStyle w:val="ListBullet"/>
        <w:numPr>
          <w:ilvl w:val="0"/>
          <w:numId w:val="0"/>
        </w:numPr>
        <w:ind w:left="360" w:hanging="360"/>
      </w:pPr>
    </w:p>
    <w:p w:rsidR="001D1B98" w:rsidRDefault="001D1B98" w:rsidP="001D1B98">
      <w:pPr>
        <w:pStyle w:val="ListBullet"/>
        <w:numPr>
          <w:ilvl w:val="0"/>
          <w:numId w:val="0"/>
        </w:numPr>
        <w:ind w:left="360" w:hanging="360"/>
      </w:pPr>
    </w:p>
    <w:p w:rsidR="001D1B98" w:rsidRDefault="001D1B98" w:rsidP="001D1B98">
      <w:pPr>
        <w:pStyle w:val="ListBullet"/>
        <w:numPr>
          <w:ilvl w:val="0"/>
          <w:numId w:val="0"/>
        </w:numPr>
        <w:ind w:left="360" w:hanging="360"/>
      </w:pPr>
    </w:p>
    <w:p w:rsidR="001D1B98" w:rsidRDefault="001D1B98" w:rsidP="001D1B98">
      <w:pPr>
        <w:pStyle w:val="ListBullet"/>
        <w:numPr>
          <w:ilvl w:val="0"/>
          <w:numId w:val="0"/>
        </w:numPr>
        <w:ind w:left="360" w:hanging="360"/>
      </w:pPr>
    </w:p>
    <w:p w:rsidR="001D1B98" w:rsidRDefault="001D1B98" w:rsidP="001D1B98">
      <w:pPr>
        <w:pStyle w:val="ListBullet"/>
        <w:numPr>
          <w:ilvl w:val="0"/>
          <w:numId w:val="0"/>
        </w:numPr>
        <w:ind w:left="360" w:hanging="360"/>
      </w:pPr>
    </w:p>
    <w:p w:rsidR="001D1B98" w:rsidRDefault="001D1B98" w:rsidP="001D1B98">
      <w:pPr>
        <w:pStyle w:val="ListBullet"/>
        <w:numPr>
          <w:ilvl w:val="0"/>
          <w:numId w:val="0"/>
        </w:numPr>
        <w:ind w:left="360" w:hanging="360"/>
      </w:pPr>
    </w:p>
    <w:p w:rsidR="001D1B98" w:rsidRDefault="001D1B98" w:rsidP="001D1B98">
      <w:pPr>
        <w:pStyle w:val="ListBullet"/>
        <w:numPr>
          <w:ilvl w:val="0"/>
          <w:numId w:val="0"/>
        </w:numPr>
        <w:ind w:left="360" w:hanging="360"/>
      </w:pPr>
    </w:p>
    <w:p w:rsidR="001D1B98" w:rsidRDefault="001D1B98" w:rsidP="001D1B98">
      <w:pPr>
        <w:pStyle w:val="ListBullet"/>
        <w:numPr>
          <w:ilvl w:val="0"/>
          <w:numId w:val="0"/>
        </w:numPr>
        <w:ind w:left="360" w:hanging="360"/>
      </w:pPr>
    </w:p>
    <w:p w:rsidR="001D1B98" w:rsidRDefault="001D1B98" w:rsidP="001D1B98">
      <w:pPr>
        <w:pStyle w:val="ListBullet"/>
        <w:numPr>
          <w:ilvl w:val="0"/>
          <w:numId w:val="0"/>
        </w:numPr>
        <w:ind w:left="360" w:hanging="360"/>
      </w:pPr>
    </w:p>
    <w:p w:rsidR="001D1B98" w:rsidRDefault="001D1B98" w:rsidP="001D1B98">
      <w:pPr>
        <w:pStyle w:val="ListBullet"/>
        <w:numPr>
          <w:ilvl w:val="0"/>
          <w:numId w:val="0"/>
        </w:numPr>
        <w:ind w:left="360" w:hanging="360"/>
      </w:pPr>
    </w:p>
    <w:p w:rsidR="001D1B98" w:rsidRDefault="001D1B98" w:rsidP="001D1B98">
      <w:pPr>
        <w:pStyle w:val="ListBullet"/>
        <w:numPr>
          <w:ilvl w:val="0"/>
          <w:numId w:val="0"/>
        </w:numPr>
        <w:ind w:left="360" w:hanging="360"/>
      </w:pPr>
    </w:p>
    <w:p w:rsidR="001D1B98" w:rsidRDefault="001D1B98" w:rsidP="001D1B98">
      <w:pPr>
        <w:pStyle w:val="ListBullet"/>
        <w:numPr>
          <w:ilvl w:val="0"/>
          <w:numId w:val="0"/>
        </w:numPr>
        <w:ind w:left="360" w:hanging="360"/>
      </w:pPr>
    </w:p>
    <w:p w:rsidR="001D1B98" w:rsidRDefault="001D1B98" w:rsidP="001D1B98">
      <w:pPr>
        <w:pStyle w:val="ListBullet"/>
        <w:numPr>
          <w:ilvl w:val="0"/>
          <w:numId w:val="0"/>
        </w:numPr>
        <w:ind w:left="360" w:hanging="360"/>
      </w:pPr>
    </w:p>
    <w:p w:rsidR="001D1B98" w:rsidRDefault="001D1B98" w:rsidP="001D1B98">
      <w:pPr>
        <w:pStyle w:val="ListBullet"/>
        <w:numPr>
          <w:ilvl w:val="0"/>
          <w:numId w:val="0"/>
        </w:numPr>
        <w:ind w:left="360" w:hanging="360"/>
      </w:pPr>
    </w:p>
    <w:p w:rsidR="001D1B98" w:rsidRDefault="001D1B98" w:rsidP="001D1B98">
      <w:pPr>
        <w:pStyle w:val="ListBullet"/>
        <w:numPr>
          <w:ilvl w:val="0"/>
          <w:numId w:val="0"/>
        </w:numPr>
        <w:ind w:left="360" w:hanging="360"/>
      </w:pPr>
    </w:p>
    <w:p w:rsidR="005158DA" w:rsidRDefault="005158DA" w:rsidP="001D1B98">
      <w:pPr>
        <w:pStyle w:val="ListBullet"/>
        <w:numPr>
          <w:ilvl w:val="0"/>
          <w:numId w:val="0"/>
        </w:numPr>
        <w:ind w:left="360" w:hanging="360"/>
      </w:pPr>
    </w:p>
    <w:p w:rsidR="001D1B98" w:rsidRDefault="001D1B98" w:rsidP="001D1B98">
      <w:pPr>
        <w:pStyle w:val="ListBullet"/>
        <w:numPr>
          <w:ilvl w:val="0"/>
          <w:numId w:val="0"/>
        </w:numPr>
        <w:ind w:left="360" w:hanging="360"/>
      </w:pPr>
    </w:p>
    <w:p w:rsidR="001D1B98" w:rsidRDefault="001D1B98" w:rsidP="001D1B98">
      <w:pPr>
        <w:pStyle w:val="ListBullet"/>
        <w:numPr>
          <w:ilvl w:val="0"/>
          <w:numId w:val="0"/>
        </w:numPr>
        <w:ind w:left="360" w:hanging="360"/>
      </w:pPr>
    </w:p>
    <w:p w:rsidR="00463839" w:rsidRDefault="00463839" w:rsidP="001D1B98">
      <w:pPr>
        <w:pStyle w:val="ListBullet"/>
        <w:numPr>
          <w:ilvl w:val="0"/>
          <w:numId w:val="0"/>
        </w:numPr>
        <w:ind w:left="360" w:hanging="360"/>
      </w:pPr>
    </w:p>
    <w:p w:rsidR="009F0AA7" w:rsidRPr="00103913" w:rsidRDefault="00BB6E73" w:rsidP="009F0AA7">
      <w:pPr>
        <w:pStyle w:val="Heading2"/>
      </w:pPr>
      <w:r>
        <w:t xml:space="preserve">Version and </w:t>
      </w:r>
      <w:r w:rsidR="00041B2D">
        <w:t>r</w:t>
      </w:r>
      <w:r w:rsidR="009F0AA7" w:rsidRPr="00103913">
        <w:t xml:space="preserve">evision </w:t>
      </w:r>
      <w:r w:rsidR="00596A08">
        <w:t xml:space="preserve">control </w:t>
      </w:r>
      <w:r w:rsidR="009F0AA7" w:rsidRPr="00103913">
        <w:t>record</w:t>
      </w:r>
    </w:p>
    <w:tbl>
      <w:tblPr>
        <w:tblStyle w:val="GridTable6Colorful2"/>
        <w:tblW w:w="0" w:type="auto"/>
        <w:tblLook w:val="04A0" w:firstRow="1" w:lastRow="0" w:firstColumn="1" w:lastColumn="0" w:noHBand="0" w:noVBand="1"/>
        <w:tblDescription w:val="Version and revision control record"/>
      </w:tblPr>
      <w:tblGrid>
        <w:gridCol w:w="1318"/>
        <w:gridCol w:w="1133"/>
        <w:gridCol w:w="4914"/>
        <w:gridCol w:w="1689"/>
      </w:tblGrid>
      <w:tr w:rsidR="00E378B3" w:rsidRPr="00E378B3" w:rsidTr="00670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378B3" w:rsidRPr="00E378B3" w:rsidRDefault="00E378B3" w:rsidP="00E378B3">
            <w:bookmarkStart w:id="3" w:name="_GoBack" w:colFirst="0" w:colLast="4"/>
            <w:r w:rsidRPr="00E378B3">
              <w:t>Date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378B3" w:rsidRPr="00E378B3" w:rsidRDefault="00E378B3" w:rsidP="00E378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78B3">
              <w:t>Version</w:t>
            </w:r>
          </w:p>
        </w:tc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378B3" w:rsidRPr="00E378B3" w:rsidRDefault="00E378B3" w:rsidP="00E378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78B3">
              <w:t>Approver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78B3" w:rsidRPr="00E378B3" w:rsidRDefault="00E378B3" w:rsidP="00E378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78B3">
              <w:t>Next Review</w:t>
            </w:r>
          </w:p>
        </w:tc>
      </w:tr>
      <w:tr w:rsidR="00E378B3" w:rsidRPr="00E378B3" w:rsidTr="00670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</w:tcBorders>
            <w:shd w:val="clear" w:color="auto" w:fill="auto"/>
          </w:tcPr>
          <w:p w:rsidR="00E378B3" w:rsidRPr="00E378B3" w:rsidRDefault="003E253C" w:rsidP="001F6F9D">
            <w:pPr>
              <w:rPr>
                <w:b w:val="0"/>
              </w:rPr>
            </w:pPr>
            <w:r>
              <w:rPr>
                <w:b w:val="0"/>
              </w:rPr>
              <w:t>01/2019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E378B3" w:rsidRPr="00E378B3" w:rsidRDefault="003E253C" w:rsidP="00E378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1.1</w:t>
            </w:r>
          </w:p>
        </w:tc>
        <w:tc>
          <w:tcPr>
            <w:tcW w:w="4914" w:type="dxa"/>
            <w:tcBorders>
              <w:top w:val="single" w:sz="4" w:space="0" w:color="auto"/>
            </w:tcBorders>
            <w:shd w:val="clear" w:color="auto" w:fill="auto"/>
          </w:tcPr>
          <w:p w:rsidR="00E378B3" w:rsidRPr="00E378B3" w:rsidRDefault="00E378B3" w:rsidP="004638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78B3">
              <w:t>Chief Finance Officer - Financial Services Division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</w:tcPr>
          <w:p w:rsidR="00E378B3" w:rsidRPr="00E378B3" w:rsidRDefault="003E253C" w:rsidP="00E378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01/2020</w:t>
            </w:r>
          </w:p>
        </w:tc>
      </w:tr>
      <w:bookmarkEnd w:id="3"/>
    </w:tbl>
    <w:p w:rsidR="0051778F" w:rsidRDefault="0051778F" w:rsidP="00E378B3"/>
    <w:sectPr w:rsidR="0051778F" w:rsidSect="00480F63">
      <w:footerReference w:type="default" r:id="rId14"/>
      <w:pgSz w:w="11900" w:h="16840" w:code="9"/>
      <w:pgMar w:top="1701" w:right="1418" w:bottom="1701" w:left="1418" w:header="567" w:footer="851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BA8" w:rsidRDefault="00656BA8" w:rsidP="008766A4">
      <w:r>
        <w:separator/>
      </w:r>
    </w:p>
  </w:endnote>
  <w:endnote w:type="continuationSeparator" w:id="0">
    <w:p w:rsidR="00656BA8" w:rsidRDefault="00656BA8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7" w:rsidRPr="008A1405" w:rsidRDefault="00611CD7" w:rsidP="008A1405">
    <w:pPr>
      <w:pStyle w:val="Footer"/>
    </w:pPr>
    <w:r w:rsidRPr="00094EE9">
      <w:rPr>
        <w:noProof/>
        <w:color w:val="000000" w:themeColor="text1"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9867900</wp:posOffset>
          </wp:positionV>
          <wp:extent cx="6632496" cy="657225"/>
          <wp:effectExtent l="0" t="0" r="0" b="0"/>
          <wp:wrapNone/>
          <wp:docPr id="3" name="Picture 3" descr="Victoria State Government |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496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 w:themeColor="text1"/>
      </w:rPr>
      <w:t>Comparison table</w:t>
    </w:r>
    <w:r w:rsidR="005158DA">
      <w:rPr>
        <w:color w:val="000000" w:themeColor="text1"/>
      </w:rPr>
      <w:t xml:space="preserve"> of content </w:t>
    </w:r>
    <w:r w:rsidRPr="00094EE9">
      <w:rPr>
        <w:color w:val="000000" w:themeColor="text1"/>
      </w:rPr>
      <w:t xml:space="preserve">| </w:t>
    </w:r>
    <w:r w:rsidR="003E253C">
      <w:rPr>
        <w:color w:val="000000" w:themeColor="text1"/>
      </w:rPr>
      <w:t>January 2019</w:t>
    </w:r>
    <w:r w:rsidRPr="00094EE9">
      <w:rPr>
        <w:color w:val="000000" w:themeColor="text1"/>
      </w:rPr>
      <w:t xml:space="preserve"> </w:t>
    </w:r>
    <w:sdt>
      <w:sdtPr>
        <w:rPr>
          <w:color w:val="000000" w:themeColor="text1"/>
        </w:rPr>
        <w:id w:val="1822625101"/>
        <w:docPartObj>
          <w:docPartGallery w:val="Page Numbers (Bottom of Page)"/>
          <w:docPartUnique/>
        </w:docPartObj>
      </w:sdtPr>
      <w:sdtEndPr>
        <w:rPr>
          <w:color w:val="AF272F"/>
        </w:rPr>
      </w:sdtEndPr>
      <w:sdtContent>
        <w:r w:rsidRPr="00094EE9">
          <w:rPr>
            <w:color w:val="000000" w:themeColor="text1"/>
          </w:rPr>
          <w:tab/>
        </w:r>
        <w:r w:rsidR="00EB495C">
          <w:rPr>
            <w:color w:val="000000" w:themeColor="text1"/>
          </w:rPr>
          <w:t>P</w:t>
        </w:r>
        <w:r w:rsidRPr="00094EE9">
          <w:rPr>
            <w:color w:val="000000" w:themeColor="text1"/>
          </w:rPr>
          <w:t xml:space="preserve">age </w:t>
        </w:r>
        <w:r w:rsidR="009C3CA7" w:rsidRPr="00094EE9">
          <w:rPr>
            <w:color w:val="000000" w:themeColor="text1"/>
          </w:rPr>
          <w:fldChar w:fldCharType="begin"/>
        </w:r>
        <w:r w:rsidRPr="00094EE9">
          <w:rPr>
            <w:color w:val="000000" w:themeColor="text1"/>
          </w:rPr>
          <w:instrText xml:space="preserve"> PAGE   \* MERGEFORMAT </w:instrText>
        </w:r>
        <w:r w:rsidR="009C3CA7" w:rsidRPr="00094EE9">
          <w:rPr>
            <w:color w:val="000000" w:themeColor="text1"/>
          </w:rPr>
          <w:fldChar w:fldCharType="separate"/>
        </w:r>
        <w:r w:rsidR="00670A47">
          <w:rPr>
            <w:noProof/>
            <w:color w:val="000000" w:themeColor="text1"/>
          </w:rPr>
          <w:t>2</w:t>
        </w:r>
        <w:r w:rsidR="009C3CA7" w:rsidRPr="00094EE9">
          <w:rPr>
            <w:noProof/>
            <w:color w:val="000000" w:themeColor="text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BA8" w:rsidRDefault="00656BA8" w:rsidP="008766A4">
      <w:r>
        <w:separator/>
      </w:r>
    </w:p>
  </w:footnote>
  <w:footnote w:type="continuationSeparator" w:id="0">
    <w:p w:rsidR="00656BA8" w:rsidRDefault="00656BA8" w:rsidP="0087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8BD"/>
    <w:multiLevelType w:val="hybridMultilevel"/>
    <w:tmpl w:val="DDFA6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21CF"/>
    <w:multiLevelType w:val="hybridMultilevel"/>
    <w:tmpl w:val="51C44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103E"/>
    <w:multiLevelType w:val="hybridMultilevel"/>
    <w:tmpl w:val="7BE0D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F4FC3"/>
    <w:multiLevelType w:val="hybridMultilevel"/>
    <w:tmpl w:val="3FD8C9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168E9"/>
    <w:multiLevelType w:val="hybridMultilevel"/>
    <w:tmpl w:val="E698EB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A03AF"/>
    <w:multiLevelType w:val="hybridMultilevel"/>
    <w:tmpl w:val="E064EB94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34861C1"/>
    <w:multiLevelType w:val="hybridMultilevel"/>
    <w:tmpl w:val="FA3ED5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44BA5"/>
    <w:multiLevelType w:val="hybridMultilevel"/>
    <w:tmpl w:val="99D61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5100F"/>
    <w:multiLevelType w:val="hybridMultilevel"/>
    <w:tmpl w:val="7090D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60668"/>
    <w:multiLevelType w:val="hybridMultilevel"/>
    <w:tmpl w:val="CA3026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4058E"/>
    <w:multiLevelType w:val="hybridMultilevel"/>
    <w:tmpl w:val="8F46DF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860507"/>
    <w:multiLevelType w:val="hybridMultilevel"/>
    <w:tmpl w:val="C22E13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4856DA"/>
    <w:multiLevelType w:val="hybridMultilevel"/>
    <w:tmpl w:val="55AE7A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9D03EC"/>
    <w:multiLevelType w:val="hybridMultilevel"/>
    <w:tmpl w:val="5BD8C2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D32C9D"/>
    <w:multiLevelType w:val="hybridMultilevel"/>
    <w:tmpl w:val="8D5221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CF4F67"/>
    <w:multiLevelType w:val="hybridMultilevel"/>
    <w:tmpl w:val="FDDED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66387"/>
    <w:multiLevelType w:val="hybridMultilevel"/>
    <w:tmpl w:val="1F045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56BA1"/>
    <w:multiLevelType w:val="hybridMultilevel"/>
    <w:tmpl w:val="AAA4F1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447C50"/>
    <w:multiLevelType w:val="hybridMultilevel"/>
    <w:tmpl w:val="B9A0D5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413DE"/>
    <w:multiLevelType w:val="hybridMultilevel"/>
    <w:tmpl w:val="E48C8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127487"/>
    <w:multiLevelType w:val="hybridMultilevel"/>
    <w:tmpl w:val="4972F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FB7575"/>
    <w:multiLevelType w:val="hybridMultilevel"/>
    <w:tmpl w:val="B89CD4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235884"/>
    <w:multiLevelType w:val="hybridMultilevel"/>
    <w:tmpl w:val="8654ECBC"/>
    <w:lvl w:ilvl="0" w:tplc="6F663F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A925ED"/>
    <w:multiLevelType w:val="hybridMultilevel"/>
    <w:tmpl w:val="400A11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9C7D7E"/>
    <w:multiLevelType w:val="hybridMultilevel"/>
    <w:tmpl w:val="1D9C4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796F74"/>
    <w:multiLevelType w:val="hybridMultilevel"/>
    <w:tmpl w:val="828A8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D44AE"/>
    <w:multiLevelType w:val="hybridMultilevel"/>
    <w:tmpl w:val="0C4C06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763B17"/>
    <w:multiLevelType w:val="hybridMultilevel"/>
    <w:tmpl w:val="4DAE9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45E8F"/>
    <w:multiLevelType w:val="hybridMultilevel"/>
    <w:tmpl w:val="D98209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D523FE"/>
    <w:multiLevelType w:val="hybridMultilevel"/>
    <w:tmpl w:val="154449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982937"/>
    <w:multiLevelType w:val="hybridMultilevel"/>
    <w:tmpl w:val="9A7C0900"/>
    <w:lvl w:ilvl="0" w:tplc="3BACAC90">
      <w:start w:val="1"/>
      <w:numFmt w:val="bullet"/>
      <w:pStyle w:val="ListBullet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97770A4"/>
    <w:multiLevelType w:val="hybridMultilevel"/>
    <w:tmpl w:val="45900B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624168"/>
    <w:multiLevelType w:val="hybridMultilevel"/>
    <w:tmpl w:val="CDFE20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236D5C"/>
    <w:multiLevelType w:val="hybridMultilevel"/>
    <w:tmpl w:val="4F946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E1B9E"/>
    <w:multiLevelType w:val="hybridMultilevel"/>
    <w:tmpl w:val="E9A4B860"/>
    <w:lvl w:ilvl="0" w:tplc="E09C7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924A6"/>
    <w:multiLevelType w:val="hybridMultilevel"/>
    <w:tmpl w:val="46ACBA86"/>
    <w:lvl w:ilvl="0" w:tplc="679097B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2C5BB1"/>
    <w:multiLevelType w:val="hybridMultilevel"/>
    <w:tmpl w:val="AC20B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C4526"/>
    <w:multiLevelType w:val="hybridMultilevel"/>
    <w:tmpl w:val="F79EF0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234961"/>
    <w:multiLevelType w:val="hybridMultilevel"/>
    <w:tmpl w:val="BC6869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15D3C"/>
    <w:multiLevelType w:val="hybridMultilevel"/>
    <w:tmpl w:val="1E90D672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0" w15:restartNumberingAfterBreak="0">
    <w:nsid w:val="77443085"/>
    <w:multiLevelType w:val="hybridMultilevel"/>
    <w:tmpl w:val="2AA446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EA004F"/>
    <w:multiLevelType w:val="hybridMultilevel"/>
    <w:tmpl w:val="867016BA"/>
    <w:lvl w:ilvl="0" w:tplc="1CE012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6E0B13"/>
    <w:multiLevelType w:val="hybridMultilevel"/>
    <w:tmpl w:val="2CBEB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5779E"/>
    <w:multiLevelType w:val="hybridMultilevel"/>
    <w:tmpl w:val="6EE6FBB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30"/>
  </w:num>
  <w:num w:numId="4">
    <w:abstractNumId w:val="40"/>
  </w:num>
  <w:num w:numId="5">
    <w:abstractNumId w:val="3"/>
  </w:num>
  <w:num w:numId="6">
    <w:abstractNumId w:val="34"/>
  </w:num>
  <w:num w:numId="7">
    <w:abstractNumId w:val="33"/>
  </w:num>
  <w:num w:numId="8">
    <w:abstractNumId w:val="41"/>
  </w:num>
  <w:num w:numId="9">
    <w:abstractNumId w:val="36"/>
  </w:num>
  <w:num w:numId="10">
    <w:abstractNumId w:val="5"/>
  </w:num>
  <w:num w:numId="11">
    <w:abstractNumId w:val="31"/>
  </w:num>
  <w:num w:numId="12">
    <w:abstractNumId w:val="22"/>
  </w:num>
  <w:num w:numId="13">
    <w:abstractNumId w:val="9"/>
  </w:num>
  <w:num w:numId="14">
    <w:abstractNumId w:val="21"/>
  </w:num>
  <w:num w:numId="15">
    <w:abstractNumId w:val="18"/>
  </w:num>
  <w:num w:numId="16">
    <w:abstractNumId w:val="17"/>
  </w:num>
  <w:num w:numId="17">
    <w:abstractNumId w:val="15"/>
  </w:num>
  <w:num w:numId="18">
    <w:abstractNumId w:val="35"/>
  </w:num>
  <w:num w:numId="19">
    <w:abstractNumId w:val="29"/>
  </w:num>
  <w:num w:numId="20">
    <w:abstractNumId w:val="42"/>
  </w:num>
  <w:num w:numId="21">
    <w:abstractNumId w:val="2"/>
  </w:num>
  <w:num w:numId="22">
    <w:abstractNumId w:val="8"/>
  </w:num>
  <w:num w:numId="23">
    <w:abstractNumId w:val="39"/>
  </w:num>
  <w:num w:numId="24">
    <w:abstractNumId w:val="10"/>
  </w:num>
  <w:num w:numId="25">
    <w:abstractNumId w:val="16"/>
  </w:num>
  <w:num w:numId="26">
    <w:abstractNumId w:val="19"/>
  </w:num>
  <w:num w:numId="27">
    <w:abstractNumId w:val="26"/>
  </w:num>
  <w:num w:numId="28">
    <w:abstractNumId w:val="0"/>
  </w:num>
  <w:num w:numId="29">
    <w:abstractNumId w:val="4"/>
  </w:num>
  <w:num w:numId="30">
    <w:abstractNumId w:val="14"/>
  </w:num>
  <w:num w:numId="31">
    <w:abstractNumId w:val="32"/>
  </w:num>
  <w:num w:numId="32">
    <w:abstractNumId w:val="43"/>
  </w:num>
  <w:num w:numId="33">
    <w:abstractNumId w:val="7"/>
  </w:num>
  <w:num w:numId="34">
    <w:abstractNumId w:val="11"/>
  </w:num>
  <w:num w:numId="35">
    <w:abstractNumId w:val="27"/>
  </w:num>
  <w:num w:numId="36">
    <w:abstractNumId w:val="12"/>
  </w:num>
  <w:num w:numId="37">
    <w:abstractNumId w:val="1"/>
  </w:num>
  <w:num w:numId="38">
    <w:abstractNumId w:val="20"/>
  </w:num>
  <w:num w:numId="39">
    <w:abstractNumId w:val="24"/>
  </w:num>
  <w:num w:numId="40">
    <w:abstractNumId w:val="25"/>
  </w:num>
  <w:num w:numId="41">
    <w:abstractNumId w:val="13"/>
  </w:num>
  <w:num w:numId="42">
    <w:abstractNumId w:val="28"/>
  </w:num>
  <w:num w:numId="43">
    <w:abstractNumId w:val="23"/>
  </w:num>
  <w:num w:numId="44">
    <w:abstractNumId w:val="38"/>
  </w:num>
  <w:num w:numId="45">
    <w:abstractNumId w:val="37"/>
  </w:num>
  <w:num w:numId="46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0B21"/>
    <w:rsid w:val="00006947"/>
    <w:rsid w:val="0001121B"/>
    <w:rsid w:val="000347D9"/>
    <w:rsid w:val="00041B2D"/>
    <w:rsid w:val="00044B09"/>
    <w:rsid w:val="0004534D"/>
    <w:rsid w:val="0004542A"/>
    <w:rsid w:val="00047F36"/>
    <w:rsid w:val="00053A56"/>
    <w:rsid w:val="0005501F"/>
    <w:rsid w:val="00063FEE"/>
    <w:rsid w:val="00071178"/>
    <w:rsid w:val="000738B9"/>
    <w:rsid w:val="00076460"/>
    <w:rsid w:val="00076992"/>
    <w:rsid w:val="0008630F"/>
    <w:rsid w:val="0008758C"/>
    <w:rsid w:val="000937AF"/>
    <w:rsid w:val="00094EE9"/>
    <w:rsid w:val="00095EEC"/>
    <w:rsid w:val="000A2D3C"/>
    <w:rsid w:val="000B0EB5"/>
    <w:rsid w:val="000B668D"/>
    <w:rsid w:val="000C1080"/>
    <w:rsid w:val="000C499D"/>
    <w:rsid w:val="000C4CA9"/>
    <w:rsid w:val="000D5478"/>
    <w:rsid w:val="000E2807"/>
    <w:rsid w:val="000E7719"/>
    <w:rsid w:val="000F155E"/>
    <w:rsid w:val="000F4C22"/>
    <w:rsid w:val="001017B1"/>
    <w:rsid w:val="0010207D"/>
    <w:rsid w:val="001064C7"/>
    <w:rsid w:val="0011043B"/>
    <w:rsid w:val="00120CC6"/>
    <w:rsid w:val="00126A52"/>
    <w:rsid w:val="00127682"/>
    <w:rsid w:val="00130200"/>
    <w:rsid w:val="0013716D"/>
    <w:rsid w:val="00137179"/>
    <w:rsid w:val="001374A1"/>
    <w:rsid w:val="0014310A"/>
    <w:rsid w:val="00145261"/>
    <w:rsid w:val="00152101"/>
    <w:rsid w:val="0015415A"/>
    <w:rsid w:val="00156069"/>
    <w:rsid w:val="0016315C"/>
    <w:rsid w:val="00163E3D"/>
    <w:rsid w:val="00170436"/>
    <w:rsid w:val="0017100F"/>
    <w:rsid w:val="00172AFD"/>
    <w:rsid w:val="0017525D"/>
    <w:rsid w:val="00193A4B"/>
    <w:rsid w:val="001952A4"/>
    <w:rsid w:val="001A1558"/>
    <w:rsid w:val="001A33AD"/>
    <w:rsid w:val="001B1F9A"/>
    <w:rsid w:val="001C16FE"/>
    <w:rsid w:val="001C378C"/>
    <w:rsid w:val="001C3FFB"/>
    <w:rsid w:val="001D10A1"/>
    <w:rsid w:val="001D1B98"/>
    <w:rsid w:val="001E219D"/>
    <w:rsid w:val="001E4A90"/>
    <w:rsid w:val="001E4C24"/>
    <w:rsid w:val="001F1B8C"/>
    <w:rsid w:val="001F375F"/>
    <w:rsid w:val="001F48E1"/>
    <w:rsid w:val="001F6F9D"/>
    <w:rsid w:val="00200CD2"/>
    <w:rsid w:val="00204C81"/>
    <w:rsid w:val="0021324F"/>
    <w:rsid w:val="00216490"/>
    <w:rsid w:val="00216E22"/>
    <w:rsid w:val="00220464"/>
    <w:rsid w:val="00220C69"/>
    <w:rsid w:val="00220FC7"/>
    <w:rsid w:val="0022212D"/>
    <w:rsid w:val="00226B71"/>
    <w:rsid w:val="002279AC"/>
    <w:rsid w:val="00233670"/>
    <w:rsid w:val="002337D3"/>
    <w:rsid w:val="002431E9"/>
    <w:rsid w:val="0024400A"/>
    <w:rsid w:val="0025449A"/>
    <w:rsid w:val="00255E0C"/>
    <w:rsid w:val="00263118"/>
    <w:rsid w:val="00265896"/>
    <w:rsid w:val="00265936"/>
    <w:rsid w:val="0027062A"/>
    <w:rsid w:val="00271F77"/>
    <w:rsid w:val="00273373"/>
    <w:rsid w:val="002805CC"/>
    <w:rsid w:val="00290E9B"/>
    <w:rsid w:val="002972E6"/>
    <w:rsid w:val="002A00EF"/>
    <w:rsid w:val="002B1FBF"/>
    <w:rsid w:val="002B6F0E"/>
    <w:rsid w:val="002D1B00"/>
    <w:rsid w:val="002D46BC"/>
    <w:rsid w:val="002D6F20"/>
    <w:rsid w:val="002E27CD"/>
    <w:rsid w:val="002F1603"/>
    <w:rsid w:val="002F4E54"/>
    <w:rsid w:val="003020F0"/>
    <w:rsid w:val="003057B9"/>
    <w:rsid w:val="00311626"/>
    <w:rsid w:val="00317617"/>
    <w:rsid w:val="00317AB9"/>
    <w:rsid w:val="00320610"/>
    <w:rsid w:val="0032167A"/>
    <w:rsid w:val="003252C0"/>
    <w:rsid w:val="00326F48"/>
    <w:rsid w:val="003373A6"/>
    <w:rsid w:val="0033799B"/>
    <w:rsid w:val="00342CA8"/>
    <w:rsid w:val="00343C89"/>
    <w:rsid w:val="00347714"/>
    <w:rsid w:val="00351A0E"/>
    <w:rsid w:val="00352A17"/>
    <w:rsid w:val="00361B20"/>
    <w:rsid w:val="00363920"/>
    <w:rsid w:val="00364919"/>
    <w:rsid w:val="0036550A"/>
    <w:rsid w:val="00372656"/>
    <w:rsid w:val="0037294D"/>
    <w:rsid w:val="00376EAD"/>
    <w:rsid w:val="00377809"/>
    <w:rsid w:val="003812B3"/>
    <w:rsid w:val="003833FC"/>
    <w:rsid w:val="00384E90"/>
    <w:rsid w:val="00385565"/>
    <w:rsid w:val="00387492"/>
    <w:rsid w:val="00397CA7"/>
    <w:rsid w:val="003A46EB"/>
    <w:rsid w:val="003B01B0"/>
    <w:rsid w:val="003B12F3"/>
    <w:rsid w:val="003B13B6"/>
    <w:rsid w:val="003B780E"/>
    <w:rsid w:val="003C316F"/>
    <w:rsid w:val="003D1F4C"/>
    <w:rsid w:val="003D6B1D"/>
    <w:rsid w:val="003D7EA0"/>
    <w:rsid w:val="003E100A"/>
    <w:rsid w:val="003E253C"/>
    <w:rsid w:val="003E29B5"/>
    <w:rsid w:val="003E435B"/>
    <w:rsid w:val="003E5418"/>
    <w:rsid w:val="003E57C4"/>
    <w:rsid w:val="003E5BF1"/>
    <w:rsid w:val="003F3C92"/>
    <w:rsid w:val="003F627D"/>
    <w:rsid w:val="00402F6E"/>
    <w:rsid w:val="00412913"/>
    <w:rsid w:val="004136D4"/>
    <w:rsid w:val="00415090"/>
    <w:rsid w:val="004162DF"/>
    <w:rsid w:val="004166F4"/>
    <w:rsid w:val="0042385D"/>
    <w:rsid w:val="0042387A"/>
    <w:rsid w:val="00424C26"/>
    <w:rsid w:val="00437C31"/>
    <w:rsid w:val="00440510"/>
    <w:rsid w:val="00451A87"/>
    <w:rsid w:val="00451CB8"/>
    <w:rsid w:val="0046093C"/>
    <w:rsid w:val="004615C4"/>
    <w:rsid w:val="00463839"/>
    <w:rsid w:val="004670DD"/>
    <w:rsid w:val="004705B1"/>
    <w:rsid w:val="0047153A"/>
    <w:rsid w:val="00480F63"/>
    <w:rsid w:val="00481339"/>
    <w:rsid w:val="00483776"/>
    <w:rsid w:val="004B053C"/>
    <w:rsid w:val="004B3D42"/>
    <w:rsid w:val="004C0B6F"/>
    <w:rsid w:val="004C17ED"/>
    <w:rsid w:val="004C37EC"/>
    <w:rsid w:val="004D5D1E"/>
    <w:rsid w:val="004D6B0E"/>
    <w:rsid w:val="004E0B7B"/>
    <w:rsid w:val="004E63B0"/>
    <w:rsid w:val="00502E14"/>
    <w:rsid w:val="005158DA"/>
    <w:rsid w:val="00516D20"/>
    <w:rsid w:val="0051778F"/>
    <w:rsid w:val="00534A6F"/>
    <w:rsid w:val="00534DA6"/>
    <w:rsid w:val="00536D72"/>
    <w:rsid w:val="005434CE"/>
    <w:rsid w:val="00546B6F"/>
    <w:rsid w:val="00551DCD"/>
    <w:rsid w:val="0056393F"/>
    <w:rsid w:val="00565F86"/>
    <w:rsid w:val="0056601B"/>
    <w:rsid w:val="005674D1"/>
    <w:rsid w:val="005711D2"/>
    <w:rsid w:val="0057654B"/>
    <w:rsid w:val="00581A7C"/>
    <w:rsid w:val="005832B7"/>
    <w:rsid w:val="00596923"/>
    <w:rsid w:val="00596A08"/>
    <w:rsid w:val="005A23F9"/>
    <w:rsid w:val="005A4326"/>
    <w:rsid w:val="005B2959"/>
    <w:rsid w:val="005B3B56"/>
    <w:rsid w:val="005B717E"/>
    <w:rsid w:val="005C5739"/>
    <w:rsid w:val="005C5A9D"/>
    <w:rsid w:val="005D3366"/>
    <w:rsid w:val="005D36E4"/>
    <w:rsid w:val="005D6F19"/>
    <w:rsid w:val="005E1051"/>
    <w:rsid w:val="005E27E3"/>
    <w:rsid w:val="005E32B1"/>
    <w:rsid w:val="005F10A0"/>
    <w:rsid w:val="005F12DB"/>
    <w:rsid w:val="005F5AD9"/>
    <w:rsid w:val="00600EB1"/>
    <w:rsid w:val="00611CD7"/>
    <w:rsid w:val="00614BEA"/>
    <w:rsid w:val="00616951"/>
    <w:rsid w:val="0062563E"/>
    <w:rsid w:val="00627D90"/>
    <w:rsid w:val="00631AFF"/>
    <w:rsid w:val="00640613"/>
    <w:rsid w:val="00641616"/>
    <w:rsid w:val="006440FB"/>
    <w:rsid w:val="006505E4"/>
    <w:rsid w:val="00651C93"/>
    <w:rsid w:val="006523F2"/>
    <w:rsid w:val="006540BA"/>
    <w:rsid w:val="00656BA8"/>
    <w:rsid w:val="00666960"/>
    <w:rsid w:val="00670A47"/>
    <w:rsid w:val="00672950"/>
    <w:rsid w:val="006906F9"/>
    <w:rsid w:val="00693023"/>
    <w:rsid w:val="006935C9"/>
    <w:rsid w:val="00694796"/>
    <w:rsid w:val="006A008D"/>
    <w:rsid w:val="006B4A1F"/>
    <w:rsid w:val="006C0E55"/>
    <w:rsid w:val="006D1CFF"/>
    <w:rsid w:val="006D3CC2"/>
    <w:rsid w:val="006D6ECF"/>
    <w:rsid w:val="006D7CA2"/>
    <w:rsid w:val="006E1C6D"/>
    <w:rsid w:val="006E6F61"/>
    <w:rsid w:val="006F6693"/>
    <w:rsid w:val="006F7B96"/>
    <w:rsid w:val="006F7DA9"/>
    <w:rsid w:val="00707F50"/>
    <w:rsid w:val="0071497B"/>
    <w:rsid w:val="00715445"/>
    <w:rsid w:val="0071726B"/>
    <w:rsid w:val="007178F0"/>
    <w:rsid w:val="0072288F"/>
    <w:rsid w:val="00724653"/>
    <w:rsid w:val="0072695C"/>
    <w:rsid w:val="00737A92"/>
    <w:rsid w:val="00740600"/>
    <w:rsid w:val="00740955"/>
    <w:rsid w:val="00743B9D"/>
    <w:rsid w:val="00745995"/>
    <w:rsid w:val="007469D1"/>
    <w:rsid w:val="0074726F"/>
    <w:rsid w:val="00751081"/>
    <w:rsid w:val="00753EDB"/>
    <w:rsid w:val="00761EB8"/>
    <w:rsid w:val="0076312D"/>
    <w:rsid w:val="00776016"/>
    <w:rsid w:val="00780DF7"/>
    <w:rsid w:val="0078128B"/>
    <w:rsid w:val="00781C4C"/>
    <w:rsid w:val="00782527"/>
    <w:rsid w:val="00784798"/>
    <w:rsid w:val="00793489"/>
    <w:rsid w:val="00796CF5"/>
    <w:rsid w:val="00797FCC"/>
    <w:rsid w:val="007C109D"/>
    <w:rsid w:val="007C73DD"/>
    <w:rsid w:val="007D3C8F"/>
    <w:rsid w:val="007E19F8"/>
    <w:rsid w:val="007E2D36"/>
    <w:rsid w:val="00813AA6"/>
    <w:rsid w:val="00815096"/>
    <w:rsid w:val="00816ED5"/>
    <w:rsid w:val="008203E8"/>
    <w:rsid w:val="00826440"/>
    <w:rsid w:val="008330B2"/>
    <w:rsid w:val="00840E9A"/>
    <w:rsid w:val="00841F2A"/>
    <w:rsid w:val="00842386"/>
    <w:rsid w:val="008433FB"/>
    <w:rsid w:val="00857131"/>
    <w:rsid w:val="00862161"/>
    <w:rsid w:val="00867356"/>
    <w:rsid w:val="00867E79"/>
    <w:rsid w:val="00873C1C"/>
    <w:rsid w:val="00873E24"/>
    <w:rsid w:val="00874952"/>
    <w:rsid w:val="00874D35"/>
    <w:rsid w:val="008766A4"/>
    <w:rsid w:val="008767CC"/>
    <w:rsid w:val="00877262"/>
    <w:rsid w:val="00890D1F"/>
    <w:rsid w:val="00891DC7"/>
    <w:rsid w:val="0089568B"/>
    <w:rsid w:val="00895870"/>
    <w:rsid w:val="00895896"/>
    <w:rsid w:val="00895F66"/>
    <w:rsid w:val="008A0194"/>
    <w:rsid w:val="008A1405"/>
    <w:rsid w:val="008A4AC9"/>
    <w:rsid w:val="008A54FC"/>
    <w:rsid w:val="008A7B42"/>
    <w:rsid w:val="008B2F42"/>
    <w:rsid w:val="008C0B7B"/>
    <w:rsid w:val="008C2D1F"/>
    <w:rsid w:val="008C4859"/>
    <w:rsid w:val="008C61D5"/>
    <w:rsid w:val="008C6FA8"/>
    <w:rsid w:val="008D3BDE"/>
    <w:rsid w:val="008E209B"/>
    <w:rsid w:val="008E22FE"/>
    <w:rsid w:val="008F3046"/>
    <w:rsid w:val="00904A0D"/>
    <w:rsid w:val="0092596D"/>
    <w:rsid w:val="00925F6C"/>
    <w:rsid w:val="00926A9F"/>
    <w:rsid w:val="00927DEE"/>
    <w:rsid w:val="00932654"/>
    <w:rsid w:val="00933910"/>
    <w:rsid w:val="00933A7C"/>
    <w:rsid w:val="00934F47"/>
    <w:rsid w:val="00935481"/>
    <w:rsid w:val="00937C63"/>
    <w:rsid w:val="00940785"/>
    <w:rsid w:val="0095404D"/>
    <w:rsid w:val="00956187"/>
    <w:rsid w:val="0096332A"/>
    <w:rsid w:val="00963BAA"/>
    <w:rsid w:val="009659BD"/>
    <w:rsid w:val="00966666"/>
    <w:rsid w:val="009710C7"/>
    <w:rsid w:val="00980015"/>
    <w:rsid w:val="00987203"/>
    <w:rsid w:val="009907B4"/>
    <w:rsid w:val="00991BAB"/>
    <w:rsid w:val="009A443E"/>
    <w:rsid w:val="009B4EE0"/>
    <w:rsid w:val="009C2B8D"/>
    <w:rsid w:val="009C3CA7"/>
    <w:rsid w:val="009C3D08"/>
    <w:rsid w:val="009C4DC7"/>
    <w:rsid w:val="009D1593"/>
    <w:rsid w:val="009E1C59"/>
    <w:rsid w:val="009E21F6"/>
    <w:rsid w:val="009E333F"/>
    <w:rsid w:val="009E3350"/>
    <w:rsid w:val="009E4078"/>
    <w:rsid w:val="009E49AE"/>
    <w:rsid w:val="009F030B"/>
    <w:rsid w:val="009F0AA7"/>
    <w:rsid w:val="009F2302"/>
    <w:rsid w:val="009F5CB4"/>
    <w:rsid w:val="009F6EA9"/>
    <w:rsid w:val="00A223D8"/>
    <w:rsid w:val="00A33C93"/>
    <w:rsid w:val="00A3693C"/>
    <w:rsid w:val="00A40AFB"/>
    <w:rsid w:val="00A40B6F"/>
    <w:rsid w:val="00A40D2C"/>
    <w:rsid w:val="00A41C50"/>
    <w:rsid w:val="00A43DCA"/>
    <w:rsid w:val="00A509B6"/>
    <w:rsid w:val="00A53A1D"/>
    <w:rsid w:val="00A65A92"/>
    <w:rsid w:val="00A701E7"/>
    <w:rsid w:val="00A74087"/>
    <w:rsid w:val="00A77C1A"/>
    <w:rsid w:val="00A8502C"/>
    <w:rsid w:val="00A8523C"/>
    <w:rsid w:val="00A85A26"/>
    <w:rsid w:val="00A85B16"/>
    <w:rsid w:val="00A87A9F"/>
    <w:rsid w:val="00AA352A"/>
    <w:rsid w:val="00AB0070"/>
    <w:rsid w:val="00AB027E"/>
    <w:rsid w:val="00AB46B0"/>
    <w:rsid w:val="00AB49E5"/>
    <w:rsid w:val="00AB76C9"/>
    <w:rsid w:val="00AC23BD"/>
    <w:rsid w:val="00AD468B"/>
    <w:rsid w:val="00AD7355"/>
    <w:rsid w:val="00AD7AB8"/>
    <w:rsid w:val="00AE3497"/>
    <w:rsid w:val="00AE40F9"/>
    <w:rsid w:val="00AE4681"/>
    <w:rsid w:val="00AE52AD"/>
    <w:rsid w:val="00AF3A09"/>
    <w:rsid w:val="00AF3B73"/>
    <w:rsid w:val="00AF482C"/>
    <w:rsid w:val="00AF4BEE"/>
    <w:rsid w:val="00AF738E"/>
    <w:rsid w:val="00B02695"/>
    <w:rsid w:val="00B06C9A"/>
    <w:rsid w:val="00B1289C"/>
    <w:rsid w:val="00B1745C"/>
    <w:rsid w:val="00B17AF7"/>
    <w:rsid w:val="00B36A32"/>
    <w:rsid w:val="00B40154"/>
    <w:rsid w:val="00B4370F"/>
    <w:rsid w:val="00B46178"/>
    <w:rsid w:val="00B47FE1"/>
    <w:rsid w:val="00B6030C"/>
    <w:rsid w:val="00B62738"/>
    <w:rsid w:val="00B70470"/>
    <w:rsid w:val="00B73EC2"/>
    <w:rsid w:val="00B850E1"/>
    <w:rsid w:val="00B85D39"/>
    <w:rsid w:val="00B9071D"/>
    <w:rsid w:val="00B9377A"/>
    <w:rsid w:val="00B94979"/>
    <w:rsid w:val="00B97D9F"/>
    <w:rsid w:val="00BA2E97"/>
    <w:rsid w:val="00BA3A95"/>
    <w:rsid w:val="00BA50D2"/>
    <w:rsid w:val="00BB05A6"/>
    <w:rsid w:val="00BB085A"/>
    <w:rsid w:val="00BB6E73"/>
    <w:rsid w:val="00BC20EE"/>
    <w:rsid w:val="00BD28FE"/>
    <w:rsid w:val="00BD307E"/>
    <w:rsid w:val="00BD3BCD"/>
    <w:rsid w:val="00BD5920"/>
    <w:rsid w:val="00BD61EC"/>
    <w:rsid w:val="00BE22B0"/>
    <w:rsid w:val="00BE56B7"/>
    <w:rsid w:val="00BF2C59"/>
    <w:rsid w:val="00BF32C3"/>
    <w:rsid w:val="00BF392F"/>
    <w:rsid w:val="00BF4581"/>
    <w:rsid w:val="00BF5866"/>
    <w:rsid w:val="00C052CB"/>
    <w:rsid w:val="00C06898"/>
    <w:rsid w:val="00C06CA5"/>
    <w:rsid w:val="00C1598F"/>
    <w:rsid w:val="00C1602B"/>
    <w:rsid w:val="00C268F5"/>
    <w:rsid w:val="00C27B7A"/>
    <w:rsid w:val="00C33D9F"/>
    <w:rsid w:val="00C45349"/>
    <w:rsid w:val="00C471FD"/>
    <w:rsid w:val="00C6021B"/>
    <w:rsid w:val="00C63676"/>
    <w:rsid w:val="00C641B3"/>
    <w:rsid w:val="00C6616B"/>
    <w:rsid w:val="00C7722D"/>
    <w:rsid w:val="00C80202"/>
    <w:rsid w:val="00C81FB2"/>
    <w:rsid w:val="00C8319B"/>
    <w:rsid w:val="00C90F6B"/>
    <w:rsid w:val="00C90FDE"/>
    <w:rsid w:val="00C91AC2"/>
    <w:rsid w:val="00C95672"/>
    <w:rsid w:val="00C96775"/>
    <w:rsid w:val="00CA1867"/>
    <w:rsid w:val="00CA2F7D"/>
    <w:rsid w:val="00CA3EFC"/>
    <w:rsid w:val="00CA54BA"/>
    <w:rsid w:val="00CA58FF"/>
    <w:rsid w:val="00CA5E98"/>
    <w:rsid w:val="00CB0337"/>
    <w:rsid w:val="00CB1AF9"/>
    <w:rsid w:val="00CB3A36"/>
    <w:rsid w:val="00CB3BC7"/>
    <w:rsid w:val="00CC6244"/>
    <w:rsid w:val="00CC7F0A"/>
    <w:rsid w:val="00CD11B5"/>
    <w:rsid w:val="00CD2BFE"/>
    <w:rsid w:val="00CD725B"/>
    <w:rsid w:val="00CE74B0"/>
    <w:rsid w:val="00D049D0"/>
    <w:rsid w:val="00D05EB7"/>
    <w:rsid w:val="00D063A5"/>
    <w:rsid w:val="00D128D5"/>
    <w:rsid w:val="00D20BB8"/>
    <w:rsid w:val="00D230D1"/>
    <w:rsid w:val="00D263A2"/>
    <w:rsid w:val="00D31299"/>
    <w:rsid w:val="00D41CE5"/>
    <w:rsid w:val="00D470B2"/>
    <w:rsid w:val="00D55A7C"/>
    <w:rsid w:val="00D56068"/>
    <w:rsid w:val="00D611AE"/>
    <w:rsid w:val="00D641EA"/>
    <w:rsid w:val="00D72A47"/>
    <w:rsid w:val="00D72C91"/>
    <w:rsid w:val="00D738A5"/>
    <w:rsid w:val="00D739D5"/>
    <w:rsid w:val="00D75869"/>
    <w:rsid w:val="00D75E31"/>
    <w:rsid w:val="00D76D79"/>
    <w:rsid w:val="00D8417C"/>
    <w:rsid w:val="00D84C0F"/>
    <w:rsid w:val="00D91211"/>
    <w:rsid w:val="00D929AF"/>
    <w:rsid w:val="00D93736"/>
    <w:rsid w:val="00DA2E61"/>
    <w:rsid w:val="00DA4EFC"/>
    <w:rsid w:val="00DA6744"/>
    <w:rsid w:val="00DB00BE"/>
    <w:rsid w:val="00DB0ABC"/>
    <w:rsid w:val="00DB15A7"/>
    <w:rsid w:val="00DB6966"/>
    <w:rsid w:val="00DC03B9"/>
    <w:rsid w:val="00DC5667"/>
    <w:rsid w:val="00DC7683"/>
    <w:rsid w:val="00DD7FC9"/>
    <w:rsid w:val="00DE4DB9"/>
    <w:rsid w:val="00DF1C42"/>
    <w:rsid w:val="00DF72AD"/>
    <w:rsid w:val="00E00145"/>
    <w:rsid w:val="00E01659"/>
    <w:rsid w:val="00E0316D"/>
    <w:rsid w:val="00E05737"/>
    <w:rsid w:val="00E05BBC"/>
    <w:rsid w:val="00E10983"/>
    <w:rsid w:val="00E154A2"/>
    <w:rsid w:val="00E322E5"/>
    <w:rsid w:val="00E378B3"/>
    <w:rsid w:val="00E406FB"/>
    <w:rsid w:val="00E41E01"/>
    <w:rsid w:val="00E42E39"/>
    <w:rsid w:val="00E539B5"/>
    <w:rsid w:val="00E54FD5"/>
    <w:rsid w:val="00E6379F"/>
    <w:rsid w:val="00E66524"/>
    <w:rsid w:val="00E872B9"/>
    <w:rsid w:val="00E93CCE"/>
    <w:rsid w:val="00E95E9D"/>
    <w:rsid w:val="00EA0489"/>
    <w:rsid w:val="00EA73E9"/>
    <w:rsid w:val="00EA7F56"/>
    <w:rsid w:val="00EB1434"/>
    <w:rsid w:val="00EB36B3"/>
    <w:rsid w:val="00EB495C"/>
    <w:rsid w:val="00EB4F5B"/>
    <w:rsid w:val="00EC1FFC"/>
    <w:rsid w:val="00EC4687"/>
    <w:rsid w:val="00EC4B15"/>
    <w:rsid w:val="00EC4C52"/>
    <w:rsid w:val="00EC7AF5"/>
    <w:rsid w:val="00EC7D90"/>
    <w:rsid w:val="00EE15AC"/>
    <w:rsid w:val="00EE24DA"/>
    <w:rsid w:val="00EE55E1"/>
    <w:rsid w:val="00EF04D3"/>
    <w:rsid w:val="00EF244C"/>
    <w:rsid w:val="00EF2725"/>
    <w:rsid w:val="00EF7647"/>
    <w:rsid w:val="00F06F97"/>
    <w:rsid w:val="00F1412D"/>
    <w:rsid w:val="00F15892"/>
    <w:rsid w:val="00F25519"/>
    <w:rsid w:val="00F27799"/>
    <w:rsid w:val="00F3026B"/>
    <w:rsid w:val="00F3247E"/>
    <w:rsid w:val="00F36897"/>
    <w:rsid w:val="00F3741B"/>
    <w:rsid w:val="00F37E0C"/>
    <w:rsid w:val="00F4458F"/>
    <w:rsid w:val="00F50411"/>
    <w:rsid w:val="00F52421"/>
    <w:rsid w:val="00F55EB5"/>
    <w:rsid w:val="00F56517"/>
    <w:rsid w:val="00F65190"/>
    <w:rsid w:val="00F65CEE"/>
    <w:rsid w:val="00F75CE6"/>
    <w:rsid w:val="00F775D8"/>
    <w:rsid w:val="00F81106"/>
    <w:rsid w:val="00F81B03"/>
    <w:rsid w:val="00F81D52"/>
    <w:rsid w:val="00F83482"/>
    <w:rsid w:val="00F836BE"/>
    <w:rsid w:val="00F85A04"/>
    <w:rsid w:val="00F85A39"/>
    <w:rsid w:val="00F976EB"/>
    <w:rsid w:val="00F97B56"/>
    <w:rsid w:val="00FA267B"/>
    <w:rsid w:val="00FA6B94"/>
    <w:rsid w:val="00FA7154"/>
    <w:rsid w:val="00FA7954"/>
    <w:rsid w:val="00FB5115"/>
    <w:rsid w:val="00FC2A1E"/>
    <w:rsid w:val="00FC39A3"/>
    <w:rsid w:val="00FC57D7"/>
    <w:rsid w:val="00FC62D1"/>
    <w:rsid w:val="00FC6788"/>
    <w:rsid w:val="00FC7AE7"/>
    <w:rsid w:val="00FD7688"/>
    <w:rsid w:val="00FE0C6C"/>
    <w:rsid w:val="00FE1CEF"/>
    <w:rsid w:val="00FE3FA2"/>
    <w:rsid w:val="00FE581C"/>
    <w:rsid w:val="00FE6F46"/>
    <w:rsid w:val="00FE7AC7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3371E30-9744-428A-BC55-F37A0C65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5B2959"/>
    <w:pPr>
      <w:spacing w:before="120" w:line="280" w:lineRule="atLeast"/>
    </w:pPr>
    <w:rPr>
      <w:rFonts w:ascii="Arial" w:hAnsi="Arial" w:cs="Arial"/>
      <w:sz w:val="22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78128B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AF272F"/>
      <w:sz w:val="44"/>
      <w:szCs w:val="20"/>
    </w:rPr>
  </w:style>
  <w:style w:type="paragraph" w:styleId="Heading2">
    <w:name w:val="heading 2"/>
    <w:basedOn w:val="Heading1"/>
    <w:next w:val="Normal"/>
    <w:link w:val="Heading2Char"/>
    <w:uiPriority w:val="9"/>
    <w:qFormat/>
    <w:locked/>
    <w:rsid w:val="0078128B"/>
    <w:pPr>
      <w:pBdr>
        <w:top w:val="single" w:sz="8" w:space="3" w:color="AF272F"/>
      </w:pBdr>
      <w:spacing w:before="360"/>
      <w:ind w:left="851" w:hanging="851"/>
      <w:outlineLvl w:val="1"/>
    </w:pPr>
    <w:rPr>
      <w:bCs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78128B"/>
    <w:pPr>
      <w:tabs>
        <w:tab w:val="left" w:pos="851"/>
      </w:tabs>
      <w:spacing w:before="240" w:after="240"/>
      <w:outlineLvl w:val="2"/>
    </w:pPr>
    <w:rPr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28B"/>
    <w:rPr>
      <w:rFonts w:ascii="Arial" w:eastAsiaTheme="majorEastAsia" w:hAnsi="Arial" w:cstheme="majorBidi"/>
      <w:b/>
      <w:bCs/>
      <w:color w:val="AF272F"/>
      <w:sz w:val="4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8128B"/>
    <w:rPr>
      <w:rFonts w:ascii="Arial" w:eastAsiaTheme="majorEastAsia" w:hAnsi="Arial" w:cstheme="majorBidi"/>
      <w:b/>
      <w:color w:val="AF272F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8128B"/>
    <w:rPr>
      <w:rFonts w:ascii="Arial" w:hAnsi="Arial" w:cs="Arial"/>
      <w:b/>
      <w:color w:val="000000" w:themeColor="text1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95E9D"/>
    <w:rPr>
      <w:sz w:val="16"/>
      <w:szCs w:val="16"/>
    </w:rPr>
  </w:style>
  <w:style w:type="paragraph" w:styleId="Quote">
    <w:name w:val="Quote"/>
    <w:basedOn w:val="Normal"/>
    <w:next w:val="Normal"/>
    <w:link w:val="QuoteChar"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Footer">
    <w:name w:val="footer"/>
    <w:basedOn w:val="Normal"/>
    <w:link w:val="FooterChar"/>
    <w:uiPriority w:val="99"/>
    <w:rsid w:val="008A1405"/>
    <w:pPr>
      <w:tabs>
        <w:tab w:val="right" w:pos="6804"/>
      </w:tabs>
      <w:spacing w:before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A1405"/>
    <w:rPr>
      <w:rFonts w:ascii="Arial" w:hAnsi="Arial" w:cs="Arial"/>
      <w:sz w:val="20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95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E9D"/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paragraph" w:styleId="Title">
    <w:name w:val="Title"/>
    <w:next w:val="Subtitle"/>
    <w:link w:val="TitleChar"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locked/>
    <w:rsid w:val="002A00EF"/>
    <w:pPr>
      <w:tabs>
        <w:tab w:val="right" w:pos="9072"/>
      </w:tabs>
      <w:spacing w:before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A00EF"/>
    <w:rPr>
      <w:rFonts w:ascii="Arial" w:hAnsi="Arial" w:cs="Arial"/>
      <w:sz w:val="18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after="0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95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E9D"/>
    <w:rPr>
      <w:rFonts w:ascii="Arial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styleId="TOC3">
    <w:name w:val="toc 3"/>
    <w:basedOn w:val="Normal"/>
    <w:next w:val="Normal"/>
    <w:autoRedefine/>
    <w:uiPriority w:val="39"/>
    <w:semiHidden/>
    <w:locked/>
    <w:rsid w:val="00895870"/>
    <w:pPr>
      <w:ind w:left="360"/>
    </w:pPr>
  </w:style>
  <w:style w:type="paragraph" w:styleId="TOC2">
    <w:name w:val="toc 2"/>
    <w:basedOn w:val="Normal"/>
    <w:next w:val="Normal"/>
    <w:autoRedefine/>
    <w:uiPriority w:val="39"/>
    <w:semiHidden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semiHidden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semiHidden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semiHidden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semiHidden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semiHidden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semiHidden/>
    <w:locked/>
    <w:rsid w:val="00895870"/>
    <w:pPr>
      <w:ind w:left="1440"/>
    </w:pPr>
  </w:style>
  <w:style w:type="character" w:styleId="EndnoteReference">
    <w:name w:val="endnote reference"/>
    <w:uiPriority w:val="99"/>
    <w:semiHidden/>
    <w:locked/>
    <w:rsid w:val="00271F77"/>
    <w:rPr>
      <w:b w:val="0"/>
      <w:i w:val="0"/>
      <w:sz w:val="15"/>
      <w:szCs w:val="15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DB6966"/>
    <w:rPr>
      <w:rFonts w:ascii="Arial" w:hAnsi="Arial"/>
      <w:color w:val="0000FF"/>
      <w:sz w:val="22"/>
      <w:u w:val="single"/>
    </w:rPr>
  </w:style>
  <w:style w:type="paragraph" w:styleId="ListBullet">
    <w:name w:val="List Bullet"/>
    <w:basedOn w:val="Normal"/>
    <w:uiPriority w:val="99"/>
    <w:unhideWhenUsed/>
    <w:locked/>
    <w:rsid w:val="00F81106"/>
    <w:pPr>
      <w:numPr>
        <w:numId w:val="2"/>
      </w:numPr>
    </w:pPr>
    <w:rPr>
      <w:rFonts w:eastAsiaTheme="minorHAnsi" w:cstheme="minorBidi"/>
      <w:szCs w:val="22"/>
      <w:lang w:val="en-AU"/>
    </w:rPr>
  </w:style>
  <w:style w:type="paragraph" w:styleId="ListBullet2">
    <w:name w:val="List Bullet 2"/>
    <w:basedOn w:val="Normal"/>
    <w:uiPriority w:val="99"/>
    <w:unhideWhenUsed/>
    <w:locked/>
    <w:rsid w:val="004D6B0E"/>
    <w:pPr>
      <w:numPr>
        <w:numId w:val="3"/>
      </w:numPr>
      <w:spacing w:before="60"/>
      <w:ind w:left="568" w:hanging="284"/>
    </w:pPr>
    <w:rPr>
      <w:rFonts w:eastAsiaTheme="minorHAnsi" w:cstheme="minorBidi"/>
      <w:szCs w:val="22"/>
      <w:lang w:val="en-AU"/>
    </w:rPr>
  </w:style>
  <w:style w:type="table" w:styleId="LightList-Accent3">
    <w:name w:val="Light List Accent 3"/>
    <w:basedOn w:val="TableNormal"/>
    <w:uiPriority w:val="61"/>
    <w:locked/>
    <w:rsid w:val="00927DEE"/>
    <w:rPr>
      <w:rFonts w:eastAsiaTheme="minorHAnsi"/>
      <w:sz w:val="22"/>
      <w:szCs w:val="22"/>
      <w:lang w:val="en-A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FollowedHyperlink">
    <w:name w:val="FollowedHyperlink"/>
    <w:basedOn w:val="DefaultParagraphFont"/>
    <w:locked/>
    <w:rsid w:val="0051778F"/>
    <w:rPr>
      <w:color w:val="0000FF"/>
      <w:u w:val="single"/>
    </w:rPr>
  </w:style>
  <w:style w:type="paragraph" w:styleId="ListContinue">
    <w:name w:val="List Continue"/>
    <w:basedOn w:val="Normal"/>
    <w:uiPriority w:val="99"/>
    <w:unhideWhenUsed/>
    <w:locked/>
    <w:rsid w:val="00DB6966"/>
    <w:pPr>
      <w:ind w:left="284"/>
    </w:pPr>
    <w:rPr>
      <w:rFonts w:eastAsiaTheme="minorHAnsi" w:cstheme="minorBidi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locked/>
    <w:rsid w:val="00D75869"/>
    <w:pPr>
      <w:spacing w:before="0"/>
    </w:pPr>
    <w:rPr>
      <w:rFonts w:eastAsiaTheme="minorHAnsi" w:cstheme="minorBidi"/>
      <w:sz w:val="20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D75869"/>
    <w:rPr>
      <w:rFonts w:ascii="Arial" w:eastAsiaTheme="minorHAnsi" w:hAnsi="Arial"/>
      <w:sz w:val="20"/>
      <w:szCs w:val="22"/>
      <w:lang w:val="en-AU"/>
    </w:rPr>
  </w:style>
  <w:style w:type="paragraph" w:styleId="BodyText2">
    <w:name w:val="Body Text 2"/>
    <w:basedOn w:val="Normal"/>
    <w:link w:val="BodyText2Char"/>
    <w:uiPriority w:val="99"/>
    <w:unhideWhenUsed/>
    <w:locked/>
    <w:rsid w:val="00D75869"/>
    <w:pPr>
      <w:spacing w:before="0"/>
    </w:pPr>
    <w:rPr>
      <w:rFonts w:eastAsiaTheme="minorHAnsi" w:cstheme="minorBidi"/>
      <w:b/>
      <w:sz w:val="20"/>
      <w:szCs w:val="22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D75869"/>
    <w:rPr>
      <w:rFonts w:ascii="Arial" w:eastAsiaTheme="minorHAnsi" w:hAnsi="Arial"/>
      <w:b/>
      <w:sz w:val="20"/>
      <w:szCs w:val="22"/>
      <w:lang w:val="en-AU"/>
    </w:rPr>
  </w:style>
  <w:style w:type="paragraph" w:styleId="NoSpacing">
    <w:name w:val="No Spacing"/>
    <w:uiPriority w:val="1"/>
    <w:qFormat/>
    <w:locked/>
    <w:rsid w:val="0051778F"/>
    <w:rPr>
      <w:rFonts w:ascii="Candara" w:eastAsiaTheme="minorHAnsi" w:hAnsi="Candara"/>
      <w:sz w:val="22"/>
      <w:szCs w:val="22"/>
      <w:lang w:val="en-AU"/>
    </w:rPr>
  </w:style>
  <w:style w:type="table" w:customStyle="1" w:styleId="GridTable6Colorful1">
    <w:name w:val="Grid Table 6 Colorful1"/>
    <w:basedOn w:val="TableNormal"/>
    <w:uiPriority w:val="51"/>
    <w:locked/>
    <w:rsid w:val="0051778F"/>
    <w:rPr>
      <w:rFonts w:eastAsiaTheme="minorHAnsi"/>
      <w:color w:val="000000" w:themeColor="text1"/>
      <w:sz w:val="22"/>
      <w:szCs w:val="22"/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87492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92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627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268F5"/>
    <w:rPr>
      <w:rFonts w:ascii="Arial" w:hAnsi="Arial" w:cs="Arial"/>
      <w:sz w:val="18"/>
      <w:szCs w:val="18"/>
    </w:rPr>
  </w:style>
  <w:style w:type="paragraph" w:styleId="ListParagraph">
    <w:name w:val="List Paragraph"/>
    <w:aliases w:val="List Paragraph1,List Paragraph11"/>
    <w:basedOn w:val="Normal"/>
    <w:uiPriority w:val="34"/>
    <w:qFormat/>
    <w:locked/>
    <w:rsid w:val="00BB085A"/>
    <w:pPr>
      <w:ind w:left="720"/>
      <w:contextualSpacing/>
    </w:pPr>
  </w:style>
  <w:style w:type="table" w:customStyle="1" w:styleId="GridTable6Colorful2">
    <w:name w:val="Grid Table 6 Colorful2"/>
    <w:basedOn w:val="TableNormal"/>
    <w:uiPriority w:val="51"/>
    <w:rsid w:val="00E378B3"/>
    <w:rPr>
      <w:rFonts w:eastAsiaTheme="minorHAnsi"/>
      <w:color w:val="000000" w:themeColor="text1"/>
      <w:sz w:val="22"/>
      <w:szCs w:val="22"/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Data">
    <w:name w:val="TableData"/>
    <w:basedOn w:val="Normal"/>
    <w:rsid w:val="00CD725B"/>
    <w:pPr>
      <w:tabs>
        <w:tab w:val="decimal" w:pos="1008"/>
      </w:tabs>
      <w:spacing w:after="120" w:line="120" w:lineRule="atLeast"/>
      <w:ind w:left="72" w:right="72"/>
    </w:pPr>
    <w:rPr>
      <w:rFonts w:eastAsia="Times New Roman" w:cs="Times New Roman"/>
      <w:sz w:val="20"/>
      <w:szCs w:val="20"/>
    </w:rPr>
  </w:style>
  <w:style w:type="paragraph" w:customStyle="1" w:styleId="AddressPhone">
    <w:name w:val="Address/Phone"/>
    <w:basedOn w:val="Normal"/>
    <w:rsid w:val="00CD725B"/>
    <w:pPr>
      <w:spacing w:before="0" w:line="240" w:lineRule="auto"/>
      <w:ind w:left="245"/>
    </w:pPr>
    <w:rPr>
      <w:rFonts w:eastAsia="Times New Roman" w:cs="Times New Roman"/>
      <w:sz w:val="20"/>
      <w:szCs w:val="20"/>
    </w:rPr>
  </w:style>
  <w:style w:type="paragraph" w:customStyle="1" w:styleId="TableText">
    <w:name w:val="TableText"/>
    <w:basedOn w:val="TableData"/>
    <w:rsid w:val="00CD725B"/>
    <w:pPr>
      <w:tabs>
        <w:tab w:val="clear" w:pos="1008"/>
      </w:tabs>
    </w:pPr>
  </w:style>
  <w:style w:type="paragraph" w:customStyle="1" w:styleId="CompanyName">
    <w:name w:val="Company Name"/>
    <w:basedOn w:val="Normal"/>
    <w:next w:val="Slogan"/>
    <w:rsid w:val="00CD725B"/>
    <w:pPr>
      <w:spacing w:before="0" w:line="240" w:lineRule="atLeast"/>
      <w:ind w:left="245"/>
    </w:pPr>
    <w:rPr>
      <w:rFonts w:eastAsia="Times New Roman" w:cs="Times New Roman"/>
      <w:b/>
      <w:sz w:val="36"/>
      <w:szCs w:val="20"/>
    </w:rPr>
  </w:style>
  <w:style w:type="paragraph" w:customStyle="1" w:styleId="Slogan">
    <w:name w:val="Slogan"/>
    <w:basedOn w:val="AddressPhone"/>
    <w:next w:val="AddressPhone"/>
    <w:rsid w:val="00CD725B"/>
    <w:rPr>
      <w:b/>
      <w:i/>
    </w:rPr>
  </w:style>
  <w:style w:type="paragraph" w:customStyle="1" w:styleId="ColumnHead">
    <w:name w:val="ColumnHead"/>
    <w:basedOn w:val="Normal"/>
    <w:rsid w:val="00CD725B"/>
    <w:pPr>
      <w:spacing w:before="0" w:line="240" w:lineRule="auto"/>
      <w:jc w:val="center"/>
    </w:pPr>
    <w:rPr>
      <w:rFonts w:eastAsia="Times New Roman" w:cs="Times New Roman"/>
      <w:b/>
      <w:caps/>
      <w:color w:val="000000"/>
      <w:sz w:val="20"/>
      <w:szCs w:val="20"/>
    </w:rPr>
  </w:style>
  <w:style w:type="paragraph" w:customStyle="1" w:styleId="DatesNotes">
    <w:name w:val="Dates/Notes"/>
    <w:basedOn w:val="Normal"/>
    <w:rsid w:val="00CD725B"/>
    <w:pPr>
      <w:spacing w:before="0" w:line="240" w:lineRule="auto"/>
    </w:pPr>
    <w:rPr>
      <w:rFonts w:eastAsia="Times New Roman" w:cs="Times New Roman"/>
      <w:b/>
      <w:sz w:val="20"/>
      <w:szCs w:val="20"/>
    </w:rPr>
  </w:style>
  <w:style w:type="paragraph" w:customStyle="1" w:styleId="NonDecimalTableData">
    <w:name w:val="NonDecimalTableData"/>
    <w:basedOn w:val="TableData"/>
    <w:rsid w:val="00CD725B"/>
    <w:pPr>
      <w:tabs>
        <w:tab w:val="right" w:pos="1008"/>
      </w:tabs>
    </w:pPr>
  </w:style>
  <w:style w:type="paragraph" w:customStyle="1" w:styleId="Default">
    <w:name w:val="Default"/>
    <w:rsid w:val="00130200"/>
    <w:pPr>
      <w:autoSpaceDE w:val="0"/>
      <w:autoSpaceDN w:val="0"/>
      <w:adjustRightInd w:val="0"/>
    </w:pPr>
    <w:rPr>
      <w:rFonts w:ascii="Verdana" w:hAnsi="Verdana" w:cs="Verdana"/>
      <w:color w:val="000000"/>
      <w:lang w:val="en-AU"/>
    </w:rPr>
  </w:style>
  <w:style w:type="character" w:customStyle="1" w:styleId="Mention1">
    <w:name w:val="Mention1"/>
    <w:basedOn w:val="DefaultParagraphFont"/>
    <w:uiPriority w:val="99"/>
    <w:semiHidden/>
    <w:unhideWhenUsed/>
    <w:rsid w:val="00CA54BA"/>
    <w:rPr>
      <w:color w:val="2B579A"/>
      <w:shd w:val="clear" w:color="auto" w:fill="E6E6E6"/>
    </w:rPr>
  </w:style>
  <w:style w:type="table" w:customStyle="1" w:styleId="PlainTable41">
    <w:name w:val="Plain Table 41"/>
    <w:basedOn w:val="TableNormal"/>
    <w:uiPriority w:val="44"/>
    <w:rsid w:val="0017043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hools.finance.support@edumail.vic.gov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/Users/08427290/AppData/Local/Microsoft/Windows/INetCache/Content.Outlook/0L56Q5E0/:%20https:/servicegateway.eduweb.vic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 xsi:nil="true"/>
    <a319977fc8504e09982f090ae1d7c602 xmlns="76b566cd-adb9-46c2-964b-22eba181fd0b">
      <Terms xmlns="http://schemas.microsoft.com/office/infopath/2007/PartnerControls"/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DEECD_Description xmlns="http://schemas.microsoft.com/sharepoint/v3">Finance manual for Victorian Government Schools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80F71-6500-4768-BFAF-811BA4DDDBDE}"/>
</file>

<file path=customXml/itemProps2.xml><?xml version="1.0" encoding="utf-8"?>
<ds:datastoreItem xmlns:ds="http://schemas.openxmlformats.org/officeDocument/2006/customXml" ds:itemID="{A11081E9-3CD3-4F5B-803C-61E34248A148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EED1C39-739E-4838-9F95-D860E09683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Beck, Luke L</cp:lastModifiedBy>
  <cp:revision>3</cp:revision>
  <cp:lastPrinted>2017-05-31T03:17:00Z</cp:lastPrinted>
  <dcterms:created xsi:type="dcterms:W3CDTF">2019-01-30T02:15:00Z</dcterms:created>
  <dcterms:modified xsi:type="dcterms:W3CDTF">2019-02-01T02:45:00Z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