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EE" w:rsidRPr="00933A7C" w:rsidRDefault="00F65190" w:rsidP="00933A7C">
      <w:pPr>
        <w:pStyle w:val="Heading1"/>
      </w:pPr>
      <w:bookmarkStart w:id="0" w:name="_Toc455499267"/>
      <w:bookmarkStart w:id="1" w:name="_Toc455499461"/>
      <w:bookmarkStart w:id="2" w:name="_Toc455501167"/>
      <w:r w:rsidRPr="00933A7C">
        <w:t>Appendix A</w:t>
      </w:r>
      <w:r w:rsidR="00927DEE" w:rsidRPr="00933A7C">
        <w:t xml:space="preserve">: </w:t>
      </w:r>
      <w:r w:rsidRPr="00933A7C">
        <w:t>Glossary of terms and acronyms</w:t>
      </w:r>
    </w:p>
    <w:p w:rsidR="008A4AC9" w:rsidRPr="00EC4B15" w:rsidRDefault="00F65190" w:rsidP="008A4AC9">
      <w:pPr>
        <w:pStyle w:val="Heading2"/>
      </w:pPr>
      <w:r>
        <w:t>A</w:t>
      </w:r>
      <w:r w:rsidR="008A4AC9" w:rsidRPr="00CA1867">
        <w:t>.1</w:t>
      </w:r>
      <w:r w:rsidR="008A4AC9" w:rsidRPr="00CA1867">
        <w:tab/>
        <w:t>Overview</w:t>
      </w:r>
    </w:p>
    <w:p w:rsidR="00EC4B15" w:rsidRDefault="00CA1867" w:rsidP="004E0B7B">
      <w:r>
        <w:t xml:space="preserve">The </w:t>
      </w:r>
      <w:r w:rsidR="00F65190">
        <w:t xml:space="preserve">following </w:t>
      </w:r>
      <w:r w:rsidR="00933A7C">
        <w:t xml:space="preserve">acronyms and </w:t>
      </w:r>
      <w:r w:rsidR="00F65190">
        <w:t>definitions must be read in conjunction with the</w:t>
      </w:r>
      <w:r w:rsidR="00933A7C">
        <w:t xml:space="preserve"> </w:t>
      </w:r>
      <w:r w:rsidR="00F65190">
        <w:t xml:space="preserve">definitions contained in the </w:t>
      </w:r>
      <w:r w:rsidR="00F65190" w:rsidRPr="0032167A">
        <w:rPr>
          <w:i/>
        </w:rPr>
        <w:t>Education and Training Reform Act 2006</w:t>
      </w:r>
      <w:r w:rsidR="00F65190">
        <w:t xml:space="preserve"> and the </w:t>
      </w:r>
      <w:r w:rsidR="00F65190" w:rsidRPr="0032167A">
        <w:rPr>
          <w:i/>
        </w:rPr>
        <w:t>Education and Training Reform Regulations 2007</w:t>
      </w:r>
      <w:r w:rsidR="00F65190">
        <w:t>.</w:t>
      </w:r>
    </w:p>
    <w:p w:rsidR="00CA2F7D" w:rsidRDefault="00CA2F7D" w:rsidP="004E0B7B"/>
    <w:p w:rsidR="00384E90" w:rsidRPr="00EC4B15" w:rsidRDefault="00F65190" w:rsidP="00384E90">
      <w:pPr>
        <w:keepNext/>
        <w:keepLines/>
        <w:pBdr>
          <w:top w:val="single" w:sz="8" w:space="3" w:color="AF272F"/>
        </w:pBdr>
        <w:spacing w:before="360" w:after="120"/>
        <w:ind w:left="851" w:hanging="851"/>
        <w:outlineLvl w:val="1"/>
        <w:rPr>
          <w:rFonts w:eastAsiaTheme="majorEastAsia" w:cstheme="majorBidi"/>
          <w:b/>
          <w:color w:val="AF272F"/>
          <w:sz w:val="36"/>
          <w:szCs w:val="20"/>
        </w:rPr>
      </w:pPr>
      <w:r>
        <w:rPr>
          <w:rFonts w:eastAsiaTheme="majorEastAsia" w:cstheme="majorBidi"/>
          <w:b/>
          <w:color w:val="AF272F"/>
          <w:sz w:val="36"/>
          <w:szCs w:val="20"/>
        </w:rPr>
        <w:t>A</w:t>
      </w:r>
      <w:r w:rsidR="00384E90" w:rsidRPr="00CA1867">
        <w:rPr>
          <w:rFonts w:eastAsiaTheme="majorEastAsia" w:cstheme="majorBidi"/>
          <w:b/>
          <w:color w:val="AF272F"/>
          <w:sz w:val="36"/>
          <w:szCs w:val="20"/>
        </w:rPr>
        <w:t>.2</w:t>
      </w:r>
      <w:r w:rsidR="00384E90" w:rsidRPr="00CA1867">
        <w:rPr>
          <w:rFonts w:eastAsiaTheme="majorEastAsia" w:cstheme="majorBidi"/>
          <w:b/>
          <w:color w:val="AF272F"/>
          <w:sz w:val="36"/>
          <w:szCs w:val="20"/>
        </w:rPr>
        <w:tab/>
      </w:r>
      <w:r>
        <w:rPr>
          <w:rFonts w:eastAsiaTheme="majorEastAsia" w:cstheme="majorBidi"/>
          <w:b/>
          <w:color w:val="AF272F"/>
          <w:sz w:val="36"/>
          <w:szCs w:val="20"/>
        </w:rPr>
        <w:t xml:space="preserve">Glossary </w:t>
      </w:r>
      <w:r w:rsidR="004547DC">
        <w:rPr>
          <w:rFonts w:eastAsiaTheme="majorEastAsia" w:cstheme="majorBidi"/>
          <w:b/>
          <w:color w:val="AF272F"/>
          <w:sz w:val="36"/>
          <w:szCs w:val="20"/>
        </w:rPr>
        <w:t xml:space="preserve">of </w:t>
      </w:r>
      <w:r w:rsidR="004547DC" w:rsidRPr="00FB531F">
        <w:rPr>
          <w:rFonts w:eastAsiaTheme="majorEastAsia" w:cstheme="majorBidi"/>
          <w:b/>
          <w:color w:val="C00000"/>
          <w:sz w:val="36"/>
          <w:szCs w:val="20"/>
        </w:rPr>
        <w:t>terms</w:t>
      </w:r>
      <w:r w:rsidR="004547DC">
        <w:rPr>
          <w:rFonts w:eastAsiaTheme="majorEastAsia" w:cstheme="majorBidi"/>
          <w:b/>
          <w:color w:val="AF272F"/>
          <w:sz w:val="36"/>
          <w:szCs w:val="20"/>
        </w:rPr>
        <w:t xml:space="preserve"> </w:t>
      </w:r>
      <w:r>
        <w:rPr>
          <w:rFonts w:eastAsiaTheme="majorEastAsia" w:cstheme="majorBidi"/>
          <w:b/>
          <w:color w:val="AF272F"/>
          <w:sz w:val="36"/>
          <w:szCs w:val="20"/>
        </w:rPr>
        <w:t>and acronyms</w:t>
      </w:r>
    </w:p>
    <w:tbl>
      <w:tblPr>
        <w:tblStyle w:val="PlainTable41"/>
        <w:tblW w:w="9015" w:type="dxa"/>
        <w:tblLayout w:type="fixed"/>
        <w:tblLook w:val="04A0" w:firstRow="1" w:lastRow="0" w:firstColumn="1" w:lastColumn="0" w:noHBand="0" w:noVBand="1"/>
        <w:tblDescription w:val="header band with Acronym and definition"/>
      </w:tblPr>
      <w:tblGrid>
        <w:gridCol w:w="1973"/>
        <w:gridCol w:w="7042"/>
      </w:tblGrid>
      <w:tr w:rsidR="00170436" w:rsidRPr="00CA54BA" w:rsidTr="007B229C">
        <w:trPr>
          <w:cnfStyle w:val="100000000000" w:firstRow="1" w:lastRow="0" w:firstColumn="0" w:lastColumn="0" w:oddVBand="0" w:evenVBand="0" w:oddHBand="0" w:evenHBand="0" w:firstRowFirstColumn="0" w:firstRowLastColumn="0" w:lastRowFirstColumn="0" w:lastRowLastColumn="0"/>
          <w:trHeight w:val="511"/>
          <w:tblHeader/>
        </w:trPr>
        <w:tc>
          <w:tcPr>
            <w:cnfStyle w:val="001000000000" w:firstRow="0" w:lastRow="0" w:firstColumn="1" w:lastColumn="0" w:oddVBand="0" w:evenVBand="0" w:oddHBand="0" w:evenHBand="0" w:firstRowFirstColumn="0" w:firstRowLastColumn="0" w:lastRowFirstColumn="0" w:lastRowLastColumn="0"/>
            <w:tcW w:w="1973" w:type="dxa"/>
            <w:shd w:val="clear" w:color="auto" w:fill="C00000"/>
          </w:tcPr>
          <w:p w:rsidR="00170436" w:rsidRPr="00170436" w:rsidRDefault="00170436" w:rsidP="00311626">
            <w:pPr>
              <w:rPr>
                <w:color w:val="FFFFFF" w:themeColor="background1"/>
              </w:rPr>
            </w:pPr>
            <w:bookmarkStart w:id="3" w:name="_GoBack" w:colFirst="0" w:colLast="2"/>
            <w:r w:rsidRPr="00170436">
              <w:rPr>
                <w:color w:val="FFFFFF" w:themeColor="background1"/>
              </w:rPr>
              <w:t>Acronym</w:t>
            </w:r>
          </w:p>
        </w:tc>
        <w:tc>
          <w:tcPr>
            <w:tcW w:w="7042" w:type="dxa"/>
            <w:shd w:val="clear" w:color="auto" w:fill="C00000"/>
          </w:tcPr>
          <w:p w:rsidR="00170436" w:rsidRPr="00170436" w:rsidRDefault="00170436" w:rsidP="0031162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70436">
              <w:rPr>
                <w:color w:val="FFFFFF" w:themeColor="background1"/>
              </w:rPr>
              <w:t>Definition</w:t>
            </w:r>
          </w:p>
        </w:tc>
      </w:tr>
      <w:bookmarkEnd w:id="3"/>
      <w:tr w:rsidR="002D46BC"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2D46BC" w:rsidRPr="00857131" w:rsidRDefault="002D46BC" w:rsidP="00311626">
            <w:r w:rsidRPr="00857131">
              <w:t>ABN</w:t>
            </w:r>
          </w:p>
        </w:tc>
        <w:tc>
          <w:tcPr>
            <w:tcW w:w="7042" w:type="dxa"/>
          </w:tcPr>
          <w:p w:rsidR="002D46BC" w:rsidRPr="00311626" w:rsidRDefault="002D46BC" w:rsidP="00311626">
            <w:pPr>
              <w:cnfStyle w:val="000000100000" w:firstRow="0" w:lastRow="0" w:firstColumn="0" w:lastColumn="0" w:oddVBand="0" w:evenVBand="0" w:oddHBand="1" w:evenHBand="0" w:firstRowFirstColumn="0" w:firstRowLastColumn="0" w:lastRowFirstColumn="0" w:lastRowLastColumn="0"/>
            </w:pPr>
            <w:r w:rsidRPr="002D46BC">
              <w:t>Australian Business Number</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857131" w:rsidRPr="00857131" w:rsidRDefault="00857131" w:rsidP="00311626">
            <w:r>
              <w:t>ABR</w:t>
            </w:r>
          </w:p>
        </w:tc>
        <w:tc>
          <w:tcPr>
            <w:tcW w:w="7042" w:type="dxa"/>
          </w:tcPr>
          <w:p w:rsidR="00857131" w:rsidRPr="002D46BC" w:rsidRDefault="00857131" w:rsidP="00311626">
            <w:pPr>
              <w:cnfStyle w:val="000000000000" w:firstRow="0" w:lastRow="0" w:firstColumn="0" w:lastColumn="0" w:oddVBand="0" w:evenVBand="0" w:oddHBand="0" w:evenHBand="0" w:firstRowFirstColumn="0" w:firstRowLastColumn="0" w:lastRowFirstColumn="0" w:lastRowLastColumn="0"/>
            </w:pPr>
            <w:r w:rsidRPr="00857131">
              <w:t>Australian Business Register</w:t>
            </w:r>
          </w:p>
        </w:tc>
      </w:tr>
      <w:tr w:rsidR="005B2959"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5B2959" w:rsidRDefault="005B2959" w:rsidP="00311626">
            <w:r>
              <w:t>ADI</w:t>
            </w:r>
          </w:p>
        </w:tc>
        <w:tc>
          <w:tcPr>
            <w:tcW w:w="7042" w:type="dxa"/>
          </w:tcPr>
          <w:p w:rsidR="005B2959" w:rsidRPr="00F81D52" w:rsidRDefault="005B2959" w:rsidP="00184465">
            <w:pPr>
              <w:cnfStyle w:val="000000100000" w:firstRow="0" w:lastRow="0" w:firstColumn="0" w:lastColumn="0" w:oddVBand="0" w:evenVBand="0" w:oddHBand="1" w:evenHBand="0" w:firstRowFirstColumn="0" w:firstRowLastColumn="0" w:lastRowFirstColumn="0" w:lastRowLastColumn="0"/>
            </w:pPr>
            <w:r w:rsidRPr="005B2959">
              <w:t>Authorised Deposit–</w:t>
            </w:r>
            <w:r w:rsidR="00184465">
              <w:t>T</w:t>
            </w:r>
            <w:r w:rsidRPr="005B2959">
              <w:t>aking Institution</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81D52" w:rsidRPr="00857131" w:rsidRDefault="00F81D52" w:rsidP="00311626">
            <w:r>
              <w:t>APRA</w:t>
            </w:r>
          </w:p>
        </w:tc>
        <w:tc>
          <w:tcPr>
            <w:tcW w:w="7042" w:type="dxa"/>
          </w:tcPr>
          <w:p w:rsidR="00F81D52" w:rsidRPr="002D46BC" w:rsidRDefault="00F81D52" w:rsidP="00F81D52">
            <w:pPr>
              <w:cnfStyle w:val="000000000000" w:firstRow="0" w:lastRow="0" w:firstColumn="0" w:lastColumn="0" w:oddVBand="0" w:evenVBand="0" w:oddHBand="0" w:evenHBand="0" w:firstRowFirstColumn="0" w:firstRowLastColumn="0" w:lastRowFirstColumn="0" w:lastRowLastColumn="0"/>
            </w:pPr>
            <w:r w:rsidRPr="00F81D52">
              <w:t>Australian Prudential Regulation Authority</w:t>
            </w:r>
          </w:p>
        </w:tc>
      </w:tr>
      <w:tr w:rsidR="005B2959"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5B2959" w:rsidRPr="00857131" w:rsidRDefault="005B2959" w:rsidP="00311626">
            <w:r>
              <w:t>ASIC</w:t>
            </w:r>
          </w:p>
        </w:tc>
        <w:tc>
          <w:tcPr>
            <w:tcW w:w="7042" w:type="dxa"/>
          </w:tcPr>
          <w:p w:rsidR="005B2959" w:rsidRPr="002D46BC" w:rsidRDefault="005B2959" w:rsidP="005B2959">
            <w:pPr>
              <w:cnfStyle w:val="000000100000" w:firstRow="0" w:lastRow="0" w:firstColumn="0" w:lastColumn="0" w:oddVBand="0" w:evenVBand="0" w:oddHBand="1" w:evenHBand="0" w:firstRowFirstColumn="0" w:firstRowLastColumn="0" w:lastRowFirstColumn="0" w:lastRowLastColumn="0"/>
            </w:pPr>
            <w:r w:rsidRPr="005B2959">
              <w:t>Australian Securities Investments Commission</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2D46BC" w:rsidRPr="00857131" w:rsidRDefault="002D46BC" w:rsidP="00311626">
            <w:r w:rsidRPr="00857131">
              <w:t>ATO</w:t>
            </w:r>
          </w:p>
        </w:tc>
        <w:tc>
          <w:tcPr>
            <w:tcW w:w="7042" w:type="dxa"/>
          </w:tcPr>
          <w:p w:rsidR="002D46BC" w:rsidRPr="00311626" w:rsidRDefault="002D46BC" w:rsidP="00311626">
            <w:pPr>
              <w:cnfStyle w:val="000000000000" w:firstRow="0" w:lastRow="0" w:firstColumn="0" w:lastColumn="0" w:oddVBand="0" w:evenVBand="0" w:oddHBand="0" w:evenHBand="0" w:firstRowFirstColumn="0" w:firstRowLastColumn="0" w:lastRowFirstColumn="0" w:lastRowLastColumn="0"/>
            </w:pPr>
            <w:r w:rsidRPr="002D46BC">
              <w:t>Australian Taxation office</w:t>
            </w:r>
          </w:p>
        </w:tc>
      </w:tr>
      <w:tr w:rsidR="002D6F20"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2D6F20" w:rsidRPr="00857131" w:rsidRDefault="002D6F20" w:rsidP="00311626">
            <w:r w:rsidRPr="00857131">
              <w:t>AUP</w:t>
            </w:r>
          </w:p>
        </w:tc>
        <w:tc>
          <w:tcPr>
            <w:tcW w:w="7042" w:type="dxa"/>
          </w:tcPr>
          <w:p w:rsidR="002D6F20" w:rsidRPr="00311626" w:rsidRDefault="002D6F20" w:rsidP="00311626">
            <w:pPr>
              <w:cnfStyle w:val="000000100000" w:firstRow="0" w:lastRow="0" w:firstColumn="0" w:lastColumn="0" w:oddVBand="0" w:evenVBand="0" w:oddHBand="1" w:evenHBand="0" w:firstRowFirstColumn="0" w:firstRowLastColumn="0" w:lastRowFirstColumn="0" w:lastRowLastColumn="0"/>
            </w:pPr>
            <w:r>
              <w:t>Agreed-Upon Procedures</w:t>
            </w:r>
          </w:p>
        </w:tc>
      </w:tr>
      <w:bookmarkEnd w:id="0"/>
      <w:bookmarkEnd w:id="1"/>
      <w:bookmarkEnd w:id="2"/>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311626" w:rsidRPr="00857131" w:rsidRDefault="00311626" w:rsidP="00311626">
            <w:r w:rsidRPr="00857131">
              <w:t>BAS</w:t>
            </w:r>
          </w:p>
        </w:tc>
        <w:tc>
          <w:tcPr>
            <w:tcW w:w="7042" w:type="dxa"/>
          </w:tcPr>
          <w:p w:rsidR="00311626" w:rsidRPr="00311626" w:rsidRDefault="00311626" w:rsidP="00857131">
            <w:pPr>
              <w:cnfStyle w:val="000000000000" w:firstRow="0" w:lastRow="0" w:firstColumn="0" w:lastColumn="0" w:oddVBand="0" w:evenVBand="0" w:oddHBand="0" w:evenHBand="0" w:firstRowFirstColumn="0" w:firstRowLastColumn="0" w:lastRowFirstColumn="0" w:lastRowLastColumn="0"/>
            </w:pPr>
            <w:r w:rsidRPr="00311626">
              <w:t>Business Activity</w:t>
            </w:r>
            <w:r w:rsidR="00857131">
              <w:t xml:space="preserve"> Statement</w:t>
            </w:r>
          </w:p>
        </w:tc>
      </w:tr>
      <w:tr w:rsidR="00F1412D"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1412D" w:rsidRDefault="00F1412D" w:rsidP="00311626">
            <w:r>
              <w:t>BER</w:t>
            </w:r>
          </w:p>
        </w:tc>
        <w:tc>
          <w:tcPr>
            <w:tcW w:w="7042" w:type="dxa"/>
          </w:tcPr>
          <w:p w:rsidR="00F1412D" w:rsidRDefault="00F1412D" w:rsidP="00F1412D">
            <w:pPr>
              <w:cnfStyle w:val="000000100000" w:firstRow="0" w:lastRow="0" w:firstColumn="0" w:lastColumn="0" w:oddVBand="0" w:evenVBand="0" w:oddHBand="1" w:evenHBand="0" w:firstRowFirstColumn="0" w:firstRowLastColumn="0" w:lastRowFirstColumn="0" w:lastRowLastColumn="0"/>
            </w:pPr>
            <w:r w:rsidRPr="00F1412D">
              <w:t>Building Education Revolution</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83482" w:rsidRPr="008E513F" w:rsidRDefault="00F83482" w:rsidP="00311626">
            <w:r>
              <w:t xml:space="preserve">BDA </w:t>
            </w:r>
          </w:p>
        </w:tc>
        <w:tc>
          <w:tcPr>
            <w:tcW w:w="7042" w:type="dxa"/>
          </w:tcPr>
          <w:p w:rsidR="00F83482" w:rsidRPr="00311626" w:rsidRDefault="00F83482" w:rsidP="00311626">
            <w:pPr>
              <w:cnfStyle w:val="000000000000" w:firstRow="0" w:lastRow="0" w:firstColumn="0" w:lastColumn="0" w:oddVBand="0" w:evenVBand="0" w:oddHBand="0" w:evenHBand="0" w:firstRowFirstColumn="0" w:firstRowLastColumn="0" w:lastRowFirstColumn="0" w:lastRowLastColumn="0"/>
            </w:pPr>
            <w:r>
              <w:t>Balance Day Adjustment</w:t>
            </w:r>
          </w:p>
        </w:tc>
      </w:tr>
      <w:tr w:rsidR="00311626" w:rsidRPr="00CA54BA" w:rsidTr="00FB531F">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973" w:type="dxa"/>
          </w:tcPr>
          <w:p w:rsidR="00311626" w:rsidRPr="008E513F" w:rsidRDefault="00311626" w:rsidP="00311626">
            <w:r w:rsidRPr="008E513F">
              <w:t xml:space="preserve">Business </w:t>
            </w:r>
            <w:r w:rsidR="00E322E5">
              <w:t>M</w:t>
            </w:r>
            <w:r w:rsidRPr="008E513F">
              <w:t>anager</w:t>
            </w:r>
          </w:p>
        </w:tc>
        <w:tc>
          <w:tcPr>
            <w:tcW w:w="7042" w:type="dxa"/>
          </w:tcPr>
          <w:p w:rsidR="00311626" w:rsidRPr="008E513F" w:rsidRDefault="00311626" w:rsidP="00646F69">
            <w:pPr>
              <w:cnfStyle w:val="000000100000" w:firstRow="0" w:lastRow="0" w:firstColumn="0" w:lastColumn="0" w:oddVBand="0" w:evenVBand="0" w:oddHBand="1" w:evenHBand="0" w:firstRowFirstColumn="0" w:firstRowLastColumn="0" w:lastRowFirstColumn="0" w:lastRowLastColumn="0"/>
            </w:pPr>
            <w:r w:rsidRPr="00311626">
              <w:t xml:space="preserve">Usually refers to an Education Support </w:t>
            </w:r>
            <w:r w:rsidR="00646F69" w:rsidRPr="00311626">
              <w:t xml:space="preserve">(ES) </w:t>
            </w:r>
            <w:r w:rsidRPr="00311626">
              <w:t>staff member who performs financial and related administrative activities. The term is used throughout the manual to cover administrative managers, registrars and clerical officers in smaller schools and principals in small primary schools where clerical assistance is not available, and any other officer with this responsibility.</w:t>
            </w:r>
          </w:p>
        </w:tc>
      </w:tr>
      <w:tr w:rsidR="00170436" w:rsidRPr="00CA54BA" w:rsidTr="00FB531F">
        <w:trPr>
          <w:trHeight w:val="898"/>
        </w:trPr>
        <w:tc>
          <w:tcPr>
            <w:cnfStyle w:val="001000000000" w:firstRow="0" w:lastRow="0" w:firstColumn="1" w:lastColumn="0" w:oddVBand="0" w:evenVBand="0" w:oddHBand="0" w:evenHBand="0" w:firstRowFirstColumn="0" w:firstRowLastColumn="0" w:lastRowFirstColumn="0" w:lastRowLastColumn="0"/>
            <w:tcW w:w="1973" w:type="dxa"/>
          </w:tcPr>
          <w:p w:rsidR="00311626" w:rsidRPr="008E513F" w:rsidRDefault="0011043B" w:rsidP="00311626">
            <w:r w:rsidRPr="0011043B">
              <w:t>Capital acquisitions</w:t>
            </w:r>
          </w:p>
        </w:tc>
        <w:tc>
          <w:tcPr>
            <w:tcW w:w="7042" w:type="dxa"/>
          </w:tcPr>
          <w:p w:rsidR="00311626" w:rsidRPr="008E513F" w:rsidRDefault="00311626" w:rsidP="00311626">
            <w:pPr>
              <w:cnfStyle w:val="000000000000" w:firstRow="0" w:lastRow="0" w:firstColumn="0" w:lastColumn="0" w:oddVBand="0" w:evenVBand="0" w:oddHBand="0" w:evenHBand="0" w:firstRowFirstColumn="0" w:firstRowLastColumn="0" w:lastRowFirstColumn="0" w:lastRowLastColumn="0"/>
            </w:pPr>
            <w:r w:rsidRPr="00311626">
              <w:t>Required to be identified separately on the B</w:t>
            </w:r>
            <w:r w:rsidR="00184465">
              <w:t>usiness Activity Statement (B</w:t>
            </w:r>
            <w:r w:rsidRPr="00311626">
              <w:t>AS</w:t>
            </w:r>
            <w:r w:rsidR="00184465">
              <w:t>)</w:t>
            </w:r>
            <w:r w:rsidRPr="00311626">
              <w:t>. Capital assets include plant and equipment, motor vehicles, land and buildings etc.</w:t>
            </w:r>
          </w:p>
        </w:tc>
      </w:tr>
      <w:tr w:rsidR="00311626" w:rsidRPr="00CA54BA" w:rsidTr="00FB531F">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973" w:type="dxa"/>
          </w:tcPr>
          <w:p w:rsidR="00311626" w:rsidRPr="008E513F" w:rsidRDefault="00311626" w:rsidP="0011043B">
            <w:r w:rsidRPr="008E513F">
              <w:lastRenderedPageBreak/>
              <w:t>C</w:t>
            </w:r>
            <w:r w:rsidR="0011043B">
              <w:t>ASES21</w:t>
            </w:r>
          </w:p>
        </w:tc>
        <w:tc>
          <w:tcPr>
            <w:tcW w:w="7042" w:type="dxa"/>
          </w:tcPr>
          <w:p w:rsidR="00311626" w:rsidRPr="008E513F" w:rsidRDefault="002D46BC" w:rsidP="00184465">
            <w:pPr>
              <w:cnfStyle w:val="000000100000" w:firstRow="0" w:lastRow="0" w:firstColumn="0" w:lastColumn="0" w:oddVBand="0" w:evenVBand="0" w:oddHBand="1" w:evenHBand="0" w:firstRowFirstColumn="0" w:firstRowLastColumn="0" w:lastRowFirstColumn="0" w:lastRowLastColumn="0"/>
            </w:pPr>
            <w:proofErr w:type="spellStart"/>
            <w:r w:rsidRPr="002D46BC">
              <w:t>Computerised</w:t>
            </w:r>
            <w:proofErr w:type="spellEnd"/>
            <w:r w:rsidRPr="002D46BC">
              <w:t xml:space="preserve"> Administrati</w:t>
            </w:r>
            <w:r w:rsidR="00184465">
              <w:t>ve</w:t>
            </w:r>
            <w:r w:rsidRPr="002D46BC">
              <w:t xml:space="preserve"> Systems Environment in Schools</w:t>
            </w:r>
            <w:r w:rsidR="00184465">
              <w:t xml:space="preserve"> is the software package provided to Victorian Government schools to support school administration, finance and central reporting.</w:t>
            </w:r>
          </w:p>
        </w:tc>
      </w:tr>
      <w:tr w:rsidR="00FB531F" w:rsidRPr="00CA54BA" w:rsidTr="00FB531F">
        <w:trPr>
          <w:trHeight w:val="571"/>
        </w:trPr>
        <w:tc>
          <w:tcPr>
            <w:cnfStyle w:val="001000000000" w:firstRow="0" w:lastRow="0" w:firstColumn="1" w:lastColumn="0" w:oddVBand="0" w:evenVBand="0" w:oddHBand="0" w:evenHBand="0" w:firstRowFirstColumn="0" w:firstRowLastColumn="0" w:lastRowFirstColumn="0" w:lastRowLastColumn="0"/>
            <w:tcW w:w="1973" w:type="dxa"/>
          </w:tcPr>
          <w:p w:rsidR="00FB531F" w:rsidRPr="008E513F" w:rsidRDefault="00FB531F" w:rsidP="0011043B">
            <w:r>
              <w:t>CBS</w:t>
            </w:r>
          </w:p>
        </w:tc>
        <w:tc>
          <w:tcPr>
            <w:tcW w:w="7042" w:type="dxa"/>
          </w:tcPr>
          <w:p w:rsidR="00FB531F" w:rsidRPr="002D46BC" w:rsidRDefault="00FB531F" w:rsidP="00184465">
            <w:pPr>
              <w:cnfStyle w:val="000000000000" w:firstRow="0" w:lastRow="0" w:firstColumn="0" w:lastColumn="0" w:oddVBand="0" w:evenVBand="0" w:oddHBand="0" w:evenHBand="0" w:firstRowFirstColumn="0" w:firstRowLastColumn="0" w:lastRowFirstColumn="0" w:lastRowLastColumn="0"/>
            </w:pPr>
            <w:r>
              <w:t>Centralised Banking System</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2D46BC" w:rsidRDefault="002D46BC" w:rsidP="00311626">
            <w:r>
              <w:t>CoA</w:t>
            </w:r>
          </w:p>
        </w:tc>
        <w:tc>
          <w:tcPr>
            <w:tcW w:w="7042" w:type="dxa"/>
          </w:tcPr>
          <w:p w:rsidR="002D46BC" w:rsidRPr="0011043B" w:rsidRDefault="002D46BC" w:rsidP="00311626">
            <w:pPr>
              <w:cnfStyle w:val="000000100000" w:firstRow="0" w:lastRow="0" w:firstColumn="0" w:lastColumn="0" w:oddVBand="0" w:evenVBand="0" w:oddHBand="1" w:evenHBand="0" w:firstRowFirstColumn="0" w:firstRowLastColumn="0" w:lastRowFirstColumn="0" w:lastRowLastColumn="0"/>
            </w:pPr>
            <w:r>
              <w:t>Chart of Accounts</w:t>
            </w:r>
          </w:p>
        </w:tc>
      </w:tr>
      <w:tr w:rsidR="0031162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311626" w:rsidRPr="008E513F" w:rsidRDefault="0011043B" w:rsidP="00311626">
            <w:r>
              <w:t>CRT</w:t>
            </w:r>
          </w:p>
        </w:tc>
        <w:tc>
          <w:tcPr>
            <w:tcW w:w="7042" w:type="dxa"/>
          </w:tcPr>
          <w:p w:rsidR="00311626" w:rsidRPr="008E513F" w:rsidRDefault="0011043B" w:rsidP="00311626">
            <w:pPr>
              <w:cnfStyle w:val="000000000000" w:firstRow="0" w:lastRow="0" w:firstColumn="0" w:lastColumn="0" w:oddVBand="0" w:evenVBand="0" w:oddHBand="0" w:evenHBand="0" w:firstRowFirstColumn="0" w:firstRowLastColumn="0" w:lastRowFirstColumn="0" w:lastRowLastColumn="0"/>
            </w:pPr>
            <w:r w:rsidRPr="0011043B">
              <w:t>Casual Relief Teacher</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CSEF</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Camps Sport and Excursion Fund</w:t>
            </w:r>
          </w:p>
        </w:tc>
      </w:tr>
      <w:tr w:rsidR="00A40B6F" w:rsidRPr="00CA54BA" w:rsidTr="00FB531F">
        <w:trPr>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DEEWR</w:t>
            </w:r>
          </w:p>
        </w:tc>
        <w:tc>
          <w:tcPr>
            <w:tcW w:w="7042" w:type="dxa"/>
          </w:tcPr>
          <w:p w:rsidR="00A40B6F" w:rsidRPr="00F3242F" w:rsidRDefault="00E322E5" w:rsidP="00A40B6F">
            <w:pPr>
              <w:cnfStyle w:val="000000000000" w:firstRow="0" w:lastRow="0" w:firstColumn="0" w:lastColumn="0" w:oddVBand="0" w:evenVBand="0" w:oddHBand="0" w:evenHBand="0" w:firstRowFirstColumn="0" w:firstRowLastColumn="0" w:lastRowFirstColumn="0" w:lastRowLastColumn="0"/>
            </w:pPr>
            <w:r>
              <w:t xml:space="preserve">Commonwealth </w:t>
            </w:r>
            <w:r w:rsidR="00A40B6F" w:rsidRPr="00F3242F">
              <w:t>Department of Education, Employment and Workplace Relations</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DET</w:t>
            </w:r>
            <w:r w:rsidR="00E322E5">
              <w:t xml:space="preserve"> or the Department</w:t>
            </w:r>
          </w:p>
        </w:tc>
        <w:tc>
          <w:tcPr>
            <w:tcW w:w="7042" w:type="dxa"/>
          </w:tcPr>
          <w:p w:rsidR="00A40B6F" w:rsidRPr="00F3242F" w:rsidRDefault="00A40B6F" w:rsidP="007B59A5">
            <w:pPr>
              <w:cnfStyle w:val="000000100000" w:firstRow="0" w:lastRow="0" w:firstColumn="0" w:lastColumn="0" w:oddVBand="0" w:evenVBand="0" w:oddHBand="1" w:evenHBand="0" w:firstRowFirstColumn="0" w:firstRowLastColumn="0" w:lastRowFirstColumn="0" w:lastRowLastColumn="0"/>
            </w:pPr>
            <w:r w:rsidRPr="00F3242F">
              <w:t>Department of Education and Training</w:t>
            </w:r>
            <w:r w:rsidR="00184465">
              <w:t xml:space="preserve"> Victoria</w:t>
            </w:r>
          </w:p>
        </w:tc>
      </w:tr>
      <w:tr w:rsidR="00A40B6F" w:rsidRPr="00CA54BA" w:rsidTr="00FB531F">
        <w:trPr>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Designated officer</w:t>
            </w:r>
          </w:p>
        </w:tc>
        <w:tc>
          <w:tcPr>
            <w:tcW w:w="7042" w:type="dxa"/>
          </w:tcPr>
          <w:p w:rsidR="00A40B6F" w:rsidRPr="00F3242F" w:rsidRDefault="00E322E5" w:rsidP="00A40B6F">
            <w:pPr>
              <w:cnfStyle w:val="000000000000" w:firstRow="0" w:lastRow="0" w:firstColumn="0" w:lastColumn="0" w:oddVBand="0" w:evenVBand="0" w:oddHBand="0" w:evenHBand="0" w:firstRowFirstColumn="0" w:firstRowLastColumn="0" w:lastRowFirstColumn="0" w:lastRowLastColumn="0"/>
            </w:pPr>
            <w:r>
              <w:t>S</w:t>
            </w:r>
            <w:r w:rsidR="00FE7AC7" w:rsidRPr="00FE7AC7">
              <w:t xml:space="preserve">taff </w:t>
            </w:r>
            <w:proofErr w:type="spellStart"/>
            <w:r w:rsidR="00FE7AC7" w:rsidRPr="00FE7AC7">
              <w:t>authorised</w:t>
            </w:r>
            <w:proofErr w:type="spellEnd"/>
            <w:r w:rsidR="00FE7AC7" w:rsidRPr="00FE7AC7">
              <w:t xml:space="preserve"> by the school council </w:t>
            </w:r>
            <w:r>
              <w:t>(</w:t>
            </w:r>
            <w:r w:rsidR="00FE7AC7" w:rsidRPr="00FE7AC7">
              <w:t>after consultation with the principal</w:t>
            </w:r>
            <w:r>
              <w:t>)</w:t>
            </w:r>
            <w:r w:rsidR="00FE7AC7" w:rsidRPr="00FE7AC7">
              <w:t xml:space="preserve"> to carry out administrative functions </w:t>
            </w:r>
            <w:r>
              <w:t>that affect</w:t>
            </w:r>
            <w:r w:rsidR="00FE7AC7" w:rsidRPr="00FE7AC7">
              <w:t xml:space="preserve"> financial decisions of the school council.</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DGR</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Deductible Gift Recipient</w:t>
            </w:r>
          </w:p>
        </w:tc>
      </w:tr>
      <w:tr w:rsidR="00A40B6F"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DTF</w:t>
            </w:r>
          </w:p>
        </w:tc>
        <w:tc>
          <w:tcPr>
            <w:tcW w:w="7042" w:type="dxa"/>
          </w:tcPr>
          <w:p w:rsidR="00A40B6F" w:rsidRPr="00F3242F" w:rsidRDefault="00A40B6F" w:rsidP="007B59A5">
            <w:pPr>
              <w:cnfStyle w:val="000000000000" w:firstRow="0" w:lastRow="0" w:firstColumn="0" w:lastColumn="0" w:oddVBand="0" w:evenVBand="0" w:oddHBand="0" w:evenHBand="0" w:firstRowFirstColumn="0" w:firstRowLastColumn="0" w:lastRowFirstColumn="0" w:lastRowLastColumn="0"/>
            </w:pPr>
            <w:r w:rsidRPr="00F3242F">
              <w:t>Department of Treasury and Finance</w:t>
            </w:r>
            <w:r w:rsidR="007B59A5">
              <w:t xml:space="preserve"> </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ECD</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Early Childhood Development (Kindergartens, Day Care, Maternal Health)</w:t>
            </w:r>
          </w:p>
        </w:tc>
      </w:tr>
      <w:tr w:rsidR="00A40B6F"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EFTPOS</w:t>
            </w:r>
          </w:p>
        </w:tc>
        <w:tc>
          <w:tcPr>
            <w:tcW w:w="7042" w:type="dxa"/>
          </w:tcPr>
          <w:p w:rsidR="00A40B6F" w:rsidRPr="00F3242F" w:rsidRDefault="00FE7AC7" w:rsidP="00A40B6F">
            <w:pPr>
              <w:cnfStyle w:val="000000000000" w:firstRow="0" w:lastRow="0" w:firstColumn="0" w:lastColumn="0" w:oddVBand="0" w:evenVBand="0" w:oddHBand="0" w:evenHBand="0" w:firstRowFirstColumn="0" w:firstRowLastColumn="0" w:lastRowFirstColumn="0" w:lastRowLastColumn="0"/>
            </w:pPr>
            <w:r w:rsidRPr="00FE7AC7">
              <w:t>Electronic Funds Transfer at Point of Sale</w:t>
            </w:r>
          </w:p>
        </w:tc>
      </w:tr>
      <w:tr w:rsidR="00B62738"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B62738" w:rsidRPr="00F3242F" w:rsidRDefault="00B62738" w:rsidP="00A40B6F">
            <w:r>
              <w:t>EOP</w:t>
            </w:r>
          </w:p>
        </w:tc>
        <w:tc>
          <w:tcPr>
            <w:tcW w:w="7042" w:type="dxa"/>
          </w:tcPr>
          <w:p w:rsidR="00B62738" w:rsidRPr="00F3242F" w:rsidRDefault="00B62738" w:rsidP="00A40B6F">
            <w:pPr>
              <w:cnfStyle w:val="000000100000" w:firstRow="0" w:lastRow="0" w:firstColumn="0" w:lastColumn="0" w:oddVBand="0" w:evenVBand="0" w:oddHBand="1" w:evenHBand="0" w:firstRowFirstColumn="0" w:firstRowLastColumn="0" w:lastRowFirstColumn="0" w:lastRowLastColumn="0"/>
            </w:pPr>
            <w:r>
              <w:t>End of Period</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EOY</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End of Year</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ES</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Education Support</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 xml:space="preserve">FBT </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Fringe Benefits Tax</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FSD</w:t>
            </w:r>
          </w:p>
        </w:tc>
        <w:tc>
          <w:tcPr>
            <w:tcW w:w="7042" w:type="dxa"/>
          </w:tcPr>
          <w:p w:rsidR="00A40B6F" w:rsidRPr="00F3242F" w:rsidRDefault="00A40B6F" w:rsidP="007B59A5">
            <w:pPr>
              <w:cnfStyle w:val="000000100000" w:firstRow="0" w:lastRow="0" w:firstColumn="0" w:lastColumn="0" w:oddVBand="0" w:evenVBand="0" w:oddHBand="1" w:evenHBand="0" w:firstRowFirstColumn="0" w:firstRowLastColumn="0" w:lastRowFirstColumn="0" w:lastRowLastColumn="0"/>
            </w:pPr>
            <w:r w:rsidRPr="00F3242F">
              <w:t>Financial Services Division</w:t>
            </w:r>
            <w:r w:rsidR="00E322E5">
              <w:t>, an entity within the Department of Education and Training</w:t>
            </w:r>
            <w:r w:rsidR="007B59A5">
              <w:t xml:space="preserve"> Victoria</w:t>
            </w:r>
            <w:r w:rsidR="00E322E5">
              <w:t>.</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FTC</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Fuel Tax Credits</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GL</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General Ledger</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GST</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Goods and Services Tax</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lastRenderedPageBreak/>
              <w:t>GVM</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Gross Vehicle Mass</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HR</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Human Resources</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HYIA</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High Yield Investment Account</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ICAS</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International Competitions and Assessments for Schools</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LOTE</w:t>
            </w:r>
          </w:p>
        </w:tc>
        <w:tc>
          <w:tcPr>
            <w:tcW w:w="7042" w:type="dxa"/>
          </w:tcPr>
          <w:p w:rsidR="00A40B6F" w:rsidRPr="00F3242F" w:rsidRDefault="00FE7AC7" w:rsidP="00A40B6F">
            <w:pPr>
              <w:cnfStyle w:val="000000100000" w:firstRow="0" w:lastRow="0" w:firstColumn="0" w:lastColumn="0" w:oddVBand="0" w:evenVBand="0" w:oddHBand="1" w:evenHBand="0" w:firstRowFirstColumn="0" w:firstRowLastColumn="0" w:lastRowFirstColumn="0" w:lastRowLastColumn="0"/>
            </w:pPr>
            <w:r w:rsidRPr="00FE7AC7">
              <w:t>Languages Other Than English</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LSL</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Long Service Leave</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NBV</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Net Book Value</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NPSE</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Non Profit Sub Entity</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PO</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Purchase order</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RCTI</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Recipient Created Tax Invoice</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SEIL</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Senior Education Improvement Leader</w:t>
            </w:r>
          </w:p>
        </w:tc>
      </w:tr>
      <w:tr w:rsidR="00170436" w:rsidRPr="00CA54BA" w:rsidTr="00FB531F">
        <w:trPr>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SFLO</w:t>
            </w:r>
          </w:p>
        </w:tc>
        <w:tc>
          <w:tcPr>
            <w:tcW w:w="7042" w:type="dxa"/>
          </w:tcPr>
          <w:p w:rsidR="00A40B6F" w:rsidRPr="00F3242F" w:rsidRDefault="00A40B6F" w:rsidP="000E7719">
            <w:pPr>
              <w:cnfStyle w:val="000000000000" w:firstRow="0" w:lastRow="0" w:firstColumn="0" w:lastColumn="0" w:oddVBand="0" w:evenVBand="0" w:oddHBand="0" w:evenHBand="0" w:firstRowFirstColumn="0" w:firstRowLastColumn="0" w:lastRowFirstColumn="0" w:lastRowLastColumn="0"/>
            </w:pPr>
            <w:r w:rsidRPr="00F3242F">
              <w:t>School Finance Liaison Officer</w:t>
            </w:r>
            <w:r w:rsidR="00E0316D">
              <w:t xml:space="preserve">, employed by the Department to assist schools </w:t>
            </w:r>
            <w:r w:rsidR="000E7719">
              <w:t xml:space="preserve">with ongoing support in relation to their financial affairs (i.e. support </w:t>
            </w:r>
            <w:r w:rsidR="00E0316D">
              <w:t xml:space="preserve">setting up or closing down </w:t>
            </w:r>
            <w:r w:rsidR="000E7719">
              <w:t>the school)</w:t>
            </w:r>
            <w:r w:rsidR="00E0316D">
              <w:t>.</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SMS</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Schools Maintenance System</w:t>
            </w:r>
          </w:p>
        </w:tc>
      </w:tr>
      <w:tr w:rsidR="00170436" w:rsidRPr="00CA54BA" w:rsidTr="00FB531F">
        <w:trPr>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School Community Associations</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proofErr w:type="spellStart"/>
            <w:r w:rsidRPr="00F3242F">
              <w:t>Organisations</w:t>
            </w:r>
            <w:proofErr w:type="spellEnd"/>
            <w:r w:rsidRPr="00F3242F">
              <w:t xml:space="preserve"> formed for the purpose of assisting schools in terms of parts 43 to 47 of the </w:t>
            </w:r>
            <w:r w:rsidRPr="00FE7AC7">
              <w:rPr>
                <w:i/>
              </w:rPr>
              <w:t>Education and Reform Regulations 2007</w:t>
            </w:r>
            <w:r w:rsidRPr="00F3242F">
              <w:t>. They may, with the approval of the school council, raise funds for the benefit of the school.</w:t>
            </w:r>
          </w:p>
        </w:tc>
      </w:tr>
      <w:tr w:rsidR="00A40B6F"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SFAF</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Schools Financial Assurance Framework</w:t>
            </w:r>
          </w:p>
        </w:tc>
      </w:tr>
      <w:tr w:rsidR="00A40B6F"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SDS</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Special Developmental School</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SECS</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School Equipment Coverage Scheme</w:t>
            </w:r>
          </w:p>
        </w:tc>
      </w:tr>
      <w:tr w:rsidR="00A40B6F" w:rsidRPr="00CA54BA" w:rsidTr="00FB531F">
        <w:trPr>
          <w:trHeight w:val="565"/>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 xml:space="preserve">Services </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 xml:space="preserve">Includes the performance of any service required by the </w:t>
            </w:r>
            <w:r w:rsidR="00E0316D">
              <w:t>s</w:t>
            </w:r>
            <w:r w:rsidRPr="00F3242F">
              <w:t>chool to initiate or maintain its educational programs or improve and maintain its equipment, buildings, furniture and furnishings and grounds</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SRO</w:t>
            </w:r>
          </w:p>
        </w:tc>
        <w:tc>
          <w:tcPr>
            <w:tcW w:w="7042" w:type="dxa"/>
          </w:tcPr>
          <w:p w:rsidR="00A40B6F" w:rsidRPr="00F3242F" w:rsidRDefault="00A40B6F" w:rsidP="00A40B6F">
            <w:pPr>
              <w:cnfStyle w:val="000000100000" w:firstRow="0" w:lastRow="0" w:firstColumn="0" w:lastColumn="0" w:oddVBand="0" w:evenVBand="0" w:oddHBand="1" w:evenHBand="0" w:firstRowFirstColumn="0" w:firstRowLastColumn="0" w:lastRowFirstColumn="0" w:lastRowLastColumn="0"/>
            </w:pPr>
            <w:r w:rsidRPr="00F3242F">
              <w:t xml:space="preserve">State Revenue Office </w:t>
            </w:r>
          </w:p>
        </w:tc>
      </w:tr>
      <w:tr w:rsidR="00A40B6F"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A40B6F" w:rsidRPr="00F3242F" w:rsidRDefault="00A40B6F" w:rsidP="00A40B6F">
            <w:r w:rsidRPr="00F3242F">
              <w:t>SRP</w:t>
            </w:r>
          </w:p>
        </w:tc>
        <w:tc>
          <w:tcPr>
            <w:tcW w:w="7042" w:type="dxa"/>
          </w:tcPr>
          <w:p w:rsidR="00A40B6F" w:rsidRPr="00F3242F" w:rsidRDefault="00A40B6F" w:rsidP="00A40B6F">
            <w:pPr>
              <w:cnfStyle w:val="000000000000" w:firstRow="0" w:lastRow="0" w:firstColumn="0" w:lastColumn="0" w:oddVBand="0" w:evenVBand="0" w:oddHBand="0" w:evenHBand="0" w:firstRowFirstColumn="0" w:firstRowLastColumn="0" w:lastRowFirstColumn="0" w:lastRowLastColumn="0"/>
            </w:pPr>
            <w:r w:rsidRPr="00F3242F">
              <w:t>Student Resource Package</w:t>
            </w:r>
          </w:p>
        </w:tc>
      </w:tr>
      <w:tr w:rsidR="00170436"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lastRenderedPageBreak/>
              <w:t>STLR</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Short Term Leave Replacement</w:t>
            </w:r>
          </w:p>
        </w:tc>
      </w:tr>
      <w:tr w:rsidR="00B62738" w:rsidRPr="00CA54BA" w:rsidTr="00FB531F">
        <w:trPr>
          <w:trHeight w:val="565"/>
        </w:trPr>
        <w:tc>
          <w:tcPr>
            <w:cnfStyle w:val="001000000000" w:firstRow="0" w:lastRow="0" w:firstColumn="1" w:lastColumn="0" w:oddVBand="0" w:evenVBand="0" w:oddHBand="0" w:evenHBand="0" w:firstRowFirstColumn="0" w:firstRowLastColumn="0" w:lastRowFirstColumn="0" w:lastRowLastColumn="0"/>
            <w:tcW w:w="1973" w:type="dxa"/>
          </w:tcPr>
          <w:p w:rsidR="00B62738" w:rsidRPr="00457225" w:rsidRDefault="00B62738" w:rsidP="00FE7AC7">
            <w:r>
              <w:t>SFMA</w:t>
            </w:r>
          </w:p>
        </w:tc>
        <w:tc>
          <w:tcPr>
            <w:tcW w:w="7042" w:type="dxa"/>
          </w:tcPr>
          <w:p w:rsidR="00B62738" w:rsidRPr="00457225" w:rsidRDefault="00B62738" w:rsidP="00FE7AC7">
            <w:pPr>
              <w:cnfStyle w:val="000000000000" w:firstRow="0" w:lastRow="0" w:firstColumn="0" w:lastColumn="0" w:oddVBand="0" w:evenVBand="0" w:oddHBand="0" w:evenHBand="0" w:firstRowFirstColumn="0" w:firstRowLastColumn="0" w:lastRowFirstColumn="0" w:lastRowLastColumn="0"/>
            </w:pPr>
            <w:r>
              <w:t>Strategic Financial Management Advisor</w:t>
            </w:r>
          </w:p>
        </w:tc>
      </w:tr>
      <w:tr w:rsidR="00FE7AC7" w:rsidRPr="00CA54BA" w:rsidTr="00FB531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Stores</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Includes all equipment and all materials required by a school to initiate or maintain its educational programs.</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TAC</w:t>
            </w:r>
          </w:p>
        </w:tc>
        <w:tc>
          <w:tcPr>
            <w:tcW w:w="7042" w:type="dxa"/>
          </w:tcPr>
          <w:p w:rsidR="00FE7AC7" w:rsidRPr="00457225" w:rsidRDefault="00FE7AC7" w:rsidP="00FE7AC7">
            <w:pPr>
              <w:cnfStyle w:val="000000000000" w:firstRow="0" w:lastRow="0" w:firstColumn="0" w:lastColumn="0" w:oddVBand="0" w:evenVBand="0" w:oddHBand="0" w:evenHBand="0" w:firstRowFirstColumn="0" w:firstRowLastColumn="0" w:lastRowFirstColumn="0" w:lastRowLastColumn="0"/>
            </w:pPr>
            <w:r w:rsidRPr="00457225">
              <w:t>Transport Accident Commission</w:t>
            </w:r>
          </w:p>
        </w:tc>
      </w:tr>
      <w:tr w:rsidR="00FE7AC7"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TCV</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Treasury Corporation of Victoria</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TFN</w:t>
            </w:r>
          </w:p>
        </w:tc>
        <w:tc>
          <w:tcPr>
            <w:tcW w:w="7042" w:type="dxa"/>
          </w:tcPr>
          <w:p w:rsidR="00FE7AC7" w:rsidRPr="00457225" w:rsidRDefault="00FE7AC7" w:rsidP="00FE7AC7">
            <w:pPr>
              <w:cnfStyle w:val="000000000000" w:firstRow="0" w:lastRow="0" w:firstColumn="0" w:lastColumn="0" w:oddVBand="0" w:evenVBand="0" w:oddHBand="0" w:evenHBand="0" w:firstRowFirstColumn="0" w:firstRowLastColumn="0" w:lastRowFirstColumn="0" w:lastRowLastColumn="0"/>
            </w:pPr>
            <w:r w:rsidRPr="00457225">
              <w:t>Tax File Number</w:t>
            </w:r>
          </w:p>
        </w:tc>
      </w:tr>
      <w:tr w:rsidR="00FE7AC7"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VAGO</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Victorian Auditor-General’s Office</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VET</w:t>
            </w:r>
          </w:p>
        </w:tc>
        <w:tc>
          <w:tcPr>
            <w:tcW w:w="7042" w:type="dxa"/>
          </w:tcPr>
          <w:p w:rsidR="00FE7AC7" w:rsidRPr="00457225" w:rsidRDefault="00FE7AC7" w:rsidP="00FE7AC7">
            <w:pPr>
              <w:cnfStyle w:val="000000000000" w:firstRow="0" w:lastRow="0" w:firstColumn="0" w:lastColumn="0" w:oddVBand="0" w:evenVBand="0" w:oddHBand="0" w:evenHBand="0" w:firstRowFirstColumn="0" w:firstRowLastColumn="0" w:lastRowFirstColumn="0" w:lastRowLastColumn="0"/>
            </w:pPr>
            <w:r w:rsidRPr="00457225">
              <w:t>Vocational Education and Training</w:t>
            </w:r>
          </w:p>
        </w:tc>
      </w:tr>
      <w:tr w:rsidR="00FE7AC7"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VFMC</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Victorian Funds Management Corporation</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VIT</w:t>
            </w:r>
          </w:p>
        </w:tc>
        <w:tc>
          <w:tcPr>
            <w:tcW w:w="7042" w:type="dxa"/>
          </w:tcPr>
          <w:p w:rsidR="00FE7AC7" w:rsidRPr="00457225" w:rsidRDefault="00FE7AC7" w:rsidP="00FE7AC7">
            <w:pPr>
              <w:cnfStyle w:val="000000000000" w:firstRow="0" w:lastRow="0" w:firstColumn="0" w:lastColumn="0" w:oddVBand="0" w:evenVBand="0" w:oddHBand="0" w:evenHBand="0" w:firstRowFirstColumn="0" w:firstRowLastColumn="0" w:lastRowFirstColumn="0" w:lastRowLastColumn="0"/>
            </w:pPr>
            <w:r w:rsidRPr="00457225">
              <w:t>Victorian Institute of Teaching</w:t>
            </w:r>
          </w:p>
        </w:tc>
      </w:tr>
      <w:tr w:rsidR="00FE7AC7"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VMIA</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Victorian Managed Insurance Authority</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VPSSA</w:t>
            </w:r>
          </w:p>
        </w:tc>
        <w:tc>
          <w:tcPr>
            <w:tcW w:w="7042" w:type="dxa"/>
          </w:tcPr>
          <w:p w:rsidR="00FE7AC7" w:rsidRPr="00457225" w:rsidRDefault="00FE7AC7" w:rsidP="00FE7AC7">
            <w:pPr>
              <w:cnfStyle w:val="000000000000" w:firstRow="0" w:lastRow="0" w:firstColumn="0" w:lastColumn="0" w:oddVBand="0" w:evenVBand="0" w:oddHBand="0" w:evenHBand="0" w:firstRowFirstColumn="0" w:firstRowLastColumn="0" w:lastRowFirstColumn="0" w:lastRowLastColumn="0"/>
            </w:pPr>
            <w:r w:rsidRPr="00457225">
              <w:t>Victoria Primary School Sports Association</w:t>
            </w:r>
          </w:p>
        </w:tc>
      </w:tr>
      <w:tr w:rsidR="00FE7AC7"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VRQA</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Victorian Registration and Qualifications Authority</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VSBA</w:t>
            </w:r>
          </w:p>
        </w:tc>
        <w:tc>
          <w:tcPr>
            <w:tcW w:w="7042" w:type="dxa"/>
          </w:tcPr>
          <w:p w:rsidR="00FE7AC7" w:rsidRPr="00457225" w:rsidRDefault="00FE7AC7" w:rsidP="00FE7AC7">
            <w:pPr>
              <w:cnfStyle w:val="000000000000" w:firstRow="0" w:lastRow="0" w:firstColumn="0" w:lastColumn="0" w:oddVBand="0" w:evenVBand="0" w:oddHBand="0" w:evenHBand="0" w:firstRowFirstColumn="0" w:firstRowLastColumn="0" w:lastRowFirstColumn="0" w:lastRowLastColumn="0"/>
            </w:pPr>
            <w:r w:rsidRPr="00457225">
              <w:t>Victorian School Building Authority</w:t>
            </w:r>
          </w:p>
        </w:tc>
      </w:tr>
      <w:tr w:rsidR="00FE7AC7" w:rsidRPr="00CA54BA" w:rsidTr="00FB531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VYDP</w:t>
            </w:r>
          </w:p>
        </w:tc>
        <w:tc>
          <w:tcPr>
            <w:tcW w:w="7042" w:type="dxa"/>
          </w:tcPr>
          <w:p w:rsidR="00FE7AC7" w:rsidRPr="00457225" w:rsidRDefault="00FE7AC7" w:rsidP="00FE7AC7">
            <w:pPr>
              <w:cnfStyle w:val="000000100000" w:firstRow="0" w:lastRow="0" w:firstColumn="0" w:lastColumn="0" w:oddVBand="0" w:evenVBand="0" w:oddHBand="1" w:evenHBand="0" w:firstRowFirstColumn="0" w:firstRowLastColumn="0" w:lastRowFirstColumn="0" w:lastRowLastColumn="0"/>
            </w:pPr>
            <w:r w:rsidRPr="00457225">
              <w:t>Victorian Youth Development Program</w:t>
            </w:r>
          </w:p>
        </w:tc>
      </w:tr>
      <w:tr w:rsidR="00170436" w:rsidRPr="00CA54BA" w:rsidTr="00FB531F">
        <w:trPr>
          <w:trHeight w:hRule="exact" w:val="567"/>
        </w:trPr>
        <w:tc>
          <w:tcPr>
            <w:cnfStyle w:val="001000000000" w:firstRow="0" w:lastRow="0" w:firstColumn="1" w:lastColumn="0" w:oddVBand="0" w:evenVBand="0" w:oddHBand="0" w:evenHBand="0" w:firstRowFirstColumn="0" w:firstRowLastColumn="0" w:lastRowFirstColumn="0" w:lastRowLastColumn="0"/>
            <w:tcW w:w="1973" w:type="dxa"/>
          </w:tcPr>
          <w:p w:rsidR="00FE7AC7" w:rsidRPr="00457225" w:rsidRDefault="00FE7AC7" w:rsidP="00FE7AC7">
            <w:r w:rsidRPr="00457225">
              <w:t>WWC</w:t>
            </w:r>
          </w:p>
        </w:tc>
        <w:tc>
          <w:tcPr>
            <w:tcW w:w="7042" w:type="dxa"/>
          </w:tcPr>
          <w:p w:rsidR="00FE7AC7" w:rsidRDefault="00FE7AC7" w:rsidP="00FE7AC7">
            <w:pPr>
              <w:cnfStyle w:val="000000000000" w:firstRow="0" w:lastRow="0" w:firstColumn="0" w:lastColumn="0" w:oddVBand="0" w:evenVBand="0" w:oddHBand="0" w:evenHBand="0" w:firstRowFirstColumn="0" w:firstRowLastColumn="0" w:lastRowFirstColumn="0" w:lastRowLastColumn="0"/>
            </w:pPr>
            <w:r w:rsidRPr="00457225">
              <w:t>Working With Children check</w:t>
            </w:r>
          </w:p>
        </w:tc>
      </w:tr>
    </w:tbl>
    <w:p w:rsidR="00CA2F7D" w:rsidRDefault="00CA2F7D" w:rsidP="00CA2F7D"/>
    <w:p w:rsidR="00CA2F7D" w:rsidRDefault="00CA2F7D" w:rsidP="00CA2F7D">
      <w:r>
        <w:br w:type="page"/>
      </w:r>
    </w:p>
    <w:p w:rsidR="0051778F" w:rsidRPr="006F7B96" w:rsidRDefault="00317AB9" w:rsidP="00CA2F7D">
      <w:pPr>
        <w:pStyle w:val="Heading2"/>
      </w:pPr>
      <w:r>
        <w:lastRenderedPageBreak/>
        <w:t>Additional r</w:t>
      </w:r>
      <w:r w:rsidR="0051778F" w:rsidRPr="006F7B96">
        <w:t>esources</w:t>
      </w:r>
      <w:r w:rsidR="00A223D8" w:rsidRPr="006F7B96">
        <w:t xml:space="preserve"> </w:t>
      </w:r>
      <w:r w:rsidR="00F1412D">
        <w:t>and support</w:t>
      </w:r>
    </w:p>
    <w:p w:rsidR="00C931D9" w:rsidRDefault="00F33D56" w:rsidP="003771C1">
      <w:pPr>
        <w:pStyle w:val="ListBullet"/>
      </w:pPr>
      <w:hyperlink r:id="rId11" w:history="1">
        <w:r w:rsidR="00412913" w:rsidRPr="00C931D9">
          <w:rPr>
            <w:rStyle w:val="Hyperlink"/>
          </w:rPr>
          <w:t>Chart of Accounts</w:t>
        </w:r>
      </w:hyperlink>
      <w:r w:rsidR="00412913" w:rsidRPr="00803374">
        <w:t xml:space="preserve"> for Victorian Government Schools available on the Finance website</w:t>
      </w:r>
    </w:p>
    <w:p w:rsidR="00C931D9" w:rsidRDefault="00412913" w:rsidP="00B215AD">
      <w:pPr>
        <w:pStyle w:val="ListBullet"/>
      </w:pPr>
      <w:r w:rsidRPr="00C931D9">
        <w:t xml:space="preserve"> </w:t>
      </w:r>
      <w:hyperlink r:id="rId12" w:history="1">
        <w:r w:rsidR="002805CC" w:rsidRPr="00C931D9">
          <w:rPr>
            <w:rStyle w:val="Hyperlink"/>
          </w:rPr>
          <w:t>School Policy and Advisory Guide</w:t>
        </w:r>
      </w:hyperlink>
    </w:p>
    <w:p w:rsidR="005B2959" w:rsidRPr="00803374" w:rsidRDefault="005B2959" w:rsidP="00B215AD">
      <w:pPr>
        <w:pStyle w:val="ListBullet"/>
      </w:pPr>
      <w:r w:rsidRPr="00803374">
        <w:t xml:space="preserve">For </w:t>
      </w:r>
      <w:r>
        <w:t>more</w:t>
      </w:r>
      <w:r w:rsidRPr="00803374">
        <w:t xml:space="preserve"> information, contact the CASES21 Support staff via the Service Gateway or Service Desk. Access the Gateway at: </w:t>
      </w:r>
      <w:hyperlink r:id="rId13" w:history="1">
        <w:r w:rsidR="005E4640">
          <w:rPr>
            <w:rStyle w:val="Hyperlink"/>
          </w:rPr>
          <w:t>Service Gateway</w:t>
        </w:r>
      </w:hyperlink>
      <w:r w:rsidRPr="00803374">
        <w:t xml:space="preserve">  or 1800 641 943</w:t>
      </w:r>
      <w:r>
        <w:t>.</w:t>
      </w:r>
    </w:p>
    <w:p w:rsidR="005B2959" w:rsidRDefault="005B2959" w:rsidP="003C0F46">
      <w:pPr>
        <w:pStyle w:val="ListBullet"/>
      </w:pPr>
      <w:r w:rsidRPr="005B2959">
        <w:t xml:space="preserve">Contact the Schools Financial Management Support team. Email </w:t>
      </w:r>
      <w:hyperlink r:id="rId14" w:history="1">
        <w:r w:rsidRPr="005B2959">
          <w:rPr>
            <w:rStyle w:val="Hyperlink"/>
          </w:rPr>
          <w:t>schools.finance.support@edumail.vic.gov.au</w:t>
        </w:r>
      </w:hyperlink>
      <w:r>
        <w:t xml:space="preserve"> for assistance.</w:t>
      </w: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F71186" w:rsidRDefault="00F71186" w:rsidP="00CA2F7D">
      <w:pPr>
        <w:pStyle w:val="ListBullet"/>
        <w:numPr>
          <w:ilvl w:val="0"/>
          <w:numId w:val="0"/>
        </w:numPr>
        <w:ind w:left="360" w:hanging="360"/>
      </w:pPr>
    </w:p>
    <w:p w:rsidR="00F71186" w:rsidRDefault="00F71186" w:rsidP="00CA2F7D">
      <w:pPr>
        <w:pStyle w:val="ListBullet"/>
        <w:numPr>
          <w:ilvl w:val="0"/>
          <w:numId w:val="0"/>
        </w:numPr>
        <w:ind w:left="360" w:hanging="360"/>
      </w:pPr>
    </w:p>
    <w:p w:rsidR="00CA2F7D" w:rsidRDefault="00CA2F7D" w:rsidP="00CA2F7D">
      <w:pPr>
        <w:pStyle w:val="ListBullet"/>
        <w:numPr>
          <w:ilvl w:val="0"/>
          <w:numId w:val="0"/>
        </w:numPr>
        <w:ind w:left="360" w:hanging="360"/>
      </w:pPr>
    </w:p>
    <w:p w:rsidR="009F0AA7" w:rsidRPr="00103913" w:rsidRDefault="00D656D4" w:rsidP="00D656D4">
      <w:pPr>
        <w:pStyle w:val="Heading2"/>
        <w:ind w:left="0" w:firstLine="0"/>
      </w:pPr>
      <w:r>
        <w:t xml:space="preserve">Version and </w:t>
      </w:r>
      <w:r w:rsidR="004E59D0">
        <w:t>r</w:t>
      </w:r>
      <w:r w:rsidR="009F0AA7" w:rsidRPr="00103913">
        <w:t xml:space="preserve">evision </w:t>
      </w:r>
      <w:r>
        <w:t>control record</w:t>
      </w:r>
    </w:p>
    <w:tbl>
      <w:tblPr>
        <w:tblStyle w:val="GridTable6Colorful2"/>
        <w:tblW w:w="0" w:type="auto"/>
        <w:tblLook w:val="04A0" w:firstRow="1" w:lastRow="0" w:firstColumn="1" w:lastColumn="0" w:noHBand="0" w:noVBand="1"/>
        <w:tblDescription w:val="version and revsion control record box"/>
      </w:tblPr>
      <w:tblGrid>
        <w:gridCol w:w="1318"/>
        <w:gridCol w:w="1133"/>
        <w:gridCol w:w="4914"/>
        <w:gridCol w:w="1689"/>
      </w:tblGrid>
      <w:tr w:rsidR="00E378B3" w:rsidRPr="00E378B3" w:rsidTr="005807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8" w:type="dxa"/>
            <w:tcBorders>
              <w:top w:val="single" w:sz="4" w:space="0" w:color="auto"/>
              <w:left w:val="single" w:sz="4" w:space="0" w:color="auto"/>
              <w:bottom w:val="single" w:sz="4" w:space="0" w:color="auto"/>
            </w:tcBorders>
            <w:shd w:val="clear" w:color="auto" w:fill="F2F2F2" w:themeFill="background1" w:themeFillShade="F2"/>
          </w:tcPr>
          <w:p w:rsidR="00E378B3" w:rsidRPr="00E378B3" w:rsidRDefault="00E378B3" w:rsidP="00E378B3">
            <w:r w:rsidRPr="00E378B3">
              <w:t>Date</w:t>
            </w:r>
          </w:p>
        </w:tc>
        <w:tc>
          <w:tcPr>
            <w:tcW w:w="1133" w:type="dxa"/>
            <w:tcBorders>
              <w:top w:val="single" w:sz="4" w:space="0" w:color="auto"/>
              <w:bottom w:val="single" w:sz="4" w:space="0" w:color="auto"/>
            </w:tcBorders>
            <w:shd w:val="clear" w:color="auto" w:fill="F2F2F2" w:themeFill="background1" w:themeFillShade="F2"/>
          </w:tcPr>
          <w:p w:rsidR="00E378B3" w:rsidRPr="00E378B3" w:rsidRDefault="00E378B3" w:rsidP="00E378B3">
            <w:pPr>
              <w:cnfStyle w:val="100000000000" w:firstRow="1" w:lastRow="0" w:firstColumn="0" w:lastColumn="0" w:oddVBand="0" w:evenVBand="0" w:oddHBand="0" w:evenHBand="0" w:firstRowFirstColumn="0" w:firstRowLastColumn="0" w:lastRowFirstColumn="0" w:lastRowLastColumn="0"/>
            </w:pPr>
            <w:r w:rsidRPr="00E378B3">
              <w:t>Version</w:t>
            </w:r>
          </w:p>
        </w:tc>
        <w:tc>
          <w:tcPr>
            <w:tcW w:w="4914" w:type="dxa"/>
            <w:tcBorders>
              <w:top w:val="single" w:sz="4" w:space="0" w:color="auto"/>
              <w:bottom w:val="single" w:sz="4" w:space="0" w:color="auto"/>
            </w:tcBorders>
            <w:shd w:val="clear" w:color="auto" w:fill="F2F2F2" w:themeFill="background1" w:themeFillShade="F2"/>
          </w:tcPr>
          <w:p w:rsidR="00E378B3" w:rsidRPr="00E378B3" w:rsidRDefault="00E378B3" w:rsidP="00E378B3">
            <w:pPr>
              <w:cnfStyle w:val="100000000000" w:firstRow="1" w:lastRow="0" w:firstColumn="0" w:lastColumn="0" w:oddVBand="0" w:evenVBand="0" w:oddHBand="0" w:evenHBand="0" w:firstRowFirstColumn="0" w:firstRowLastColumn="0" w:lastRowFirstColumn="0" w:lastRowLastColumn="0"/>
            </w:pPr>
            <w:r w:rsidRPr="00E378B3">
              <w:t>Approver</w:t>
            </w:r>
          </w:p>
        </w:tc>
        <w:tc>
          <w:tcPr>
            <w:tcW w:w="1689" w:type="dxa"/>
            <w:tcBorders>
              <w:top w:val="single" w:sz="4" w:space="0" w:color="auto"/>
              <w:bottom w:val="single" w:sz="4" w:space="0" w:color="auto"/>
              <w:right w:val="single" w:sz="4" w:space="0" w:color="auto"/>
            </w:tcBorders>
            <w:shd w:val="clear" w:color="auto" w:fill="F2F2F2" w:themeFill="background1" w:themeFillShade="F2"/>
          </w:tcPr>
          <w:p w:rsidR="00E378B3" w:rsidRPr="00E378B3" w:rsidRDefault="00E378B3" w:rsidP="00E378B3">
            <w:pPr>
              <w:cnfStyle w:val="100000000000" w:firstRow="1" w:lastRow="0" w:firstColumn="0" w:lastColumn="0" w:oddVBand="0" w:evenVBand="0" w:oddHBand="0" w:evenHBand="0" w:firstRowFirstColumn="0" w:firstRowLastColumn="0" w:lastRowFirstColumn="0" w:lastRowLastColumn="0"/>
            </w:pPr>
            <w:r w:rsidRPr="00E378B3">
              <w:t>Next Review</w:t>
            </w:r>
          </w:p>
        </w:tc>
      </w:tr>
      <w:tr w:rsidR="00E378B3" w:rsidRPr="00E378B3" w:rsidTr="005807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8" w:type="dxa"/>
            <w:tcBorders>
              <w:top w:val="single" w:sz="4" w:space="0" w:color="auto"/>
            </w:tcBorders>
            <w:shd w:val="clear" w:color="auto" w:fill="auto"/>
          </w:tcPr>
          <w:p w:rsidR="00E378B3" w:rsidRPr="00E378B3" w:rsidRDefault="00FB531F" w:rsidP="001F6F9D">
            <w:pPr>
              <w:rPr>
                <w:b w:val="0"/>
              </w:rPr>
            </w:pPr>
            <w:r>
              <w:rPr>
                <w:b w:val="0"/>
              </w:rPr>
              <w:t>01/2019</w:t>
            </w:r>
          </w:p>
        </w:tc>
        <w:tc>
          <w:tcPr>
            <w:tcW w:w="1133" w:type="dxa"/>
            <w:tcBorders>
              <w:top w:val="single" w:sz="4" w:space="0" w:color="auto"/>
            </w:tcBorders>
            <w:shd w:val="clear" w:color="auto" w:fill="auto"/>
          </w:tcPr>
          <w:p w:rsidR="00E378B3" w:rsidRPr="00580796" w:rsidRDefault="00FB531F" w:rsidP="00E378B3">
            <w:pPr>
              <w:cnfStyle w:val="100000000000" w:firstRow="1" w:lastRow="0" w:firstColumn="0" w:lastColumn="0" w:oddVBand="0" w:evenVBand="0" w:oddHBand="0" w:evenHBand="0" w:firstRowFirstColumn="0" w:firstRowLastColumn="0" w:lastRowFirstColumn="0" w:lastRowLastColumn="0"/>
              <w:rPr>
                <w:b w:val="0"/>
              </w:rPr>
            </w:pPr>
            <w:r>
              <w:rPr>
                <w:b w:val="0"/>
              </w:rPr>
              <w:t>1.2</w:t>
            </w:r>
          </w:p>
        </w:tc>
        <w:tc>
          <w:tcPr>
            <w:tcW w:w="4914" w:type="dxa"/>
            <w:tcBorders>
              <w:top w:val="single" w:sz="4" w:space="0" w:color="auto"/>
            </w:tcBorders>
            <w:shd w:val="clear" w:color="auto" w:fill="auto"/>
          </w:tcPr>
          <w:p w:rsidR="00E378B3" w:rsidRPr="00580796" w:rsidRDefault="00E378B3" w:rsidP="00E378B3">
            <w:pPr>
              <w:cnfStyle w:val="100000000000" w:firstRow="1" w:lastRow="0" w:firstColumn="0" w:lastColumn="0" w:oddVBand="0" w:evenVBand="0" w:oddHBand="0" w:evenHBand="0" w:firstRowFirstColumn="0" w:firstRowLastColumn="0" w:lastRowFirstColumn="0" w:lastRowLastColumn="0"/>
              <w:rPr>
                <w:b w:val="0"/>
              </w:rPr>
            </w:pPr>
            <w:r w:rsidRPr="00580796">
              <w:rPr>
                <w:b w:val="0"/>
              </w:rPr>
              <w:t>Chief Finance Officer -  Financial Services Division</w:t>
            </w:r>
          </w:p>
        </w:tc>
        <w:tc>
          <w:tcPr>
            <w:tcW w:w="1689" w:type="dxa"/>
            <w:tcBorders>
              <w:top w:val="single" w:sz="4" w:space="0" w:color="auto"/>
            </w:tcBorders>
            <w:shd w:val="clear" w:color="auto" w:fill="auto"/>
          </w:tcPr>
          <w:p w:rsidR="00E378B3" w:rsidRPr="00580796" w:rsidRDefault="00FB531F" w:rsidP="00F001A1">
            <w:pPr>
              <w:cnfStyle w:val="100000000000" w:firstRow="1" w:lastRow="0" w:firstColumn="0" w:lastColumn="0" w:oddVBand="0" w:evenVBand="0" w:oddHBand="0" w:evenHBand="0" w:firstRowFirstColumn="0" w:firstRowLastColumn="0" w:lastRowFirstColumn="0" w:lastRowLastColumn="0"/>
              <w:rPr>
                <w:b w:val="0"/>
              </w:rPr>
            </w:pPr>
            <w:r>
              <w:rPr>
                <w:b w:val="0"/>
              </w:rPr>
              <w:t>01/2020</w:t>
            </w:r>
          </w:p>
        </w:tc>
      </w:tr>
    </w:tbl>
    <w:p w:rsidR="0051778F" w:rsidRDefault="0051778F" w:rsidP="00E378B3"/>
    <w:sectPr w:rsidR="0051778F" w:rsidSect="00480F63">
      <w:footerReference w:type="default" r:id="rId15"/>
      <w:pgSz w:w="11900" w:h="16840" w:code="9"/>
      <w:pgMar w:top="1701" w:right="1418" w:bottom="1701" w:left="1418" w:header="567" w:footer="851"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56" w:rsidRDefault="00F33D56" w:rsidP="008766A4">
      <w:r>
        <w:separator/>
      </w:r>
    </w:p>
  </w:endnote>
  <w:endnote w:type="continuationSeparator" w:id="0">
    <w:p w:rsidR="00F33D56" w:rsidRDefault="00F33D56"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C7" w:rsidRPr="008A1405" w:rsidRDefault="009710C7" w:rsidP="008A1405">
    <w:pPr>
      <w:pStyle w:val="Footer"/>
    </w:pPr>
    <w:r w:rsidRPr="00094EE9">
      <w:rPr>
        <w:noProof/>
        <w:color w:val="000000" w:themeColor="text1"/>
        <w:lang w:val="en-AU" w:eastAsia="en-AU"/>
      </w:rPr>
      <w:drawing>
        <wp:anchor distT="0" distB="0" distL="114300" distR="114300" simplePos="0" relativeHeight="251658240" behindDoc="1" locked="0" layoutInCell="1" allowOverlap="1">
          <wp:simplePos x="0" y="0"/>
          <wp:positionH relativeFrom="margin">
            <wp:align>left</wp:align>
          </wp:positionH>
          <wp:positionV relativeFrom="page">
            <wp:posOffset>9867900</wp:posOffset>
          </wp:positionV>
          <wp:extent cx="6632496" cy="657225"/>
          <wp:effectExtent l="0" t="0" r="0" b="0"/>
          <wp:wrapNone/>
          <wp:docPr id="3" name="Picture 3" descr="footer band with document title, date and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632496" cy="657225"/>
                  </a:xfrm>
                  <a:prstGeom prst="rect">
                    <a:avLst/>
                  </a:prstGeom>
                </pic:spPr>
              </pic:pic>
            </a:graphicData>
          </a:graphic>
        </wp:anchor>
      </w:drawing>
    </w:r>
    <w:r w:rsidR="00FE7AC7" w:rsidRPr="00094EE9">
      <w:rPr>
        <w:color w:val="000000" w:themeColor="text1"/>
      </w:rPr>
      <w:t xml:space="preserve">Appendix A Glossary </w:t>
    </w:r>
    <w:r w:rsidR="007B59A5">
      <w:rPr>
        <w:color w:val="000000" w:themeColor="text1"/>
      </w:rPr>
      <w:t xml:space="preserve">of terms </w:t>
    </w:r>
    <w:r w:rsidR="00FE7AC7" w:rsidRPr="00094EE9">
      <w:rPr>
        <w:color w:val="000000" w:themeColor="text1"/>
      </w:rPr>
      <w:t>and acron</w:t>
    </w:r>
    <w:r w:rsidR="00170436" w:rsidRPr="00094EE9">
      <w:rPr>
        <w:color w:val="000000" w:themeColor="text1"/>
      </w:rPr>
      <w:t>yms</w:t>
    </w:r>
    <w:r w:rsidRPr="00094EE9">
      <w:rPr>
        <w:color w:val="000000" w:themeColor="text1"/>
      </w:rPr>
      <w:t xml:space="preserve">| </w:t>
    </w:r>
    <w:r w:rsidR="00FB531F">
      <w:rPr>
        <w:color w:val="000000" w:themeColor="text1"/>
      </w:rPr>
      <w:t>January</w:t>
    </w:r>
    <w:r w:rsidR="00646F69">
      <w:rPr>
        <w:color w:val="000000" w:themeColor="text1"/>
      </w:rPr>
      <w:t xml:space="preserve"> 201</w:t>
    </w:r>
    <w:r w:rsidR="00FB531F">
      <w:rPr>
        <w:color w:val="000000" w:themeColor="text1"/>
      </w:rPr>
      <w:t>9</w:t>
    </w:r>
    <w:r w:rsidRPr="00094EE9">
      <w:rPr>
        <w:color w:val="000000" w:themeColor="text1"/>
      </w:rPr>
      <w:t xml:space="preserve"> </w:t>
    </w:r>
    <w:sdt>
      <w:sdtPr>
        <w:rPr>
          <w:color w:val="000000" w:themeColor="text1"/>
        </w:rPr>
        <w:id w:val="1822625101"/>
        <w:docPartObj>
          <w:docPartGallery w:val="Page Numbers (Bottom of Page)"/>
          <w:docPartUnique/>
        </w:docPartObj>
      </w:sdtPr>
      <w:sdtEndPr>
        <w:rPr>
          <w:color w:val="AF272F"/>
        </w:rPr>
      </w:sdtEndPr>
      <w:sdtContent>
        <w:r w:rsidRPr="00094EE9">
          <w:rPr>
            <w:color w:val="000000" w:themeColor="text1"/>
          </w:rPr>
          <w:tab/>
        </w:r>
        <w:r w:rsidR="00123005">
          <w:rPr>
            <w:color w:val="000000" w:themeColor="text1"/>
          </w:rPr>
          <w:t>P</w:t>
        </w:r>
        <w:r w:rsidRPr="00094EE9">
          <w:rPr>
            <w:color w:val="000000" w:themeColor="text1"/>
          </w:rPr>
          <w:t xml:space="preserve">age </w:t>
        </w:r>
        <w:r w:rsidR="00283D51" w:rsidRPr="00094EE9">
          <w:rPr>
            <w:color w:val="000000" w:themeColor="text1"/>
          </w:rPr>
          <w:fldChar w:fldCharType="begin"/>
        </w:r>
        <w:r w:rsidRPr="00094EE9">
          <w:rPr>
            <w:color w:val="000000" w:themeColor="text1"/>
          </w:rPr>
          <w:instrText xml:space="preserve"> PAGE   \* MERGEFORMAT </w:instrText>
        </w:r>
        <w:r w:rsidR="00283D51" w:rsidRPr="00094EE9">
          <w:rPr>
            <w:color w:val="000000" w:themeColor="text1"/>
          </w:rPr>
          <w:fldChar w:fldCharType="separate"/>
        </w:r>
        <w:r w:rsidR="007B229C">
          <w:rPr>
            <w:noProof/>
            <w:color w:val="000000" w:themeColor="text1"/>
          </w:rPr>
          <w:t>2</w:t>
        </w:r>
        <w:r w:rsidR="00283D51" w:rsidRPr="00094EE9">
          <w:rPr>
            <w:noProof/>
            <w:color w:val="000000" w:themeColor="tex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56" w:rsidRDefault="00F33D56" w:rsidP="008766A4">
      <w:r>
        <w:separator/>
      </w:r>
    </w:p>
  </w:footnote>
  <w:footnote w:type="continuationSeparator" w:id="0">
    <w:p w:rsidR="00F33D56" w:rsidRDefault="00F33D56" w:rsidP="0087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8BD"/>
    <w:multiLevelType w:val="hybridMultilevel"/>
    <w:tmpl w:val="DDFA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921CF"/>
    <w:multiLevelType w:val="hybridMultilevel"/>
    <w:tmpl w:val="51C4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2103E"/>
    <w:multiLevelType w:val="hybridMultilevel"/>
    <w:tmpl w:val="7BE0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F4FC3"/>
    <w:multiLevelType w:val="hybridMultilevel"/>
    <w:tmpl w:val="3FD8C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E168E9"/>
    <w:multiLevelType w:val="hybridMultilevel"/>
    <w:tmpl w:val="E698E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0A03AF"/>
    <w:multiLevelType w:val="hybridMultilevel"/>
    <w:tmpl w:val="E064EB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134861C1"/>
    <w:multiLevelType w:val="hybridMultilevel"/>
    <w:tmpl w:val="FA3ED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E44BA5"/>
    <w:multiLevelType w:val="hybridMultilevel"/>
    <w:tmpl w:val="99D6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5100F"/>
    <w:multiLevelType w:val="hybridMultilevel"/>
    <w:tmpl w:val="7090D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60668"/>
    <w:multiLevelType w:val="hybridMultilevel"/>
    <w:tmpl w:val="CA302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E4058E"/>
    <w:multiLevelType w:val="hybridMultilevel"/>
    <w:tmpl w:val="8F46D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860507"/>
    <w:multiLevelType w:val="hybridMultilevel"/>
    <w:tmpl w:val="C22E1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4856DA"/>
    <w:multiLevelType w:val="hybridMultilevel"/>
    <w:tmpl w:val="55AE7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9D03EC"/>
    <w:multiLevelType w:val="hybridMultilevel"/>
    <w:tmpl w:val="5BD8C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D32C9D"/>
    <w:multiLevelType w:val="hybridMultilevel"/>
    <w:tmpl w:val="8D522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CF4F67"/>
    <w:multiLevelType w:val="hybridMultilevel"/>
    <w:tmpl w:val="FDDE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D66387"/>
    <w:multiLevelType w:val="hybridMultilevel"/>
    <w:tmpl w:val="1F04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256BA1"/>
    <w:multiLevelType w:val="hybridMultilevel"/>
    <w:tmpl w:val="AAA4F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447C50"/>
    <w:multiLevelType w:val="hybridMultilevel"/>
    <w:tmpl w:val="B9A0D572"/>
    <w:lvl w:ilvl="0" w:tplc="0C09000F">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8413DE"/>
    <w:multiLevelType w:val="hybridMultilevel"/>
    <w:tmpl w:val="E48C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127487"/>
    <w:multiLevelType w:val="hybridMultilevel"/>
    <w:tmpl w:val="4972F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FB7575"/>
    <w:multiLevelType w:val="hybridMultilevel"/>
    <w:tmpl w:val="B89CD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235884"/>
    <w:multiLevelType w:val="hybridMultilevel"/>
    <w:tmpl w:val="8654ECBC"/>
    <w:lvl w:ilvl="0" w:tplc="6F663FA2">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6A925ED"/>
    <w:multiLevelType w:val="hybridMultilevel"/>
    <w:tmpl w:val="400A1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9C7D7E"/>
    <w:multiLevelType w:val="hybridMultilevel"/>
    <w:tmpl w:val="1D9C4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796F74"/>
    <w:multiLevelType w:val="hybridMultilevel"/>
    <w:tmpl w:val="828A8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9D44AE"/>
    <w:multiLevelType w:val="hybridMultilevel"/>
    <w:tmpl w:val="0C4C0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0763B17"/>
    <w:multiLevelType w:val="hybridMultilevel"/>
    <w:tmpl w:val="4DAE9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845E8F"/>
    <w:multiLevelType w:val="hybridMultilevel"/>
    <w:tmpl w:val="D9820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D523FE"/>
    <w:multiLevelType w:val="hybridMultilevel"/>
    <w:tmpl w:val="15444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982937"/>
    <w:multiLevelType w:val="hybridMultilevel"/>
    <w:tmpl w:val="9A7C0900"/>
    <w:lvl w:ilvl="0" w:tplc="3BACAC90">
      <w:start w:val="1"/>
      <w:numFmt w:val="bullet"/>
      <w:pStyle w:val="ListBullet2"/>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97770A4"/>
    <w:multiLevelType w:val="hybridMultilevel"/>
    <w:tmpl w:val="45900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624168"/>
    <w:multiLevelType w:val="hybridMultilevel"/>
    <w:tmpl w:val="CDFE2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236D5C"/>
    <w:multiLevelType w:val="hybridMultilevel"/>
    <w:tmpl w:val="4F9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5E1B9E"/>
    <w:multiLevelType w:val="hybridMultilevel"/>
    <w:tmpl w:val="E9A4B860"/>
    <w:lvl w:ilvl="0" w:tplc="E09C7FF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0924A6"/>
    <w:multiLevelType w:val="hybridMultilevel"/>
    <w:tmpl w:val="46ACBA86"/>
    <w:lvl w:ilvl="0" w:tplc="679097B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2C5BB1"/>
    <w:multiLevelType w:val="hybridMultilevel"/>
    <w:tmpl w:val="AC20B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3C4526"/>
    <w:multiLevelType w:val="hybridMultilevel"/>
    <w:tmpl w:val="F79EF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234961"/>
    <w:multiLevelType w:val="hybridMultilevel"/>
    <w:tmpl w:val="BC6869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315D3C"/>
    <w:multiLevelType w:val="hybridMultilevel"/>
    <w:tmpl w:val="1E90D6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0" w15:restartNumberingAfterBreak="0">
    <w:nsid w:val="77443085"/>
    <w:multiLevelType w:val="hybridMultilevel"/>
    <w:tmpl w:val="2AA44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EA004F"/>
    <w:multiLevelType w:val="hybridMultilevel"/>
    <w:tmpl w:val="867016BA"/>
    <w:lvl w:ilvl="0" w:tplc="1CE012E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6E0B13"/>
    <w:multiLevelType w:val="hybridMultilevel"/>
    <w:tmpl w:val="2CBE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C5779E"/>
    <w:multiLevelType w:val="hybridMultilevel"/>
    <w:tmpl w:val="6EE6FBB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num w:numId="1">
    <w:abstractNumId w:val="6"/>
  </w:num>
  <w:num w:numId="2">
    <w:abstractNumId w:val="35"/>
  </w:num>
  <w:num w:numId="3">
    <w:abstractNumId w:val="30"/>
  </w:num>
  <w:num w:numId="4">
    <w:abstractNumId w:val="40"/>
  </w:num>
  <w:num w:numId="5">
    <w:abstractNumId w:val="3"/>
  </w:num>
  <w:num w:numId="6">
    <w:abstractNumId w:val="34"/>
  </w:num>
  <w:num w:numId="7">
    <w:abstractNumId w:val="33"/>
  </w:num>
  <w:num w:numId="8">
    <w:abstractNumId w:val="41"/>
  </w:num>
  <w:num w:numId="9">
    <w:abstractNumId w:val="36"/>
  </w:num>
  <w:num w:numId="10">
    <w:abstractNumId w:val="5"/>
  </w:num>
  <w:num w:numId="11">
    <w:abstractNumId w:val="31"/>
  </w:num>
  <w:num w:numId="12">
    <w:abstractNumId w:val="22"/>
  </w:num>
  <w:num w:numId="13">
    <w:abstractNumId w:val="9"/>
  </w:num>
  <w:num w:numId="14">
    <w:abstractNumId w:val="21"/>
  </w:num>
  <w:num w:numId="15">
    <w:abstractNumId w:val="18"/>
  </w:num>
  <w:num w:numId="16">
    <w:abstractNumId w:val="17"/>
  </w:num>
  <w:num w:numId="17">
    <w:abstractNumId w:val="15"/>
  </w:num>
  <w:num w:numId="18">
    <w:abstractNumId w:val="35"/>
  </w:num>
  <w:num w:numId="19">
    <w:abstractNumId w:val="29"/>
  </w:num>
  <w:num w:numId="20">
    <w:abstractNumId w:val="42"/>
  </w:num>
  <w:num w:numId="21">
    <w:abstractNumId w:val="2"/>
  </w:num>
  <w:num w:numId="22">
    <w:abstractNumId w:val="8"/>
  </w:num>
  <w:num w:numId="23">
    <w:abstractNumId w:val="39"/>
  </w:num>
  <w:num w:numId="24">
    <w:abstractNumId w:val="10"/>
  </w:num>
  <w:num w:numId="25">
    <w:abstractNumId w:val="16"/>
  </w:num>
  <w:num w:numId="26">
    <w:abstractNumId w:val="19"/>
  </w:num>
  <w:num w:numId="27">
    <w:abstractNumId w:val="26"/>
  </w:num>
  <w:num w:numId="28">
    <w:abstractNumId w:val="0"/>
  </w:num>
  <w:num w:numId="29">
    <w:abstractNumId w:val="4"/>
  </w:num>
  <w:num w:numId="30">
    <w:abstractNumId w:val="14"/>
  </w:num>
  <w:num w:numId="31">
    <w:abstractNumId w:val="32"/>
  </w:num>
  <w:num w:numId="32">
    <w:abstractNumId w:val="43"/>
  </w:num>
  <w:num w:numId="33">
    <w:abstractNumId w:val="7"/>
  </w:num>
  <w:num w:numId="34">
    <w:abstractNumId w:val="11"/>
  </w:num>
  <w:num w:numId="35">
    <w:abstractNumId w:val="27"/>
  </w:num>
  <w:num w:numId="36">
    <w:abstractNumId w:val="12"/>
  </w:num>
  <w:num w:numId="37">
    <w:abstractNumId w:val="1"/>
  </w:num>
  <w:num w:numId="38">
    <w:abstractNumId w:val="20"/>
  </w:num>
  <w:num w:numId="39">
    <w:abstractNumId w:val="24"/>
  </w:num>
  <w:num w:numId="40">
    <w:abstractNumId w:val="25"/>
  </w:num>
  <w:num w:numId="41">
    <w:abstractNumId w:val="13"/>
  </w:num>
  <w:num w:numId="42">
    <w:abstractNumId w:val="28"/>
  </w:num>
  <w:num w:numId="43">
    <w:abstractNumId w:val="23"/>
  </w:num>
  <w:num w:numId="44">
    <w:abstractNumId w:val="38"/>
  </w:num>
  <w:num w:numId="45">
    <w:abstractNumId w:val="37"/>
  </w:num>
  <w:num w:numId="4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AU" w:vendorID="64" w:dllVersion="0" w:nlCheck="1" w:checkStyle="0"/>
  <w:activeWritingStyle w:appName="MSWord" w:lang="en-US" w:vendorID="64" w:dllVersion="6" w:nlCheck="1" w:checkStyle="0"/>
  <w:activeWritingStyle w:appName="MSWord" w:lang="en-AU" w:vendorID="64" w:dllVersion="6" w:nlCheck="1" w:checkStyle="0"/>
  <w:activeWritingStyle w:appName="MSWord" w:lang="en-US" w:vendorID="64" w:dllVersion="131078" w:nlCheck="1" w:checkStyle="1"/>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0B21"/>
    <w:rsid w:val="00006947"/>
    <w:rsid w:val="0001121B"/>
    <w:rsid w:val="000347D9"/>
    <w:rsid w:val="00044B09"/>
    <w:rsid w:val="0004534D"/>
    <w:rsid w:val="0004542A"/>
    <w:rsid w:val="00046F7D"/>
    <w:rsid w:val="00047F36"/>
    <w:rsid w:val="0005501F"/>
    <w:rsid w:val="00063FEE"/>
    <w:rsid w:val="00071178"/>
    <w:rsid w:val="00076460"/>
    <w:rsid w:val="00076992"/>
    <w:rsid w:val="0008630F"/>
    <w:rsid w:val="0008758C"/>
    <w:rsid w:val="000937AF"/>
    <w:rsid w:val="00094EE9"/>
    <w:rsid w:val="00095EEC"/>
    <w:rsid w:val="000A2D3C"/>
    <w:rsid w:val="000B0EB5"/>
    <w:rsid w:val="000B668D"/>
    <w:rsid w:val="000C1080"/>
    <w:rsid w:val="000C499D"/>
    <w:rsid w:val="000C4CA9"/>
    <w:rsid w:val="000D5478"/>
    <w:rsid w:val="000E2807"/>
    <w:rsid w:val="000E7719"/>
    <w:rsid w:val="000F155E"/>
    <w:rsid w:val="000F4C22"/>
    <w:rsid w:val="001017B1"/>
    <w:rsid w:val="0010207D"/>
    <w:rsid w:val="001064C7"/>
    <w:rsid w:val="0011043B"/>
    <w:rsid w:val="00120CC6"/>
    <w:rsid w:val="00123005"/>
    <w:rsid w:val="00126A52"/>
    <w:rsid w:val="00127682"/>
    <w:rsid w:val="00130200"/>
    <w:rsid w:val="0013716D"/>
    <w:rsid w:val="00137179"/>
    <w:rsid w:val="001374A1"/>
    <w:rsid w:val="0014310A"/>
    <w:rsid w:val="00152101"/>
    <w:rsid w:val="0015415A"/>
    <w:rsid w:val="0016315C"/>
    <w:rsid w:val="00170436"/>
    <w:rsid w:val="0017100F"/>
    <w:rsid w:val="00172AFD"/>
    <w:rsid w:val="0017525D"/>
    <w:rsid w:val="00184465"/>
    <w:rsid w:val="00193A4B"/>
    <w:rsid w:val="001952A4"/>
    <w:rsid w:val="001A1558"/>
    <w:rsid w:val="001A33AD"/>
    <w:rsid w:val="001B1F9A"/>
    <w:rsid w:val="001C16FE"/>
    <w:rsid w:val="001C378C"/>
    <w:rsid w:val="001C3FFB"/>
    <w:rsid w:val="001D10A1"/>
    <w:rsid w:val="001E219D"/>
    <w:rsid w:val="001E4A90"/>
    <w:rsid w:val="001E4C24"/>
    <w:rsid w:val="001F1B8C"/>
    <w:rsid w:val="001F375F"/>
    <w:rsid w:val="001F48E1"/>
    <w:rsid w:val="001F6F9D"/>
    <w:rsid w:val="00200CD2"/>
    <w:rsid w:val="00204C81"/>
    <w:rsid w:val="0021324F"/>
    <w:rsid w:val="00216490"/>
    <w:rsid w:val="00216E22"/>
    <w:rsid w:val="00220C69"/>
    <w:rsid w:val="00220FC7"/>
    <w:rsid w:val="0022212D"/>
    <w:rsid w:val="00226B71"/>
    <w:rsid w:val="002279AC"/>
    <w:rsid w:val="002337D3"/>
    <w:rsid w:val="002431E9"/>
    <w:rsid w:val="0024400A"/>
    <w:rsid w:val="0025449A"/>
    <w:rsid w:val="00255E0C"/>
    <w:rsid w:val="00263118"/>
    <w:rsid w:val="00265896"/>
    <w:rsid w:val="00265936"/>
    <w:rsid w:val="0027062A"/>
    <w:rsid w:val="00271F77"/>
    <w:rsid w:val="00273373"/>
    <w:rsid w:val="002805CC"/>
    <w:rsid w:val="00283D51"/>
    <w:rsid w:val="00290E9B"/>
    <w:rsid w:val="002972E6"/>
    <w:rsid w:val="002A00EF"/>
    <w:rsid w:val="002B1FBF"/>
    <w:rsid w:val="002B6F0E"/>
    <w:rsid w:val="002D1B00"/>
    <w:rsid w:val="002D46BC"/>
    <w:rsid w:val="002D6F20"/>
    <w:rsid w:val="002E27CD"/>
    <w:rsid w:val="002F1603"/>
    <w:rsid w:val="002F4E54"/>
    <w:rsid w:val="003020F0"/>
    <w:rsid w:val="00311626"/>
    <w:rsid w:val="00317617"/>
    <w:rsid w:val="00317AB9"/>
    <w:rsid w:val="00320610"/>
    <w:rsid w:val="0032167A"/>
    <w:rsid w:val="003252C0"/>
    <w:rsid w:val="00326F48"/>
    <w:rsid w:val="003373A6"/>
    <w:rsid w:val="0033799B"/>
    <w:rsid w:val="00343C89"/>
    <w:rsid w:val="00347714"/>
    <w:rsid w:val="00351A0E"/>
    <w:rsid w:val="00352A17"/>
    <w:rsid w:val="00361B20"/>
    <w:rsid w:val="00363920"/>
    <w:rsid w:val="00364919"/>
    <w:rsid w:val="0036550A"/>
    <w:rsid w:val="0037294D"/>
    <w:rsid w:val="00376EAD"/>
    <w:rsid w:val="00377809"/>
    <w:rsid w:val="003833FC"/>
    <w:rsid w:val="00384E90"/>
    <w:rsid w:val="00385565"/>
    <w:rsid w:val="00387492"/>
    <w:rsid w:val="00397CA7"/>
    <w:rsid w:val="003A46EB"/>
    <w:rsid w:val="003B01B0"/>
    <w:rsid w:val="003B12F3"/>
    <w:rsid w:val="003B13B6"/>
    <w:rsid w:val="003B780E"/>
    <w:rsid w:val="003C316F"/>
    <w:rsid w:val="003D1F4C"/>
    <w:rsid w:val="003D6B1D"/>
    <w:rsid w:val="003D7EA0"/>
    <w:rsid w:val="003E100A"/>
    <w:rsid w:val="003E29B5"/>
    <w:rsid w:val="003E435B"/>
    <w:rsid w:val="003E5418"/>
    <w:rsid w:val="003E57C4"/>
    <w:rsid w:val="003E5BF1"/>
    <w:rsid w:val="003F3C92"/>
    <w:rsid w:val="003F627D"/>
    <w:rsid w:val="00402F6E"/>
    <w:rsid w:val="00412913"/>
    <w:rsid w:val="004136D4"/>
    <w:rsid w:val="00415090"/>
    <w:rsid w:val="004162DF"/>
    <w:rsid w:val="004166F4"/>
    <w:rsid w:val="0042385D"/>
    <w:rsid w:val="0042387A"/>
    <w:rsid w:val="00424C26"/>
    <w:rsid w:val="00436620"/>
    <w:rsid w:val="00437C31"/>
    <w:rsid w:val="00440510"/>
    <w:rsid w:val="00451A87"/>
    <w:rsid w:val="00451CB8"/>
    <w:rsid w:val="004547DC"/>
    <w:rsid w:val="0046093C"/>
    <w:rsid w:val="004615C4"/>
    <w:rsid w:val="004670DD"/>
    <w:rsid w:val="004705B1"/>
    <w:rsid w:val="0047153A"/>
    <w:rsid w:val="00480F63"/>
    <w:rsid w:val="00481339"/>
    <w:rsid w:val="00483776"/>
    <w:rsid w:val="004B053C"/>
    <w:rsid w:val="004B3D42"/>
    <w:rsid w:val="004C0B6F"/>
    <w:rsid w:val="004C17ED"/>
    <w:rsid w:val="004C37EC"/>
    <w:rsid w:val="004D5D1E"/>
    <w:rsid w:val="004D6B0E"/>
    <w:rsid w:val="004E0B7B"/>
    <w:rsid w:val="004E59D0"/>
    <w:rsid w:val="004E63B0"/>
    <w:rsid w:val="00502E14"/>
    <w:rsid w:val="00507319"/>
    <w:rsid w:val="00516D20"/>
    <w:rsid w:val="0051778F"/>
    <w:rsid w:val="00534A6F"/>
    <w:rsid w:val="00534DA6"/>
    <w:rsid w:val="00536D72"/>
    <w:rsid w:val="005434CE"/>
    <w:rsid w:val="00546B6F"/>
    <w:rsid w:val="00551DCD"/>
    <w:rsid w:val="0056393F"/>
    <w:rsid w:val="00565F86"/>
    <w:rsid w:val="0056601B"/>
    <w:rsid w:val="005674D1"/>
    <w:rsid w:val="005711D2"/>
    <w:rsid w:val="0057654B"/>
    <w:rsid w:val="00580796"/>
    <w:rsid w:val="00581A7C"/>
    <w:rsid w:val="005832B7"/>
    <w:rsid w:val="00596923"/>
    <w:rsid w:val="005A23F9"/>
    <w:rsid w:val="005B2959"/>
    <w:rsid w:val="005B3B56"/>
    <w:rsid w:val="005B717E"/>
    <w:rsid w:val="005C5739"/>
    <w:rsid w:val="005D3366"/>
    <w:rsid w:val="005D36E4"/>
    <w:rsid w:val="005D6F19"/>
    <w:rsid w:val="005E1051"/>
    <w:rsid w:val="005E27E3"/>
    <w:rsid w:val="005E32B1"/>
    <w:rsid w:val="005E4640"/>
    <w:rsid w:val="005F10A0"/>
    <w:rsid w:val="005F12DB"/>
    <w:rsid w:val="005F5AD9"/>
    <w:rsid w:val="00600EB1"/>
    <w:rsid w:val="00614BEA"/>
    <w:rsid w:val="00616951"/>
    <w:rsid w:val="0062563E"/>
    <w:rsid w:val="00627D90"/>
    <w:rsid w:val="00631AFF"/>
    <w:rsid w:val="00640613"/>
    <w:rsid w:val="00641616"/>
    <w:rsid w:val="006440FB"/>
    <w:rsid w:val="00646F69"/>
    <w:rsid w:val="006505E4"/>
    <w:rsid w:val="00651C93"/>
    <w:rsid w:val="006523F2"/>
    <w:rsid w:val="006540BA"/>
    <w:rsid w:val="00666960"/>
    <w:rsid w:val="00672950"/>
    <w:rsid w:val="006906F9"/>
    <w:rsid w:val="00693023"/>
    <w:rsid w:val="006935C9"/>
    <w:rsid w:val="00694796"/>
    <w:rsid w:val="006A008D"/>
    <w:rsid w:val="006B4A1F"/>
    <w:rsid w:val="006C0E55"/>
    <w:rsid w:val="006D1CFF"/>
    <w:rsid w:val="006D3CC2"/>
    <w:rsid w:val="006D6ECF"/>
    <w:rsid w:val="006D7CA2"/>
    <w:rsid w:val="006E1C6D"/>
    <w:rsid w:val="006E6F61"/>
    <w:rsid w:val="006F6693"/>
    <w:rsid w:val="006F7B96"/>
    <w:rsid w:val="00707F50"/>
    <w:rsid w:val="0071497B"/>
    <w:rsid w:val="00715445"/>
    <w:rsid w:val="0071726B"/>
    <w:rsid w:val="007178F0"/>
    <w:rsid w:val="00724653"/>
    <w:rsid w:val="0072695C"/>
    <w:rsid w:val="00737A92"/>
    <w:rsid w:val="00740600"/>
    <w:rsid w:val="00740955"/>
    <w:rsid w:val="00743B9D"/>
    <w:rsid w:val="007469D1"/>
    <w:rsid w:val="0074726F"/>
    <w:rsid w:val="00751081"/>
    <w:rsid w:val="00755539"/>
    <w:rsid w:val="0076312D"/>
    <w:rsid w:val="00776016"/>
    <w:rsid w:val="00780DF7"/>
    <w:rsid w:val="0078128B"/>
    <w:rsid w:val="00781C4C"/>
    <w:rsid w:val="00782527"/>
    <w:rsid w:val="00784798"/>
    <w:rsid w:val="00793489"/>
    <w:rsid w:val="00796CF5"/>
    <w:rsid w:val="00797FCC"/>
    <w:rsid w:val="007B229C"/>
    <w:rsid w:val="007B59A5"/>
    <w:rsid w:val="007C109D"/>
    <w:rsid w:val="007C73DD"/>
    <w:rsid w:val="007D3C8F"/>
    <w:rsid w:val="007E19F8"/>
    <w:rsid w:val="007E2D36"/>
    <w:rsid w:val="00815096"/>
    <w:rsid w:val="00816ED5"/>
    <w:rsid w:val="008203E8"/>
    <w:rsid w:val="00826440"/>
    <w:rsid w:val="008330B2"/>
    <w:rsid w:val="00841F2A"/>
    <w:rsid w:val="00842386"/>
    <w:rsid w:val="008433FB"/>
    <w:rsid w:val="00857131"/>
    <w:rsid w:val="00862161"/>
    <w:rsid w:val="00867356"/>
    <w:rsid w:val="00867E79"/>
    <w:rsid w:val="00873C1C"/>
    <w:rsid w:val="00873E24"/>
    <w:rsid w:val="00874952"/>
    <w:rsid w:val="00874D35"/>
    <w:rsid w:val="008766A4"/>
    <w:rsid w:val="008767CC"/>
    <w:rsid w:val="00877262"/>
    <w:rsid w:val="00891DC7"/>
    <w:rsid w:val="0089568B"/>
    <w:rsid w:val="00895870"/>
    <w:rsid w:val="00895896"/>
    <w:rsid w:val="00895F66"/>
    <w:rsid w:val="008A0194"/>
    <w:rsid w:val="008A1405"/>
    <w:rsid w:val="008A4AC9"/>
    <w:rsid w:val="008A54FC"/>
    <w:rsid w:val="008A7B42"/>
    <w:rsid w:val="008B2F42"/>
    <w:rsid w:val="008C0B7B"/>
    <w:rsid w:val="008C4859"/>
    <w:rsid w:val="008C61D5"/>
    <w:rsid w:val="008C6FA8"/>
    <w:rsid w:val="008D3BDE"/>
    <w:rsid w:val="008E209B"/>
    <w:rsid w:val="008E22FE"/>
    <w:rsid w:val="008F3046"/>
    <w:rsid w:val="00904A0D"/>
    <w:rsid w:val="0092596D"/>
    <w:rsid w:val="00925F6C"/>
    <w:rsid w:val="00926A9F"/>
    <w:rsid w:val="00927DEE"/>
    <w:rsid w:val="00932654"/>
    <w:rsid w:val="00933910"/>
    <w:rsid w:val="00933A7C"/>
    <w:rsid w:val="00934F47"/>
    <w:rsid w:val="00937C63"/>
    <w:rsid w:val="00940785"/>
    <w:rsid w:val="0095404D"/>
    <w:rsid w:val="00956187"/>
    <w:rsid w:val="0096332A"/>
    <w:rsid w:val="00963BAA"/>
    <w:rsid w:val="009659BD"/>
    <w:rsid w:val="00966666"/>
    <w:rsid w:val="009710C7"/>
    <w:rsid w:val="00980015"/>
    <w:rsid w:val="009907B4"/>
    <w:rsid w:val="00991BAB"/>
    <w:rsid w:val="009A443E"/>
    <w:rsid w:val="009B4EE0"/>
    <w:rsid w:val="009C2B8D"/>
    <w:rsid w:val="009C3D08"/>
    <w:rsid w:val="009C4DC7"/>
    <w:rsid w:val="009D1593"/>
    <w:rsid w:val="009E1C59"/>
    <w:rsid w:val="009E21F6"/>
    <w:rsid w:val="009E333F"/>
    <w:rsid w:val="009E3350"/>
    <w:rsid w:val="009E4078"/>
    <w:rsid w:val="009E49AE"/>
    <w:rsid w:val="009F030B"/>
    <w:rsid w:val="009F0AA7"/>
    <w:rsid w:val="009F2302"/>
    <w:rsid w:val="009F5CB4"/>
    <w:rsid w:val="009F6EA9"/>
    <w:rsid w:val="00A223D8"/>
    <w:rsid w:val="00A26283"/>
    <w:rsid w:val="00A33C93"/>
    <w:rsid w:val="00A3693C"/>
    <w:rsid w:val="00A40AFB"/>
    <w:rsid w:val="00A40B6F"/>
    <w:rsid w:val="00A41C50"/>
    <w:rsid w:val="00A509B6"/>
    <w:rsid w:val="00A53A1D"/>
    <w:rsid w:val="00A65A92"/>
    <w:rsid w:val="00A701E7"/>
    <w:rsid w:val="00A74087"/>
    <w:rsid w:val="00A77C1A"/>
    <w:rsid w:val="00A8502C"/>
    <w:rsid w:val="00A8523C"/>
    <w:rsid w:val="00A85A26"/>
    <w:rsid w:val="00A85B16"/>
    <w:rsid w:val="00A87A9F"/>
    <w:rsid w:val="00AA352A"/>
    <w:rsid w:val="00AB0070"/>
    <w:rsid w:val="00AB027E"/>
    <w:rsid w:val="00AB46B0"/>
    <w:rsid w:val="00AB49E5"/>
    <w:rsid w:val="00AC23BD"/>
    <w:rsid w:val="00AD468B"/>
    <w:rsid w:val="00AD7355"/>
    <w:rsid w:val="00AD7AB8"/>
    <w:rsid w:val="00AE3497"/>
    <w:rsid w:val="00AE40F9"/>
    <w:rsid w:val="00AE4681"/>
    <w:rsid w:val="00AE52AD"/>
    <w:rsid w:val="00AF3A09"/>
    <w:rsid w:val="00AF482C"/>
    <w:rsid w:val="00AF4BEE"/>
    <w:rsid w:val="00AF738E"/>
    <w:rsid w:val="00B02695"/>
    <w:rsid w:val="00B06C9A"/>
    <w:rsid w:val="00B1289C"/>
    <w:rsid w:val="00B1745C"/>
    <w:rsid w:val="00B17AF7"/>
    <w:rsid w:val="00B40154"/>
    <w:rsid w:val="00B4370F"/>
    <w:rsid w:val="00B46178"/>
    <w:rsid w:val="00B47FE1"/>
    <w:rsid w:val="00B6030C"/>
    <w:rsid w:val="00B62738"/>
    <w:rsid w:val="00B73EC2"/>
    <w:rsid w:val="00B850E1"/>
    <w:rsid w:val="00B85D39"/>
    <w:rsid w:val="00B9071D"/>
    <w:rsid w:val="00B94979"/>
    <w:rsid w:val="00B97D9F"/>
    <w:rsid w:val="00BA2E97"/>
    <w:rsid w:val="00BA3A95"/>
    <w:rsid w:val="00BA50D2"/>
    <w:rsid w:val="00BB05A6"/>
    <w:rsid w:val="00BB085A"/>
    <w:rsid w:val="00BC20EE"/>
    <w:rsid w:val="00BD28FE"/>
    <w:rsid w:val="00BD307E"/>
    <w:rsid w:val="00BD3BCD"/>
    <w:rsid w:val="00BD5920"/>
    <w:rsid w:val="00BD61EC"/>
    <w:rsid w:val="00BE22B0"/>
    <w:rsid w:val="00BE56B7"/>
    <w:rsid w:val="00BF2C59"/>
    <w:rsid w:val="00BF32C3"/>
    <w:rsid w:val="00BF392F"/>
    <w:rsid w:val="00BF4581"/>
    <w:rsid w:val="00BF5866"/>
    <w:rsid w:val="00C052CB"/>
    <w:rsid w:val="00C06898"/>
    <w:rsid w:val="00C06CA5"/>
    <w:rsid w:val="00C1598F"/>
    <w:rsid w:val="00C1602B"/>
    <w:rsid w:val="00C268F5"/>
    <w:rsid w:val="00C27B7A"/>
    <w:rsid w:val="00C33D9F"/>
    <w:rsid w:val="00C45349"/>
    <w:rsid w:val="00C471FD"/>
    <w:rsid w:val="00C6021B"/>
    <w:rsid w:val="00C63676"/>
    <w:rsid w:val="00C641B3"/>
    <w:rsid w:val="00C6616B"/>
    <w:rsid w:val="00C7722D"/>
    <w:rsid w:val="00C80202"/>
    <w:rsid w:val="00C81FB2"/>
    <w:rsid w:val="00C8319B"/>
    <w:rsid w:val="00C90F6B"/>
    <w:rsid w:val="00C90FDE"/>
    <w:rsid w:val="00C91AC2"/>
    <w:rsid w:val="00C931D9"/>
    <w:rsid w:val="00C95672"/>
    <w:rsid w:val="00C96775"/>
    <w:rsid w:val="00CA1867"/>
    <w:rsid w:val="00CA2F7D"/>
    <w:rsid w:val="00CA3EFC"/>
    <w:rsid w:val="00CA54BA"/>
    <w:rsid w:val="00CA58FF"/>
    <w:rsid w:val="00CA5E98"/>
    <w:rsid w:val="00CB0337"/>
    <w:rsid w:val="00CB1AF9"/>
    <w:rsid w:val="00CB3A36"/>
    <w:rsid w:val="00CB3BC7"/>
    <w:rsid w:val="00CC6244"/>
    <w:rsid w:val="00CC7F0A"/>
    <w:rsid w:val="00CD11B5"/>
    <w:rsid w:val="00CD725B"/>
    <w:rsid w:val="00CE74B0"/>
    <w:rsid w:val="00D049D0"/>
    <w:rsid w:val="00D05EB7"/>
    <w:rsid w:val="00D063A5"/>
    <w:rsid w:val="00D128D5"/>
    <w:rsid w:val="00D20BB8"/>
    <w:rsid w:val="00D230D1"/>
    <w:rsid w:val="00D263A2"/>
    <w:rsid w:val="00D31299"/>
    <w:rsid w:val="00D41CE5"/>
    <w:rsid w:val="00D55A7C"/>
    <w:rsid w:val="00D56068"/>
    <w:rsid w:val="00D611AE"/>
    <w:rsid w:val="00D641EA"/>
    <w:rsid w:val="00D656D4"/>
    <w:rsid w:val="00D72A47"/>
    <w:rsid w:val="00D72C91"/>
    <w:rsid w:val="00D738A5"/>
    <w:rsid w:val="00D739D5"/>
    <w:rsid w:val="00D75869"/>
    <w:rsid w:val="00D75E31"/>
    <w:rsid w:val="00D76D79"/>
    <w:rsid w:val="00D8417C"/>
    <w:rsid w:val="00D84C0F"/>
    <w:rsid w:val="00D91211"/>
    <w:rsid w:val="00D929AF"/>
    <w:rsid w:val="00D93736"/>
    <w:rsid w:val="00DA2E61"/>
    <w:rsid w:val="00DA4EFC"/>
    <w:rsid w:val="00DA6744"/>
    <w:rsid w:val="00DB00BE"/>
    <w:rsid w:val="00DB0ABC"/>
    <w:rsid w:val="00DB15A7"/>
    <w:rsid w:val="00DB6966"/>
    <w:rsid w:val="00DC03B9"/>
    <w:rsid w:val="00DC5667"/>
    <w:rsid w:val="00DC7683"/>
    <w:rsid w:val="00DD7FC9"/>
    <w:rsid w:val="00DE4DB9"/>
    <w:rsid w:val="00DF1C42"/>
    <w:rsid w:val="00DF72AD"/>
    <w:rsid w:val="00E00145"/>
    <w:rsid w:val="00E01659"/>
    <w:rsid w:val="00E0316D"/>
    <w:rsid w:val="00E05737"/>
    <w:rsid w:val="00E05BBC"/>
    <w:rsid w:val="00E10983"/>
    <w:rsid w:val="00E154A2"/>
    <w:rsid w:val="00E322E5"/>
    <w:rsid w:val="00E378B3"/>
    <w:rsid w:val="00E406FB"/>
    <w:rsid w:val="00E41E01"/>
    <w:rsid w:val="00E42E39"/>
    <w:rsid w:val="00E539B5"/>
    <w:rsid w:val="00E54FD5"/>
    <w:rsid w:val="00E6379F"/>
    <w:rsid w:val="00E66524"/>
    <w:rsid w:val="00E872B9"/>
    <w:rsid w:val="00E93CCE"/>
    <w:rsid w:val="00E95E9D"/>
    <w:rsid w:val="00EA0489"/>
    <w:rsid w:val="00EA73E9"/>
    <w:rsid w:val="00EA7F56"/>
    <w:rsid w:val="00EB1434"/>
    <w:rsid w:val="00EB36B3"/>
    <w:rsid w:val="00EB4F5B"/>
    <w:rsid w:val="00EC1FFC"/>
    <w:rsid w:val="00EC4687"/>
    <w:rsid w:val="00EC4B15"/>
    <w:rsid w:val="00EC4C52"/>
    <w:rsid w:val="00EC7AF5"/>
    <w:rsid w:val="00EC7D90"/>
    <w:rsid w:val="00EE15AC"/>
    <w:rsid w:val="00EE24DA"/>
    <w:rsid w:val="00EE55E1"/>
    <w:rsid w:val="00EF04D3"/>
    <w:rsid w:val="00EF2725"/>
    <w:rsid w:val="00EF7647"/>
    <w:rsid w:val="00F001A1"/>
    <w:rsid w:val="00F06F97"/>
    <w:rsid w:val="00F1412D"/>
    <w:rsid w:val="00F15892"/>
    <w:rsid w:val="00F25519"/>
    <w:rsid w:val="00F27799"/>
    <w:rsid w:val="00F3026B"/>
    <w:rsid w:val="00F3247E"/>
    <w:rsid w:val="00F33D56"/>
    <w:rsid w:val="00F36897"/>
    <w:rsid w:val="00F3741B"/>
    <w:rsid w:val="00F37E0C"/>
    <w:rsid w:val="00F4458F"/>
    <w:rsid w:val="00F50411"/>
    <w:rsid w:val="00F52421"/>
    <w:rsid w:val="00F55EB5"/>
    <w:rsid w:val="00F56517"/>
    <w:rsid w:val="00F65190"/>
    <w:rsid w:val="00F65CEE"/>
    <w:rsid w:val="00F71186"/>
    <w:rsid w:val="00F775D8"/>
    <w:rsid w:val="00F81106"/>
    <w:rsid w:val="00F81B03"/>
    <w:rsid w:val="00F81D52"/>
    <w:rsid w:val="00F83482"/>
    <w:rsid w:val="00F85A04"/>
    <w:rsid w:val="00F85A39"/>
    <w:rsid w:val="00F976EB"/>
    <w:rsid w:val="00F97B56"/>
    <w:rsid w:val="00FA267B"/>
    <w:rsid w:val="00FA6B94"/>
    <w:rsid w:val="00FA7154"/>
    <w:rsid w:val="00FB5115"/>
    <w:rsid w:val="00FB531F"/>
    <w:rsid w:val="00FC2A1E"/>
    <w:rsid w:val="00FC39A3"/>
    <w:rsid w:val="00FC57D7"/>
    <w:rsid w:val="00FC62D1"/>
    <w:rsid w:val="00FC6788"/>
    <w:rsid w:val="00FC7AE7"/>
    <w:rsid w:val="00FD7688"/>
    <w:rsid w:val="00FE0C6C"/>
    <w:rsid w:val="00FE1CEF"/>
    <w:rsid w:val="00FE3FA2"/>
    <w:rsid w:val="00FE581C"/>
    <w:rsid w:val="00FE6F46"/>
    <w:rsid w:val="00FE7AC7"/>
    <w:rsid w:val="00FF6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CB9193-EE21-4F3E-A61B-95724936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B2959"/>
    <w:pPr>
      <w:spacing w:before="120" w:line="280" w:lineRule="atLeast"/>
    </w:pPr>
    <w:rPr>
      <w:rFonts w:ascii="Arial" w:hAnsi="Arial" w:cs="Arial"/>
      <w:sz w:val="22"/>
      <w:szCs w:val="18"/>
    </w:rPr>
  </w:style>
  <w:style w:type="paragraph" w:styleId="Heading1">
    <w:name w:val="heading 1"/>
    <w:basedOn w:val="Normal"/>
    <w:next w:val="Normal"/>
    <w:link w:val="Heading1Char"/>
    <w:uiPriority w:val="9"/>
    <w:qFormat/>
    <w:locked/>
    <w:rsid w:val="0078128B"/>
    <w:pPr>
      <w:keepNext/>
      <w:keepLines/>
      <w:spacing w:before="240" w:after="120"/>
      <w:outlineLvl w:val="0"/>
    </w:pPr>
    <w:rPr>
      <w:rFonts w:eastAsiaTheme="majorEastAsia" w:cstheme="majorBidi"/>
      <w:b/>
      <w:bCs/>
      <w:color w:val="AF272F"/>
      <w:sz w:val="44"/>
      <w:szCs w:val="20"/>
    </w:rPr>
  </w:style>
  <w:style w:type="paragraph" w:styleId="Heading2">
    <w:name w:val="heading 2"/>
    <w:basedOn w:val="Heading1"/>
    <w:next w:val="Normal"/>
    <w:link w:val="Heading2Char"/>
    <w:uiPriority w:val="9"/>
    <w:qFormat/>
    <w:locked/>
    <w:rsid w:val="0078128B"/>
    <w:pPr>
      <w:pBdr>
        <w:top w:val="single" w:sz="8" w:space="3" w:color="AF272F"/>
      </w:pBdr>
      <w:spacing w:before="360"/>
      <w:ind w:left="851" w:hanging="851"/>
      <w:outlineLvl w:val="1"/>
    </w:pPr>
    <w:rPr>
      <w:bCs w:val="0"/>
      <w:sz w:val="36"/>
    </w:rPr>
  </w:style>
  <w:style w:type="paragraph" w:styleId="Heading3">
    <w:name w:val="heading 3"/>
    <w:basedOn w:val="Normal"/>
    <w:next w:val="Normal"/>
    <w:link w:val="Heading3Char"/>
    <w:uiPriority w:val="9"/>
    <w:qFormat/>
    <w:locked/>
    <w:rsid w:val="0078128B"/>
    <w:pPr>
      <w:tabs>
        <w:tab w:val="left" w:pos="851"/>
      </w:tabs>
      <w:spacing w:before="240" w:after="240"/>
      <w:outlineLvl w:val="2"/>
    </w:pPr>
    <w:rPr>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28B"/>
    <w:rPr>
      <w:rFonts w:ascii="Arial" w:eastAsiaTheme="majorEastAsia" w:hAnsi="Arial" w:cstheme="majorBidi"/>
      <w:b/>
      <w:bCs/>
      <w:color w:val="AF272F"/>
      <w:sz w:val="44"/>
      <w:szCs w:val="20"/>
    </w:rPr>
  </w:style>
  <w:style w:type="character" w:customStyle="1" w:styleId="Heading2Char">
    <w:name w:val="Heading 2 Char"/>
    <w:basedOn w:val="DefaultParagraphFont"/>
    <w:link w:val="Heading2"/>
    <w:uiPriority w:val="9"/>
    <w:rsid w:val="0078128B"/>
    <w:rPr>
      <w:rFonts w:ascii="Arial" w:eastAsiaTheme="majorEastAsia" w:hAnsi="Arial" w:cstheme="majorBidi"/>
      <w:b/>
      <w:color w:val="AF272F"/>
      <w:sz w:val="36"/>
      <w:szCs w:val="20"/>
    </w:rPr>
  </w:style>
  <w:style w:type="character" w:customStyle="1" w:styleId="Heading3Char">
    <w:name w:val="Heading 3 Char"/>
    <w:basedOn w:val="DefaultParagraphFont"/>
    <w:link w:val="Heading3"/>
    <w:uiPriority w:val="9"/>
    <w:rsid w:val="0078128B"/>
    <w:rPr>
      <w:rFonts w:ascii="Arial" w:hAnsi="Arial" w:cs="Arial"/>
      <w:b/>
      <w:color w:val="000000" w:themeColor="text1"/>
      <w:szCs w:val="18"/>
    </w:rPr>
  </w:style>
  <w:style w:type="character" w:styleId="CommentReference">
    <w:name w:val="annotation reference"/>
    <w:basedOn w:val="DefaultParagraphFont"/>
    <w:uiPriority w:val="99"/>
    <w:semiHidden/>
    <w:unhideWhenUsed/>
    <w:locked/>
    <w:rsid w:val="00E95E9D"/>
    <w:rPr>
      <w:sz w:val="16"/>
      <w:szCs w:val="16"/>
    </w:rPr>
  </w:style>
  <w:style w:type="paragraph" w:styleId="Quote">
    <w:name w:val="Quote"/>
    <w:basedOn w:val="Normal"/>
    <w:next w:val="Normal"/>
    <w:link w:val="QuoteChar"/>
    <w:qFormat/>
    <w:locked/>
    <w:rsid w:val="00D31299"/>
    <w:pPr>
      <w:spacing w:after="60" w:line="300" w:lineRule="atLeast"/>
    </w:pPr>
    <w:rPr>
      <w:b/>
      <w:bCs/>
      <w:color w:val="5A5A59"/>
      <w:sz w:val="24"/>
      <w:szCs w:val="25"/>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Footer">
    <w:name w:val="footer"/>
    <w:basedOn w:val="Normal"/>
    <w:link w:val="FooterChar"/>
    <w:uiPriority w:val="99"/>
    <w:rsid w:val="008A1405"/>
    <w:pPr>
      <w:tabs>
        <w:tab w:val="right" w:pos="6804"/>
      </w:tabs>
      <w:spacing w:before="0" w:line="240" w:lineRule="auto"/>
    </w:pPr>
    <w:rPr>
      <w:sz w:val="20"/>
    </w:rPr>
  </w:style>
  <w:style w:type="character" w:customStyle="1" w:styleId="FooterChar">
    <w:name w:val="Footer Char"/>
    <w:basedOn w:val="DefaultParagraphFont"/>
    <w:link w:val="Footer"/>
    <w:uiPriority w:val="99"/>
    <w:rsid w:val="008A1405"/>
    <w:rPr>
      <w:rFonts w:ascii="Arial" w:hAnsi="Arial" w:cs="Arial"/>
      <w:sz w:val="20"/>
      <w:szCs w:val="18"/>
    </w:rPr>
  </w:style>
  <w:style w:type="paragraph" w:styleId="CommentText">
    <w:name w:val="annotation text"/>
    <w:basedOn w:val="Normal"/>
    <w:link w:val="CommentTextChar"/>
    <w:uiPriority w:val="99"/>
    <w:semiHidden/>
    <w:unhideWhenUsed/>
    <w:locked/>
    <w:rsid w:val="00E95E9D"/>
    <w:pPr>
      <w:spacing w:line="240" w:lineRule="auto"/>
    </w:pPr>
    <w:rPr>
      <w:sz w:val="20"/>
      <w:szCs w:val="20"/>
    </w:rPr>
  </w:style>
  <w:style w:type="character" w:customStyle="1" w:styleId="CommentTextChar">
    <w:name w:val="Comment Text Char"/>
    <w:basedOn w:val="DefaultParagraphFont"/>
    <w:link w:val="CommentText"/>
    <w:uiPriority w:val="99"/>
    <w:semiHidden/>
    <w:rsid w:val="00E95E9D"/>
    <w:rPr>
      <w:rFonts w:ascii="Arial" w:hAnsi="Arial" w:cs="Arial"/>
      <w:sz w:val="20"/>
      <w:szCs w:val="20"/>
    </w:rPr>
  </w:style>
  <w:style w:type="paragraph" w:styleId="Subtitle">
    <w:name w:val="Subtitle"/>
    <w:basedOn w:val="Normal"/>
    <w:next w:val="Normal"/>
    <w:link w:val="SubtitleChar"/>
    <w:uiPriority w:val="11"/>
    <w:semiHidden/>
    <w:qFormat/>
    <w:locked/>
    <w:rsid w:val="00980015"/>
    <w:pPr>
      <w:numPr>
        <w:ilvl w:val="1"/>
      </w:numPr>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paragraph" w:styleId="Title">
    <w:name w:val="Title"/>
    <w:next w:val="Subtitle"/>
    <w:link w:val="TitleChar"/>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rsid w:val="005711D2"/>
    <w:rPr>
      <w:rFonts w:ascii="Arial" w:eastAsiaTheme="majorEastAsia" w:hAnsi="Arial" w:cstheme="majorBidi"/>
      <w:b/>
      <w:color w:val="AF272F"/>
      <w:spacing w:val="5"/>
      <w:kern w:val="28"/>
      <w:sz w:val="44"/>
      <w:szCs w:val="52"/>
    </w:rPr>
  </w:style>
  <w:style w:type="paragraph" w:styleId="EndnoteText">
    <w:name w:val="endnote text"/>
    <w:basedOn w:val="Normal"/>
    <w:link w:val="EndnoteTextChar"/>
    <w:uiPriority w:val="99"/>
    <w:semiHidden/>
    <w:qFormat/>
    <w:locked/>
    <w:rsid w:val="00980015"/>
    <w:pPr>
      <w:spacing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locked/>
    <w:rsid w:val="002A00EF"/>
    <w:pPr>
      <w:tabs>
        <w:tab w:val="right" w:pos="9072"/>
      </w:tabs>
      <w:spacing w:before="0" w:line="240" w:lineRule="auto"/>
    </w:pPr>
    <w:rPr>
      <w:sz w:val="18"/>
    </w:rPr>
  </w:style>
  <w:style w:type="character" w:customStyle="1" w:styleId="HeaderChar">
    <w:name w:val="Header Char"/>
    <w:basedOn w:val="DefaultParagraphFont"/>
    <w:link w:val="Header"/>
    <w:uiPriority w:val="99"/>
    <w:rsid w:val="002A00EF"/>
    <w:rPr>
      <w:rFonts w:ascii="Arial" w:hAnsi="Arial" w:cs="Arial"/>
      <w:sz w:val="18"/>
      <w:szCs w:val="18"/>
    </w:rPr>
  </w:style>
  <w:style w:type="paragraph" w:styleId="TOAHeading">
    <w:name w:val="toa heading"/>
    <w:basedOn w:val="Normal"/>
    <w:next w:val="Normal"/>
    <w:uiPriority w:val="99"/>
    <w:semiHidden/>
    <w:locked/>
    <w:rsid w:val="00751081"/>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after="0"/>
      <w:outlineLvl w:val="9"/>
    </w:pPr>
    <w:rPr>
      <w:rFonts w:asciiTheme="majorHAnsi" w:hAnsiTheme="majorHAnsi"/>
      <w:b w:val="0"/>
      <w:bCs w:val="0"/>
      <w:caps/>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locked/>
    <w:rsid w:val="00E95E9D"/>
    <w:rPr>
      <w:b/>
      <w:bCs/>
    </w:rPr>
  </w:style>
  <w:style w:type="character" w:customStyle="1" w:styleId="CommentSubjectChar">
    <w:name w:val="Comment Subject Char"/>
    <w:basedOn w:val="CommentTextChar"/>
    <w:link w:val="CommentSubject"/>
    <w:uiPriority w:val="99"/>
    <w:semiHidden/>
    <w:rsid w:val="00E95E9D"/>
    <w:rPr>
      <w:rFonts w:ascii="Arial" w:hAnsi="Arial" w:cs="Arial"/>
      <w:b/>
      <w:bCs/>
      <w:sz w:val="20"/>
      <w:szCs w:val="20"/>
    </w:rPr>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styleId="TOC3">
    <w:name w:val="toc 3"/>
    <w:basedOn w:val="Normal"/>
    <w:next w:val="Normal"/>
    <w:autoRedefine/>
    <w:uiPriority w:val="39"/>
    <w:semiHidden/>
    <w:locked/>
    <w:rsid w:val="00895870"/>
    <w:pPr>
      <w:ind w:left="360"/>
    </w:pPr>
  </w:style>
  <w:style w:type="paragraph" w:styleId="TOC2">
    <w:name w:val="toc 2"/>
    <w:basedOn w:val="Normal"/>
    <w:next w:val="Normal"/>
    <w:autoRedefine/>
    <w:uiPriority w:val="39"/>
    <w:semiHidden/>
    <w:locked/>
    <w:rsid w:val="00895870"/>
    <w:pPr>
      <w:spacing w:after="100"/>
      <w:ind w:left="180"/>
    </w:pPr>
    <w:rPr>
      <w:color w:val="AF272F"/>
    </w:rPr>
  </w:style>
  <w:style w:type="paragraph" w:styleId="TOC4">
    <w:name w:val="toc 4"/>
    <w:basedOn w:val="Normal"/>
    <w:next w:val="Normal"/>
    <w:autoRedefine/>
    <w:uiPriority w:val="39"/>
    <w:semiHidden/>
    <w:locked/>
    <w:rsid w:val="00895870"/>
    <w:pPr>
      <w:ind w:left="540"/>
    </w:pPr>
  </w:style>
  <w:style w:type="paragraph" w:styleId="TOC5">
    <w:name w:val="toc 5"/>
    <w:basedOn w:val="Normal"/>
    <w:next w:val="Normal"/>
    <w:autoRedefine/>
    <w:uiPriority w:val="39"/>
    <w:semiHidden/>
    <w:locked/>
    <w:rsid w:val="00895870"/>
    <w:pPr>
      <w:ind w:left="720"/>
    </w:pPr>
  </w:style>
  <w:style w:type="paragraph" w:styleId="TOC6">
    <w:name w:val="toc 6"/>
    <w:basedOn w:val="Normal"/>
    <w:next w:val="Normal"/>
    <w:autoRedefine/>
    <w:uiPriority w:val="39"/>
    <w:semiHidden/>
    <w:locked/>
    <w:rsid w:val="00895870"/>
    <w:pPr>
      <w:ind w:left="900"/>
    </w:pPr>
  </w:style>
  <w:style w:type="paragraph" w:styleId="TOC7">
    <w:name w:val="toc 7"/>
    <w:basedOn w:val="Normal"/>
    <w:next w:val="Normal"/>
    <w:autoRedefine/>
    <w:uiPriority w:val="39"/>
    <w:semiHidden/>
    <w:locked/>
    <w:rsid w:val="00895870"/>
    <w:pPr>
      <w:ind w:left="1080"/>
    </w:pPr>
  </w:style>
  <w:style w:type="paragraph" w:styleId="TOC8">
    <w:name w:val="toc 8"/>
    <w:basedOn w:val="Normal"/>
    <w:next w:val="Normal"/>
    <w:autoRedefine/>
    <w:uiPriority w:val="39"/>
    <w:semiHidden/>
    <w:locked/>
    <w:rsid w:val="00895870"/>
    <w:pPr>
      <w:ind w:left="1260"/>
    </w:pPr>
  </w:style>
  <w:style w:type="paragraph" w:styleId="TOC9">
    <w:name w:val="toc 9"/>
    <w:basedOn w:val="Normal"/>
    <w:next w:val="Normal"/>
    <w:autoRedefine/>
    <w:uiPriority w:val="39"/>
    <w:semiHidden/>
    <w:locked/>
    <w:rsid w:val="00895870"/>
    <w:pPr>
      <w:ind w:left="1440"/>
    </w:pPr>
  </w:style>
  <w:style w:type="character" w:styleId="EndnoteReference">
    <w:name w:val="endnote reference"/>
    <w:uiPriority w:val="99"/>
    <w:semiHidden/>
    <w:locked/>
    <w:rsid w:val="00271F77"/>
    <w:rPr>
      <w:b w:val="0"/>
      <w:i w:val="0"/>
      <w:sz w:val="15"/>
      <w:szCs w:val="15"/>
      <w:lang w:val="en-AU"/>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DB6966"/>
    <w:rPr>
      <w:rFonts w:ascii="Arial" w:hAnsi="Arial"/>
      <w:color w:val="0000FF"/>
      <w:sz w:val="22"/>
      <w:u w:val="single"/>
    </w:rPr>
  </w:style>
  <w:style w:type="paragraph" w:styleId="ListBullet">
    <w:name w:val="List Bullet"/>
    <w:basedOn w:val="Normal"/>
    <w:uiPriority w:val="99"/>
    <w:unhideWhenUsed/>
    <w:locked/>
    <w:rsid w:val="00F81106"/>
    <w:pPr>
      <w:numPr>
        <w:numId w:val="2"/>
      </w:numPr>
    </w:pPr>
    <w:rPr>
      <w:rFonts w:eastAsiaTheme="minorHAnsi" w:cstheme="minorBidi"/>
      <w:szCs w:val="22"/>
      <w:lang w:val="en-AU"/>
    </w:rPr>
  </w:style>
  <w:style w:type="paragraph" w:styleId="ListBullet2">
    <w:name w:val="List Bullet 2"/>
    <w:basedOn w:val="Normal"/>
    <w:uiPriority w:val="99"/>
    <w:unhideWhenUsed/>
    <w:locked/>
    <w:rsid w:val="004D6B0E"/>
    <w:pPr>
      <w:numPr>
        <w:numId w:val="3"/>
      </w:numPr>
      <w:spacing w:before="60"/>
      <w:ind w:left="568" w:hanging="284"/>
    </w:pPr>
    <w:rPr>
      <w:rFonts w:eastAsiaTheme="minorHAnsi" w:cstheme="minorBidi"/>
      <w:szCs w:val="22"/>
      <w:lang w:val="en-AU"/>
    </w:rPr>
  </w:style>
  <w:style w:type="table" w:styleId="LightList-Accent3">
    <w:name w:val="Light List Accent 3"/>
    <w:basedOn w:val="TableNormal"/>
    <w:uiPriority w:val="61"/>
    <w:locked/>
    <w:rsid w:val="00927DEE"/>
    <w:rPr>
      <w:rFonts w:eastAsiaTheme="minorHAnsi"/>
      <w:sz w:val="22"/>
      <w:szCs w:val="22"/>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FollowedHyperlink">
    <w:name w:val="FollowedHyperlink"/>
    <w:basedOn w:val="DefaultParagraphFont"/>
    <w:locked/>
    <w:rsid w:val="0051778F"/>
    <w:rPr>
      <w:color w:val="0000FF"/>
      <w:u w:val="single"/>
    </w:rPr>
  </w:style>
  <w:style w:type="paragraph" w:styleId="ListContinue">
    <w:name w:val="List Continue"/>
    <w:basedOn w:val="Normal"/>
    <w:uiPriority w:val="99"/>
    <w:unhideWhenUsed/>
    <w:locked/>
    <w:rsid w:val="00DB6966"/>
    <w:pPr>
      <w:ind w:left="284"/>
    </w:pPr>
    <w:rPr>
      <w:rFonts w:eastAsiaTheme="minorHAnsi" w:cstheme="minorBidi"/>
      <w:szCs w:val="22"/>
      <w:lang w:val="en-AU"/>
    </w:rPr>
  </w:style>
  <w:style w:type="paragraph" w:styleId="BodyText">
    <w:name w:val="Body Text"/>
    <w:basedOn w:val="Normal"/>
    <w:link w:val="BodyTextChar"/>
    <w:uiPriority w:val="99"/>
    <w:unhideWhenUsed/>
    <w:locked/>
    <w:rsid w:val="00D75869"/>
    <w:pPr>
      <w:spacing w:before="0"/>
    </w:pPr>
    <w:rPr>
      <w:rFonts w:eastAsiaTheme="minorHAnsi" w:cstheme="minorBidi"/>
      <w:sz w:val="20"/>
      <w:szCs w:val="22"/>
      <w:lang w:val="en-AU"/>
    </w:rPr>
  </w:style>
  <w:style w:type="character" w:customStyle="1" w:styleId="BodyTextChar">
    <w:name w:val="Body Text Char"/>
    <w:basedOn w:val="DefaultParagraphFont"/>
    <w:link w:val="BodyText"/>
    <w:uiPriority w:val="99"/>
    <w:rsid w:val="00D75869"/>
    <w:rPr>
      <w:rFonts w:ascii="Arial" w:eastAsiaTheme="minorHAnsi" w:hAnsi="Arial"/>
      <w:sz w:val="20"/>
      <w:szCs w:val="22"/>
      <w:lang w:val="en-AU"/>
    </w:rPr>
  </w:style>
  <w:style w:type="paragraph" w:styleId="BodyText2">
    <w:name w:val="Body Text 2"/>
    <w:basedOn w:val="Normal"/>
    <w:link w:val="BodyText2Char"/>
    <w:uiPriority w:val="99"/>
    <w:unhideWhenUsed/>
    <w:locked/>
    <w:rsid w:val="00D75869"/>
    <w:pPr>
      <w:spacing w:before="0"/>
    </w:pPr>
    <w:rPr>
      <w:rFonts w:eastAsiaTheme="minorHAnsi" w:cstheme="minorBidi"/>
      <w:b/>
      <w:sz w:val="20"/>
      <w:szCs w:val="22"/>
      <w:lang w:val="en-AU"/>
    </w:rPr>
  </w:style>
  <w:style w:type="character" w:customStyle="1" w:styleId="BodyText2Char">
    <w:name w:val="Body Text 2 Char"/>
    <w:basedOn w:val="DefaultParagraphFont"/>
    <w:link w:val="BodyText2"/>
    <w:uiPriority w:val="99"/>
    <w:rsid w:val="00D75869"/>
    <w:rPr>
      <w:rFonts w:ascii="Arial" w:eastAsiaTheme="minorHAnsi" w:hAnsi="Arial"/>
      <w:b/>
      <w:sz w:val="20"/>
      <w:szCs w:val="22"/>
      <w:lang w:val="en-AU"/>
    </w:rPr>
  </w:style>
  <w:style w:type="paragraph" w:styleId="NoSpacing">
    <w:name w:val="No Spacing"/>
    <w:uiPriority w:val="1"/>
    <w:qFormat/>
    <w:locked/>
    <w:rsid w:val="0051778F"/>
    <w:rPr>
      <w:rFonts w:ascii="Candara" w:eastAsiaTheme="minorHAnsi" w:hAnsi="Candara"/>
      <w:sz w:val="22"/>
      <w:szCs w:val="22"/>
      <w:lang w:val="en-AU"/>
    </w:rPr>
  </w:style>
  <w:style w:type="table" w:customStyle="1" w:styleId="GridTable6Colorful1">
    <w:name w:val="Grid Table 6 Colorful1"/>
    <w:basedOn w:val="TableNormal"/>
    <w:uiPriority w:val="51"/>
    <w:locked/>
    <w:rsid w:val="0051778F"/>
    <w:rPr>
      <w:rFonts w:eastAsiaTheme="minorHAnsi"/>
      <w:color w:val="000000" w:themeColor="text1"/>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locked/>
    <w:rsid w:val="00387492"/>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87492"/>
    <w:rPr>
      <w:rFonts w:ascii="Segoe UI" w:hAnsi="Segoe UI" w:cs="Segoe UI"/>
      <w:sz w:val="18"/>
      <w:szCs w:val="18"/>
    </w:rPr>
  </w:style>
  <w:style w:type="table" w:customStyle="1" w:styleId="TableGrid2">
    <w:name w:val="Table Grid2"/>
    <w:basedOn w:val="TableNormal"/>
    <w:next w:val="TableGrid"/>
    <w:uiPriority w:val="59"/>
    <w:rsid w:val="0062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68F5"/>
    <w:rPr>
      <w:rFonts w:ascii="Arial" w:hAnsi="Arial" w:cs="Arial"/>
      <w:sz w:val="18"/>
      <w:szCs w:val="18"/>
    </w:rPr>
  </w:style>
  <w:style w:type="paragraph" w:styleId="ListParagraph">
    <w:name w:val="List Paragraph"/>
    <w:aliases w:val="List Paragraph1,List Paragraph11"/>
    <w:basedOn w:val="Normal"/>
    <w:uiPriority w:val="34"/>
    <w:qFormat/>
    <w:locked/>
    <w:rsid w:val="00BB085A"/>
    <w:pPr>
      <w:ind w:left="720"/>
      <w:contextualSpacing/>
    </w:pPr>
  </w:style>
  <w:style w:type="table" w:customStyle="1" w:styleId="GridTable6Colorful2">
    <w:name w:val="Grid Table 6 Colorful2"/>
    <w:basedOn w:val="TableNormal"/>
    <w:uiPriority w:val="51"/>
    <w:rsid w:val="00E378B3"/>
    <w:rPr>
      <w:rFonts w:eastAsiaTheme="minorHAnsi"/>
      <w:color w:val="000000" w:themeColor="text1"/>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Data">
    <w:name w:val="TableData"/>
    <w:basedOn w:val="Normal"/>
    <w:rsid w:val="00CD725B"/>
    <w:pPr>
      <w:tabs>
        <w:tab w:val="decimal" w:pos="1008"/>
      </w:tabs>
      <w:spacing w:after="120" w:line="120" w:lineRule="atLeast"/>
      <w:ind w:left="72" w:right="72"/>
    </w:pPr>
    <w:rPr>
      <w:rFonts w:eastAsia="Times New Roman" w:cs="Times New Roman"/>
      <w:sz w:val="20"/>
      <w:szCs w:val="20"/>
    </w:rPr>
  </w:style>
  <w:style w:type="paragraph" w:customStyle="1" w:styleId="AddressPhone">
    <w:name w:val="Address/Phone"/>
    <w:basedOn w:val="Normal"/>
    <w:rsid w:val="00CD725B"/>
    <w:pPr>
      <w:spacing w:before="0" w:line="240" w:lineRule="auto"/>
      <w:ind w:left="245"/>
    </w:pPr>
    <w:rPr>
      <w:rFonts w:eastAsia="Times New Roman" w:cs="Times New Roman"/>
      <w:sz w:val="20"/>
      <w:szCs w:val="20"/>
    </w:rPr>
  </w:style>
  <w:style w:type="paragraph" w:customStyle="1" w:styleId="TableText">
    <w:name w:val="TableText"/>
    <w:basedOn w:val="TableData"/>
    <w:rsid w:val="00CD725B"/>
    <w:pPr>
      <w:tabs>
        <w:tab w:val="clear" w:pos="1008"/>
      </w:tabs>
    </w:pPr>
  </w:style>
  <w:style w:type="paragraph" w:customStyle="1" w:styleId="CompanyName">
    <w:name w:val="Company Name"/>
    <w:basedOn w:val="Normal"/>
    <w:next w:val="Slogan"/>
    <w:rsid w:val="00CD725B"/>
    <w:pPr>
      <w:spacing w:before="0" w:line="240" w:lineRule="atLeast"/>
      <w:ind w:left="245"/>
    </w:pPr>
    <w:rPr>
      <w:rFonts w:eastAsia="Times New Roman" w:cs="Times New Roman"/>
      <w:b/>
      <w:sz w:val="36"/>
      <w:szCs w:val="20"/>
    </w:rPr>
  </w:style>
  <w:style w:type="paragraph" w:customStyle="1" w:styleId="Slogan">
    <w:name w:val="Slogan"/>
    <w:basedOn w:val="AddressPhone"/>
    <w:next w:val="AddressPhone"/>
    <w:rsid w:val="00CD725B"/>
    <w:rPr>
      <w:b/>
      <w:i/>
    </w:rPr>
  </w:style>
  <w:style w:type="paragraph" w:customStyle="1" w:styleId="ColumnHead">
    <w:name w:val="ColumnHead"/>
    <w:basedOn w:val="Normal"/>
    <w:rsid w:val="00CD725B"/>
    <w:pPr>
      <w:spacing w:before="0" w:line="240" w:lineRule="auto"/>
      <w:jc w:val="center"/>
    </w:pPr>
    <w:rPr>
      <w:rFonts w:eastAsia="Times New Roman" w:cs="Times New Roman"/>
      <w:b/>
      <w:caps/>
      <w:color w:val="000000"/>
      <w:sz w:val="20"/>
      <w:szCs w:val="20"/>
    </w:rPr>
  </w:style>
  <w:style w:type="paragraph" w:customStyle="1" w:styleId="DatesNotes">
    <w:name w:val="Dates/Notes"/>
    <w:basedOn w:val="Normal"/>
    <w:rsid w:val="00CD725B"/>
    <w:pPr>
      <w:spacing w:before="0" w:line="240" w:lineRule="auto"/>
    </w:pPr>
    <w:rPr>
      <w:rFonts w:eastAsia="Times New Roman" w:cs="Times New Roman"/>
      <w:b/>
      <w:sz w:val="20"/>
      <w:szCs w:val="20"/>
    </w:rPr>
  </w:style>
  <w:style w:type="paragraph" w:customStyle="1" w:styleId="NonDecimalTableData">
    <w:name w:val="NonDecimalTableData"/>
    <w:basedOn w:val="TableData"/>
    <w:rsid w:val="00CD725B"/>
    <w:pPr>
      <w:tabs>
        <w:tab w:val="right" w:pos="1008"/>
      </w:tabs>
    </w:pPr>
  </w:style>
  <w:style w:type="paragraph" w:customStyle="1" w:styleId="Default">
    <w:name w:val="Default"/>
    <w:rsid w:val="00130200"/>
    <w:pPr>
      <w:autoSpaceDE w:val="0"/>
      <w:autoSpaceDN w:val="0"/>
      <w:adjustRightInd w:val="0"/>
    </w:pPr>
    <w:rPr>
      <w:rFonts w:ascii="Verdana" w:hAnsi="Verdana" w:cs="Verdana"/>
      <w:color w:val="000000"/>
      <w:lang w:val="en-AU"/>
    </w:rPr>
  </w:style>
  <w:style w:type="character" w:customStyle="1" w:styleId="Mention1">
    <w:name w:val="Mention1"/>
    <w:basedOn w:val="DefaultParagraphFont"/>
    <w:uiPriority w:val="99"/>
    <w:semiHidden/>
    <w:unhideWhenUsed/>
    <w:rsid w:val="00CA54BA"/>
    <w:rPr>
      <w:color w:val="2B579A"/>
      <w:shd w:val="clear" w:color="auto" w:fill="E6E6E6"/>
    </w:rPr>
  </w:style>
  <w:style w:type="table" w:customStyle="1" w:styleId="PlainTable41">
    <w:name w:val="Plain Table 41"/>
    <w:basedOn w:val="TableNormal"/>
    <w:uiPriority w:val="44"/>
    <w:rsid w:val="001704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69006">
      <w:bodyDiv w:val="1"/>
      <w:marLeft w:val="0"/>
      <w:marRight w:val="0"/>
      <w:marTop w:val="0"/>
      <w:marBottom w:val="0"/>
      <w:divBdr>
        <w:top w:val="none" w:sz="0" w:space="0" w:color="auto"/>
        <w:left w:val="none" w:sz="0" w:space="0" w:color="auto"/>
        <w:bottom w:val="none" w:sz="0" w:space="0" w:color="auto"/>
        <w:right w:val="none" w:sz="0" w:space="0" w:color="auto"/>
      </w:divBdr>
    </w:div>
    <w:div w:id="1503859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gateway.eduweb.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Documents/school/teachers/management/&#8226;%09http:/www.education.vic.gov.au/school/principals/spag/finance/Pages/budgeting.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school/teachers/management/&#8226;%09http:/www.education.vic.gov.au/school/teachers/management/finance/Pages/cases21.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finance.support@edumail.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Finance manual for Victorian Government Schools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C0FCC-92C7-4FBB-977A-B063D4FAA970}"/>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6C303126-A889-40DA-9039-C347EC533CA3}"/>
</file>

<file path=docProps/app.xml><?xml version="1.0" encoding="utf-8"?>
<Properties xmlns="http://schemas.openxmlformats.org/officeDocument/2006/extended-properties" xmlns:vt="http://schemas.openxmlformats.org/officeDocument/2006/docPropsVTypes">
  <Template>Normal</Template>
  <TotalTime>5</TotalTime>
  <Pages>1</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Beck, Luke L</cp:lastModifiedBy>
  <cp:revision>4</cp:revision>
  <cp:lastPrinted>2017-05-30T01:37:00Z</cp:lastPrinted>
  <dcterms:created xsi:type="dcterms:W3CDTF">2019-01-25T05:53:00Z</dcterms:created>
  <dcterms:modified xsi:type="dcterms:W3CDTF">2019-02-01T02:45:00Z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