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4D0B" w14:textId="04F0BF99" w:rsidR="00DD427D" w:rsidRDefault="00DD427D" w:rsidP="005E79D2">
      <w:pPr>
        <w:pStyle w:val="Heading2"/>
        <w:rPr>
          <w:sz w:val="44"/>
          <w:szCs w:val="32"/>
        </w:rPr>
      </w:pPr>
      <w:r w:rsidRPr="3619CA01">
        <w:rPr>
          <w:sz w:val="44"/>
          <w:szCs w:val="44"/>
        </w:rPr>
        <w:t xml:space="preserve">Excellence in teaching and learning </w:t>
      </w:r>
      <w:r w:rsidR="00ED0797">
        <w:rPr>
          <w:sz w:val="44"/>
          <w:szCs w:val="44"/>
        </w:rPr>
        <w:t xml:space="preserve">RESEARCH </w:t>
      </w:r>
      <w:r w:rsidRPr="3619CA01">
        <w:rPr>
          <w:sz w:val="44"/>
          <w:szCs w:val="44"/>
        </w:rPr>
        <w:t xml:space="preserve">evidence base </w:t>
      </w:r>
    </w:p>
    <w:p w14:paraId="4D067FAC" w14:textId="555B567A" w:rsidR="00D3430E" w:rsidRDefault="00AF7DCA" w:rsidP="00D3430E">
      <w:pPr>
        <w:pStyle w:val="Intro"/>
      </w:pPr>
      <w:r w:rsidRPr="00771EBB">
        <w:t>The contemporary literature recognises that</w:t>
      </w:r>
      <w:r w:rsidR="00011F30">
        <w:t xml:space="preserve"> </w:t>
      </w:r>
      <w:r w:rsidR="00A82B25">
        <w:rPr>
          <w:lang w:val="en-GB"/>
        </w:rPr>
        <w:t>excellence in teaching and learning</w:t>
      </w:r>
      <w:r w:rsidR="00826BC0">
        <w:rPr>
          <w:lang w:val="en-GB"/>
        </w:rPr>
        <w:t xml:space="preserve">, driven by </w:t>
      </w:r>
      <w:r w:rsidR="00826BC0" w:rsidRPr="00771EBB">
        <w:t>collaboration within and beyond the school</w:t>
      </w:r>
      <w:r w:rsidR="000A5110">
        <w:t>,</w:t>
      </w:r>
      <w:r w:rsidR="00826BC0" w:rsidRPr="00771EBB">
        <w:t xml:space="preserve"> </w:t>
      </w:r>
      <w:r w:rsidR="00FE12F7">
        <w:t xml:space="preserve">is </w:t>
      </w:r>
      <w:r w:rsidR="009A4885">
        <w:t>the cornerstone of school improvement</w:t>
      </w:r>
      <w:r w:rsidR="00826BC0">
        <w:t>.</w:t>
      </w:r>
      <w:r w:rsidR="00636461">
        <w:t xml:space="preserve"> </w:t>
      </w:r>
      <w:r w:rsidR="00E139E8">
        <w:rPr>
          <w:lang w:val="en-GB"/>
        </w:rPr>
        <w:t>Co</w:t>
      </w:r>
      <w:r w:rsidR="00E139E8" w:rsidRPr="001D738E">
        <w:rPr>
          <w:lang w:val="en-GB"/>
        </w:rPr>
        <w:t>nsistent</w:t>
      </w:r>
      <w:r w:rsidR="001D738E" w:rsidRPr="001D738E">
        <w:rPr>
          <w:lang w:val="en-GB"/>
        </w:rPr>
        <w:t xml:space="preserve"> and high-quality classroom teaching delivers dramatic improvements in student learning</w:t>
      </w:r>
      <w:r w:rsidR="00A82B25">
        <w:rPr>
          <w:lang w:val="en-GB"/>
        </w:rPr>
        <w:t xml:space="preserve">. </w:t>
      </w:r>
      <w:r w:rsidR="001D738E" w:rsidRPr="001D738E">
        <w:rPr>
          <w:lang w:val="en-GB"/>
        </w:rPr>
        <w:t>While principals establish the preconditions for effective learning, it is classroom teachers who make it happen</w:t>
      </w:r>
      <w:r w:rsidR="003205E8">
        <w:rPr>
          <w:lang w:val="en-GB"/>
        </w:rPr>
        <w:t>.</w:t>
      </w:r>
      <w:r w:rsidR="009A20DA">
        <w:rPr>
          <w:lang w:val="en-GB"/>
        </w:rPr>
        <w:t xml:space="preserve"> </w:t>
      </w:r>
      <w:r w:rsidR="009A20DA" w:rsidRPr="009A20DA">
        <w:rPr>
          <w:lang w:val="en-GB"/>
        </w:rPr>
        <w:t>The primary responsibility of leadership is to establish a culture where teachers are continually improving their instructional effectiveness</w:t>
      </w:r>
      <w:r w:rsidR="000D5B85">
        <w:rPr>
          <w:lang w:val="en-GB"/>
        </w:rPr>
        <w:t xml:space="preserve"> to enhance student outcomes</w:t>
      </w:r>
      <w:r w:rsidR="00636461">
        <w:rPr>
          <w:lang w:val="en-GB"/>
        </w:rPr>
        <w:t>.</w:t>
      </w:r>
    </w:p>
    <w:p w14:paraId="4DA10313" w14:textId="712871A2" w:rsidR="00ED0797" w:rsidRPr="00601169" w:rsidRDefault="00ED0797">
      <w:pPr>
        <w:rPr>
          <w:b/>
          <w:bCs/>
          <w:szCs w:val="22"/>
        </w:rPr>
      </w:pPr>
      <w:r w:rsidRPr="00601169">
        <w:rPr>
          <w:b/>
          <w:bCs/>
        </w:rPr>
        <w:t>Building practice excellence</w:t>
      </w:r>
    </w:p>
    <w:p w14:paraId="0435E76F" w14:textId="2C116628" w:rsidR="005C7C1B" w:rsidRPr="008D1050" w:rsidRDefault="00D97BED" w:rsidP="005C7C1B">
      <w:pPr>
        <w:rPr>
          <w:rFonts w:eastAsia="Helvetica"/>
        </w:rPr>
      </w:pPr>
      <w:r>
        <w:rPr>
          <w:rFonts w:eastAsia="Helvetica"/>
        </w:rPr>
        <w:t>Professional Learning</w:t>
      </w:r>
      <w:r w:rsidR="00775B12">
        <w:rPr>
          <w:rFonts w:eastAsia="Helvetica"/>
        </w:rPr>
        <w:t xml:space="preserve"> (PL)</w:t>
      </w:r>
      <w:r>
        <w:rPr>
          <w:rFonts w:eastAsia="Helvetica"/>
        </w:rPr>
        <w:t xml:space="preserve"> is a key driver of educational change and the improvement of student achievement</w:t>
      </w:r>
      <w:r w:rsidR="008D29D1">
        <w:rPr>
          <w:rFonts w:eastAsia="Helvetica"/>
        </w:rPr>
        <w:t xml:space="preserve">. </w:t>
      </w:r>
      <w:r w:rsidR="00775B12">
        <w:rPr>
          <w:rFonts w:eastAsia="Helvetica"/>
        </w:rPr>
        <w:t>E</w:t>
      </w:r>
      <w:r w:rsidR="00773A13">
        <w:rPr>
          <w:rFonts w:eastAsia="Helvetica"/>
        </w:rPr>
        <w:t xml:space="preserve">ffective </w:t>
      </w:r>
      <w:r w:rsidR="00775B12">
        <w:rPr>
          <w:rFonts w:eastAsia="Helvetica"/>
        </w:rPr>
        <w:t>P</w:t>
      </w:r>
      <w:r w:rsidR="00773A13">
        <w:rPr>
          <w:rFonts w:eastAsia="Helvetica"/>
        </w:rPr>
        <w:t>L</w:t>
      </w:r>
      <w:r w:rsidR="00773A13" w:rsidRPr="00AD7DEF">
        <w:rPr>
          <w:rFonts w:eastAsia="Helvetica"/>
        </w:rPr>
        <w:t xml:space="preserve"> </w:t>
      </w:r>
      <w:r w:rsidR="00D608BD">
        <w:rPr>
          <w:rFonts w:eastAsia="Helvetica"/>
        </w:rPr>
        <w:t>is</w:t>
      </w:r>
      <w:r w:rsidR="00773A13" w:rsidRPr="00AD7DEF">
        <w:rPr>
          <w:rFonts w:eastAsia="Helvetica"/>
        </w:rPr>
        <w:t xml:space="preserve"> aligned with school goals, priorities and values</w:t>
      </w:r>
      <w:r w:rsidR="00773A13">
        <w:rPr>
          <w:rFonts w:eastAsia="Helvetica"/>
        </w:rPr>
        <w:t>, and address</w:t>
      </w:r>
      <w:r w:rsidR="00E17FF2">
        <w:rPr>
          <w:rFonts w:eastAsia="Helvetica"/>
        </w:rPr>
        <w:t>es</w:t>
      </w:r>
      <w:r w:rsidR="00773A13">
        <w:rPr>
          <w:rFonts w:eastAsia="Helvetica"/>
        </w:rPr>
        <w:t xml:space="preserve"> </w:t>
      </w:r>
      <w:r w:rsidR="00E17FF2">
        <w:rPr>
          <w:rFonts w:eastAsia="Helvetica"/>
        </w:rPr>
        <w:t>the learning needs of</w:t>
      </w:r>
      <w:r w:rsidR="00773A13" w:rsidRPr="00AD7DEF">
        <w:rPr>
          <w:rFonts w:eastAsia="Helvetica"/>
        </w:rPr>
        <w:t xml:space="preserve"> staff and studen</w:t>
      </w:r>
      <w:r w:rsidR="00121510">
        <w:rPr>
          <w:rFonts w:eastAsia="Helvetica"/>
        </w:rPr>
        <w:t>ts</w:t>
      </w:r>
      <w:r w:rsidR="00773A13" w:rsidRPr="00AD7DEF">
        <w:rPr>
          <w:rFonts w:eastAsia="Helvetica"/>
        </w:rPr>
        <w:t>.</w:t>
      </w:r>
      <w:r w:rsidR="00106152">
        <w:rPr>
          <w:rFonts w:eastAsia="Helvetica"/>
        </w:rPr>
        <w:t xml:space="preserve"> </w:t>
      </w:r>
      <w:r w:rsidR="008D1050" w:rsidRPr="27139C7C">
        <w:rPr>
          <w:rFonts w:eastAsia="Helvetica"/>
        </w:rPr>
        <w:t>Aligning</w:t>
      </w:r>
      <w:r w:rsidR="00121510">
        <w:rPr>
          <w:rFonts w:eastAsia="Helvetica"/>
        </w:rPr>
        <w:t xml:space="preserve"> staff</w:t>
      </w:r>
      <w:r w:rsidR="008D1050" w:rsidRPr="27139C7C">
        <w:rPr>
          <w:rFonts w:eastAsia="Helvetica"/>
        </w:rPr>
        <w:t xml:space="preserve"> PL with school goals and priorities </w:t>
      </w:r>
      <w:r w:rsidR="005C3D71">
        <w:rPr>
          <w:rFonts w:eastAsia="Helvetica"/>
        </w:rPr>
        <w:t>build</w:t>
      </w:r>
      <w:r w:rsidR="00615C9D">
        <w:rPr>
          <w:rFonts w:eastAsia="Helvetica"/>
        </w:rPr>
        <w:t>s a</w:t>
      </w:r>
      <w:r w:rsidR="005C3D71">
        <w:rPr>
          <w:rFonts w:eastAsia="Helvetica"/>
        </w:rPr>
        <w:t xml:space="preserve"> </w:t>
      </w:r>
      <w:r w:rsidR="008D1050" w:rsidRPr="27139C7C">
        <w:rPr>
          <w:rFonts w:eastAsia="Helvetica"/>
        </w:rPr>
        <w:t xml:space="preserve">sense of purpose </w:t>
      </w:r>
      <w:r w:rsidR="008D1050">
        <w:rPr>
          <w:rFonts w:eastAsia="Helvetica"/>
        </w:rPr>
        <w:t>for the professional development activities that</w:t>
      </w:r>
      <w:r w:rsidR="008D1050" w:rsidRPr="27139C7C">
        <w:rPr>
          <w:rFonts w:eastAsia="Helvetica"/>
        </w:rPr>
        <w:t xml:space="preserve"> they undertake</w:t>
      </w:r>
      <w:r w:rsidR="001D2BF8">
        <w:rPr>
          <w:rFonts w:eastAsia="Helvetica"/>
        </w:rPr>
        <w:t xml:space="preserve"> (</w:t>
      </w:r>
      <w:r w:rsidR="008D1050">
        <w:rPr>
          <w:rFonts w:eastAsia="Helvetica"/>
        </w:rPr>
        <w:t>Bouchamma et al., 2019; Bradford &amp; Clarke, 2015; Glen et al., 2017).</w:t>
      </w:r>
      <w:r w:rsidR="00B42AC1">
        <w:rPr>
          <w:rFonts w:eastAsia="Helvetica"/>
        </w:rPr>
        <w:t xml:space="preserve"> E</w:t>
      </w:r>
      <w:r w:rsidR="00812761">
        <w:rPr>
          <w:rFonts w:eastAsia="Helvetica"/>
        </w:rPr>
        <w:t xml:space="preserve">ffective PL is </w:t>
      </w:r>
      <w:r w:rsidR="00B42AC1">
        <w:rPr>
          <w:rFonts w:eastAsia="Helvetica"/>
        </w:rPr>
        <w:t xml:space="preserve">also </w:t>
      </w:r>
      <w:r w:rsidR="00812761">
        <w:rPr>
          <w:rFonts w:eastAsia="Helvetica"/>
        </w:rPr>
        <w:t>longer in duration</w:t>
      </w:r>
      <w:r w:rsidR="00DE407E">
        <w:rPr>
          <w:rFonts w:eastAsia="Helvetica"/>
        </w:rPr>
        <w:t xml:space="preserve">, </w:t>
      </w:r>
      <w:r w:rsidR="00812761">
        <w:rPr>
          <w:rFonts w:eastAsia="Helvetica"/>
        </w:rPr>
        <w:t>reinforced over a longer period of time (six months or more)</w:t>
      </w:r>
      <w:r w:rsidR="00DE407E">
        <w:rPr>
          <w:rFonts w:eastAsia="Helvetica"/>
        </w:rPr>
        <w:t xml:space="preserve"> and includes active participation</w:t>
      </w:r>
      <w:r w:rsidR="00B10A94">
        <w:rPr>
          <w:rFonts w:eastAsia="Helvetica"/>
        </w:rPr>
        <w:t>. T</w:t>
      </w:r>
      <w:r w:rsidR="006C1D0E" w:rsidRPr="006C1D0E">
        <w:rPr>
          <w:rFonts w:eastAsia="Helvetica"/>
          <w:lang w:val="en-AU"/>
        </w:rPr>
        <w:t xml:space="preserve">here is strong evidence that </w:t>
      </w:r>
      <w:r w:rsidR="006C1D0E">
        <w:rPr>
          <w:rFonts w:eastAsia="Helvetica"/>
          <w:lang w:val="en-AU"/>
        </w:rPr>
        <w:t>PL</w:t>
      </w:r>
      <w:r w:rsidR="006C1D0E" w:rsidRPr="006C1D0E">
        <w:rPr>
          <w:rFonts w:eastAsia="Helvetica"/>
          <w:lang w:val="en-AU"/>
        </w:rPr>
        <w:t xml:space="preserve"> using multiple </w:t>
      </w:r>
      <w:r w:rsidR="0003206E">
        <w:rPr>
          <w:rFonts w:eastAsia="Helvetica"/>
          <w:lang w:val="en-AU"/>
        </w:rPr>
        <w:t>forms of active learning</w:t>
      </w:r>
      <w:r w:rsidR="006C1D0E" w:rsidRPr="006C1D0E">
        <w:rPr>
          <w:rFonts w:eastAsia="Helvetica"/>
          <w:lang w:val="en-AU"/>
        </w:rPr>
        <w:t xml:space="preserve"> (e.g. observing expert teachers, being observed, </w:t>
      </w:r>
      <w:r w:rsidR="00185091">
        <w:rPr>
          <w:rFonts w:eastAsia="Helvetica"/>
          <w:lang w:val="en-AU"/>
        </w:rPr>
        <w:t xml:space="preserve">pedagogical discussion </w:t>
      </w:r>
      <w:r w:rsidR="006C1D0E" w:rsidRPr="006C1D0E">
        <w:rPr>
          <w:rFonts w:eastAsia="Helvetica"/>
          <w:lang w:val="en-AU"/>
        </w:rPr>
        <w:t>and reviewing student work) is most effective</w:t>
      </w:r>
      <w:r w:rsidR="00D72DC7">
        <w:rPr>
          <w:rFonts w:eastAsia="Helvetica"/>
          <w:lang w:val="en-AU"/>
        </w:rPr>
        <w:t xml:space="preserve"> in </w:t>
      </w:r>
      <w:r w:rsidR="009E69D5">
        <w:rPr>
          <w:rFonts w:eastAsia="Helvetica"/>
          <w:lang w:val="en-AU"/>
        </w:rPr>
        <w:t>improving teaching practice</w:t>
      </w:r>
      <w:r w:rsidR="009318F1">
        <w:rPr>
          <w:rFonts w:eastAsia="Helvetica"/>
          <w:lang w:val="en-AU"/>
        </w:rPr>
        <w:t xml:space="preserve"> </w:t>
      </w:r>
      <w:r w:rsidR="008D1050" w:rsidRPr="006C1D0E">
        <w:rPr>
          <w:rFonts w:eastAsia="Helvetica"/>
          <w:lang w:val="en-AU"/>
        </w:rPr>
        <w:t>(</w:t>
      </w:r>
      <w:r w:rsidR="000547C3">
        <w:rPr>
          <w:rFonts w:eastAsia="Helvetica"/>
          <w:lang w:val="en-AU"/>
        </w:rPr>
        <w:t>Van Veen</w:t>
      </w:r>
      <w:r w:rsidR="008D1050" w:rsidRPr="006C1D0E">
        <w:rPr>
          <w:rFonts w:eastAsia="Helvetica"/>
          <w:lang w:val="en-AU"/>
        </w:rPr>
        <w:t xml:space="preserve"> et al</w:t>
      </w:r>
      <w:r w:rsidR="000547C3">
        <w:rPr>
          <w:rFonts w:eastAsia="Helvetica"/>
          <w:lang w:val="en-AU"/>
        </w:rPr>
        <w:t>.</w:t>
      </w:r>
      <w:r w:rsidR="008D1050" w:rsidRPr="006C1D0E">
        <w:rPr>
          <w:rFonts w:eastAsia="Helvetica"/>
          <w:lang w:val="en-AU"/>
        </w:rPr>
        <w:t>, 2012; Yoon et al</w:t>
      </w:r>
      <w:r w:rsidR="000547C3">
        <w:rPr>
          <w:rFonts w:eastAsia="Helvetica"/>
          <w:lang w:val="en-AU"/>
        </w:rPr>
        <w:t>.,</w:t>
      </w:r>
      <w:r w:rsidR="008D1050" w:rsidRPr="006C1D0E">
        <w:rPr>
          <w:rFonts w:eastAsia="Helvetica"/>
          <w:lang w:val="en-AU"/>
        </w:rPr>
        <w:t xml:space="preserve"> 2007</w:t>
      </w:r>
      <w:r w:rsidR="008D1050">
        <w:rPr>
          <w:rFonts w:eastAsia="Helvetica"/>
        </w:rPr>
        <w:t>)</w:t>
      </w:r>
      <w:r w:rsidR="00095559">
        <w:rPr>
          <w:rFonts w:eastAsia="Helvetica"/>
        </w:rPr>
        <w:t xml:space="preserve">. </w:t>
      </w:r>
      <w:r w:rsidR="001D76EC">
        <w:rPr>
          <w:rFonts w:eastAsia="Helvetica"/>
        </w:rPr>
        <w:t xml:space="preserve">PL can also be delivered </w:t>
      </w:r>
      <w:r w:rsidR="007B1C6D">
        <w:rPr>
          <w:rFonts w:eastAsia="Helvetica"/>
        </w:rPr>
        <w:t>virtually</w:t>
      </w:r>
      <w:r w:rsidR="000A5110">
        <w:rPr>
          <w:rFonts w:eastAsia="Helvetica"/>
        </w:rPr>
        <w:t>,</w:t>
      </w:r>
      <w:r w:rsidR="00D54F4E">
        <w:rPr>
          <w:rFonts w:eastAsia="Helvetica"/>
        </w:rPr>
        <w:t xml:space="preserve"> with</w:t>
      </w:r>
      <w:r w:rsidR="004422C3">
        <w:rPr>
          <w:rFonts w:eastAsia="Helvetica"/>
        </w:rPr>
        <w:t xml:space="preserve"> </w:t>
      </w:r>
      <w:r w:rsidR="007B1C6D">
        <w:rPr>
          <w:rFonts w:eastAsia="Helvetica"/>
        </w:rPr>
        <w:t>o</w:t>
      </w:r>
      <w:r w:rsidR="009318F1">
        <w:rPr>
          <w:rFonts w:eastAsia="Helvetica"/>
        </w:rPr>
        <w:t>ne</w:t>
      </w:r>
      <w:r w:rsidR="00095559">
        <w:rPr>
          <w:rFonts w:eastAsia="Helvetica"/>
        </w:rPr>
        <w:t xml:space="preserve"> </w:t>
      </w:r>
      <w:r w:rsidR="00095559" w:rsidRPr="00095559">
        <w:rPr>
          <w:rFonts w:eastAsia="Helvetica"/>
        </w:rPr>
        <w:t xml:space="preserve">rigorous study </w:t>
      </w:r>
      <w:r w:rsidR="00D54F4E">
        <w:rPr>
          <w:rFonts w:eastAsia="Helvetica"/>
        </w:rPr>
        <w:t xml:space="preserve">finding </w:t>
      </w:r>
      <w:r w:rsidR="00FD3F04">
        <w:rPr>
          <w:rFonts w:eastAsia="Helvetica"/>
        </w:rPr>
        <w:t>no</w:t>
      </w:r>
      <w:r w:rsidR="00095559" w:rsidRPr="00095559">
        <w:rPr>
          <w:rFonts w:eastAsia="Helvetica"/>
        </w:rPr>
        <w:t xml:space="preserve"> significant difference in </w:t>
      </w:r>
      <w:r w:rsidR="00FD3F04">
        <w:rPr>
          <w:rFonts w:eastAsia="Helvetica"/>
        </w:rPr>
        <w:t xml:space="preserve">the </w:t>
      </w:r>
      <w:r w:rsidR="00095559" w:rsidRPr="00095559">
        <w:rPr>
          <w:rFonts w:eastAsia="Helvetica"/>
        </w:rPr>
        <w:t>impact between in-person and web-based virtual coaching</w:t>
      </w:r>
      <w:r w:rsidR="00F30725">
        <w:rPr>
          <w:rFonts w:eastAsia="Helvetica"/>
        </w:rPr>
        <w:t xml:space="preserve"> </w:t>
      </w:r>
      <w:r w:rsidR="00164299">
        <w:rPr>
          <w:rFonts w:eastAsia="Helvetica"/>
        </w:rPr>
        <w:t>(</w:t>
      </w:r>
      <w:r w:rsidR="00C81DCC">
        <w:rPr>
          <w:rFonts w:eastAsia="Helvetica"/>
        </w:rPr>
        <w:t>Powell et al., 2010)</w:t>
      </w:r>
      <w:r w:rsidR="008D1050">
        <w:rPr>
          <w:rFonts w:eastAsia="Helvetica"/>
        </w:rPr>
        <w:t>.</w:t>
      </w:r>
    </w:p>
    <w:p w14:paraId="27B0F252" w14:textId="2562A9F1" w:rsidR="00AE04ED" w:rsidRPr="00AE04ED" w:rsidRDefault="006C6493" w:rsidP="3619CA01">
      <w:pPr>
        <w:rPr>
          <w:rFonts w:eastAsia="Helvetica"/>
        </w:rPr>
      </w:pPr>
      <w:r>
        <w:rPr>
          <w:rFonts w:cstheme="minorHAnsi"/>
          <w:szCs w:val="22"/>
        </w:rPr>
        <w:t>C</w:t>
      </w:r>
      <w:r w:rsidRPr="00774325">
        <w:rPr>
          <w:rFonts w:cstheme="minorHAnsi"/>
          <w:szCs w:val="22"/>
        </w:rPr>
        <w:t>ollaborative activities such as P</w:t>
      </w:r>
      <w:r>
        <w:rPr>
          <w:rFonts w:cstheme="minorHAnsi"/>
          <w:szCs w:val="22"/>
        </w:rPr>
        <w:t xml:space="preserve">rofessional </w:t>
      </w:r>
      <w:r w:rsidRPr="00774325">
        <w:rPr>
          <w:rFonts w:cstheme="minorHAnsi"/>
          <w:szCs w:val="22"/>
        </w:rPr>
        <w:t>L</w:t>
      </w:r>
      <w:r>
        <w:rPr>
          <w:rFonts w:cstheme="minorHAnsi"/>
          <w:szCs w:val="22"/>
        </w:rPr>
        <w:t xml:space="preserve">earning </w:t>
      </w:r>
      <w:r w:rsidRPr="00774325">
        <w:rPr>
          <w:rFonts w:cstheme="minorHAnsi"/>
          <w:szCs w:val="22"/>
        </w:rPr>
        <w:t>C</w:t>
      </w:r>
      <w:r>
        <w:rPr>
          <w:rFonts w:cstheme="minorHAnsi"/>
          <w:szCs w:val="22"/>
        </w:rPr>
        <w:t>ommunitie</w:t>
      </w:r>
      <w:r w:rsidRPr="00774325">
        <w:rPr>
          <w:rFonts w:cstheme="minorHAnsi"/>
          <w:szCs w:val="22"/>
        </w:rPr>
        <w:t>s</w:t>
      </w:r>
      <w:r>
        <w:rPr>
          <w:rFonts w:cstheme="minorHAnsi"/>
          <w:szCs w:val="22"/>
        </w:rPr>
        <w:t xml:space="preserve"> (PLCs)</w:t>
      </w:r>
      <w:r w:rsidR="00B063BE">
        <w:rPr>
          <w:rFonts w:cstheme="minorHAnsi"/>
          <w:szCs w:val="22"/>
        </w:rPr>
        <w:t xml:space="preserve"> </w:t>
      </w:r>
      <w:r w:rsidRPr="00774325">
        <w:rPr>
          <w:rFonts w:cstheme="minorHAnsi"/>
          <w:szCs w:val="22"/>
        </w:rPr>
        <w:t>can lead to increased collective efficacy, teacher moral</w:t>
      </w:r>
      <w:r w:rsidR="00A5763E">
        <w:rPr>
          <w:rFonts w:cstheme="minorHAnsi"/>
          <w:szCs w:val="22"/>
        </w:rPr>
        <w:t>e</w:t>
      </w:r>
      <w:r w:rsidRPr="00774325">
        <w:rPr>
          <w:rFonts w:cstheme="minorHAnsi"/>
          <w:szCs w:val="22"/>
        </w:rPr>
        <w:t xml:space="preserve"> and improvements in student learning outcomes.</w:t>
      </w:r>
      <w:r w:rsidR="00FB33F2">
        <w:rPr>
          <w:rFonts w:cstheme="minorHAnsi"/>
          <w:szCs w:val="22"/>
        </w:rPr>
        <w:t xml:space="preserve"> T</w:t>
      </w:r>
      <w:r w:rsidR="00012A85" w:rsidRPr="00771EBB">
        <w:t xml:space="preserve">here is consensus within the research </w:t>
      </w:r>
      <w:r w:rsidR="009F7EA0">
        <w:t xml:space="preserve">that </w:t>
      </w:r>
      <w:r w:rsidR="00932890" w:rsidRPr="00771EBB">
        <w:t xml:space="preserve">teachers </w:t>
      </w:r>
      <w:r w:rsidR="00932890">
        <w:t>improve</w:t>
      </w:r>
      <w:r w:rsidR="00C41277" w:rsidRPr="00771EBB">
        <w:t xml:space="preserve"> their pedagogical practice</w:t>
      </w:r>
      <w:r w:rsidR="006375A3">
        <w:t xml:space="preserve"> </w:t>
      </w:r>
      <w:r w:rsidR="002A568B">
        <w:t xml:space="preserve">and </w:t>
      </w:r>
      <w:r w:rsidR="00091C60">
        <w:t xml:space="preserve">positively </w:t>
      </w:r>
      <w:r w:rsidR="002A568B">
        <w:t xml:space="preserve">impact student outcomes </w:t>
      </w:r>
      <w:r w:rsidR="006375A3">
        <w:t>when they</w:t>
      </w:r>
      <w:r w:rsidR="00012A85" w:rsidRPr="00771EBB">
        <w:t xml:space="preserve"> collaboratively reflect on</w:t>
      </w:r>
      <w:r w:rsidR="00C41277">
        <w:t xml:space="preserve"> and</w:t>
      </w:r>
      <w:r w:rsidR="00012A85" w:rsidRPr="00771EBB">
        <w:t xml:space="preserve"> receive feedback</w:t>
      </w:r>
      <w:r w:rsidR="00932890">
        <w:t xml:space="preserve"> in PLCs</w:t>
      </w:r>
      <w:r w:rsidR="009B3733">
        <w:t xml:space="preserve"> (</w:t>
      </w:r>
      <w:r w:rsidR="009B3733" w:rsidRPr="00024BC6">
        <w:rPr>
          <w:rFonts w:cstheme="minorHAnsi"/>
          <w:noProof/>
          <w:szCs w:val="22"/>
        </w:rPr>
        <w:t>Jones &amp; Thessin, 2017</w:t>
      </w:r>
      <w:r w:rsidR="009030AA">
        <w:rPr>
          <w:rFonts w:cstheme="minorHAnsi"/>
          <w:noProof/>
          <w:szCs w:val="22"/>
        </w:rPr>
        <w:t xml:space="preserve"> and </w:t>
      </w:r>
      <w:r w:rsidR="009030AA" w:rsidRPr="00F30D8A">
        <w:rPr>
          <w:rFonts w:cstheme="minorHAnsi"/>
          <w:noProof/>
          <w:szCs w:val="22"/>
        </w:rPr>
        <w:t>Voelkel</w:t>
      </w:r>
      <w:r w:rsidR="009030AA">
        <w:rPr>
          <w:rFonts w:cstheme="minorHAnsi"/>
          <w:noProof/>
          <w:szCs w:val="22"/>
        </w:rPr>
        <w:t xml:space="preserve"> </w:t>
      </w:r>
      <w:r w:rsidR="009030AA" w:rsidRPr="00F30D8A">
        <w:rPr>
          <w:rFonts w:cstheme="minorHAnsi"/>
          <w:noProof/>
          <w:szCs w:val="22"/>
        </w:rPr>
        <w:t>&amp; Chrispeels</w:t>
      </w:r>
      <w:r w:rsidR="00B575EA">
        <w:rPr>
          <w:rFonts w:cstheme="minorHAnsi"/>
          <w:noProof/>
          <w:szCs w:val="22"/>
        </w:rPr>
        <w:t>,</w:t>
      </w:r>
      <w:r w:rsidR="009030AA">
        <w:rPr>
          <w:rFonts w:cstheme="minorHAnsi"/>
          <w:noProof/>
          <w:szCs w:val="22"/>
        </w:rPr>
        <w:t xml:space="preserve"> </w:t>
      </w:r>
      <w:r w:rsidR="009030AA" w:rsidRPr="00F30D8A">
        <w:rPr>
          <w:rFonts w:cstheme="minorHAnsi"/>
          <w:noProof/>
          <w:szCs w:val="22"/>
        </w:rPr>
        <w:t>2017</w:t>
      </w:r>
      <w:r w:rsidR="009030AA">
        <w:rPr>
          <w:rFonts w:cstheme="minorHAnsi"/>
          <w:noProof/>
          <w:szCs w:val="22"/>
        </w:rPr>
        <w:t>)</w:t>
      </w:r>
      <w:r w:rsidR="00932890">
        <w:t>.</w:t>
      </w:r>
      <w:r w:rsidR="00AE01A7">
        <w:rPr>
          <w:rFonts w:cstheme="minorHAnsi"/>
          <w:szCs w:val="22"/>
        </w:rPr>
        <w:t xml:space="preserve"> </w:t>
      </w:r>
      <w:r w:rsidR="00D56FBA">
        <w:rPr>
          <w:rFonts w:cstheme="minorHAnsi"/>
          <w:szCs w:val="22"/>
        </w:rPr>
        <w:t xml:space="preserve">This </w:t>
      </w:r>
      <w:r w:rsidR="00D56FBA" w:rsidRPr="00CB374A">
        <w:rPr>
          <w:color w:val="000000" w:themeColor="text1"/>
          <w:lang w:val="en-AU"/>
        </w:rPr>
        <w:t>collaboration can support new ideas and challenge existing ones which can be a powerful form of teacher learning</w:t>
      </w:r>
      <w:r w:rsidR="00CA74B6">
        <w:rPr>
          <w:color w:val="000000" w:themeColor="text1"/>
          <w:lang w:val="en-AU"/>
        </w:rPr>
        <w:t>.</w:t>
      </w:r>
      <w:r w:rsidR="00D56FBA" w:rsidRPr="00CB374A">
        <w:rPr>
          <w:color w:val="000000" w:themeColor="text1"/>
          <w:lang w:val="en-AU"/>
        </w:rPr>
        <w:t xml:space="preserve"> </w:t>
      </w:r>
      <w:r w:rsidR="00DA4C92">
        <w:rPr>
          <w:rFonts w:cstheme="minorHAnsi"/>
          <w:szCs w:val="22"/>
        </w:rPr>
        <w:t>T</w:t>
      </w:r>
      <w:r w:rsidR="00012A85" w:rsidRPr="00771EBB">
        <w:t>eacher-based inquiry</w:t>
      </w:r>
      <w:r w:rsidR="0005555B">
        <w:t xml:space="preserve">, </w:t>
      </w:r>
      <w:r w:rsidR="0018527F">
        <w:t xml:space="preserve">collaborative </w:t>
      </w:r>
      <w:r w:rsidR="00012A85" w:rsidRPr="00771EBB">
        <w:t>data analysis</w:t>
      </w:r>
      <w:r w:rsidR="0005555B">
        <w:t xml:space="preserve"> and reviewing student work</w:t>
      </w:r>
      <w:r w:rsidR="006642E0">
        <w:t xml:space="preserve"> in PLCs</w:t>
      </w:r>
      <w:r w:rsidR="00012A85" w:rsidRPr="00771EBB">
        <w:t xml:space="preserve"> </w:t>
      </w:r>
      <w:r w:rsidR="0018527F">
        <w:t xml:space="preserve">drives </w:t>
      </w:r>
      <w:r w:rsidR="00012A85" w:rsidRPr="00771EBB">
        <w:t>school improvement by encouraging teachers to engage in meaningful discussions about their practice</w:t>
      </w:r>
      <w:r w:rsidR="00012A85">
        <w:t xml:space="preserve"> and </w:t>
      </w:r>
      <w:r w:rsidR="00012A85" w:rsidRPr="00771EBB">
        <w:t>the needs of students</w:t>
      </w:r>
      <w:r w:rsidR="00D853E8">
        <w:t xml:space="preserve">. </w:t>
      </w:r>
      <w:r w:rsidR="0005555B">
        <w:t xml:space="preserve">Teachers also </w:t>
      </w:r>
      <w:r w:rsidR="00012A85" w:rsidRPr="00771EBB">
        <w:t>develop deeper understanding of the</w:t>
      </w:r>
      <w:r w:rsidR="00321E09">
        <w:t>ir</w:t>
      </w:r>
      <w:r w:rsidR="00012A85" w:rsidRPr="00771EBB">
        <w:t xml:space="preserve"> strengths and weaknesses</w:t>
      </w:r>
      <w:r w:rsidR="0071706C">
        <w:t xml:space="preserve"> </w:t>
      </w:r>
      <w:r w:rsidR="00CC3C2D">
        <w:t xml:space="preserve">and </w:t>
      </w:r>
      <w:r w:rsidR="000C64C4">
        <w:t>build leadership skills through PLCs</w:t>
      </w:r>
      <w:r w:rsidR="00AE01A7">
        <w:t xml:space="preserve"> (</w:t>
      </w:r>
      <w:r w:rsidR="008747F9">
        <w:t xml:space="preserve">Bauman, 2015; </w:t>
      </w:r>
      <w:r w:rsidR="00AE717F">
        <w:t xml:space="preserve">Brown &amp; Greany, 2018; </w:t>
      </w:r>
      <w:r w:rsidR="00DE5632">
        <w:rPr>
          <w:rFonts w:eastAsia="Helvetica"/>
        </w:rPr>
        <w:t xml:space="preserve">Glen et al., 2019; Hollingworth </w:t>
      </w:r>
      <w:r w:rsidR="00AE01A7">
        <w:rPr>
          <w:rFonts w:eastAsia="Helvetica"/>
        </w:rPr>
        <w:t>et al., 2018).</w:t>
      </w:r>
    </w:p>
    <w:p w14:paraId="076FDDEB" w14:textId="591DE5BB" w:rsidR="00AE04ED" w:rsidRPr="00AE04ED" w:rsidRDefault="00AE04ED" w:rsidP="3619CA01">
      <w:pPr>
        <w:rPr>
          <w:lang w:val="en-AU"/>
        </w:rPr>
      </w:pPr>
      <w:r>
        <w:t xml:space="preserve">School improvement literature also identifies coaching, </w:t>
      </w:r>
      <w:r w:rsidR="000C461C">
        <w:t xml:space="preserve">the role of expert teachers, </w:t>
      </w:r>
      <w:r>
        <w:t>mentoring and sharing of expertise as drivers for school improvement. Effective s</w:t>
      </w:r>
      <w:r w:rsidRPr="760E42DB">
        <w:rPr>
          <w:color w:val="111111"/>
          <w:shd w:val="clear" w:color="auto" w:fill="FFFFFF"/>
        </w:rPr>
        <w:t xml:space="preserve">chools </w:t>
      </w:r>
      <w:r>
        <w:rPr>
          <w:color w:val="111111"/>
          <w:shd w:val="clear" w:color="auto" w:fill="FFFFFF"/>
        </w:rPr>
        <w:t>regularly employ</w:t>
      </w:r>
      <w:r w:rsidRPr="760E42DB">
        <w:rPr>
          <w:color w:val="111111"/>
          <w:shd w:val="clear" w:color="auto" w:fill="FFFFFF"/>
        </w:rPr>
        <w:t xml:space="preserve"> th</w:t>
      </w:r>
      <w:r w:rsidR="002E07F1">
        <w:rPr>
          <w:color w:val="111111"/>
          <w:shd w:val="clear" w:color="auto" w:fill="FFFFFF"/>
        </w:rPr>
        <w:t xml:space="preserve">ese </w:t>
      </w:r>
      <w:r w:rsidRPr="760E42DB">
        <w:rPr>
          <w:color w:val="111111"/>
          <w:shd w:val="clear" w:color="auto" w:fill="FFFFFF"/>
        </w:rPr>
        <w:t>to support professional learning activities such as beginning teacher mentor programs, supporting those in leadership positions or staff aspiring to be in leadership positions</w:t>
      </w:r>
      <w:r w:rsidR="00653905">
        <w:rPr>
          <w:color w:val="111111"/>
          <w:shd w:val="clear" w:color="auto" w:fill="FFFFFF"/>
        </w:rPr>
        <w:t xml:space="preserve"> (Goss </w:t>
      </w:r>
      <w:r w:rsidR="00B37293">
        <w:rPr>
          <w:color w:val="111111"/>
          <w:shd w:val="clear" w:color="auto" w:fill="FFFFFF"/>
        </w:rPr>
        <w:t>and Sonne</w:t>
      </w:r>
      <w:r w:rsidR="004652DA">
        <w:rPr>
          <w:color w:val="111111"/>
          <w:shd w:val="clear" w:color="auto" w:fill="FFFFFF"/>
        </w:rPr>
        <w:t>mann, 2020)</w:t>
      </w:r>
      <w:r>
        <w:rPr>
          <w:color w:val="111111"/>
          <w:shd w:val="clear" w:color="auto" w:fill="FFFFFF"/>
        </w:rPr>
        <w:t xml:space="preserve">. </w:t>
      </w:r>
      <w:r w:rsidR="00340A57">
        <w:rPr>
          <w:color w:val="111111"/>
          <w:shd w:val="clear" w:color="auto" w:fill="FFFFFF"/>
        </w:rPr>
        <w:t>Expert teachers</w:t>
      </w:r>
      <w:r w:rsidR="00EE7043">
        <w:rPr>
          <w:color w:val="111111"/>
          <w:shd w:val="clear" w:color="auto" w:fill="FFFFFF"/>
        </w:rPr>
        <w:t xml:space="preserve"> can have large impacts </w:t>
      </w:r>
      <w:r w:rsidR="009B0F43">
        <w:rPr>
          <w:color w:val="111111"/>
          <w:shd w:val="clear" w:color="auto" w:fill="FFFFFF"/>
        </w:rPr>
        <w:t>on shifting behaviours</w:t>
      </w:r>
      <w:r w:rsidR="00A43D12">
        <w:rPr>
          <w:color w:val="111111"/>
          <w:shd w:val="clear" w:color="auto" w:fill="FFFFFF"/>
        </w:rPr>
        <w:t xml:space="preserve"> and sharing best practices</w:t>
      </w:r>
      <w:r w:rsidR="00511B6D">
        <w:rPr>
          <w:color w:val="111111"/>
          <w:shd w:val="clear" w:color="auto" w:fill="FFFFFF"/>
        </w:rPr>
        <w:t>,</w:t>
      </w:r>
      <w:r w:rsidR="00A43D12">
        <w:rPr>
          <w:color w:val="111111"/>
          <w:shd w:val="clear" w:color="auto" w:fill="FFFFFF"/>
        </w:rPr>
        <w:t xml:space="preserve"> as </w:t>
      </w:r>
      <w:r w:rsidR="00475F2D">
        <w:rPr>
          <w:color w:val="111111"/>
          <w:shd w:val="clear" w:color="auto" w:fill="FFFFFF"/>
        </w:rPr>
        <w:t>teachers like learning from other teachers</w:t>
      </w:r>
      <w:r w:rsidR="000F302B">
        <w:rPr>
          <w:color w:val="111111"/>
          <w:shd w:val="clear" w:color="auto" w:fill="FFFFFF"/>
        </w:rPr>
        <w:t xml:space="preserve"> (Walker et al., 2019)</w:t>
      </w:r>
      <w:r w:rsidR="00475F2D">
        <w:rPr>
          <w:color w:val="111111"/>
          <w:shd w:val="clear" w:color="auto" w:fill="FFFFFF"/>
        </w:rPr>
        <w:t>.</w:t>
      </w:r>
      <w:r w:rsidR="009B0F43">
        <w:rPr>
          <w:color w:val="111111"/>
          <w:shd w:val="clear" w:color="auto" w:fill="FFFFFF"/>
        </w:rPr>
        <w:t xml:space="preserve"> </w:t>
      </w:r>
      <w:r>
        <w:rPr>
          <w:shd w:val="clear" w:color="auto" w:fill="FFFFFF"/>
        </w:rPr>
        <w:t>C</w:t>
      </w:r>
      <w:r w:rsidRPr="760E42DB">
        <w:rPr>
          <w:shd w:val="clear" w:color="auto" w:fill="FFFFFF"/>
        </w:rPr>
        <w:t xml:space="preserve">oaching </w:t>
      </w:r>
      <w:r>
        <w:rPr>
          <w:shd w:val="clear" w:color="auto" w:fill="FFFFFF"/>
        </w:rPr>
        <w:t>is</w:t>
      </w:r>
      <w:r w:rsidRPr="760E42DB">
        <w:rPr>
          <w:shd w:val="clear" w:color="auto" w:fill="FFFFFF"/>
        </w:rPr>
        <w:t xml:space="preserve"> </w:t>
      </w:r>
      <w:r w:rsidR="00B559A5">
        <w:rPr>
          <w:shd w:val="clear" w:color="auto" w:fill="FFFFFF"/>
        </w:rPr>
        <w:t xml:space="preserve">also an </w:t>
      </w:r>
      <w:r w:rsidRPr="760E42DB">
        <w:rPr>
          <w:shd w:val="clear" w:color="auto" w:fill="FFFFFF"/>
        </w:rPr>
        <w:t>effective form of professional development for teachers that can lead to changes in classroom practice and improved student outcomes</w:t>
      </w:r>
      <w:r>
        <w:t>, particularly for low performing schools</w:t>
      </w:r>
      <w:r w:rsidR="0062498E">
        <w:t xml:space="preserve"> </w:t>
      </w:r>
      <w:r w:rsidR="0062498E" w:rsidRPr="00A847A9">
        <w:rPr>
          <w:szCs w:val="22"/>
        </w:rPr>
        <w:t>(Gibbons, Kazemi, &amp; Lewis, 2017)</w:t>
      </w:r>
      <w:r w:rsidR="00230FB8">
        <w:t xml:space="preserve">. </w:t>
      </w:r>
      <w:r w:rsidR="00140256">
        <w:t xml:space="preserve">Sharing expertise to improve teaching through </w:t>
      </w:r>
      <w:r w:rsidR="00E74D78">
        <w:t xml:space="preserve">coaching and mentoring </w:t>
      </w:r>
      <w:r w:rsidR="009439C4">
        <w:t xml:space="preserve">relies on </w:t>
      </w:r>
      <w:r w:rsidR="005A5444">
        <w:t>the precondition</w:t>
      </w:r>
      <w:r w:rsidR="00F26B48">
        <w:t>s of a culture of improvement</w:t>
      </w:r>
      <w:r w:rsidR="009A407C">
        <w:t xml:space="preserve"> and buy-in from teachers to improve, while </w:t>
      </w:r>
      <w:r w:rsidR="00D7270A">
        <w:t xml:space="preserve">having an agreed instructional model in place provides a common language </w:t>
      </w:r>
      <w:r w:rsidR="00D63996">
        <w:t>of effective practice</w:t>
      </w:r>
      <w:r w:rsidRPr="00ED31A0">
        <w:rPr>
          <w:lang w:val="en-US"/>
        </w:rPr>
        <w:t xml:space="preserve"> </w:t>
      </w:r>
      <w:r>
        <w:rPr>
          <w:lang w:val="en-US"/>
        </w:rPr>
        <w:t>(</w:t>
      </w:r>
      <w:r w:rsidR="003E7C6A">
        <w:rPr>
          <w:lang w:val="en-US"/>
        </w:rPr>
        <w:t xml:space="preserve">Goss &amp; Sonnemann, 2020; </w:t>
      </w:r>
      <w:r w:rsidRPr="00ED31A0">
        <w:rPr>
          <w:lang w:val="en-US"/>
        </w:rPr>
        <w:t>Leithwood, 2016</w:t>
      </w:r>
      <w:r>
        <w:rPr>
          <w:lang w:val="en-US"/>
        </w:rPr>
        <w:t>;</w:t>
      </w:r>
      <w:r w:rsidRPr="00ED31A0">
        <w:rPr>
          <w:lang w:val="en-US"/>
        </w:rPr>
        <w:t xml:space="preserve"> Liu &amp; Hallinger, 2018; Lynch &amp; Madden, 2015; </w:t>
      </w:r>
      <w:r w:rsidRPr="00ED31A0">
        <w:t>Mayer et al., 2015</w:t>
      </w:r>
      <w:r w:rsidR="005446EB">
        <w:t>).</w:t>
      </w:r>
    </w:p>
    <w:p w14:paraId="4FE44B9F" w14:textId="1C50080B" w:rsidR="005C7C1B" w:rsidRDefault="00AF64EB" w:rsidP="3619CA01">
      <w:r>
        <w:t xml:space="preserve">School leaders should be aware that </w:t>
      </w:r>
      <w:r w:rsidR="0060368D">
        <w:t>a strong collaborative and trusting culture enable</w:t>
      </w:r>
      <w:r w:rsidR="00D30CF4">
        <w:t xml:space="preserve">s effective PL. </w:t>
      </w:r>
      <w:r w:rsidR="009A5D95">
        <w:t>Where schools are not managing to cultivate a positive learning environment, teachers may have lower levels of capacity for organisational change (Edward-Groves et al., 2016; Karagiorgi et al</w:t>
      </w:r>
      <w:r w:rsidR="000547C3">
        <w:t>.</w:t>
      </w:r>
      <w:r w:rsidR="009A5D95">
        <w:t>, 2018).</w:t>
      </w:r>
      <w:r w:rsidR="00D30CF4">
        <w:t xml:space="preserve"> Additionally, t</w:t>
      </w:r>
      <w:r w:rsidR="00B62FDC" w:rsidRPr="00771EBB">
        <w:t>eacher workloads and time</w:t>
      </w:r>
      <w:r w:rsidR="00C00F81">
        <w:t xml:space="preserve"> are identified</w:t>
      </w:r>
      <w:r w:rsidR="00B62FDC" w:rsidRPr="00771EBB">
        <w:t xml:space="preserve"> as the greatest barrier</w:t>
      </w:r>
      <w:r>
        <w:t>s</w:t>
      </w:r>
      <w:r w:rsidR="00B62FDC" w:rsidRPr="00771EBB">
        <w:t xml:space="preserve"> to collaboration and</w:t>
      </w:r>
      <w:r w:rsidR="001E205A">
        <w:t xml:space="preserve"> </w:t>
      </w:r>
      <w:r w:rsidR="00B62FDC" w:rsidRPr="00771EBB">
        <w:t>professional learning within schools</w:t>
      </w:r>
      <w:r w:rsidR="001F033A">
        <w:t xml:space="preserve"> (</w:t>
      </w:r>
      <w:r w:rsidR="001F033A" w:rsidRPr="00E34A9A">
        <w:t>Ebell et al., 2017</w:t>
      </w:r>
      <w:r w:rsidR="001F033A">
        <w:t>)</w:t>
      </w:r>
      <w:r w:rsidR="000A0EA7">
        <w:t>.</w:t>
      </w:r>
      <w:r w:rsidR="00B62FDC" w:rsidRPr="00771EBB">
        <w:t xml:space="preserve"> </w:t>
      </w:r>
      <w:r w:rsidR="000A0EA7">
        <w:t>S</w:t>
      </w:r>
      <w:r w:rsidR="003A35F9" w:rsidRPr="00771EBB">
        <w:t xml:space="preserve">upport </w:t>
      </w:r>
      <w:r w:rsidR="00B846ED">
        <w:t xml:space="preserve">is required </w:t>
      </w:r>
      <w:r w:rsidR="003A35F9" w:rsidRPr="00771EBB">
        <w:t xml:space="preserve">from </w:t>
      </w:r>
      <w:r w:rsidR="003A35F9" w:rsidRPr="00771EBB">
        <w:lastRenderedPageBreak/>
        <w:t>school leadership</w:t>
      </w:r>
      <w:r w:rsidR="00D938D4">
        <w:t xml:space="preserve"> to enhance sustained collaborative practice</w:t>
      </w:r>
      <w:r w:rsidR="000A0EA7">
        <w:t>,</w:t>
      </w:r>
      <w:r w:rsidR="003A35F9" w:rsidRPr="00771EBB">
        <w:t xml:space="preserve"> particularly in terms of providing space and time by releasing staff from other work commitments</w:t>
      </w:r>
      <w:r w:rsidR="00D938D4">
        <w:t>.</w:t>
      </w:r>
      <w:r w:rsidR="00440326">
        <w:t xml:space="preserve"> </w:t>
      </w:r>
      <w:r w:rsidR="00440326" w:rsidRPr="00771EBB">
        <w:t>Redesigning organisational structures to improve collaboration and work</w:t>
      </w:r>
      <w:r w:rsidR="001E205A">
        <w:t>ing</w:t>
      </w:r>
      <w:r w:rsidR="00440326" w:rsidRPr="00771EBB">
        <w:t xml:space="preserve"> collectively towards achieving the school vision is described as a foundational phase of leadership for school improvement</w:t>
      </w:r>
      <w:r w:rsidR="0062388A">
        <w:t xml:space="preserve"> </w:t>
      </w:r>
      <w:r w:rsidR="005B528B">
        <w:t>(</w:t>
      </w:r>
      <w:r w:rsidR="006E2DEF">
        <w:t xml:space="preserve">Blank &amp; de las Alas, 2009; </w:t>
      </w:r>
      <w:r w:rsidR="005B528B" w:rsidRPr="00E34A9A">
        <w:t>Day et al., 2016</w:t>
      </w:r>
      <w:r w:rsidR="006E2DEF">
        <w:t xml:space="preserve">; </w:t>
      </w:r>
      <w:r w:rsidR="00E34A9A" w:rsidRPr="00E34A9A">
        <w:t>Li, 2017</w:t>
      </w:r>
      <w:r w:rsidR="006E2DEF">
        <w:t>).</w:t>
      </w:r>
    </w:p>
    <w:p w14:paraId="00681475" w14:textId="5A4B87EE" w:rsidR="007A4E78" w:rsidRPr="00601169" w:rsidRDefault="007A4E78">
      <w:pPr>
        <w:rPr>
          <w:rStyle w:val="normaltextrun"/>
          <w:b/>
          <w:bCs/>
        </w:rPr>
      </w:pPr>
      <w:r w:rsidRPr="00601169">
        <w:rPr>
          <w:b/>
          <w:bCs/>
        </w:rPr>
        <w:t>Curriculum planning and assessment</w:t>
      </w:r>
    </w:p>
    <w:p w14:paraId="3BA5C14B" w14:textId="043AE708" w:rsidR="0021433C" w:rsidRPr="00C336F9" w:rsidRDefault="000850AA" w:rsidP="0021433C">
      <w:r w:rsidRPr="00774325">
        <w:rPr>
          <w:rFonts w:cstheme="minorHAnsi"/>
          <w:szCs w:val="22"/>
          <w:lang w:val="en-AU"/>
        </w:rPr>
        <w:t>Much of the contemporary research linking curriculum and school improvement highlights</w:t>
      </w:r>
      <w:r w:rsidR="00E153A2">
        <w:rPr>
          <w:rFonts w:cstheme="minorHAnsi"/>
          <w:szCs w:val="22"/>
          <w:lang w:val="en-AU"/>
        </w:rPr>
        <w:t xml:space="preserve"> that effective</w:t>
      </w:r>
      <w:r w:rsidR="00E153A2" w:rsidRPr="00E153A2">
        <w:rPr>
          <w:rFonts w:cstheme="minorHAnsi"/>
          <w:szCs w:val="22"/>
          <w:lang w:val="en-AU"/>
        </w:rPr>
        <w:t xml:space="preserve"> teachers have strong </w:t>
      </w:r>
      <w:r w:rsidR="00D941D3">
        <w:rPr>
          <w:rFonts w:cstheme="minorHAnsi"/>
          <w:szCs w:val="22"/>
          <w:lang w:val="en-AU"/>
        </w:rPr>
        <w:t xml:space="preserve">content </w:t>
      </w:r>
      <w:r w:rsidR="00E153A2" w:rsidRPr="00E153A2">
        <w:rPr>
          <w:rFonts w:cstheme="minorHAnsi"/>
          <w:szCs w:val="22"/>
          <w:lang w:val="en-AU"/>
        </w:rPr>
        <w:t>knowledge</w:t>
      </w:r>
      <w:r w:rsidR="00D941D3">
        <w:rPr>
          <w:rFonts w:cstheme="minorHAnsi"/>
          <w:szCs w:val="22"/>
          <w:lang w:val="en-AU"/>
        </w:rPr>
        <w:t xml:space="preserve"> and</w:t>
      </w:r>
      <w:r w:rsidR="00E153A2" w:rsidRPr="00E153A2">
        <w:rPr>
          <w:rFonts w:cstheme="minorHAnsi"/>
          <w:szCs w:val="22"/>
          <w:lang w:val="en-AU"/>
        </w:rPr>
        <w:t xml:space="preserve"> </w:t>
      </w:r>
      <w:r w:rsidR="00D941D3" w:rsidRPr="00D941D3">
        <w:rPr>
          <w:rFonts w:cstheme="minorHAnsi"/>
          <w:szCs w:val="22"/>
          <w:lang w:val="en-AU"/>
        </w:rPr>
        <w:t xml:space="preserve">make expert use of </w:t>
      </w:r>
      <w:r w:rsidR="0028250F">
        <w:rPr>
          <w:rFonts w:cstheme="minorHAnsi"/>
          <w:szCs w:val="22"/>
          <w:lang w:val="en-AU"/>
        </w:rPr>
        <w:t>pedagogical</w:t>
      </w:r>
      <w:r w:rsidR="0028250F" w:rsidRPr="00D941D3">
        <w:rPr>
          <w:rFonts w:cstheme="minorHAnsi"/>
          <w:szCs w:val="22"/>
          <w:lang w:val="en-AU"/>
        </w:rPr>
        <w:t xml:space="preserve"> </w:t>
      </w:r>
      <w:r w:rsidR="00D941D3" w:rsidRPr="00D941D3">
        <w:rPr>
          <w:rFonts w:cstheme="minorHAnsi"/>
          <w:szCs w:val="22"/>
          <w:lang w:val="en-AU"/>
        </w:rPr>
        <w:t>materials in order</w:t>
      </w:r>
      <w:r w:rsidR="00D941D3">
        <w:rPr>
          <w:rFonts w:cstheme="minorHAnsi"/>
          <w:szCs w:val="22"/>
          <w:lang w:val="en-AU"/>
        </w:rPr>
        <w:t xml:space="preserve"> </w:t>
      </w:r>
      <w:r w:rsidR="00E153A2" w:rsidRPr="00E153A2">
        <w:rPr>
          <w:rFonts w:cstheme="minorHAnsi"/>
          <w:szCs w:val="22"/>
          <w:lang w:val="en-AU"/>
        </w:rPr>
        <w:t>to improve student learning</w:t>
      </w:r>
      <w:r w:rsidR="00C17297">
        <w:rPr>
          <w:rFonts w:cstheme="minorHAnsi"/>
          <w:szCs w:val="22"/>
          <w:lang w:val="en-AU"/>
        </w:rPr>
        <w:t xml:space="preserve"> (Hattie, 2009)</w:t>
      </w:r>
      <w:r w:rsidR="004A5BD3">
        <w:rPr>
          <w:rFonts w:cstheme="minorHAnsi"/>
          <w:szCs w:val="22"/>
          <w:lang w:val="en-AU"/>
        </w:rPr>
        <w:t xml:space="preserve">. </w:t>
      </w:r>
      <w:r w:rsidR="00F072B4">
        <w:rPr>
          <w:rFonts w:eastAsia="Times New Roman"/>
          <w:color w:val="000000" w:themeColor="text1"/>
          <w:lang w:val="en-AU"/>
        </w:rPr>
        <w:t>T</w:t>
      </w:r>
      <w:r w:rsidR="00F072B4" w:rsidRPr="00CB374A">
        <w:rPr>
          <w:rFonts w:eastAsia="Times New Roman"/>
          <w:color w:val="000000" w:themeColor="text1"/>
          <w:lang w:val="en-AU"/>
        </w:rPr>
        <w:t>he choice of</w:t>
      </w:r>
      <w:r w:rsidR="00F072B4">
        <w:rPr>
          <w:rFonts w:eastAsia="Times New Roman"/>
          <w:color w:val="000000" w:themeColor="text1"/>
          <w:lang w:val="en-AU"/>
        </w:rPr>
        <w:t xml:space="preserve"> </w:t>
      </w:r>
      <w:r w:rsidR="00A86C7E">
        <w:rPr>
          <w:rFonts w:eastAsia="Times New Roman"/>
          <w:color w:val="000000" w:themeColor="text1"/>
          <w:lang w:val="en-AU"/>
        </w:rPr>
        <w:t>pedagogical</w:t>
      </w:r>
      <w:r w:rsidR="00A86C7E" w:rsidRPr="00CB374A">
        <w:rPr>
          <w:rFonts w:eastAsia="Times New Roman"/>
          <w:color w:val="000000" w:themeColor="text1"/>
          <w:lang w:val="en-AU"/>
        </w:rPr>
        <w:t xml:space="preserve"> </w:t>
      </w:r>
      <w:r w:rsidR="00F072B4" w:rsidRPr="00CB374A">
        <w:rPr>
          <w:rFonts w:eastAsia="Times New Roman"/>
          <w:color w:val="000000" w:themeColor="text1"/>
          <w:lang w:val="en-AU"/>
        </w:rPr>
        <w:t xml:space="preserve">materials to use can have a significant effect on student learning </w:t>
      </w:r>
      <w:r w:rsidR="00F072B4">
        <w:rPr>
          <w:rFonts w:eastAsia="Times New Roman"/>
          <w:color w:val="000000" w:themeColor="text1"/>
          <w:lang w:val="en-AU"/>
        </w:rPr>
        <w:t xml:space="preserve">and </w:t>
      </w:r>
      <w:r w:rsidR="004B7E80" w:rsidRPr="00CB374A">
        <w:rPr>
          <w:color w:val="000000" w:themeColor="text1"/>
          <w:lang w:val="en-AU"/>
        </w:rPr>
        <w:t xml:space="preserve">teachers need to </w:t>
      </w:r>
      <w:r w:rsidR="00F072B4">
        <w:rPr>
          <w:color w:val="000000" w:themeColor="text1"/>
          <w:lang w:val="en-AU"/>
        </w:rPr>
        <w:t xml:space="preserve">understand how </w:t>
      </w:r>
      <w:r w:rsidR="004B7E80" w:rsidRPr="00CB374A">
        <w:rPr>
          <w:color w:val="000000" w:themeColor="text1"/>
          <w:lang w:val="en-AU"/>
        </w:rPr>
        <w:t xml:space="preserve">students </w:t>
      </w:r>
      <w:r w:rsidR="00C13E84">
        <w:rPr>
          <w:color w:val="000000" w:themeColor="text1"/>
          <w:lang w:val="en-AU"/>
        </w:rPr>
        <w:t xml:space="preserve">learn new </w:t>
      </w:r>
      <w:r w:rsidR="004B7E80" w:rsidRPr="00CB374A">
        <w:rPr>
          <w:color w:val="000000" w:themeColor="text1"/>
          <w:lang w:val="en-AU"/>
        </w:rPr>
        <w:t>content,</w:t>
      </w:r>
      <w:r w:rsidR="00B73ED3">
        <w:rPr>
          <w:color w:val="000000" w:themeColor="text1"/>
          <w:lang w:val="en-AU"/>
        </w:rPr>
        <w:t xml:space="preserve"> evaluate their </w:t>
      </w:r>
      <w:r w:rsidR="00B74463">
        <w:rPr>
          <w:color w:val="000000" w:themeColor="text1"/>
          <w:lang w:val="en-AU"/>
        </w:rPr>
        <w:t>responses</w:t>
      </w:r>
      <w:r w:rsidR="00C13E84">
        <w:rPr>
          <w:color w:val="000000" w:themeColor="text1"/>
          <w:lang w:val="en-AU"/>
        </w:rPr>
        <w:t xml:space="preserve"> and questions</w:t>
      </w:r>
      <w:r w:rsidR="00B74463">
        <w:rPr>
          <w:color w:val="000000" w:themeColor="text1"/>
          <w:lang w:val="en-AU"/>
        </w:rPr>
        <w:t xml:space="preserve"> </w:t>
      </w:r>
      <w:r w:rsidR="004B7E80" w:rsidRPr="00CB374A">
        <w:rPr>
          <w:color w:val="000000" w:themeColor="text1"/>
          <w:lang w:val="en-AU"/>
        </w:rPr>
        <w:t xml:space="preserve">and identify </w:t>
      </w:r>
      <w:r w:rsidR="00C13E84">
        <w:rPr>
          <w:color w:val="000000" w:themeColor="text1"/>
          <w:lang w:val="en-AU"/>
        </w:rPr>
        <w:t>their</w:t>
      </w:r>
      <w:r w:rsidR="004B7E80" w:rsidRPr="00CB374A">
        <w:rPr>
          <w:color w:val="000000" w:themeColor="text1"/>
          <w:lang w:val="en-AU"/>
        </w:rPr>
        <w:t xml:space="preserve"> misconceptions (Coe et al</w:t>
      </w:r>
      <w:r w:rsidR="000547C3">
        <w:rPr>
          <w:color w:val="000000" w:themeColor="text1"/>
          <w:lang w:val="en-AU"/>
        </w:rPr>
        <w:t>.</w:t>
      </w:r>
      <w:r w:rsidR="004B7E80" w:rsidRPr="00CB374A">
        <w:rPr>
          <w:color w:val="000000" w:themeColor="text1"/>
          <w:lang w:val="en-AU"/>
        </w:rPr>
        <w:t>, 2014).</w:t>
      </w:r>
      <w:r w:rsidR="00B0394E">
        <w:rPr>
          <w:color w:val="000000" w:themeColor="text1"/>
          <w:lang w:val="en-AU"/>
        </w:rPr>
        <w:t xml:space="preserve"> </w:t>
      </w:r>
      <w:r w:rsidR="00B0394E" w:rsidRPr="00D06D9B">
        <w:rPr>
          <w:color w:val="000000" w:themeColor="text1"/>
          <w:lang w:val="en-AU"/>
        </w:rPr>
        <w:t>There are also strong links b</w:t>
      </w:r>
      <w:r w:rsidR="005E428F" w:rsidRPr="00D06D9B">
        <w:rPr>
          <w:color w:val="000000" w:themeColor="text1"/>
          <w:lang w:val="en-AU"/>
        </w:rPr>
        <w:t>etween curriculum and feedback</w:t>
      </w:r>
      <w:r w:rsidR="00897B1B" w:rsidRPr="00D06D9B">
        <w:rPr>
          <w:color w:val="000000" w:themeColor="text1"/>
          <w:lang w:val="en-AU"/>
        </w:rPr>
        <w:t xml:space="preserve"> </w:t>
      </w:r>
      <w:r w:rsidR="005E428F" w:rsidRPr="00D06D9B">
        <w:rPr>
          <w:color w:val="000000" w:themeColor="text1"/>
          <w:lang w:val="en-AU"/>
        </w:rPr>
        <w:t>as feedback is mo</w:t>
      </w:r>
      <w:r w:rsidR="00587097">
        <w:rPr>
          <w:color w:val="000000" w:themeColor="text1"/>
          <w:lang w:val="en-AU"/>
        </w:rPr>
        <w:t>re</w:t>
      </w:r>
      <w:r w:rsidR="005E428F" w:rsidRPr="00D06D9B">
        <w:rPr>
          <w:color w:val="000000" w:themeColor="text1"/>
          <w:lang w:val="en-AU"/>
        </w:rPr>
        <w:t xml:space="preserve"> effective if it is focused more on the task and not on the </w:t>
      </w:r>
      <w:r w:rsidR="00223B0A" w:rsidRPr="00D06D9B">
        <w:rPr>
          <w:color w:val="000000" w:themeColor="text1"/>
          <w:lang w:val="en-AU"/>
        </w:rPr>
        <w:t>student.</w:t>
      </w:r>
      <w:r w:rsidR="00223B0A">
        <w:rPr>
          <w:color w:val="000000" w:themeColor="text1"/>
          <w:lang w:val="en-AU"/>
        </w:rPr>
        <w:t xml:space="preserve"> </w:t>
      </w:r>
    </w:p>
    <w:p w14:paraId="73322FD7" w14:textId="5483AB1C" w:rsidR="008A57E6" w:rsidRDefault="00D87C18" w:rsidP="00FB59E6">
      <w:pPr>
        <w:rPr>
          <w:rFonts w:cstheme="minorHAnsi"/>
          <w:szCs w:val="22"/>
        </w:rPr>
      </w:pPr>
      <w:r>
        <w:rPr>
          <w:rFonts w:cstheme="minorHAnsi"/>
          <w:szCs w:val="22"/>
        </w:rPr>
        <w:t>A s</w:t>
      </w:r>
      <w:r w:rsidR="00A3747A" w:rsidRPr="00BD1304">
        <w:rPr>
          <w:rFonts w:cstheme="minorHAnsi"/>
          <w:szCs w:val="22"/>
        </w:rPr>
        <w:t xml:space="preserve">tronger understanding of curriculum is built when </w:t>
      </w:r>
      <w:r w:rsidR="000850AA" w:rsidRPr="00BD1304">
        <w:rPr>
          <w:rFonts w:cstheme="minorHAnsi"/>
          <w:szCs w:val="22"/>
        </w:rPr>
        <w:t>staff work collaborativel</w:t>
      </w:r>
      <w:r w:rsidR="00D941D3" w:rsidRPr="00BD1304">
        <w:rPr>
          <w:rFonts w:cstheme="minorHAnsi"/>
          <w:szCs w:val="22"/>
        </w:rPr>
        <w:t>y</w:t>
      </w:r>
      <w:r w:rsidR="000850AA" w:rsidRPr="00BD1304">
        <w:rPr>
          <w:rFonts w:cstheme="minorHAnsi"/>
          <w:szCs w:val="22"/>
        </w:rPr>
        <w:t>: meeting to discuss units of work, differentiate lessons and develop assessments.</w:t>
      </w:r>
      <w:r w:rsidR="004D1457" w:rsidRPr="00BD1304">
        <w:rPr>
          <w:rFonts w:cstheme="minorHAnsi"/>
          <w:szCs w:val="22"/>
        </w:rPr>
        <w:t xml:space="preserve"> </w:t>
      </w:r>
      <w:r w:rsidR="002030D2" w:rsidRPr="00BD1304">
        <w:rPr>
          <w:rFonts w:cstheme="minorHAnsi"/>
          <w:szCs w:val="22"/>
        </w:rPr>
        <w:t xml:space="preserve">Curriculum and assessment teams offer staff time for reflection and support teachers to develop plans that </w:t>
      </w:r>
      <w:r w:rsidR="007C4AE0">
        <w:rPr>
          <w:rFonts w:cstheme="minorHAnsi"/>
          <w:szCs w:val="22"/>
        </w:rPr>
        <w:t xml:space="preserve">effectively differentiate and </w:t>
      </w:r>
      <w:r w:rsidR="002030D2" w:rsidRPr="00BD1304">
        <w:rPr>
          <w:rFonts w:cstheme="minorHAnsi"/>
          <w:szCs w:val="22"/>
        </w:rPr>
        <w:t xml:space="preserve">meet the learning needs of </w:t>
      </w:r>
      <w:r w:rsidR="000F42A3">
        <w:rPr>
          <w:rFonts w:cstheme="minorHAnsi"/>
          <w:szCs w:val="22"/>
        </w:rPr>
        <w:t xml:space="preserve">individual </w:t>
      </w:r>
      <w:r w:rsidR="002030D2" w:rsidRPr="00BD1304">
        <w:rPr>
          <w:rFonts w:cstheme="minorHAnsi"/>
          <w:szCs w:val="22"/>
        </w:rPr>
        <w:t xml:space="preserve">students </w:t>
      </w:r>
      <w:r w:rsidR="006360B3" w:rsidRPr="00BD1304">
        <w:rPr>
          <w:rFonts w:cstheme="minorHAnsi"/>
          <w:szCs w:val="22"/>
        </w:rPr>
        <w:t>(Bauman, 2015; Benoliel &amp; Berkovich, 2017; Sutton &amp; Knuth, 2020</w:t>
      </w:r>
      <w:r w:rsidR="00C336F9" w:rsidRPr="00BD1304">
        <w:rPr>
          <w:rFonts w:cstheme="minorHAnsi"/>
          <w:szCs w:val="22"/>
        </w:rPr>
        <w:t>).</w:t>
      </w:r>
    </w:p>
    <w:p w14:paraId="01CD1D4C" w14:textId="5CF8763E" w:rsidR="00402760" w:rsidRPr="00601169" w:rsidRDefault="005E49C3" w:rsidP="00CF75E0">
      <w:pPr>
        <w:rPr>
          <w:rFonts w:eastAsia="Lucida Sans" w:cstheme="minorHAnsi"/>
          <w:color w:val="FFFFFF"/>
          <w:szCs w:val="22"/>
          <w:lang w:val="en-US"/>
        </w:rPr>
      </w:pPr>
      <w:r w:rsidRPr="00F162CF">
        <w:rPr>
          <w:rFonts w:cstheme="minorHAnsi"/>
          <w:szCs w:val="22"/>
        </w:rPr>
        <w:t xml:space="preserve">Assessment methods and systems </w:t>
      </w:r>
      <w:r w:rsidR="00602FEF" w:rsidRPr="00F162CF">
        <w:rPr>
          <w:rFonts w:cstheme="minorHAnsi"/>
          <w:szCs w:val="22"/>
        </w:rPr>
        <w:t xml:space="preserve">influence student behaviour and ultimately student learning. </w:t>
      </w:r>
      <w:r w:rsidR="00545B00" w:rsidRPr="00F162CF">
        <w:rPr>
          <w:rFonts w:cstheme="minorHAnsi"/>
          <w:szCs w:val="22"/>
        </w:rPr>
        <w:t>Adapt</w:t>
      </w:r>
      <w:r w:rsidR="00860699" w:rsidRPr="00F162CF">
        <w:rPr>
          <w:rFonts w:cstheme="minorHAnsi"/>
          <w:szCs w:val="22"/>
        </w:rPr>
        <w:t xml:space="preserve">ations to assessment practices will need to be considered whenever </w:t>
      </w:r>
      <w:r w:rsidR="005C4D1A">
        <w:rPr>
          <w:rFonts w:cstheme="minorHAnsi"/>
          <w:szCs w:val="22"/>
        </w:rPr>
        <w:t xml:space="preserve">there are </w:t>
      </w:r>
      <w:r w:rsidR="00860699" w:rsidRPr="00F162CF">
        <w:rPr>
          <w:rFonts w:cstheme="minorHAnsi"/>
          <w:szCs w:val="22"/>
        </w:rPr>
        <w:t>c</w:t>
      </w:r>
      <w:r w:rsidR="0094353C" w:rsidRPr="00F162CF">
        <w:rPr>
          <w:rFonts w:cstheme="minorHAnsi"/>
          <w:szCs w:val="22"/>
        </w:rPr>
        <w:t xml:space="preserve">hanges in pedagogical approaches </w:t>
      </w:r>
      <w:r w:rsidR="00860699" w:rsidRPr="00F162CF">
        <w:rPr>
          <w:rFonts w:cstheme="minorHAnsi"/>
          <w:szCs w:val="22"/>
        </w:rPr>
        <w:t xml:space="preserve">to ensure alignment between </w:t>
      </w:r>
      <w:r w:rsidR="00BF657E" w:rsidRPr="00F162CF">
        <w:rPr>
          <w:rFonts w:cstheme="minorHAnsi"/>
          <w:szCs w:val="22"/>
        </w:rPr>
        <w:t>learning, teaching and assessment</w:t>
      </w:r>
      <w:r w:rsidR="009D3EE8" w:rsidRPr="00F162CF">
        <w:rPr>
          <w:rFonts w:cstheme="minorHAnsi"/>
          <w:szCs w:val="22"/>
        </w:rPr>
        <w:t xml:space="preserve"> (Rust, 2002)</w:t>
      </w:r>
      <w:r w:rsidR="00BF657E" w:rsidRPr="00F162CF">
        <w:rPr>
          <w:rFonts w:cstheme="minorHAnsi"/>
          <w:szCs w:val="22"/>
        </w:rPr>
        <w:t xml:space="preserve">. </w:t>
      </w:r>
      <w:r w:rsidR="00D44BE2" w:rsidRPr="00F162CF">
        <w:rPr>
          <w:rFonts w:cstheme="minorHAnsi"/>
          <w:szCs w:val="22"/>
          <w:lang w:val="en-US"/>
        </w:rPr>
        <w:t xml:space="preserve">A recent meta-analysis of studies on formative assessment in schools indicates a positive gain of about three months’ learning when </w:t>
      </w:r>
      <w:r w:rsidR="008A3BB3" w:rsidRPr="00F162CF">
        <w:rPr>
          <w:rFonts w:cstheme="minorHAnsi"/>
          <w:szCs w:val="22"/>
          <w:lang w:val="en-US"/>
        </w:rPr>
        <w:t xml:space="preserve">effective </w:t>
      </w:r>
      <w:r w:rsidR="00D44BE2" w:rsidRPr="00F162CF">
        <w:rPr>
          <w:rFonts w:cstheme="minorHAnsi"/>
          <w:szCs w:val="22"/>
          <w:lang w:val="en-US"/>
        </w:rPr>
        <w:t xml:space="preserve">feedback is </w:t>
      </w:r>
      <w:r w:rsidR="008A3BB3" w:rsidRPr="00F162CF">
        <w:rPr>
          <w:rFonts w:cstheme="minorHAnsi"/>
          <w:szCs w:val="22"/>
          <w:lang w:val="en-US"/>
        </w:rPr>
        <w:t>provided to students</w:t>
      </w:r>
      <w:r w:rsidR="00D44BE2" w:rsidRPr="00F162CF">
        <w:rPr>
          <w:rFonts w:cstheme="minorHAnsi"/>
          <w:szCs w:val="22"/>
          <w:lang w:val="en-US"/>
        </w:rPr>
        <w:t xml:space="preserve">. </w:t>
      </w:r>
      <w:r w:rsidR="008B4FD6" w:rsidRPr="00F162CF">
        <w:rPr>
          <w:rFonts w:cstheme="minorHAnsi"/>
          <w:szCs w:val="22"/>
          <w:lang w:val="en-US"/>
        </w:rPr>
        <w:t>When</w:t>
      </w:r>
      <w:r w:rsidR="00D44BE2" w:rsidRPr="00F162CF">
        <w:rPr>
          <w:rFonts w:cstheme="minorHAnsi"/>
          <w:szCs w:val="22"/>
          <w:lang w:val="en-US"/>
        </w:rPr>
        <w:t xml:space="preserve"> the approach was supported with professional learning </w:t>
      </w:r>
      <w:r w:rsidR="008B4FD6" w:rsidRPr="00F162CF">
        <w:rPr>
          <w:rFonts w:cstheme="minorHAnsi"/>
          <w:szCs w:val="22"/>
          <w:lang w:val="en-US"/>
        </w:rPr>
        <w:t xml:space="preserve">the positive gain increased to four months </w:t>
      </w:r>
      <w:r w:rsidR="00D44BE2" w:rsidRPr="00F162CF">
        <w:rPr>
          <w:rFonts w:cstheme="minorHAnsi"/>
          <w:szCs w:val="22"/>
          <w:lang w:val="en-US"/>
        </w:rPr>
        <w:t>(Evidence for Learning, 2020).</w:t>
      </w:r>
      <w:r w:rsidR="00CF75E0" w:rsidRPr="00601169">
        <w:rPr>
          <w:rFonts w:eastAsia="Lucida Sans" w:cstheme="minorHAnsi"/>
          <w:color w:val="FFFFFF"/>
          <w:szCs w:val="22"/>
          <w:lang w:val="en-US"/>
        </w:rPr>
        <w:t xml:space="preserve"> </w:t>
      </w:r>
      <w:r w:rsidR="007847ED" w:rsidRPr="00601169">
        <w:rPr>
          <w:rFonts w:eastAsia="Lucida Sans" w:cstheme="minorHAnsi"/>
          <w:szCs w:val="22"/>
          <w:lang w:val="en-US"/>
        </w:rPr>
        <w:t>T</w:t>
      </w:r>
      <w:r w:rsidR="00E07EB7" w:rsidRPr="00F162CF">
        <w:rPr>
          <w:rFonts w:cstheme="minorHAnsi"/>
          <w:szCs w:val="22"/>
          <w:lang w:val="en-US"/>
        </w:rPr>
        <w:t>raining in the use of assessment criteria for providing meaningful feedback, and student</w:t>
      </w:r>
      <w:r w:rsidR="00452BC6">
        <w:rPr>
          <w:rFonts w:cstheme="minorHAnsi"/>
          <w:szCs w:val="22"/>
          <w:lang w:val="en-US"/>
        </w:rPr>
        <w:t>s</w:t>
      </w:r>
      <w:r w:rsidR="00E07EB7" w:rsidRPr="00F162CF">
        <w:rPr>
          <w:rFonts w:cstheme="minorHAnsi"/>
          <w:szCs w:val="22"/>
          <w:lang w:val="en-US"/>
        </w:rPr>
        <w:t xml:space="preserve"> seeking and processing feedback</w:t>
      </w:r>
      <w:r w:rsidR="003F568A">
        <w:rPr>
          <w:rFonts w:cstheme="minorHAnsi"/>
          <w:szCs w:val="22"/>
          <w:lang w:val="en-US"/>
        </w:rPr>
        <w:t xml:space="preserve"> is </w:t>
      </w:r>
      <w:r w:rsidR="00E07EB7" w:rsidRPr="00F162CF">
        <w:rPr>
          <w:rFonts w:cstheme="minorHAnsi"/>
          <w:szCs w:val="22"/>
          <w:lang w:val="en-US"/>
        </w:rPr>
        <w:t>effective in driving school improvement (Heitink, et al., 2016).</w:t>
      </w:r>
    </w:p>
    <w:p w14:paraId="28DAAE4A" w14:textId="255C6495" w:rsidR="003F568A" w:rsidRDefault="00CF75E0" w:rsidP="00CF75E0">
      <w:pPr>
        <w:rPr>
          <w:rFonts w:cstheme="minorHAnsi"/>
          <w:szCs w:val="22"/>
          <w:lang w:val="en-US"/>
        </w:rPr>
      </w:pPr>
      <w:r w:rsidRPr="00CF75E0">
        <w:rPr>
          <w:rFonts w:cstheme="minorHAnsi"/>
          <w:szCs w:val="22"/>
          <w:lang w:val="en-US"/>
        </w:rPr>
        <w:t>A</w:t>
      </w:r>
      <w:bookmarkStart w:id="0" w:name="CURRICULUM_PLANNING_AND_ASSESSMENTIMPLEM"/>
      <w:bookmarkStart w:id="1" w:name="Identify_implementation_enablers_and_bar"/>
      <w:bookmarkStart w:id="2" w:name="_bookmark13"/>
      <w:bookmarkEnd w:id="0"/>
      <w:bookmarkEnd w:id="1"/>
      <w:bookmarkEnd w:id="2"/>
      <w:r w:rsidRPr="00CF75E0">
        <w:rPr>
          <w:rFonts w:cstheme="minorHAnsi"/>
          <w:szCs w:val="22"/>
          <w:lang w:val="en-US"/>
        </w:rPr>
        <w:t xml:space="preserve"> rigorous systematic review of 25 studies</w:t>
      </w:r>
      <w:r w:rsidR="007845E0">
        <w:rPr>
          <w:rFonts w:cstheme="minorHAnsi"/>
          <w:szCs w:val="22"/>
          <w:lang w:val="en-US"/>
        </w:rPr>
        <w:t xml:space="preserve"> </w:t>
      </w:r>
      <w:r w:rsidR="007845E0" w:rsidRPr="00E12FC0">
        <w:rPr>
          <w:rFonts w:cstheme="minorHAnsi"/>
          <w:szCs w:val="22"/>
          <w:lang w:val="en-US"/>
        </w:rPr>
        <w:t>(Heitink, et al., 2016)</w:t>
      </w:r>
      <w:r w:rsidRPr="00CF75E0">
        <w:rPr>
          <w:rFonts w:cstheme="minorHAnsi"/>
          <w:szCs w:val="22"/>
          <w:lang w:val="en-US"/>
        </w:rPr>
        <w:t xml:space="preserve"> emphasised five attributes that are critical for implementing effective assessment for learning: </w:t>
      </w:r>
    </w:p>
    <w:p w14:paraId="58D156CF" w14:textId="648B7288" w:rsidR="003F568A" w:rsidRPr="00601169" w:rsidRDefault="007845E0" w:rsidP="00601169">
      <w:pPr>
        <w:pStyle w:val="ListParagraph"/>
        <w:numPr>
          <w:ilvl w:val="0"/>
          <w:numId w:val="3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CF75E0" w:rsidRPr="00601169">
        <w:rPr>
          <w:rFonts w:cstheme="minorHAnsi"/>
          <w:lang w:val="en-US"/>
        </w:rPr>
        <w:t>nterpreting assessment information on</w:t>
      </w:r>
      <w:r w:rsidR="00402760" w:rsidRPr="00601169">
        <w:rPr>
          <w:rFonts w:cstheme="minorHAnsi"/>
          <w:lang w:val="en-US"/>
        </w:rPr>
        <w:t xml:space="preserve"> </w:t>
      </w:r>
      <w:r w:rsidR="00CF75E0" w:rsidRPr="00601169">
        <w:rPr>
          <w:rFonts w:cstheme="minorHAnsi"/>
          <w:lang w:val="en-US"/>
        </w:rPr>
        <w:t xml:space="preserve">the spot, </w:t>
      </w:r>
    </w:p>
    <w:p w14:paraId="0FB7E3BE" w14:textId="54B5B368" w:rsidR="003F568A" w:rsidRPr="00601169" w:rsidRDefault="007845E0" w:rsidP="00601169">
      <w:pPr>
        <w:pStyle w:val="ListParagraph"/>
        <w:numPr>
          <w:ilvl w:val="0"/>
          <w:numId w:val="3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E</w:t>
      </w:r>
      <w:r w:rsidR="00CF75E0" w:rsidRPr="00601169">
        <w:rPr>
          <w:rFonts w:cstheme="minorHAnsi"/>
          <w:lang w:val="en-US"/>
        </w:rPr>
        <w:t xml:space="preserve">ngaging students in the assessment process, </w:t>
      </w:r>
    </w:p>
    <w:p w14:paraId="0F0D9AB9" w14:textId="59B07B1D" w:rsidR="003F568A" w:rsidRPr="00601169" w:rsidRDefault="007845E0" w:rsidP="00601169">
      <w:pPr>
        <w:pStyle w:val="ListParagraph"/>
        <w:numPr>
          <w:ilvl w:val="0"/>
          <w:numId w:val="3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="00CF75E0" w:rsidRPr="00601169">
        <w:rPr>
          <w:rFonts w:cstheme="minorHAnsi"/>
          <w:lang w:val="en-US"/>
        </w:rPr>
        <w:t xml:space="preserve">roviding constructive and focused feedback, </w:t>
      </w:r>
    </w:p>
    <w:p w14:paraId="3D4959B6" w14:textId="723B90DE" w:rsidR="003F568A" w:rsidRPr="00601169" w:rsidRDefault="007845E0" w:rsidP="00601169">
      <w:pPr>
        <w:pStyle w:val="ListParagraph"/>
        <w:numPr>
          <w:ilvl w:val="0"/>
          <w:numId w:val="3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</w:t>
      </w:r>
      <w:r w:rsidR="00CF75E0" w:rsidRPr="00601169">
        <w:rPr>
          <w:rFonts w:cstheme="minorHAnsi"/>
          <w:lang w:val="en-US"/>
        </w:rPr>
        <w:t>school-wide assessment culture</w:t>
      </w:r>
    </w:p>
    <w:p w14:paraId="529A09D3" w14:textId="73E038AA" w:rsidR="005E49C3" w:rsidRPr="00601169" w:rsidRDefault="007845E0" w:rsidP="00601169">
      <w:pPr>
        <w:pStyle w:val="ListParagraph"/>
        <w:numPr>
          <w:ilvl w:val="0"/>
          <w:numId w:val="3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CF75E0" w:rsidRPr="00601169">
        <w:rPr>
          <w:rFonts w:cstheme="minorHAnsi"/>
          <w:lang w:val="en-US"/>
        </w:rPr>
        <w:t>ollaboration and autonomy of teacher practice around assessment</w:t>
      </w:r>
      <w:r>
        <w:rPr>
          <w:rFonts w:cstheme="minorHAnsi"/>
          <w:lang w:val="en-US"/>
        </w:rPr>
        <w:t>.</w:t>
      </w:r>
    </w:p>
    <w:p w14:paraId="1D3F18BC" w14:textId="6A3ED36B" w:rsidR="00A86C7E" w:rsidRPr="00601169" w:rsidRDefault="00A86C7E">
      <w:pPr>
        <w:rPr>
          <w:b/>
          <w:bCs/>
          <w:szCs w:val="22"/>
        </w:rPr>
      </w:pPr>
      <w:r w:rsidRPr="00601169">
        <w:rPr>
          <w:b/>
          <w:bCs/>
        </w:rPr>
        <w:t>Evidence-based high-impact teaching strategies</w:t>
      </w:r>
    </w:p>
    <w:p w14:paraId="02548821" w14:textId="17DF03DE" w:rsidR="00A31243" w:rsidRDefault="001A0BEF" w:rsidP="00FB59E6">
      <w:pPr>
        <w:rPr>
          <w:rFonts w:cstheme="minorHAnsi"/>
          <w:szCs w:val="22"/>
        </w:rPr>
      </w:pPr>
      <w:r w:rsidRPr="00BD1304">
        <w:rPr>
          <w:rFonts w:cstheme="minorHAnsi"/>
          <w:szCs w:val="22"/>
        </w:rPr>
        <w:t xml:space="preserve">Teachers </w:t>
      </w:r>
      <w:r w:rsidR="009D49EB" w:rsidRPr="00BD1304">
        <w:rPr>
          <w:rFonts w:cstheme="minorHAnsi"/>
          <w:szCs w:val="22"/>
        </w:rPr>
        <w:t>have the greatest potential to positively impact on student learning</w:t>
      </w:r>
      <w:r w:rsidR="009531B7" w:rsidRPr="00BD1304">
        <w:rPr>
          <w:rFonts w:cstheme="minorHAnsi"/>
          <w:szCs w:val="22"/>
        </w:rPr>
        <w:t xml:space="preserve">, and the </w:t>
      </w:r>
      <w:r w:rsidR="00F715FD" w:rsidRPr="00BD1304">
        <w:rPr>
          <w:rFonts w:cstheme="minorHAnsi"/>
          <w:szCs w:val="22"/>
        </w:rPr>
        <w:t>strategies that they use matter</w:t>
      </w:r>
      <w:r w:rsidR="00430AD3">
        <w:rPr>
          <w:rFonts w:cstheme="minorHAnsi"/>
          <w:szCs w:val="22"/>
        </w:rPr>
        <w:t xml:space="preserve"> (</w:t>
      </w:r>
      <w:r w:rsidR="008735B9">
        <w:rPr>
          <w:rFonts w:cstheme="minorHAnsi"/>
          <w:szCs w:val="22"/>
        </w:rPr>
        <w:t xml:space="preserve">Hanushek et al., 2005; </w:t>
      </w:r>
      <w:r w:rsidR="00430AD3" w:rsidRPr="00BD1304">
        <w:rPr>
          <w:rFonts w:cstheme="minorHAnsi"/>
          <w:szCs w:val="22"/>
        </w:rPr>
        <w:t>Hattie, 2003</w:t>
      </w:r>
      <w:r w:rsidR="00430AD3">
        <w:rPr>
          <w:rFonts w:cstheme="minorHAnsi"/>
          <w:szCs w:val="22"/>
        </w:rPr>
        <w:t>)</w:t>
      </w:r>
      <w:r w:rsidR="00ED593D" w:rsidRPr="00BD1304">
        <w:rPr>
          <w:rFonts w:cstheme="minorHAnsi"/>
          <w:szCs w:val="22"/>
        </w:rPr>
        <w:t>.</w:t>
      </w:r>
      <w:r w:rsidR="00510C74" w:rsidRPr="00510C74">
        <w:t xml:space="preserve"> </w:t>
      </w:r>
      <w:r w:rsidR="00510C74" w:rsidRPr="00510C74">
        <w:rPr>
          <w:rFonts w:cstheme="minorHAnsi"/>
          <w:szCs w:val="22"/>
        </w:rPr>
        <w:t xml:space="preserve">A student with a </w:t>
      </w:r>
      <w:r w:rsidR="00086DD7">
        <w:rPr>
          <w:rFonts w:cstheme="minorHAnsi"/>
          <w:szCs w:val="22"/>
        </w:rPr>
        <w:t xml:space="preserve">high-impact </w:t>
      </w:r>
      <w:r w:rsidR="00510C74" w:rsidRPr="00510C74">
        <w:rPr>
          <w:rFonts w:cstheme="minorHAnsi"/>
          <w:szCs w:val="22"/>
        </w:rPr>
        <w:t>teacher can achieve in half a year what a student with a poor teacher can achieve in a full year</w:t>
      </w:r>
      <w:r w:rsidR="00A21D67">
        <w:rPr>
          <w:rFonts w:cstheme="minorHAnsi"/>
          <w:szCs w:val="22"/>
        </w:rPr>
        <w:t xml:space="preserve"> (Leigh, 2010)</w:t>
      </w:r>
      <w:r w:rsidR="00510C74">
        <w:rPr>
          <w:rFonts w:cstheme="minorHAnsi"/>
          <w:szCs w:val="22"/>
        </w:rPr>
        <w:t>.</w:t>
      </w:r>
      <w:r w:rsidR="00495EB5" w:rsidRPr="00BD1304">
        <w:rPr>
          <w:rFonts w:cstheme="minorHAnsi"/>
          <w:szCs w:val="22"/>
        </w:rPr>
        <w:t xml:space="preserve"> </w:t>
      </w:r>
      <w:r w:rsidR="00C90647" w:rsidRPr="00BD1304">
        <w:rPr>
          <w:rFonts w:cstheme="minorHAnsi"/>
          <w:szCs w:val="22"/>
        </w:rPr>
        <w:t>T</w:t>
      </w:r>
      <w:r w:rsidR="00350C9B" w:rsidRPr="00BD1304">
        <w:rPr>
          <w:rFonts w:cstheme="minorHAnsi"/>
          <w:szCs w:val="22"/>
        </w:rPr>
        <w:t>he findings of tens of thousands of studies on what has worked in classrooms across Australia and the world</w:t>
      </w:r>
      <w:r w:rsidR="00C90647" w:rsidRPr="00BD1304">
        <w:rPr>
          <w:rFonts w:cstheme="minorHAnsi"/>
          <w:szCs w:val="22"/>
        </w:rPr>
        <w:t xml:space="preserve"> </w:t>
      </w:r>
      <w:r w:rsidR="00C14BA8" w:rsidRPr="00BD1304">
        <w:rPr>
          <w:rFonts w:cstheme="minorHAnsi"/>
          <w:szCs w:val="22"/>
        </w:rPr>
        <w:t xml:space="preserve">supports </w:t>
      </w:r>
      <w:r w:rsidR="00C90647" w:rsidRPr="00BD1304">
        <w:rPr>
          <w:rFonts w:cstheme="minorHAnsi"/>
          <w:szCs w:val="22"/>
        </w:rPr>
        <w:t xml:space="preserve">teachers to </w:t>
      </w:r>
      <w:r w:rsidR="00605E92" w:rsidRPr="00BD1304">
        <w:rPr>
          <w:rFonts w:cstheme="minorHAnsi"/>
          <w:szCs w:val="22"/>
        </w:rPr>
        <w:t>add to their repertoire of strategies</w:t>
      </w:r>
      <w:r w:rsidR="00127231" w:rsidRPr="00BD1304">
        <w:rPr>
          <w:rFonts w:cstheme="minorHAnsi"/>
          <w:szCs w:val="22"/>
        </w:rPr>
        <w:t xml:space="preserve"> and maximise their impact on student learning</w:t>
      </w:r>
      <w:r w:rsidR="00BD4823">
        <w:rPr>
          <w:rFonts w:cstheme="minorHAnsi"/>
          <w:szCs w:val="22"/>
        </w:rPr>
        <w:t xml:space="preserve"> (Hattie 2009)</w:t>
      </w:r>
      <w:r w:rsidR="006F7692" w:rsidRPr="00BD1304">
        <w:rPr>
          <w:rFonts w:cstheme="minorHAnsi"/>
          <w:szCs w:val="22"/>
        </w:rPr>
        <w:t>.</w:t>
      </w:r>
      <w:r w:rsidR="00A406AD" w:rsidRPr="00BD1304">
        <w:rPr>
          <w:rFonts w:cstheme="minorHAnsi"/>
          <w:szCs w:val="22"/>
        </w:rPr>
        <w:t xml:space="preserve"> </w:t>
      </w:r>
      <w:r w:rsidR="00A970A7" w:rsidRPr="00BD1304">
        <w:rPr>
          <w:rFonts w:cstheme="minorHAnsi"/>
          <w:szCs w:val="22"/>
        </w:rPr>
        <w:t xml:space="preserve">A number of </w:t>
      </w:r>
      <w:r w:rsidR="00BB02A7" w:rsidRPr="00BD1304">
        <w:rPr>
          <w:rFonts w:cstheme="minorHAnsi"/>
          <w:szCs w:val="22"/>
        </w:rPr>
        <w:t>strategies consistently identified as high-impact in research include:</w:t>
      </w:r>
      <w:r w:rsidR="00A406AD" w:rsidRPr="00BD1304">
        <w:rPr>
          <w:rFonts w:cstheme="minorHAnsi"/>
          <w:szCs w:val="22"/>
        </w:rPr>
        <w:t xml:space="preserve"> </w:t>
      </w:r>
    </w:p>
    <w:p w14:paraId="067B2423" w14:textId="04931E80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Setting goals:</w:t>
      </w:r>
      <w:r w:rsidR="00DA615A" w:rsidRPr="00601169">
        <w:rPr>
          <w:rFonts w:cstheme="minorHAnsi"/>
        </w:rPr>
        <w:t xml:space="preserve"> </w:t>
      </w:r>
      <w:r w:rsidR="00974F4D">
        <w:rPr>
          <w:rFonts w:cstheme="minorHAnsi"/>
          <w:lang w:val="en-GB"/>
        </w:rPr>
        <w:t>Effective s</w:t>
      </w:r>
      <w:r w:rsidR="00974F4D" w:rsidRPr="00974F4D">
        <w:rPr>
          <w:rFonts w:cstheme="minorHAnsi"/>
          <w:lang w:val="en-GB"/>
        </w:rPr>
        <w:t>chools create a context in which students are set challenging learning goals within a positive learning climate and are encouraged to build strong relationships with their teachers (Bradford &amp; Clarke, 2015).</w:t>
      </w:r>
      <w:r w:rsidR="00C27EBE" w:rsidRPr="00601169">
        <w:rPr>
          <w:rFonts w:cstheme="minorHAnsi"/>
        </w:rPr>
        <w:t xml:space="preserve"> </w:t>
      </w:r>
      <w:r w:rsidR="00326B3E">
        <w:rPr>
          <w:rFonts w:cstheme="minorHAnsi"/>
        </w:rPr>
        <w:t xml:space="preserve">Research has identified a </w:t>
      </w:r>
      <w:r w:rsidR="00326B3E" w:rsidRPr="00326B3E">
        <w:rPr>
          <w:rFonts w:cstheme="minorHAnsi"/>
          <w:lang w:val="en-GB"/>
        </w:rPr>
        <w:t xml:space="preserve">statistically significant relationship between the goal-setting process and </w:t>
      </w:r>
      <w:r w:rsidR="00326B3E">
        <w:rPr>
          <w:rFonts w:cstheme="minorHAnsi"/>
          <w:lang w:val="en-GB"/>
        </w:rPr>
        <w:t xml:space="preserve">student </w:t>
      </w:r>
      <w:r w:rsidR="00326B3E" w:rsidRPr="00326B3E">
        <w:rPr>
          <w:rFonts w:cstheme="minorHAnsi"/>
          <w:lang w:val="en-GB"/>
        </w:rPr>
        <w:t>achievement</w:t>
      </w:r>
      <w:r w:rsidR="00616649">
        <w:rPr>
          <w:rFonts w:cstheme="minorHAnsi"/>
          <w:lang w:val="en-GB"/>
        </w:rPr>
        <w:t xml:space="preserve"> (Moeller et al., 2012).</w:t>
      </w:r>
    </w:p>
    <w:p w14:paraId="3D26110E" w14:textId="2828D582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lastRenderedPageBreak/>
        <w:t>Structing lessons:</w:t>
      </w:r>
      <w:r w:rsidR="00DA615A" w:rsidRPr="00601169">
        <w:rPr>
          <w:rFonts w:cstheme="minorHAnsi"/>
        </w:rPr>
        <w:t xml:space="preserve"> </w:t>
      </w:r>
      <w:r w:rsidR="00C27EBE" w:rsidRPr="00601169">
        <w:rPr>
          <w:rFonts w:cstheme="minorHAnsi"/>
        </w:rPr>
        <w:t xml:space="preserve">The way that teachers structure lessons can have a large impact on student learning. </w:t>
      </w:r>
      <w:r w:rsidR="00224A2A">
        <w:rPr>
          <w:rFonts w:cstheme="minorHAnsi"/>
        </w:rPr>
        <w:t>R</w:t>
      </w:r>
      <w:r w:rsidR="00C27EBE" w:rsidRPr="00601169">
        <w:rPr>
          <w:rFonts w:cstheme="minorHAnsi"/>
        </w:rPr>
        <w:t>esearch has shown that student achievement is maximized when teachers structure lessons by: (a) beginning with overviews and/or review of objectives; (b) outlining the content to be covered and signalling transitions between lesson parts; (c) calling attention to main ideas; and (d) reviewing main ideas at the end (Kyriakides et al., 2013).</w:t>
      </w:r>
    </w:p>
    <w:p w14:paraId="786924B8" w14:textId="707A328D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Explicit teaching</w:t>
      </w:r>
      <w:r w:rsidR="00DA615A" w:rsidRPr="00601169">
        <w:rPr>
          <w:rFonts w:cstheme="minorHAnsi"/>
          <w:b/>
          <w:bCs/>
        </w:rPr>
        <w:t>:</w:t>
      </w:r>
      <w:r w:rsidR="00DA615A" w:rsidRPr="00601169">
        <w:rPr>
          <w:rFonts w:cstheme="minorHAnsi"/>
        </w:rPr>
        <w:t xml:space="preserve"> </w:t>
      </w:r>
      <w:r w:rsidR="001B7C03" w:rsidRPr="001B7C03">
        <w:rPr>
          <w:rFonts w:cstheme="minorHAnsi"/>
          <w:lang w:val="en-GB"/>
        </w:rPr>
        <w:t xml:space="preserve">Explicit teaching is effective in accelerating student </w:t>
      </w:r>
      <w:r w:rsidR="00601169" w:rsidRPr="001B7C03">
        <w:rPr>
          <w:rFonts w:cstheme="minorHAnsi"/>
          <w:lang w:val="en-GB"/>
        </w:rPr>
        <w:t>performance</w:t>
      </w:r>
      <w:r w:rsidR="00601169">
        <w:rPr>
          <w:rFonts w:cstheme="minorHAnsi"/>
          <w:lang w:val="en-GB"/>
        </w:rPr>
        <w:t xml:space="preserve"> and</w:t>
      </w:r>
      <w:r w:rsidR="0035393E">
        <w:rPr>
          <w:rFonts w:cstheme="minorHAnsi"/>
          <w:lang w:val="en-GB"/>
        </w:rPr>
        <w:t xml:space="preserve"> was found to have an effect size of 0.59 (Hattie, 2009). </w:t>
      </w:r>
      <w:r w:rsidR="00607FA1">
        <w:rPr>
          <w:rFonts w:cstheme="minorHAnsi"/>
        </w:rPr>
        <w:t>Explicit teaching is not limited to content</w:t>
      </w:r>
      <w:r w:rsidR="00DB18BB">
        <w:rPr>
          <w:rFonts w:cstheme="minorHAnsi"/>
        </w:rPr>
        <w:t xml:space="preserve"> and effective teachers </w:t>
      </w:r>
      <w:r w:rsidR="00E626AD">
        <w:rPr>
          <w:rFonts w:cstheme="minorHAnsi"/>
          <w:lang w:val="en-GB"/>
        </w:rPr>
        <w:t>e</w:t>
      </w:r>
      <w:r w:rsidR="00DE7533" w:rsidRPr="00DE7533">
        <w:rPr>
          <w:rFonts w:cstheme="minorHAnsi"/>
          <w:lang w:val="en-GB"/>
        </w:rPr>
        <w:t xml:space="preserve">xplicitly teach </w:t>
      </w:r>
      <w:r w:rsidR="002A7BBB">
        <w:rPr>
          <w:rFonts w:cstheme="minorHAnsi"/>
          <w:lang w:val="en-GB"/>
        </w:rPr>
        <w:t xml:space="preserve">learning </w:t>
      </w:r>
      <w:r w:rsidR="00DE7533" w:rsidRPr="00DE7533">
        <w:rPr>
          <w:rFonts w:cstheme="minorHAnsi"/>
          <w:lang w:val="en-GB"/>
        </w:rPr>
        <w:t xml:space="preserve">behaviours </w:t>
      </w:r>
      <w:r w:rsidR="002A7BBB">
        <w:rPr>
          <w:rFonts w:cstheme="minorHAnsi"/>
          <w:lang w:val="en-GB"/>
        </w:rPr>
        <w:t xml:space="preserve">by identifying where students </w:t>
      </w:r>
      <w:r w:rsidR="00611889">
        <w:rPr>
          <w:rFonts w:cstheme="minorHAnsi"/>
          <w:lang w:val="en-GB"/>
        </w:rPr>
        <w:t xml:space="preserve">have not acquired learning behaviours and modelling, providing examples and </w:t>
      </w:r>
      <w:r w:rsidR="0023656C">
        <w:rPr>
          <w:rFonts w:cstheme="minorHAnsi"/>
          <w:lang w:val="en-GB"/>
        </w:rPr>
        <w:t>reinforcing through feedback (</w:t>
      </w:r>
      <w:r w:rsidR="00AF16AB">
        <w:rPr>
          <w:rFonts w:cstheme="minorHAnsi"/>
          <w:lang w:val="en-GB"/>
        </w:rPr>
        <w:t>Goss et al., 2017</w:t>
      </w:r>
      <w:r w:rsidR="0023656C">
        <w:rPr>
          <w:rFonts w:cstheme="minorHAnsi"/>
          <w:lang w:val="en-GB"/>
        </w:rPr>
        <w:t>)</w:t>
      </w:r>
      <w:r w:rsidR="00AF16AB">
        <w:rPr>
          <w:rFonts w:cstheme="minorHAnsi"/>
          <w:lang w:val="en-GB"/>
        </w:rPr>
        <w:t>.</w:t>
      </w:r>
    </w:p>
    <w:p w14:paraId="74B2907D" w14:textId="351F7722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Worked examples</w:t>
      </w:r>
      <w:r w:rsidR="00DA615A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CC1EC1" w:rsidRPr="00CC1EC1">
        <w:rPr>
          <w:rFonts w:cstheme="minorHAnsi"/>
          <w:lang w:val="en-GB"/>
        </w:rPr>
        <w:t>A large body of research studies has indicated positive effects of worked examples on students’ learning, especially for learners who are new to a specific task domain</w:t>
      </w:r>
      <w:r w:rsidR="00CC1EC1">
        <w:rPr>
          <w:rFonts w:cstheme="minorHAnsi"/>
          <w:lang w:val="en-GB"/>
        </w:rPr>
        <w:t xml:space="preserve"> (</w:t>
      </w:r>
      <w:r w:rsidR="0017219B">
        <w:rPr>
          <w:rFonts w:cstheme="minorHAnsi"/>
          <w:lang w:val="en-GB"/>
        </w:rPr>
        <w:t xml:space="preserve">Chen et al., 2019). </w:t>
      </w:r>
      <w:r w:rsidR="00C27EBE" w:rsidRPr="00601169">
        <w:rPr>
          <w:rFonts w:cstheme="minorHAnsi"/>
        </w:rPr>
        <w:t>The use of worked examples is particularly effective when explaining multi-step tasks (Hattie, 2013)</w:t>
      </w:r>
    </w:p>
    <w:p w14:paraId="015E101D" w14:textId="347DEEB5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Collaborative learning</w:t>
      </w:r>
      <w:r w:rsidR="00DA615A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C27EBE" w:rsidRPr="00601169">
        <w:rPr>
          <w:rFonts w:cstheme="minorHAnsi"/>
        </w:rPr>
        <w:t xml:space="preserve">Research </w:t>
      </w:r>
      <w:r w:rsidR="000F6205">
        <w:rPr>
          <w:rFonts w:cstheme="minorHAnsi"/>
        </w:rPr>
        <w:t>consistently finds t</w:t>
      </w:r>
      <w:r w:rsidR="00F510CE">
        <w:rPr>
          <w:rFonts w:cstheme="minorHAnsi"/>
        </w:rPr>
        <w:t>hat collaborative approaches have a positive impact on student learning</w:t>
      </w:r>
      <w:r w:rsidR="00C830DA">
        <w:rPr>
          <w:rFonts w:cstheme="minorHAnsi"/>
        </w:rPr>
        <w:t xml:space="preserve"> (Evidence for Learning, 2019)</w:t>
      </w:r>
      <w:r w:rsidR="00F510CE">
        <w:rPr>
          <w:rFonts w:cstheme="minorHAnsi"/>
        </w:rPr>
        <w:t>. S</w:t>
      </w:r>
      <w:r w:rsidR="00C27EBE" w:rsidRPr="00601169">
        <w:rPr>
          <w:rFonts w:cstheme="minorHAnsi"/>
        </w:rPr>
        <w:t xml:space="preserve">tudent peer tutoring is </w:t>
      </w:r>
      <w:r w:rsidR="00F510CE">
        <w:rPr>
          <w:rFonts w:cstheme="minorHAnsi"/>
        </w:rPr>
        <w:t xml:space="preserve">also </w:t>
      </w:r>
      <w:r w:rsidR="00C27EBE" w:rsidRPr="00601169">
        <w:rPr>
          <w:rFonts w:cstheme="minorHAnsi"/>
        </w:rPr>
        <w:t>an effective intervention across a range of contexts, but potentially especially valuable to students with emotional and behavioural disorders (Bowman-Perrott et al., 2013).</w:t>
      </w:r>
    </w:p>
    <w:p w14:paraId="109CD007" w14:textId="62495869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Multiple exposures</w:t>
      </w:r>
      <w:r w:rsidR="00DA615A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C27EBE" w:rsidRPr="00601169">
        <w:rPr>
          <w:rFonts w:cstheme="minorHAnsi"/>
        </w:rPr>
        <w:t>Research demonstrates deep learning develops over time via multiple, spaced interactions with new knowledge and concepts (Kang, 2016).</w:t>
      </w:r>
    </w:p>
    <w:p w14:paraId="6AE54574" w14:textId="5AD16746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Questioning</w:t>
      </w:r>
      <w:r w:rsidR="00DA615A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E60005" w:rsidRPr="00E60005">
        <w:rPr>
          <w:rFonts w:cstheme="minorHAnsi"/>
          <w:lang w:val="en-GB"/>
        </w:rPr>
        <w:t xml:space="preserve">asking questions </w:t>
      </w:r>
      <w:r w:rsidR="00AE7066">
        <w:rPr>
          <w:rFonts w:cstheme="minorHAnsi"/>
          <w:lang w:val="en-GB"/>
        </w:rPr>
        <w:t>enables teachers to check for understanding, m</w:t>
      </w:r>
      <w:r w:rsidR="00E60005" w:rsidRPr="00E60005">
        <w:rPr>
          <w:rFonts w:cstheme="minorHAnsi"/>
          <w:lang w:val="en-GB"/>
        </w:rPr>
        <w:t>otivat</w:t>
      </w:r>
      <w:r w:rsidR="00AE7066">
        <w:rPr>
          <w:rFonts w:cstheme="minorHAnsi"/>
          <w:lang w:val="en-GB"/>
        </w:rPr>
        <w:t xml:space="preserve">es </w:t>
      </w:r>
      <w:r w:rsidR="00E60005" w:rsidRPr="00E60005">
        <w:rPr>
          <w:rFonts w:cstheme="minorHAnsi"/>
          <w:lang w:val="en-GB"/>
        </w:rPr>
        <w:t>students, lead</w:t>
      </w:r>
      <w:r w:rsidR="00934E80">
        <w:rPr>
          <w:rFonts w:cstheme="minorHAnsi"/>
          <w:lang w:val="en-GB"/>
        </w:rPr>
        <w:t>s</w:t>
      </w:r>
      <w:r w:rsidR="00E60005" w:rsidRPr="00E60005">
        <w:rPr>
          <w:rFonts w:cstheme="minorHAnsi"/>
          <w:lang w:val="en-GB"/>
        </w:rPr>
        <w:t xml:space="preserve"> students to think</w:t>
      </w:r>
      <w:r w:rsidR="00934E80">
        <w:rPr>
          <w:rFonts w:cstheme="minorHAnsi"/>
          <w:lang w:val="en-GB"/>
        </w:rPr>
        <w:t xml:space="preserve">, </w:t>
      </w:r>
      <w:r w:rsidR="00E60005" w:rsidRPr="00E60005">
        <w:rPr>
          <w:rFonts w:cstheme="minorHAnsi"/>
          <w:lang w:val="en-GB"/>
        </w:rPr>
        <w:t>develop</w:t>
      </w:r>
      <w:r w:rsidR="00934E80">
        <w:rPr>
          <w:rFonts w:cstheme="minorHAnsi"/>
          <w:lang w:val="en-GB"/>
        </w:rPr>
        <w:t>s</w:t>
      </w:r>
      <w:r w:rsidR="00E60005" w:rsidRPr="00E60005">
        <w:rPr>
          <w:rFonts w:cstheme="minorHAnsi"/>
          <w:lang w:val="en-GB"/>
        </w:rPr>
        <w:t xml:space="preserve"> problem solving skill</w:t>
      </w:r>
      <w:r w:rsidR="00934E80">
        <w:rPr>
          <w:rFonts w:cstheme="minorHAnsi"/>
          <w:lang w:val="en-GB"/>
        </w:rPr>
        <w:t xml:space="preserve">s and can </w:t>
      </w:r>
      <w:r w:rsidR="00E60005" w:rsidRPr="00E60005">
        <w:rPr>
          <w:rFonts w:cstheme="minorHAnsi"/>
          <w:lang w:val="en-GB"/>
        </w:rPr>
        <w:t xml:space="preserve">improving academic achievement </w:t>
      </w:r>
      <w:r w:rsidR="00934E80">
        <w:rPr>
          <w:rFonts w:cstheme="minorHAnsi"/>
          <w:lang w:val="en-GB"/>
        </w:rPr>
        <w:t>outcomes (</w:t>
      </w:r>
      <w:r w:rsidR="000F60D7">
        <w:rPr>
          <w:rFonts w:cstheme="minorHAnsi"/>
          <w:lang w:val="en-GB"/>
        </w:rPr>
        <w:t xml:space="preserve">Buchanan Hill, 2016). The </w:t>
      </w:r>
      <w:r w:rsidR="00C27EBE" w:rsidRPr="00601169">
        <w:rPr>
          <w:rFonts w:cstheme="minorHAnsi"/>
        </w:rPr>
        <w:t>most effective questions are high order ‘why?’ ‘how?” and ‘which is best?’ questions that really make students think</w:t>
      </w:r>
      <w:r w:rsidR="000F0C27">
        <w:rPr>
          <w:rFonts w:cstheme="minorHAnsi"/>
        </w:rPr>
        <w:t xml:space="preserve">. This </w:t>
      </w:r>
      <w:r w:rsidR="00C27EBE" w:rsidRPr="00601169">
        <w:rPr>
          <w:rFonts w:cstheme="minorHAnsi"/>
        </w:rPr>
        <w:t>requires processing time and may be more effective in pairs than alone.</w:t>
      </w:r>
    </w:p>
    <w:p w14:paraId="78A65F39" w14:textId="2E73C977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Feedback</w:t>
      </w:r>
      <w:r w:rsidR="00DA615A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C27EBE" w:rsidRPr="00601169">
        <w:rPr>
          <w:rFonts w:cstheme="minorHAnsi"/>
        </w:rPr>
        <w:t xml:space="preserve">Effective feedback </w:t>
      </w:r>
      <w:r w:rsidR="00DA615A" w:rsidRPr="00601169">
        <w:rPr>
          <w:rFonts w:cstheme="minorHAnsi"/>
        </w:rPr>
        <w:t xml:space="preserve">is: </w:t>
      </w:r>
      <w:r w:rsidR="00C27EBE" w:rsidRPr="00601169">
        <w:rPr>
          <w:rFonts w:cstheme="minorHAnsi"/>
        </w:rPr>
        <w:t>specific, accurate and clear; compare</w:t>
      </w:r>
      <w:r w:rsidR="00DA615A" w:rsidRPr="00601169">
        <w:rPr>
          <w:rFonts w:cstheme="minorHAnsi"/>
        </w:rPr>
        <w:t>s</w:t>
      </w:r>
      <w:r w:rsidR="00C27EBE" w:rsidRPr="00601169">
        <w:rPr>
          <w:rFonts w:cstheme="minorHAnsi"/>
        </w:rPr>
        <w:t xml:space="preserve"> what a learner is doing right now with what they have done wrong before</w:t>
      </w:r>
      <w:r w:rsidR="000F0C27">
        <w:rPr>
          <w:rFonts w:cstheme="minorHAnsi"/>
        </w:rPr>
        <w:t>,</w:t>
      </w:r>
      <w:r w:rsidR="00C27EBE" w:rsidRPr="00601169">
        <w:rPr>
          <w:rFonts w:cstheme="minorHAnsi"/>
        </w:rPr>
        <w:t xml:space="preserve"> and encourage</w:t>
      </w:r>
      <w:r w:rsidR="00DA615A" w:rsidRPr="00601169">
        <w:rPr>
          <w:rFonts w:cstheme="minorHAnsi"/>
        </w:rPr>
        <w:t>s</w:t>
      </w:r>
      <w:r w:rsidR="00C27EBE" w:rsidRPr="00601169">
        <w:rPr>
          <w:rFonts w:cstheme="minorHAnsi"/>
        </w:rPr>
        <w:t xml:space="preserve"> and support</w:t>
      </w:r>
      <w:r w:rsidR="00DA615A" w:rsidRPr="00601169">
        <w:rPr>
          <w:rFonts w:cstheme="minorHAnsi"/>
        </w:rPr>
        <w:t>s</w:t>
      </w:r>
      <w:r w:rsidR="00C27EBE" w:rsidRPr="00601169">
        <w:rPr>
          <w:rFonts w:cstheme="minorHAnsi"/>
        </w:rPr>
        <w:t xml:space="preserve"> further effort (Evidence for Learning, 2019). Those studies showing the highest effect sizes involved students receiving information feedback about a task and how to do it more effectively. Lower effect sizes were related to praise, rewards, and punishment (Hattie &amp; Timperley, 2007).</w:t>
      </w:r>
    </w:p>
    <w:p w14:paraId="117F5535" w14:textId="48CEA7B7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Metacognitive strategies</w:t>
      </w:r>
      <w:r w:rsidR="00DA615A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E87D70" w:rsidRPr="00E87D70">
        <w:rPr>
          <w:rFonts w:cstheme="minorHAnsi"/>
        </w:rPr>
        <w:t>Metacogniti</w:t>
      </w:r>
      <w:r w:rsidR="0055278C">
        <w:rPr>
          <w:rFonts w:cstheme="minorHAnsi"/>
        </w:rPr>
        <w:t xml:space="preserve">ve strategies </w:t>
      </w:r>
      <w:r w:rsidR="00CF2DCB">
        <w:rPr>
          <w:rFonts w:cstheme="minorHAnsi"/>
        </w:rPr>
        <w:t>support students to think about their own learning and</w:t>
      </w:r>
      <w:r w:rsidR="00E87D70" w:rsidRPr="00E87D70">
        <w:rPr>
          <w:rFonts w:cstheme="minorHAnsi"/>
        </w:rPr>
        <w:t xml:space="preserve"> consistently</w:t>
      </w:r>
      <w:r w:rsidR="00615203">
        <w:rPr>
          <w:rFonts w:cstheme="minorHAnsi"/>
        </w:rPr>
        <w:t xml:space="preserve"> have</w:t>
      </w:r>
      <w:r w:rsidR="00E87D70" w:rsidRPr="00E87D70">
        <w:rPr>
          <w:rFonts w:cstheme="minorHAnsi"/>
        </w:rPr>
        <w:t xml:space="preserve"> high levels of impact</w:t>
      </w:r>
      <w:r w:rsidR="00615203">
        <w:rPr>
          <w:rFonts w:cstheme="minorHAnsi"/>
        </w:rPr>
        <w:t xml:space="preserve"> on student academic achievement (Evidence for learning, 2019). </w:t>
      </w:r>
      <w:r w:rsidR="00C27EBE" w:rsidRPr="00601169">
        <w:rPr>
          <w:rFonts w:cstheme="minorHAnsi"/>
        </w:rPr>
        <w:t>Effective teachers help students develop strategies to help them solve different types of problems (Kyriakides et al., 2013).</w:t>
      </w:r>
    </w:p>
    <w:p w14:paraId="373D25AE" w14:textId="1D773F7F" w:rsidR="00C27EBE" w:rsidRPr="00601169" w:rsidRDefault="00527E06" w:rsidP="00601169">
      <w:pPr>
        <w:pStyle w:val="ListParagraph"/>
        <w:numPr>
          <w:ilvl w:val="0"/>
          <w:numId w:val="37"/>
        </w:numPr>
        <w:rPr>
          <w:rFonts w:cstheme="minorHAnsi"/>
        </w:rPr>
      </w:pPr>
      <w:r w:rsidRPr="00601169">
        <w:rPr>
          <w:rFonts w:cstheme="minorHAnsi"/>
          <w:b/>
          <w:bCs/>
        </w:rPr>
        <w:t>Differentiated teaching</w:t>
      </w:r>
      <w:r w:rsidR="00451E4B" w:rsidRPr="00601169">
        <w:rPr>
          <w:rFonts w:cstheme="minorHAnsi"/>
          <w:b/>
          <w:bCs/>
        </w:rPr>
        <w:t>:</w:t>
      </w:r>
      <w:r w:rsidRPr="00601169">
        <w:rPr>
          <w:rFonts w:cstheme="minorHAnsi"/>
        </w:rPr>
        <w:t xml:space="preserve"> </w:t>
      </w:r>
      <w:r w:rsidR="00691262">
        <w:rPr>
          <w:rFonts w:cstheme="minorHAnsi"/>
        </w:rPr>
        <w:t>S</w:t>
      </w:r>
      <w:r w:rsidR="00C27EBE" w:rsidRPr="00601169">
        <w:rPr>
          <w:rFonts w:cstheme="minorHAnsi"/>
        </w:rPr>
        <w:t>tudents come to learning with different levels of readiness, interest and pre-existing knowledge and learning does not happen at a pre-determined pace. Teaching can be differentiated by modifying the content, process, product or environment (Subban, 2006; Taylor, 2015).</w:t>
      </w:r>
    </w:p>
    <w:p w14:paraId="2061E128" w14:textId="4E1B2B96" w:rsidR="00BB02A7" w:rsidRDefault="00BB02A7" w:rsidP="00FB59E6"/>
    <w:p w14:paraId="4FCC2FDA" w14:textId="07C3C6EF" w:rsidR="00A86C7E" w:rsidRPr="00601169" w:rsidRDefault="00A86C7E">
      <w:pPr>
        <w:rPr>
          <w:b/>
          <w:bCs/>
          <w:szCs w:val="22"/>
        </w:rPr>
      </w:pPr>
      <w:r w:rsidRPr="00601169">
        <w:rPr>
          <w:b/>
          <w:bCs/>
        </w:rPr>
        <w:t>Evaluating impact on learning</w:t>
      </w:r>
    </w:p>
    <w:p w14:paraId="52BA444D" w14:textId="45B3026A" w:rsidR="003E1ACD" w:rsidRPr="0040023C" w:rsidRDefault="00B37293" w:rsidP="007455A5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2020 literature review </w:t>
      </w:r>
      <w:r w:rsidR="00524D14">
        <w:rPr>
          <w:rFonts w:cstheme="minorHAnsi"/>
          <w:szCs w:val="22"/>
        </w:rPr>
        <w:t xml:space="preserve">identified a significant research body supporting the </w:t>
      </w:r>
      <w:r w:rsidR="00135337" w:rsidRPr="00BD1304">
        <w:rPr>
          <w:rFonts w:cstheme="minorHAnsi"/>
          <w:szCs w:val="22"/>
        </w:rPr>
        <w:t>use of data</w:t>
      </w:r>
      <w:r w:rsidR="00432EC6">
        <w:rPr>
          <w:rFonts w:cstheme="minorHAnsi"/>
          <w:szCs w:val="22"/>
        </w:rPr>
        <w:t xml:space="preserve"> </w:t>
      </w:r>
      <w:r w:rsidR="00B90DDD">
        <w:rPr>
          <w:rFonts w:cstheme="minorHAnsi"/>
          <w:szCs w:val="22"/>
        </w:rPr>
        <w:t>as a driver of</w:t>
      </w:r>
      <w:r w:rsidR="00432EC6">
        <w:rPr>
          <w:rFonts w:cstheme="minorHAnsi"/>
          <w:szCs w:val="22"/>
        </w:rPr>
        <w:t xml:space="preserve"> school improvement </w:t>
      </w:r>
      <w:r w:rsidR="008D17E8">
        <w:rPr>
          <w:rFonts w:cstheme="minorHAnsi"/>
          <w:szCs w:val="22"/>
        </w:rPr>
        <w:t xml:space="preserve">which supports </w:t>
      </w:r>
      <w:r w:rsidR="00234D8C">
        <w:rPr>
          <w:rFonts w:cstheme="minorHAnsi"/>
          <w:szCs w:val="22"/>
        </w:rPr>
        <w:t>schools and teachers to evaluate impact on learning</w:t>
      </w:r>
      <w:r w:rsidR="00097026">
        <w:rPr>
          <w:rFonts w:cstheme="minorHAnsi"/>
          <w:szCs w:val="22"/>
        </w:rPr>
        <w:t xml:space="preserve"> (Harris et al., 2020)</w:t>
      </w:r>
      <w:r w:rsidR="00F91718" w:rsidRPr="00BD1304">
        <w:rPr>
          <w:rFonts w:cstheme="minorHAnsi"/>
          <w:szCs w:val="22"/>
        </w:rPr>
        <w:t>.</w:t>
      </w:r>
      <w:r w:rsidR="00AF7A66" w:rsidRPr="00BD1304">
        <w:rPr>
          <w:rFonts w:cstheme="minorHAnsi"/>
          <w:szCs w:val="22"/>
        </w:rPr>
        <w:t xml:space="preserve"> </w:t>
      </w:r>
      <w:r w:rsidR="00FB59E6" w:rsidRPr="00BD1304">
        <w:rPr>
          <w:rFonts w:cstheme="minorHAnsi"/>
          <w:szCs w:val="22"/>
        </w:rPr>
        <w:t>U</w:t>
      </w:r>
      <w:r w:rsidR="00DF5256">
        <w:rPr>
          <w:rFonts w:cstheme="minorHAnsi"/>
          <w:szCs w:val="22"/>
        </w:rPr>
        <w:t>sing</w:t>
      </w:r>
      <w:r w:rsidR="00FB59E6" w:rsidRPr="00BD1304">
        <w:rPr>
          <w:rFonts w:cstheme="minorHAnsi"/>
          <w:szCs w:val="22"/>
        </w:rPr>
        <w:t xml:space="preserve"> data provides teachers</w:t>
      </w:r>
      <w:r w:rsidR="00DF5256">
        <w:rPr>
          <w:rFonts w:cstheme="minorHAnsi"/>
          <w:szCs w:val="22"/>
        </w:rPr>
        <w:t xml:space="preserve"> and leaders</w:t>
      </w:r>
      <w:r w:rsidR="00FB59E6" w:rsidRPr="00BD1304">
        <w:rPr>
          <w:rFonts w:cstheme="minorHAnsi"/>
          <w:szCs w:val="22"/>
        </w:rPr>
        <w:t xml:space="preserve"> with the opportunity to understand the </w:t>
      </w:r>
      <w:r w:rsidR="00CE10A0">
        <w:rPr>
          <w:rFonts w:cstheme="minorHAnsi"/>
          <w:szCs w:val="22"/>
        </w:rPr>
        <w:t xml:space="preserve">underlying </w:t>
      </w:r>
      <w:r w:rsidR="00DC76BB" w:rsidRPr="00BD1304">
        <w:rPr>
          <w:rFonts w:cstheme="minorHAnsi"/>
          <w:szCs w:val="22"/>
        </w:rPr>
        <w:t>barriers to student learnin</w:t>
      </w:r>
      <w:r w:rsidR="00DF5256">
        <w:rPr>
          <w:rFonts w:cstheme="minorHAnsi"/>
          <w:szCs w:val="22"/>
        </w:rPr>
        <w:t>g</w:t>
      </w:r>
      <w:r w:rsidR="00CE10A0">
        <w:rPr>
          <w:rFonts w:cstheme="minorHAnsi"/>
          <w:szCs w:val="22"/>
        </w:rPr>
        <w:t xml:space="preserve"> or misconceptions</w:t>
      </w:r>
      <w:r w:rsidR="00D37093">
        <w:rPr>
          <w:rFonts w:cstheme="minorHAnsi"/>
          <w:szCs w:val="22"/>
        </w:rPr>
        <w:t xml:space="preserve"> and </w:t>
      </w:r>
      <w:r w:rsidR="004121DD">
        <w:rPr>
          <w:rFonts w:cstheme="minorHAnsi"/>
          <w:szCs w:val="22"/>
        </w:rPr>
        <w:t>implement</w:t>
      </w:r>
      <w:r w:rsidR="00FB59E6" w:rsidRPr="00BD1304">
        <w:rPr>
          <w:rFonts w:cstheme="minorHAnsi"/>
          <w:szCs w:val="22"/>
        </w:rPr>
        <w:t xml:space="preserve"> programs or classroom practices </w:t>
      </w:r>
      <w:r w:rsidR="004121DD">
        <w:rPr>
          <w:rFonts w:cstheme="minorHAnsi"/>
          <w:szCs w:val="22"/>
        </w:rPr>
        <w:t>to address these.</w:t>
      </w:r>
      <w:r w:rsidR="00F91718" w:rsidRPr="00BD1304">
        <w:rPr>
          <w:rFonts w:cstheme="minorHAnsi"/>
          <w:szCs w:val="22"/>
        </w:rPr>
        <w:t xml:space="preserve"> (Brown &amp; Greany, 2018; Knipe, 2019).</w:t>
      </w:r>
      <w:r w:rsidR="007E7663">
        <w:rPr>
          <w:rFonts w:cstheme="minorHAnsi"/>
          <w:szCs w:val="22"/>
        </w:rPr>
        <w:t xml:space="preserve"> </w:t>
      </w:r>
      <w:r w:rsidR="00401C10">
        <w:rPr>
          <w:rFonts w:cstheme="minorHAnsi"/>
          <w:bCs/>
          <w:szCs w:val="22"/>
        </w:rPr>
        <w:t>PL may be required to afford</w:t>
      </w:r>
      <w:r w:rsidR="00A03867" w:rsidRPr="00BD1304">
        <w:rPr>
          <w:rFonts w:cstheme="minorHAnsi"/>
          <w:bCs/>
          <w:szCs w:val="22"/>
        </w:rPr>
        <w:t xml:space="preserve"> </w:t>
      </w:r>
      <w:r w:rsidR="00A03867" w:rsidRPr="00BD1304">
        <w:rPr>
          <w:rFonts w:cstheme="minorHAnsi"/>
          <w:szCs w:val="22"/>
        </w:rPr>
        <w:t xml:space="preserve">teaching </w:t>
      </w:r>
      <w:r w:rsidR="00A03867" w:rsidRPr="00BD1304">
        <w:rPr>
          <w:rFonts w:cstheme="minorHAnsi"/>
          <w:bCs/>
          <w:szCs w:val="22"/>
        </w:rPr>
        <w:t>staff and those in leadership positions the requisite skills for managing and analysing data.</w:t>
      </w:r>
      <w:r w:rsidR="00A03867" w:rsidRPr="00BD1304">
        <w:rPr>
          <w:rFonts w:cstheme="minorHAnsi"/>
          <w:szCs w:val="22"/>
        </w:rPr>
        <w:t xml:space="preserve"> Giving teachers the confidence to read data and subsequently implement findings, can facilitate the development of a culture of data-driven decision making that fosters change (</w:t>
      </w:r>
      <w:r w:rsidR="00A03867" w:rsidRPr="00BD1304">
        <w:rPr>
          <w:rFonts w:cstheme="minorHAnsi"/>
          <w:bCs/>
          <w:szCs w:val="22"/>
        </w:rPr>
        <w:t xml:space="preserve">Bowers, 2017; </w:t>
      </w:r>
      <w:r w:rsidR="00A03867" w:rsidRPr="00BD1304">
        <w:rPr>
          <w:rFonts w:cstheme="minorHAnsi"/>
          <w:szCs w:val="22"/>
        </w:rPr>
        <w:t>Harris et al., 2020;</w:t>
      </w:r>
      <w:r w:rsidR="00A03867" w:rsidRPr="00BD1304">
        <w:rPr>
          <w:rFonts w:cstheme="minorHAnsi"/>
          <w:bCs/>
          <w:noProof/>
          <w:szCs w:val="22"/>
        </w:rPr>
        <w:t xml:space="preserve"> Keuning et al., 2016; </w:t>
      </w:r>
      <w:r w:rsidR="00A03867" w:rsidRPr="00BD1304">
        <w:rPr>
          <w:rFonts w:cstheme="minorHAnsi"/>
          <w:bCs/>
          <w:szCs w:val="22"/>
        </w:rPr>
        <w:t>Moyle, 2016;</w:t>
      </w:r>
      <w:r w:rsidR="00A03867" w:rsidRPr="00BD1304">
        <w:rPr>
          <w:rFonts w:cstheme="minorHAnsi"/>
          <w:szCs w:val="22"/>
        </w:rPr>
        <w:t xml:space="preserve"> </w:t>
      </w:r>
      <w:r w:rsidR="00A03867" w:rsidRPr="00BD1304">
        <w:rPr>
          <w:rFonts w:cstheme="minorHAnsi"/>
          <w:bCs/>
          <w:noProof/>
          <w:szCs w:val="22"/>
        </w:rPr>
        <w:t>Sun et al., 2016).</w:t>
      </w:r>
    </w:p>
    <w:p w14:paraId="40A1A8CB" w14:textId="55C64645" w:rsidR="000B0A8D" w:rsidRPr="000B0A8D" w:rsidRDefault="000B0A8D" w:rsidP="000B0A8D">
      <w:pPr>
        <w:spacing w:after="0"/>
        <w:rPr>
          <w:b/>
          <w:lang w:val="en-US"/>
        </w:rPr>
      </w:pPr>
      <w:bookmarkStart w:id="3" w:name="_Toc59023804"/>
      <w:r w:rsidRPr="000B0A8D">
        <w:rPr>
          <w:b/>
          <w:lang w:val="en-US"/>
        </w:rPr>
        <w:t>Case studies</w:t>
      </w:r>
      <w:bookmarkEnd w:id="3"/>
      <w:r w:rsidR="00333406">
        <w:rPr>
          <w:b/>
          <w:lang w:val="en-US"/>
        </w:rPr>
        <w:t>: building excellence in teaching and learning in practice</w:t>
      </w:r>
    </w:p>
    <w:p w14:paraId="14D53EFA" w14:textId="2FB9126F" w:rsidR="000B0A8D" w:rsidRPr="000B0A8D" w:rsidRDefault="005A1011" w:rsidP="000565A1">
      <w:pPr>
        <w:numPr>
          <w:ilvl w:val="0"/>
          <w:numId w:val="38"/>
        </w:numPr>
        <w:ind w:left="499" w:hanging="357"/>
        <w:rPr>
          <w:lang w:val="en"/>
        </w:rPr>
      </w:pPr>
      <w:hyperlink r:id="rId11" w:history="1">
        <w:r w:rsidR="000B0A8D" w:rsidRPr="000B0A8D">
          <w:rPr>
            <w:rStyle w:val="Hyperlink"/>
            <w:lang w:val="en-US"/>
          </w:rPr>
          <w:t xml:space="preserve">Fairfield Primary School, </w:t>
        </w:r>
        <w:r w:rsidR="000B0A8D" w:rsidRPr="000B0A8D">
          <w:rPr>
            <w:rStyle w:val="Hyperlink"/>
            <w:lang w:val="en"/>
          </w:rPr>
          <w:t>Narre Warren South P-12 College, Brighton Primary School:</w:t>
        </w:r>
      </w:hyperlink>
      <w:r w:rsidR="000B0A8D" w:rsidRPr="000B0A8D">
        <w:rPr>
          <w:lang w:val="en-US"/>
        </w:rPr>
        <w:t xml:space="preserve"> </w:t>
      </w:r>
      <w:r w:rsidR="004C47A6">
        <w:rPr>
          <w:lang w:val="en-US"/>
        </w:rPr>
        <w:t>I</w:t>
      </w:r>
      <w:r w:rsidR="000B0A8D" w:rsidRPr="000B0A8D">
        <w:rPr>
          <w:lang w:val="en-US"/>
        </w:rPr>
        <w:t>mplementing the HITs to drive school improvement</w:t>
      </w:r>
      <w:bookmarkStart w:id="4" w:name="_GoBack"/>
      <w:bookmarkEnd w:id="4"/>
      <w:r w:rsidR="000B0A8D" w:rsidRPr="000B0A8D">
        <w:rPr>
          <w:lang w:val="en"/>
        </w:rPr>
        <w:t xml:space="preserve"> </w:t>
      </w:r>
    </w:p>
    <w:p w14:paraId="53DDBE62" w14:textId="0628FB70" w:rsidR="000B0A8D" w:rsidRPr="000B0A8D" w:rsidRDefault="005A1011" w:rsidP="000565A1">
      <w:pPr>
        <w:numPr>
          <w:ilvl w:val="0"/>
          <w:numId w:val="38"/>
        </w:numPr>
        <w:ind w:left="499" w:hanging="357"/>
        <w:rPr>
          <w:lang w:val="en-US"/>
        </w:rPr>
      </w:pPr>
      <w:hyperlink r:id="rId12" w:history="1">
        <w:r w:rsidR="000B0A8D" w:rsidRPr="000B0A8D">
          <w:rPr>
            <w:rStyle w:val="Hyperlink"/>
            <w:lang w:val="en-US"/>
          </w:rPr>
          <w:t>Burwood East Primary School</w:t>
        </w:r>
      </w:hyperlink>
      <w:r w:rsidR="000B0A8D" w:rsidRPr="000B0A8D">
        <w:rPr>
          <w:lang w:val="en-US"/>
        </w:rPr>
        <w:t xml:space="preserve">: </w:t>
      </w:r>
      <w:r w:rsidR="004C47A6">
        <w:rPr>
          <w:lang w:val="en-US"/>
        </w:rPr>
        <w:t>I</w:t>
      </w:r>
      <w:r w:rsidR="000B0A8D" w:rsidRPr="000B0A8D">
        <w:rPr>
          <w:lang w:val="en-US"/>
        </w:rPr>
        <w:t>mplementing a whole-school approach to teaching and learning literacy to increase teacher collaboration and shared responsibility for student outcomes</w:t>
      </w:r>
    </w:p>
    <w:p w14:paraId="7CDD8CF7" w14:textId="2BDE31CB" w:rsidR="000B0A8D" w:rsidRPr="000B0A8D" w:rsidRDefault="005A1011" w:rsidP="000565A1">
      <w:pPr>
        <w:numPr>
          <w:ilvl w:val="0"/>
          <w:numId w:val="38"/>
        </w:numPr>
        <w:ind w:left="499" w:hanging="357"/>
        <w:rPr>
          <w:lang w:val="en-US"/>
        </w:rPr>
      </w:pPr>
      <w:hyperlink r:id="rId13" w:history="1">
        <w:r w:rsidR="000B0A8D" w:rsidRPr="000B0A8D">
          <w:rPr>
            <w:rStyle w:val="Hyperlink"/>
            <w:lang w:val="en-US"/>
          </w:rPr>
          <w:t>Wodonga Senior Secondary College</w:t>
        </w:r>
      </w:hyperlink>
      <w:r w:rsidR="000B0A8D" w:rsidRPr="000B0A8D">
        <w:rPr>
          <w:lang w:val="en-US"/>
        </w:rPr>
        <w:t xml:space="preserve">: </w:t>
      </w:r>
      <w:r w:rsidR="004C47A6">
        <w:rPr>
          <w:lang w:val="en-US"/>
        </w:rPr>
        <w:t>I</w:t>
      </w:r>
      <w:r w:rsidR="000B0A8D" w:rsidRPr="000B0A8D">
        <w:rPr>
          <w:lang w:val="en-US"/>
        </w:rPr>
        <w:t>mplementing the ‘triad’ model of small teacher support to improve quality instruction in every classroom</w:t>
      </w:r>
    </w:p>
    <w:p w14:paraId="7CFEAA4B" w14:textId="41F695D0" w:rsidR="009D3F37" w:rsidRDefault="005A1011" w:rsidP="000565A1">
      <w:pPr>
        <w:numPr>
          <w:ilvl w:val="0"/>
          <w:numId w:val="38"/>
        </w:numPr>
        <w:ind w:left="499" w:hanging="357"/>
        <w:rPr>
          <w:lang w:val="en-US"/>
        </w:rPr>
      </w:pPr>
      <w:hyperlink r:id="rId14" w:anchor="link2" w:history="1">
        <w:r w:rsidR="000B0A8D" w:rsidRPr="000B0A8D">
          <w:rPr>
            <w:rStyle w:val="Hyperlink"/>
            <w:lang w:val="en-US"/>
          </w:rPr>
          <w:t>Hume/Moreland Network of schools:</w:t>
        </w:r>
      </w:hyperlink>
      <w:r w:rsidR="000B0A8D" w:rsidRPr="000B0A8D">
        <w:rPr>
          <w:lang w:val="en-US"/>
        </w:rPr>
        <w:t xml:space="preserve">  </w:t>
      </w:r>
      <w:r w:rsidR="004C47A6">
        <w:rPr>
          <w:lang w:val="en-US"/>
        </w:rPr>
        <w:t>E</w:t>
      </w:r>
      <w:r w:rsidR="000B0A8D" w:rsidRPr="000B0A8D">
        <w:rPr>
          <w:lang w:val="en-US"/>
        </w:rPr>
        <w:t xml:space="preserve">stablishing a CoP to work collaboratively and improve student learning outcomes in numeracy </w:t>
      </w:r>
    </w:p>
    <w:p w14:paraId="2A20CC89" w14:textId="4F927DF2" w:rsidR="009D3F37" w:rsidRPr="009D3F37" w:rsidRDefault="005A1011" w:rsidP="000565A1">
      <w:pPr>
        <w:numPr>
          <w:ilvl w:val="0"/>
          <w:numId w:val="38"/>
        </w:numPr>
        <w:ind w:left="499" w:hanging="357"/>
        <w:rPr>
          <w:lang w:val="en-US"/>
        </w:rPr>
      </w:pPr>
      <w:hyperlink r:id="rId15">
        <w:r w:rsidR="009D3F37" w:rsidRPr="009D3F37">
          <w:rPr>
            <w:rStyle w:val="Hyperlink"/>
            <w:lang w:val="en-US"/>
          </w:rPr>
          <w:t>Footscray North Primary School</w:t>
        </w:r>
      </w:hyperlink>
      <w:r w:rsidR="009D3F37" w:rsidRPr="009D3F37">
        <w:rPr>
          <w:u w:val="single"/>
          <w:lang w:val="en-US"/>
        </w:rPr>
        <w:t>:</w:t>
      </w:r>
      <w:r w:rsidR="009D3F37" w:rsidRPr="009D3F37">
        <w:rPr>
          <w:lang w:val="en-US"/>
        </w:rPr>
        <w:t xml:space="preserve"> </w:t>
      </w:r>
      <w:r w:rsidR="004C47A6">
        <w:rPr>
          <w:lang w:val="en-US"/>
        </w:rPr>
        <w:t>D</w:t>
      </w:r>
      <w:r w:rsidR="009D3F37" w:rsidRPr="009D3F37">
        <w:rPr>
          <w:lang w:val="en-US"/>
        </w:rPr>
        <w:t>eveloping a Literacy Non-Negotiables document to ensure consistent delivery of practice and reduce variability from room to room</w:t>
      </w:r>
    </w:p>
    <w:p w14:paraId="47536B07" w14:textId="34161E3B" w:rsidR="009D3F37" w:rsidRPr="009D3F37" w:rsidRDefault="005A1011" w:rsidP="000565A1">
      <w:pPr>
        <w:numPr>
          <w:ilvl w:val="0"/>
          <w:numId w:val="38"/>
        </w:numPr>
        <w:ind w:left="499" w:hanging="357"/>
        <w:rPr>
          <w:lang w:val="en-US"/>
        </w:rPr>
      </w:pPr>
      <w:hyperlink r:id="rId16">
        <w:r w:rsidR="009D3F37" w:rsidRPr="009D3F37">
          <w:rPr>
            <w:rStyle w:val="Hyperlink"/>
            <w:lang w:val="en-US"/>
          </w:rPr>
          <w:t>Officer Primary School</w:t>
        </w:r>
      </w:hyperlink>
      <w:r w:rsidR="009D3F37" w:rsidRPr="009D3F37">
        <w:rPr>
          <w:u w:val="single"/>
          <w:lang w:val="en-US"/>
        </w:rPr>
        <w:t xml:space="preserve">: </w:t>
      </w:r>
      <w:r w:rsidR="009D3F37" w:rsidRPr="009D3F37">
        <w:rPr>
          <w:vanish/>
          <w:u w:val="single"/>
          <w:lang w:val="en"/>
        </w:rPr>
        <w:t>build consistency in teaching and learning and strengthen staff collaboration to improve student outcomes.   </w:t>
      </w:r>
      <w:r w:rsidR="004C47A6">
        <w:rPr>
          <w:lang w:val="en-US"/>
        </w:rPr>
        <w:t>B</w:t>
      </w:r>
      <w:r w:rsidR="009D3F37" w:rsidRPr="009D3F37">
        <w:rPr>
          <w:lang w:val="en-US"/>
        </w:rPr>
        <w:t>uilding consistency in teaching and learning and strengthening staff collaboration to improve literacy outcomes</w:t>
      </w:r>
    </w:p>
    <w:p w14:paraId="663DBB6A" w14:textId="094841EF" w:rsidR="009D3F37" w:rsidRDefault="005A1011" w:rsidP="000565A1">
      <w:pPr>
        <w:numPr>
          <w:ilvl w:val="0"/>
          <w:numId w:val="38"/>
        </w:numPr>
        <w:ind w:left="499" w:hanging="357"/>
        <w:rPr>
          <w:lang w:val="en-US"/>
        </w:rPr>
      </w:pPr>
      <w:hyperlink r:id="rId17">
        <w:r w:rsidR="009D3F37" w:rsidRPr="009D3F37">
          <w:rPr>
            <w:rStyle w:val="Hyperlink"/>
            <w:lang w:val="en-US"/>
          </w:rPr>
          <w:t>Irymple Primary School</w:t>
        </w:r>
      </w:hyperlink>
      <w:r w:rsidR="009D3F37" w:rsidRPr="009D3F37">
        <w:rPr>
          <w:u w:val="single"/>
          <w:lang w:val="en-US"/>
        </w:rPr>
        <w:t xml:space="preserve">: </w:t>
      </w:r>
      <w:r w:rsidR="004C47A6">
        <w:rPr>
          <w:lang w:val="en-US"/>
        </w:rPr>
        <w:t>D</w:t>
      </w:r>
      <w:r w:rsidR="009D3F37" w:rsidRPr="009D3F37">
        <w:rPr>
          <w:lang w:val="en-US"/>
        </w:rPr>
        <w:t>eveloping a moderation resource based on the Victorian Curriculum to enable teachers to assess students’ writing with consistency and accuracy across the school</w:t>
      </w:r>
    </w:p>
    <w:p w14:paraId="37BBECFC" w14:textId="470A2661" w:rsidR="001E7EB8" w:rsidRPr="001E7EB8" w:rsidRDefault="005A1011" w:rsidP="001E7EB8">
      <w:pPr>
        <w:numPr>
          <w:ilvl w:val="0"/>
          <w:numId w:val="38"/>
        </w:numPr>
        <w:spacing w:after="0"/>
        <w:rPr>
          <w:lang w:val="en-US"/>
        </w:rPr>
      </w:pPr>
      <w:hyperlink r:id="rId18" w:history="1">
        <w:r w:rsidR="001E7EB8">
          <w:rPr>
            <w:rStyle w:val="Hyperlink"/>
            <w:lang w:val="en-US"/>
          </w:rPr>
          <w:t>Torquay College</w:t>
        </w:r>
      </w:hyperlink>
      <w:r w:rsidR="001E7EB8">
        <w:rPr>
          <w:u w:val="single"/>
          <w:lang w:val="en-US"/>
        </w:rPr>
        <w:t xml:space="preserve">: </w:t>
      </w:r>
      <w:r w:rsidR="001E7EB8">
        <w:rPr>
          <w:lang w:val="en-US"/>
        </w:rPr>
        <w:t>building the capacity of staff to plan for deep learning, implement and review Inquiry units of work and consistently assess their students’ development of learning competencies.</w:t>
      </w:r>
    </w:p>
    <w:p w14:paraId="5A75D7FD" w14:textId="694BC379" w:rsidR="000B0A8D" w:rsidRPr="000B0A8D" w:rsidRDefault="000B0A8D" w:rsidP="00601169">
      <w:pPr>
        <w:spacing w:after="0"/>
        <w:rPr>
          <w:lang w:val="en-US"/>
        </w:rPr>
      </w:pPr>
    </w:p>
    <w:p w14:paraId="0C7870D0" w14:textId="77777777" w:rsidR="00C21CF8" w:rsidRDefault="00C21CF8">
      <w:pPr>
        <w:spacing w:after="0"/>
        <w:rPr>
          <w:rFonts w:asciiTheme="majorHAnsi" w:eastAsiaTheme="majorEastAsia" w:hAnsiTheme="majorHAnsi" w:cstheme="majorBidi"/>
          <w:b/>
          <w:caps/>
          <w:color w:val="004EA8" w:themeColor="accent1"/>
          <w:sz w:val="26"/>
          <w:szCs w:val="26"/>
        </w:rPr>
      </w:pPr>
      <w:r>
        <w:br w:type="page"/>
      </w:r>
    </w:p>
    <w:p w14:paraId="76279533" w14:textId="1BAE657F" w:rsidR="00421B45" w:rsidRDefault="00256AF5" w:rsidP="00421B45">
      <w:pPr>
        <w:pStyle w:val="Heading2"/>
      </w:pPr>
      <w:r>
        <w:t>R</w:t>
      </w:r>
      <w:r w:rsidR="00421B45">
        <w:t>eferences</w:t>
      </w:r>
    </w:p>
    <w:p w14:paraId="3C48D805" w14:textId="320C66CD" w:rsidR="00932B42" w:rsidRPr="00932B42" w:rsidRDefault="00932B42" w:rsidP="00932B42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932B42">
        <w:rPr>
          <w:rFonts w:asciiTheme="minorHAnsi" w:hAnsiTheme="minorHAnsi" w:cstheme="minorHAnsi"/>
          <w:noProof/>
          <w:sz w:val="22"/>
          <w:szCs w:val="22"/>
        </w:rPr>
        <w:t xml:space="preserve">AITSL (2018). The essential guide to professional learning: collaboration.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Retrieved from </w:t>
      </w:r>
      <w:hyperlink r:id="rId19" w:history="1">
        <w:r w:rsidR="00926DC5" w:rsidRPr="006810BF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https://www.aitsl.edu.au/tools-resources/resource/the-essential-guide-to-professional-learning-collaboration</w:t>
        </w:r>
      </w:hyperlink>
    </w:p>
    <w:p w14:paraId="7926D59E" w14:textId="6EEB635E" w:rsidR="00932B42" w:rsidRDefault="00932B42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932B42">
        <w:rPr>
          <w:rFonts w:asciiTheme="minorHAnsi" w:hAnsiTheme="minorHAnsi" w:cstheme="minorHAnsi"/>
          <w:noProof/>
          <w:sz w:val="22"/>
          <w:szCs w:val="22"/>
        </w:rPr>
        <w:t>Barber, M., &amp; Mourshed, M. (2007). How the world's best-performing schools systems come out on top. McKinsey &amp; Company.</w:t>
      </w:r>
      <w:r w:rsidR="00F20ED7">
        <w:rPr>
          <w:rFonts w:asciiTheme="minorHAnsi" w:hAnsiTheme="minorHAnsi" w:cstheme="minorHAnsi"/>
          <w:noProof/>
          <w:sz w:val="22"/>
          <w:szCs w:val="22"/>
        </w:rPr>
        <w:t xml:space="preserve"> Retrieved online: </w:t>
      </w:r>
      <w:hyperlink r:id="rId20" w:history="1">
        <w:r w:rsidR="009812BB" w:rsidRPr="008619C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https://www.mckinsey.com/industries/public-and-social-sector/our-insights/how-the-worlds-best-performing-school-systems-come-out-on-top</w:t>
        </w:r>
      </w:hyperlink>
    </w:p>
    <w:p w14:paraId="62FB51E1" w14:textId="558562A9" w:rsidR="00C35ABF" w:rsidRPr="00AE661E" w:rsidRDefault="00C35ABF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AE661E">
        <w:rPr>
          <w:rFonts w:asciiTheme="minorHAnsi" w:hAnsiTheme="minorHAnsi" w:cstheme="minorHAnsi"/>
          <w:noProof/>
          <w:sz w:val="22"/>
          <w:szCs w:val="22"/>
        </w:rPr>
        <w:t xml:space="preserve">Bauman, C. (2015). A refreshing perspective on teacher leadership: How teacher leaders effectively combine the use of autonomy and collaboration to enhance school improvement.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Leading &amp; Managing, 21</w:t>
      </w:r>
      <w:r w:rsidRPr="00AE661E">
        <w:rPr>
          <w:rFonts w:asciiTheme="minorHAnsi" w:hAnsiTheme="minorHAnsi" w:cstheme="minorHAnsi"/>
          <w:noProof/>
          <w:sz w:val="22"/>
          <w:szCs w:val="22"/>
        </w:rPr>
        <w:t>(2), 46-59</w:t>
      </w:r>
    </w:p>
    <w:p w14:paraId="2A0984A2" w14:textId="7CD0B107" w:rsidR="00A42320" w:rsidRPr="00F30D8A" w:rsidRDefault="00A42320" w:rsidP="008710A1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Battersby, S. L., &amp; Verdi, B. (2015). The culture of professional learning communities and connections to improve teacher efficacy and support student learning.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Arts Education Policy Review, 116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22-29. </w:t>
      </w:r>
    </w:p>
    <w:p w14:paraId="7BF189E3" w14:textId="6D2463DC" w:rsidR="00B938AE" w:rsidRPr="00B938AE" w:rsidRDefault="00B938AE" w:rsidP="00B938A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B938AE">
        <w:rPr>
          <w:rFonts w:asciiTheme="minorHAnsi" w:hAnsiTheme="minorHAnsi" w:cstheme="minorHAnsi"/>
          <w:noProof/>
          <w:sz w:val="22"/>
          <w:szCs w:val="22"/>
        </w:rPr>
        <w:t>Bennett, R. E. (2011) Formative assessment: a critical review</w:t>
      </w:r>
      <w:r w:rsidR="00C81824">
        <w:rPr>
          <w:rFonts w:asciiTheme="minorHAnsi" w:hAnsiTheme="minorHAnsi" w:cstheme="minorHAnsi"/>
          <w:noProof/>
          <w:sz w:val="22"/>
          <w:szCs w:val="22"/>
        </w:rPr>
        <w:t>.</w:t>
      </w:r>
      <w:r w:rsidRPr="00B938A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Assessment in Education: Principles, Policy &amp; Practice, 18</w:t>
      </w:r>
      <w:r w:rsidRPr="00B938AE">
        <w:rPr>
          <w:rFonts w:asciiTheme="minorHAnsi" w:hAnsiTheme="minorHAnsi" w:cstheme="minorHAnsi"/>
          <w:noProof/>
          <w:sz w:val="22"/>
          <w:szCs w:val="22"/>
        </w:rPr>
        <w:t xml:space="preserve">(1), 5–25. </w:t>
      </w:r>
    </w:p>
    <w:p w14:paraId="1D6B0D51" w14:textId="2817D4C0" w:rsidR="005D472D" w:rsidRPr="00F30D8A" w:rsidRDefault="005D472D" w:rsidP="008710A1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Benoliel, P., &amp; Berkovich, I. (2017). There is no “T” in school improvement: The missing team perspective.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International Journal of Educational Management, 31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(7), 922-929. </w:t>
      </w:r>
    </w:p>
    <w:p w14:paraId="5F4A67A7" w14:textId="244991F8" w:rsidR="003720FC" w:rsidRDefault="00CD75BB" w:rsidP="00A4232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Bill &amp; Melinda Gates Foundation (2013) Ensuring Fair and Reliable Measures of Effective Teaching: Culminating Findings from the MET Project’s Three-Year Study. Seattle: Bill &amp; Melinda Gates Foundation. Retrieved November 22, 2014, from </w:t>
      </w:r>
      <w:hyperlink r:id="rId21" w:history="1">
        <w:r w:rsidR="00C81824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www.google.com.au/url?sa=t&amp;rct=j&amp;q=&amp;esrc=s&amp;source=web&amp;cd=1&amp;cad=rja&amp;uact=8&amp;sqi=2&amp;ved=0CCIQFjAA&amp;url=http%3A%2F%2Fwww.metproject.org%2Fdownloads%2FMET_Ensuring_Fair_and_Reliable_Measures_Practitioner_Brief.pdf&amp;ei=7wtwVNmsKZTi8AW60YKwBA&amp;usg=AFQjCNEoH_4L8Y3qQ2-6CIKiV13BeZAFFw&amp;bvm=bv.80185997,d.dGY</w:t>
        </w:r>
      </w:hyperlink>
      <w:r w:rsidR="00C81824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25F4273" w14:textId="4DEA5CEE" w:rsidR="00B74C28" w:rsidRDefault="00B74C28" w:rsidP="00A4232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Blank, R. K., &amp; de las Alas, N. (2009)</w:t>
      </w:r>
      <w:r w:rsidR="001D24F9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Effects of teacher professional development on gains in student achievement: How meta-analysis provides scientific evidence useful to education leaders. The Council of Chief State School Officers.</w:t>
      </w:r>
      <w:r w:rsidR="00FA0AE6">
        <w:rPr>
          <w:rFonts w:asciiTheme="minorHAnsi" w:hAnsiTheme="minorHAnsi" w:cstheme="minorHAnsi"/>
          <w:noProof/>
          <w:sz w:val="22"/>
          <w:szCs w:val="22"/>
        </w:rPr>
        <w:t xml:space="preserve"> Retrieved online: </w:t>
      </w:r>
      <w:hyperlink r:id="rId22" w:history="1">
        <w:r w:rsidR="00FA0AE6" w:rsidRPr="008619C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https://files.eric.ed.gov/fulltext/ED544700.pdf</w:t>
        </w:r>
      </w:hyperlink>
    </w:p>
    <w:p w14:paraId="0CFA29BC" w14:textId="709F17C1" w:rsidR="00A42320" w:rsidRPr="00F30D8A" w:rsidRDefault="00A42320" w:rsidP="00A4232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Bouchamma, Y., April, D., &amp; Basque, M. (2019). Principals' leadership practices in guiding professional learning communities to institutionalization.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International Studies in Educational Administration, 47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38-60. </w:t>
      </w:r>
    </w:p>
    <w:p w14:paraId="3903CE68" w14:textId="2E67D479" w:rsidR="00726C67" w:rsidRPr="00726C67" w:rsidRDefault="00726C67" w:rsidP="00726C67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726C67">
        <w:rPr>
          <w:rFonts w:asciiTheme="minorHAnsi" w:hAnsiTheme="minorHAnsi" w:cstheme="minorHAnsi"/>
          <w:noProof/>
          <w:sz w:val="22"/>
          <w:szCs w:val="22"/>
        </w:rPr>
        <w:t>Bowman-Perrott, L., Davis, H., Vannest, K., Williams, L., Greenwood, C., &amp; Parket, R. (2013) Academic Benefits of Peer Tutoring: A Meta-Analytic Review of Single-Case Research</w:t>
      </w:r>
      <w:r w:rsidR="00C81824">
        <w:rPr>
          <w:rFonts w:asciiTheme="minorHAnsi" w:hAnsiTheme="minorHAnsi" w:cstheme="minorHAnsi"/>
          <w:noProof/>
          <w:sz w:val="22"/>
          <w:szCs w:val="22"/>
        </w:rPr>
        <w:t>.</w:t>
      </w:r>
      <w:r w:rsidRPr="00726C67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School Psychology Review, 42</w:t>
      </w:r>
      <w:r w:rsidRPr="00726C67">
        <w:rPr>
          <w:rFonts w:asciiTheme="minorHAnsi" w:hAnsiTheme="minorHAnsi" w:cstheme="minorHAnsi"/>
          <w:noProof/>
          <w:sz w:val="22"/>
          <w:szCs w:val="22"/>
        </w:rPr>
        <w:t>(1), 39–55.</w:t>
      </w:r>
    </w:p>
    <w:p w14:paraId="643AD5CF" w14:textId="4E2E09BE" w:rsidR="00A42320" w:rsidRPr="00F30D8A" w:rsidRDefault="00A42320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Bradford, D., &amp; Clarke, S. (2015). </w:t>
      </w:r>
      <w:r w:rsidRPr="00AE661E">
        <w:rPr>
          <w:rFonts w:asciiTheme="minorHAnsi" w:hAnsiTheme="minorHAnsi" w:cstheme="minorHAnsi"/>
          <w:noProof/>
          <w:sz w:val="22"/>
          <w:szCs w:val="22"/>
        </w:rPr>
        <w:t>High value-add schools : key drivers of school improvement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. Retrieved </w:t>
      </w:r>
      <w:r w:rsidR="00FB5DEC">
        <w:rPr>
          <w:rFonts w:asciiTheme="minorHAnsi" w:hAnsiTheme="minorHAnsi" w:cstheme="minorHAnsi"/>
          <w:noProof/>
          <w:sz w:val="22"/>
          <w:szCs w:val="22"/>
        </w:rPr>
        <w:t>online: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23" w:history="1">
        <w:r w:rsidR="00C81824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http://nla.gov.au/nla.arc-158409-20160517-0329-www.cese.nsw.gov.au/images/stories/PDF/HighValueAddReport_Oct2015.pdf</w:t>
        </w:r>
      </w:hyperlink>
      <w:r w:rsidR="00C81824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8C6FD7D" w14:textId="2F19833C" w:rsidR="00A42320" w:rsidRPr="00AE661E" w:rsidRDefault="00C35ABF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Brown, C., &amp; Greany, T. (2018). The evidence-informed school system in England: Where should school leaders be focusing their efforts?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Leadership and Policy in Schools, 17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115-137; </w:t>
      </w:r>
    </w:p>
    <w:p w14:paraId="1F441DB6" w14:textId="57389623" w:rsidR="005D472D" w:rsidRPr="00F30D8A" w:rsidRDefault="005D472D" w:rsidP="008710A1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Bowers, A. J. (2017). Quantitative research methods training in education leadership and administration preparation programs as disciplined inquiry for building school improvement capacity.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Research on Leadership Education, 12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72-96. </w:t>
      </w:r>
    </w:p>
    <w:p w14:paraId="03D6BFBB" w14:textId="77777777" w:rsidR="006D1AE7" w:rsidRDefault="006D1AE7" w:rsidP="00394C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6D1AE7">
        <w:rPr>
          <w:rFonts w:asciiTheme="minorHAnsi" w:hAnsiTheme="minorHAnsi" w:cstheme="minorHAnsi"/>
          <w:noProof/>
          <w:sz w:val="22"/>
          <w:szCs w:val="22"/>
          <w:lang w:val="en-GB"/>
        </w:rPr>
        <w:t>Buchanan Hill, J. (2016). Questioning techniques: A study of instructional practice. </w:t>
      </w:r>
      <w:r w:rsidRPr="006D1AE7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Peabody Journal of Education</w:t>
      </w:r>
      <w:r w:rsidRPr="006D1AE7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6D1AE7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91</w:t>
      </w:r>
      <w:r w:rsidRPr="006D1AE7">
        <w:rPr>
          <w:rFonts w:asciiTheme="minorHAnsi" w:hAnsiTheme="minorHAnsi" w:cstheme="minorHAnsi"/>
          <w:noProof/>
          <w:sz w:val="22"/>
          <w:szCs w:val="22"/>
          <w:lang w:val="en-GB"/>
        </w:rPr>
        <w:t>(5), 660-671.</w:t>
      </w:r>
    </w:p>
    <w:p w14:paraId="036F7810" w14:textId="6B465278" w:rsidR="00394C54" w:rsidRPr="00394C54" w:rsidRDefault="00394C54" w:rsidP="00394C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394C54">
        <w:rPr>
          <w:rFonts w:asciiTheme="minorHAnsi" w:hAnsiTheme="minorHAnsi" w:cstheme="minorHAnsi"/>
          <w:noProof/>
          <w:sz w:val="22"/>
          <w:szCs w:val="22"/>
        </w:rPr>
        <w:t xml:space="preserve">Burns, M. K., &amp; Symington, T. (2002). A meta-analysis of prereferral intervention teams: Student and systemic outcomes.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School Psychology, 40</w:t>
      </w:r>
      <w:r w:rsidRPr="00394C54">
        <w:rPr>
          <w:rFonts w:asciiTheme="minorHAnsi" w:hAnsiTheme="minorHAnsi" w:cstheme="minorHAnsi"/>
          <w:noProof/>
          <w:sz w:val="22"/>
          <w:szCs w:val="22"/>
        </w:rPr>
        <w:t>(5), 437-447.</w:t>
      </w:r>
    </w:p>
    <w:p w14:paraId="7FF57F66" w14:textId="07496649" w:rsidR="0053327A" w:rsidRDefault="0053327A" w:rsidP="0053327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6C6277">
        <w:rPr>
          <w:rFonts w:asciiTheme="minorHAnsi" w:hAnsiTheme="minorHAnsi" w:cstheme="minorHAnsi"/>
          <w:noProof/>
          <w:sz w:val="22"/>
          <w:szCs w:val="22"/>
        </w:rPr>
        <w:t xml:space="preserve">CESE, (2020). What works best: 2020 update. Centre for Education Statistics and Evaluation. Retrieved from: </w:t>
      </w:r>
      <w:hyperlink r:id="rId24" w:history="1">
        <w:r w:rsidRPr="006C6277">
          <w:rPr>
            <w:rFonts w:asciiTheme="minorHAnsi" w:hAnsiTheme="minorHAnsi" w:cstheme="minorHAnsi"/>
            <w:noProof/>
            <w:sz w:val="22"/>
            <w:szCs w:val="22"/>
          </w:rPr>
          <w:t>https://www.cese.nsw.gov.au/publications-filter/what-works-best-2020-update</w:t>
        </w:r>
      </w:hyperlink>
      <w:r w:rsidR="00C81824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70D0C50" w14:textId="77777777" w:rsidR="005757C5" w:rsidRDefault="0017219B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17219B">
        <w:rPr>
          <w:rFonts w:asciiTheme="minorHAnsi" w:hAnsiTheme="minorHAnsi" w:cstheme="minorHAnsi"/>
          <w:noProof/>
          <w:sz w:val="22"/>
          <w:szCs w:val="22"/>
          <w:lang w:val="en-GB"/>
        </w:rPr>
        <w:t>Chen, O., Retnowati, E., &amp; Kalyuga, S. (2019). Effects of worked examples on step performance in solving complex problems. </w:t>
      </w:r>
      <w:r w:rsidRPr="0017219B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Educational Psychology</w:t>
      </w:r>
      <w:r w:rsidRPr="0017219B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17219B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39</w:t>
      </w:r>
      <w:r w:rsidRPr="0017219B">
        <w:rPr>
          <w:rFonts w:asciiTheme="minorHAnsi" w:hAnsiTheme="minorHAnsi" w:cstheme="minorHAnsi"/>
          <w:noProof/>
          <w:sz w:val="22"/>
          <w:szCs w:val="22"/>
          <w:lang w:val="en-GB"/>
        </w:rPr>
        <w:t>(2), 188-202.</w:t>
      </w:r>
    </w:p>
    <w:p w14:paraId="5F52E361" w14:textId="7782914C" w:rsidR="00394C54" w:rsidRDefault="00824902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24902">
        <w:rPr>
          <w:rFonts w:asciiTheme="minorHAnsi" w:hAnsiTheme="minorHAnsi" w:cstheme="minorHAnsi"/>
          <w:noProof/>
          <w:sz w:val="22"/>
          <w:szCs w:val="22"/>
        </w:rPr>
        <w:t>Coe, R., Aloisi, C., Higgins, S., &amp; Major, L. E. (2014)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824902">
        <w:rPr>
          <w:rFonts w:asciiTheme="minorHAnsi" w:hAnsiTheme="minorHAnsi" w:cstheme="minorHAnsi"/>
          <w:noProof/>
          <w:sz w:val="22"/>
          <w:szCs w:val="22"/>
        </w:rPr>
        <w:t xml:space="preserve"> What makes great teaching? Review of the underpinning research. Retrieved from </w:t>
      </w:r>
      <w:hyperlink r:id="rId25" w:history="1">
        <w:r w:rsidR="00C81824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http://dro.dur.ac.uk/13747/</w:t>
        </w:r>
      </w:hyperlink>
      <w:r w:rsidR="00C81824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6B44163" w14:textId="4FF16EE8" w:rsidR="00CB0E50" w:rsidRPr="00F30D8A" w:rsidRDefault="00CB0E50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Day, C., Gu, Q., &amp; Sammons, P. (2016). The impact of leadership on student outcomes: How successful school leaders use transformational and instructional strategies to make a difference.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Administration Quarterly, 52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221-258. </w:t>
      </w:r>
    </w:p>
    <w:p w14:paraId="378E4A59" w14:textId="030234E7" w:rsidR="00A42320" w:rsidRPr="00AE661E" w:rsidRDefault="00A42320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>DEECD. (2009). Signposts: Research points to how Victorian government schools have improved student performance. Melbourne: Education Policy and Research Division, Office for Policy, Research and Innovation, Department of Education and Early Childhood Development.</w:t>
      </w:r>
    </w:p>
    <w:p w14:paraId="4281F5FD" w14:textId="32A54183" w:rsidR="004B29BE" w:rsidRDefault="004B29BE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Desimone, L. M. (2009)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Improving impact studies of teachers’ professional development: Toward better conceptualizations and measures</w:t>
      </w:r>
      <w:r w:rsidR="00C81824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Researcher, 38</w:t>
      </w:r>
      <w:r w:rsidRPr="00D3577B">
        <w:rPr>
          <w:rFonts w:asciiTheme="minorHAnsi" w:hAnsiTheme="minorHAnsi" w:cstheme="minorHAnsi"/>
          <w:noProof/>
          <w:sz w:val="22"/>
          <w:szCs w:val="22"/>
        </w:rPr>
        <w:t>(3), 181–199.</w:t>
      </w:r>
    </w:p>
    <w:p w14:paraId="50709508" w14:textId="0AB0FA60" w:rsidR="0068241E" w:rsidRPr="00F30D8A" w:rsidRDefault="0068241E" w:rsidP="006824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Ebell, S., Hughes, H., Bockart, S., Silva, S., &amp; McBride, S. (2017). Principal communities of practice inspire learning in Texas district.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Learning Professional, 38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(4), 58-62. </w:t>
      </w:r>
    </w:p>
    <w:p w14:paraId="3F672578" w14:textId="77777777" w:rsidR="00915E54" w:rsidRPr="00F30D8A" w:rsidRDefault="00915E54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>Edwards-Groves, C., Grootenboer, P., &amp; Ronnerman, K. (2016). Facilitating a culture of relational trust in school-based action research: Recognising the role of middle leaders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. Educational Action Research, 24</w:t>
      </w:r>
      <w:r w:rsidRPr="00F30D8A">
        <w:rPr>
          <w:rFonts w:asciiTheme="minorHAnsi" w:hAnsiTheme="minorHAnsi" w:cstheme="minorHAnsi"/>
          <w:noProof/>
          <w:sz w:val="22"/>
          <w:szCs w:val="22"/>
        </w:rPr>
        <w:t>(3), 369-386.</w:t>
      </w:r>
    </w:p>
    <w:p w14:paraId="415D09AE" w14:textId="7C38A640" w:rsidR="008A2F2F" w:rsidRPr="008A2F2F" w:rsidRDefault="008A2F2F" w:rsidP="008A2F2F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A2F2F">
        <w:rPr>
          <w:rFonts w:asciiTheme="minorHAnsi" w:hAnsiTheme="minorHAnsi" w:cstheme="minorHAnsi"/>
          <w:noProof/>
          <w:sz w:val="22"/>
          <w:szCs w:val="22"/>
        </w:rPr>
        <w:t>Edmonds, M. S., Vaughn, S., Wexler, J., Reutebuch, C., Cable, A., Tackett, K. K., &amp; Schnakenberg, J. W. (2009)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8A2F2F">
        <w:rPr>
          <w:rFonts w:asciiTheme="minorHAnsi" w:hAnsiTheme="minorHAnsi" w:cstheme="minorHAnsi"/>
          <w:noProof/>
          <w:sz w:val="22"/>
          <w:szCs w:val="22"/>
        </w:rPr>
        <w:t xml:space="preserve"> A Synthesis of Reading Interventions and Effects on Reading Comprehension Outcomes for Older Struggling Readers</w:t>
      </w:r>
      <w:r w:rsidR="00C81824">
        <w:rPr>
          <w:rFonts w:asciiTheme="minorHAnsi" w:hAnsiTheme="minorHAnsi" w:cstheme="minorHAnsi"/>
          <w:noProof/>
          <w:sz w:val="22"/>
          <w:szCs w:val="22"/>
        </w:rPr>
        <w:t>.</w:t>
      </w:r>
      <w:r w:rsidRPr="008A2F2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Review of Educational Research, 79</w:t>
      </w:r>
      <w:r w:rsidRPr="008A2F2F">
        <w:rPr>
          <w:rFonts w:asciiTheme="minorHAnsi" w:hAnsiTheme="minorHAnsi" w:cstheme="minorHAnsi"/>
          <w:noProof/>
          <w:sz w:val="22"/>
          <w:szCs w:val="22"/>
        </w:rPr>
        <w:t xml:space="preserve">(1), 262–300. </w:t>
      </w:r>
    </w:p>
    <w:p w14:paraId="161F6108" w14:textId="5BF4A9E4" w:rsidR="00A331CA" w:rsidRPr="00A331CA" w:rsidRDefault="00A331CA" w:rsidP="00A331C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A331CA">
        <w:rPr>
          <w:rFonts w:asciiTheme="minorHAnsi" w:hAnsiTheme="minorHAnsi" w:cstheme="minorHAnsi"/>
          <w:noProof/>
          <w:sz w:val="22"/>
          <w:szCs w:val="22"/>
        </w:rPr>
        <w:t>Education Endowment Foundation (2015)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A331CA">
        <w:rPr>
          <w:rFonts w:asciiTheme="minorHAnsi" w:hAnsiTheme="minorHAnsi" w:cstheme="minorHAnsi"/>
          <w:noProof/>
          <w:sz w:val="22"/>
          <w:szCs w:val="22"/>
        </w:rPr>
        <w:t xml:space="preserve"> Teaching and Learning Toolkit - Australia. Retrieved from </w:t>
      </w:r>
      <w:hyperlink r:id="rId26" w:history="1">
        <w:r w:rsidR="00C81824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http://australia.teachingandlearningtoolkit.net.au/</w:t>
        </w:r>
      </w:hyperlink>
      <w:r w:rsidR="00C81824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3E4A31E" w14:textId="687CC55F" w:rsidR="009562D7" w:rsidRDefault="002D5490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Evidence for Learning (2019)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="00524E02">
        <w:rPr>
          <w:rFonts w:asciiTheme="minorHAnsi" w:hAnsiTheme="minorHAnsi" w:cstheme="minorHAnsi"/>
          <w:noProof/>
          <w:sz w:val="22"/>
          <w:szCs w:val="22"/>
        </w:rPr>
        <w:t xml:space="preserve"> The Toolkits. Retrieved from </w:t>
      </w:r>
      <w:hyperlink r:id="rId27" w:history="1">
        <w:r w:rsidR="00D47388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https://evidenceforlearning.org.au/the-toolkits/</w:t>
        </w:r>
      </w:hyperlink>
      <w:r w:rsidR="00D4738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CCE3756" w14:textId="77777777" w:rsidR="00403657" w:rsidRPr="00601169" w:rsidRDefault="00403657" w:rsidP="00403657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601169">
        <w:rPr>
          <w:rFonts w:asciiTheme="minorHAnsi" w:hAnsiTheme="minorHAnsi" w:cstheme="minorHAnsi"/>
          <w:noProof/>
          <w:sz w:val="22"/>
          <w:szCs w:val="22"/>
        </w:rPr>
        <w:t xml:space="preserve">Evidence for Learning, (2020). Feedback: Teaching and Learning Toolkit. Retrieved online </w:t>
      </w:r>
      <w:hyperlink r:id="rId28">
        <w:r w:rsidRPr="00601169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</w:t>
        </w:r>
      </w:hyperlink>
      <w:r w:rsidRPr="0060116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29">
        <w:r w:rsidRPr="00601169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evidenceforlearning.org.au/the-toolkits/the-teaching-and-learning-toolkit/all-approaches/feedback/</w:t>
        </w:r>
      </w:hyperlink>
    </w:p>
    <w:p w14:paraId="19F8445A" w14:textId="6F98B2D9" w:rsidR="00CC7B46" w:rsidRDefault="00CC7B46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AU"/>
        </w:rPr>
      </w:pPr>
      <w:r w:rsidRPr="00CC7B46">
        <w:rPr>
          <w:rFonts w:asciiTheme="minorHAnsi" w:hAnsiTheme="minorHAnsi" w:cstheme="minorHAnsi"/>
          <w:noProof/>
          <w:sz w:val="22"/>
          <w:szCs w:val="22"/>
          <w:lang w:val="en-AU"/>
        </w:rPr>
        <w:t xml:space="preserve">Gibbons, L. K., Kazemi, E., &amp; Lewis, R. M. (2017). Developing collective capacity to improve mathematics instruction: Coaching as a lever for school-wide improvement. </w:t>
      </w:r>
      <w:r w:rsidRPr="00CC7B46">
        <w:rPr>
          <w:rFonts w:asciiTheme="minorHAnsi" w:hAnsiTheme="minorHAnsi" w:cstheme="minorHAnsi"/>
          <w:i/>
          <w:iCs/>
          <w:noProof/>
          <w:sz w:val="22"/>
          <w:szCs w:val="22"/>
          <w:lang w:val="en-AU"/>
        </w:rPr>
        <w:t>The Journal of Mathematical Behavior, 46</w:t>
      </w:r>
      <w:r>
        <w:rPr>
          <w:rFonts w:asciiTheme="minorHAnsi" w:hAnsiTheme="minorHAnsi" w:cstheme="minorHAnsi"/>
          <w:noProof/>
          <w:sz w:val="22"/>
          <w:szCs w:val="22"/>
          <w:lang w:val="en-AU"/>
        </w:rPr>
        <w:t>(1)</w:t>
      </w:r>
      <w:r w:rsidRPr="00CC7B46">
        <w:rPr>
          <w:rFonts w:asciiTheme="minorHAnsi" w:hAnsiTheme="minorHAnsi" w:cstheme="minorHAnsi"/>
          <w:noProof/>
          <w:sz w:val="22"/>
          <w:szCs w:val="22"/>
          <w:lang w:val="en-AU"/>
        </w:rPr>
        <w:t xml:space="preserve">, 231-250. </w:t>
      </w:r>
    </w:p>
    <w:p w14:paraId="062E82D0" w14:textId="4E2C7102" w:rsidR="008A2F2F" w:rsidRDefault="006A690A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6A690A">
        <w:rPr>
          <w:rFonts w:asciiTheme="minorHAnsi" w:hAnsiTheme="minorHAnsi" w:cstheme="minorHAnsi"/>
          <w:noProof/>
          <w:sz w:val="22"/>
          <w:szCs w:val="22"/>
        </w:rPr>
        <w:t>Ginsburg-Block, M., Rohrbeck, C., &amp; Fantuzzo, J. (2006)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6A690A">
        <w:rPr>
          <w:rFonts w:asciiTheme="minorHAnsi" w:hAnsiTheme="minorHAnsi" w:cstheme="minorHAnsi"/>
          <w:noProof/>
          <w:sz w:val="22"/>
          <w:szCs w:val="22"/>
        </w:rPr>
        <w:t xml:space="preserve"> A meta-analytic review of social, self-concept, and behavioral outcomes of peer-assisted learning.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Educational Psychology, 98(</w:t>
      </w:r>
      <w:r w:rsidRPr="006A690A">
        <w:rPr>
          <w:rFonts w:asciiTheme="minorHAnsi" w:hAnsiTheme="minorHAnsi" w:cstheme="minorHAnsi"/>
          <w:noProof/>
          <w:sz w:val="22"/>
          <w:szCs w:val="22"/>
        </w:rPr>
        <w:t>4), 732–749.</w:t>
      </w:r>
    </w:p>
    <w:p w14:paraId="7D5591FA" w14:textId="505273BA" w:rsidR="00CB0E50" w:rsidRPr="00F30D8A" w:rsidRDefault="00CB0E50" w:rsidP="00CB0E5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Glen, M., Blackberry, G., &amp; Kearney, J. (2017). Leading school improvement, innovation and professional learning through action research: A policy and practice review.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Leading &amp; Managing, 23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1-11. </w:t>
      </w:r>
    </w:p>
    <w:p w14:paraId="39D87F9F" w14:textId="1EB12947" w:rsidR="00A21139" w:rsidRDefault="00926DC5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926DC5">
        <w:rPr>
          <w:rFonts w:asciiTheme="minorHAnsi" w:hAnsiTheme="minorHAnsi" w:cstheme="minorHAnsi"/>
          <w:noProof/>
          <w:sz w:val="22"/>
          <w:szCs w:val="22"/>
          <w:lang w:val="en-GB"/>
        </w:rPr>
        <w:t>Gonski, D., Arcus, T., Boston, K., Gould, V., Johnson, W., O’Brien, L., &amp; Roberts, M. (2018). Through growth to achievement: Report of the review to achieve educational excellence in Australian schools. </w:t>
      </w:r>
      <w:r w:rsidRPr="00601169">
        <w:rPr>
          <w:rFonts w:cstheme="minorHAnsi"/>
          <w:noProof/>
          <w:szCs w:val="22"/>
        </w:rPr>
        <w:t>Canberra: Commonwealth of Australia</w:t>
      </w:r>
      <w:r w:rsidRPr="00D47388">
        <w:rPr>
          <w:rFonts w:asciiTheme="minorHAnsi" w:hAnsiTheme="minorHAnsi" w:cstheme="minorHAnsi"/>
          <w:noProof/>
          <w:sz w:val="22"/>
          <w:szCs w:val="22"/>
          <w:lang w:val="en-GB"/>
        </w:rPr>
        <w:t>.</w:t>
      </w:r>
    </w:p>
    <w:p w14:paraId="41A4BB52" w14:textId="3B1D531E" w:rsidR="00A21139" w:rsidRDefault="00A21139" w:rsidP="00A21139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A21139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Goss, P., Sonnemann, J., </w:t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w:t>&amp;</w:t>
      </w:r>
      <w:r w:rsidRPr="00A21139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Griffiths, K. (2017). Engaging students: creating classrooms that improve learning. Grattan Institute</w:t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. Retrived online: </w:t>
      </w:r>
      <w:hyperlink r:id="rId30" w:history="1">
        <w:r w:rsidRPr="002F4F51">
          <w:rPr>
            <w:rStyle w:val="Hyperlink"/>
            <w:rFonts w:asciiTheme="minorHAnsi" w:hAnsiTheme="minorHAnsi" w:cstheme="minorHAnsi"/>
            <w:noProof/>
            <w:sz w:val="22"/>
            <w:szCs w:val="22"/>
            <w:lang w:val="en-GB"/>
          </w:rPr>
          <w:t>https://grattan.edu.au/wp-content/uploads/2017/02/Engaging-students-creating-classrooms-that-improve-learning.pdf</w:t>
        </w:r>
      </w:hyperlink>
    </w:p>
    <w:p w14:paraId="21DC5950" w14:textId="4A1F9D0B" w:rsidR="003E7C6A" w:rsidRDefault="003E7C6A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3E7C6A">
        <w:rPr>
          <w:rFonts w:asciiTheme="minorHAnsi" w:hAnsiTheme="minorHAnsi" w:cstheme="minorHAnsi"/>
          <w:noProof/>
          <w:sz w:val="22"/>
          <w:szCs w:val="22"/>
          <w:lang w:val="en-GB"/>
        </w:rPr>
        <w:t>Goss, P., &amp; Sonnemann, J. (2020). Top teachers: sharing expertise to improve teaching.</w:t>
      </w:r>
      <w:r w:rsidR="002624E7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Melbourne: Grattan Institute. Retrived online: </w:t>
      </w:r>
      <w:hyperlink r:id="rId31" w:history="1">
        <w:r w:rsidR="001D24F9" w:rsidRPr="008619C5">
          <w:rPr>
            <w:rStyle w:val="Hyperlink"/>
            <w:rFonts w:asciiTheme="minorHAnsi" w:hAnsiTheme="minorHAnsi" w:cstheme="minorHAnsi"/>
            <w:noProof/>
            <w:sz w:val="22"/>
            <w:szCs w:val="22"/>
            <w:lang w:val="en-GB"/>
          </w:rPr>
          <w:t>https://grattan.edu.au/wp-content/uploads/2020/02/928-top-teachers.pdf</w:t>
        </w:r>
      </w:hyperlink>
    </w:p>
    <w:p w14:paraId="79D6C597" w14:textId="49933BD2" w:rsidR="00915E54" w:rsidRPr="00F30D8A" w:rsidRDefault="005D472D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AE661E">
        <w:rPr>
          <w:rFonts w:asciiTheme="minorHAnsi" w:hAnsiTheme="minorHAnsi" w:cstheme="minorHAnsi"/>
          <w:noProof/>
          <w:sz w:val="22"/>
          <w:szCs w:val="22"/>
        </w:rPr>
        <w:t xml:space="preserve">Harris, J. Knipe, S. Smithers, K. Ross, M. (2020). School improvement: A review of empirical research into the drivers and practices of school improvement (2015-2020). </w:t>
      </w:r>
      <w:r w:rsidR="00D47388">
        <w:rPr>
          <w:rFonts w:asciiTheme="minorHAnsi" w:hAnsiTheme="minorHAnsi" w:cstheme="minorHAnsi"/>
          <w:noProof/>
          <w:sz w:val="22"/>
          <w:szCs w:val="22"/>
        </w:rPr>
        <w:t>Melbourne: Department of Education and Training.</w:t>
      </w:r>
    </w:p>
    <w:p w14:paraId="36DD9E90" w14:textId="306AC759" w:rsidR="00F1664C" w:rsidRPr="00F1664C" w:rsidRDefault="00F1664C" w:rsidP="00F1664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1664C">
        <w:rPr>
          <w:rFonts w:asciiTheme="minorHAnsi" w:hAnsiTheme="minorHAnsi" w:cstheme="minorHAnsi"/>
          <w:noProof/>
          <w:sz w:val="22"/>
          <w:szCs w:val="22"/>
        </w:rPr>
        <w:t>Hattie, J. (2003)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F1664C">
        <w:rPr>
          <w:rFonts w:asciiTheme="minorHAnsi" w:hAnsiTheme="minorHAnsi" w:cstheme="minorHAnsi"/>
          <w:noProof/>
          <w:sz w:val="22"/>
          <w:szCs w:val="22"/>
        </w:rPr>
        <w:t xml:space="preserve"> Teachers make a difference: what is the research evidence? Australian Council for Educational Research Melbourne. Retrieved </w:t>
      </w:r>
      <w:r w:rsidR="00CF42FE">
        <w:rPr>
          <w:rFonts w:asciiTheme="minorHAnsi" w:hAnsiTheme="minorHAnsi" w:cstheme="minorHAnsi"/>
          <w:noProof/>
          <w:sz w:val="22"/>
          <w:szCs w:val="22"/>
        </w:rPr>
        <w:t xml:space="preserve">online: </w:t>
      </w:r>
      <w:hyperlink r:id="rId32" w:history="1">
        <w:r w:rsidR="00D47388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http://www.decd.sa.gov.au/limestonecoast/files/pages/new%20page/PLC/teachers_make_a_difference.pdf</w:t>
        </w:r>
      </w:hyperlink>
      <w:r w:rsidR="00D4738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C81222D" w14:textId="3B62E991" w:rsidR="00874678" w:rsidRDefault="0040023C" w:rsidP="009B773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40023C">
        <w:rPr>
          <w:rFonts w:asciiTheme="minorHAnsi" w:hAnsiTheme="minorHAnsi" w:cstheme="minorHAnsi"/>
          <w:noProof/>
          <w:sz w:val="22"/>
          <w:szCs w:val="22"/>
        </w:rPr>
        <w:t>Hattie, J. (2009)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40023C">
        <w:rPr>
          <w:rFonts w:asciiTheme="minorHAnsi" w:hAnsiTheme="minorHAnsi" w:cstheme="minorHAnsi"/>
          <w:noProof/>
          <w:sz w:val="22"/>
          <w:szCs w:val="22"/>
        </w:rPr>
        <w:t xml:space="preserve"> Visible </w:t>
      </w:r>
      <w:r w:rsidR="00843825">
        <w:rPr>
          <w:rFonts w:asciiTheme="minorHAnsi" w:hAnsiTheme="minorHAnsi" w:cstheme="minorHAnsi"/>
          <w:noProof/>
          <w:sz w:val="22"/>
          <w:szCs w:val="22"/>
        </w:rPr>
        <w:t>L</w:t>
      </w:r>
      <w:r w:rsidRPr="0040023C">
        <w:rPr>
          <w:rFonts w:asciiTheme="minorHAnsi" w:hAnsiTheme="minorHAnsi" w:cstheme="minorHAnsi"/>
          <w:noProof/>
          <w:sz w:val="22"/>
          <w:szCs w:val="22"/>
        </w:rPr>
        <w:t xml:space="preserve">earning: A synthesis of over 800 meta-analyses relating to achievement, </w:t>
      </w:r>
      <w:r w:rsidR="00D47388">
        <w:rPr>
          <w:rFonts w:asciiTheme="minorHAnsi" w:hAnsiTheme="minorHAnsi" w:cstheme="minorHAnsi"/>
          <w:noProof/>
          <w:sz w:val="22"/>
          <w:szCs w:val="22"/>
        </w:rPr>
        <w:t xml:space="preserve">London: </w:t>
      </w:r>
      <w:r w:rsidRPr="0040023C">
        <w:rPr>
          <w:rFonts w:asciiTheme="minorHAnsi" w:hAnsiTheme="minorHAnsi" w:cstheme="minorHAnsi"/>
          <w:noProof/>
          <w:sz w:val="22"/>
          <w:szCs w:val="22"/>
        </w:rPr>
        <w:t>Routledge</w:t>
      </w:r>
      <w:r w:rsidR="002624E7">
        <w:rPr>
          <w:rFonts w:asciiTheme="minorHAnsi" w:hAnsiTheme="minorHAnsi" w:cstheme="minorHAnsi"/>
          <w:noProof/>
          <w:sz w:val="22"/>
          <w:szCs w:val="22"/>
        </w:rPr>
        <w:t>.</w:t>
      </w:r>
      <w:r w:rsidRPr="0040023C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173CBF2C" w14:textId="0B6E75EE" w:rsidR="00341555" w:rsidRDefault="00874678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74678">
        <w:rPr>
          <w:rFonts w:asciiTheme="minorHAnsi" w:hAnsiTheme="minorHAnsi" w:cstheme="minorHAnsi"/>
          <w:noProof/>
          <w:sz w:val="22"/>
          <w:szCs w:val="22"/>
        </w:rPr>
        <w:t>Hattie, J. (2013). Calibration and confidence: Where to next?. Learning and instruction, 24, 62-66.</w:t>
      </w:r>
      <w:r w:rsidR="00341555" w:rsidRPr="00D3577B">
        <w:rPr>
          <w:rFonts w:asciiTheme="minorHAnsi" w:hAnsiTheme="minorHAnsi" w:cstheme="minorHAnsi"/>
          <w:noProof/>
          <w:sz w:val="22"/>
          <w:szCs w:val="22"/>
        </w:rPr>
        <w:t>Hattie, J., &amp; Timperley, H. (2007) The Power of Feedback</w:t>
      </w:r>
      <w:r w:rsidR="00D47388">
        <w:rPr>
          <w:rFonts w:asciiTheme="minorHAnsi" w:hAnsiTheme="minorHAnsi" w:cstheme="minorHAnsi"/>
          <w:noProof/>
          <w:sz w:val="22"/>
          <w:szCs w:val="22"/>
        </w:rPr>
        <w:t>.</w:t>
      </w:r>
      <w:r w:rsidR="00341555" w:rsidRPr="00D3577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41555"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Review of Educational Research, 77</w:t>
      </w:r>
      <w:r w:rsidR="00341555" w:rsidRPr="00D3577B">
        <w:rPr>
          <w:rFonts w:asciiTheme="minorHAnsi" w:hAnsiTheme="minorHAnsi" w:cstheme="minorHAnsi"/>
          <w:noProof/>
          <w:sz w:val="22"/>
          <w:szCs w:val="22"/>
        </w:rPr>
        <w:t xml:space="preserve">(1), 81–112. </w:t>
      </w:r>
    </w:p>
    <w:p w14:paraId="62902CE9" w14:textId="4BC37306" w:rsidR="00D01476" w:rsidRPr="00601169" w:rsidRDefault="00D01476" w:rsidP="00D0147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601169">
        <w:rPr>
          <w:rFonts w:asciiTheme="minorHAnsi" w:hAnsiTheme="minorHAnsi" w:cstheme="minorHAnsi"/>
          <w:noProof/>
          <w:sz w:val="22"/>
          <w:szCs w:val="22"/>
        </w:rPr>
        <w:t>Heitink, M., Van der Kleij, F. M., Veldkamp, B. P., Schildkamp, K., Kippers, W. B. (2016). A systematic review of prerequisites for implementing assessment for learning</w:t>
      </w:r>
      <w:r w:rsidR="00C56C86">
        <w:rPr>
          <w:rFonts w:asciiTheme="minorHAnsi" w:hAnsiTheme="minorHAnsi" w:cstheme="minorHAnsi"/>
          <w:noProof/>
          <w:sz w:val="22"/>
          <w:szCs w:val="22"/>
        </w:rPr>
        <w:t>,</w:t>
      </w:r>
      <w:r w:rsidRPr="0060116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Research Review, 17</w:t>
      </w:r>
      <w:r w:rsidR="00CF42FE">
        <w:rPr>
          <w:rFonts w:asciiTheme="minorHAnsi" w:hAnsiTheme="minorHAnsi" w:cstheme="minorHAnsi"/>
          <w:noProof/>
          <w:sz w:val="22"/>
          <w:szCs w:val="22"/>
        </w:rPr>
        <w:t>(1)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,</w:t>
      </w:r>
      <w:r w:rsidRPr="00601169">
        <w:rPr>
          <w:rFonts w:asciiTheme="minorHAnsi" w:hAnsiTheme="minorHAnsi" w:cstheme="minorHAnsi"/>
          <w:noProof/>
          <w:sz w:val="22"/>
          <w:szCs w:val="22"/>
        </w:rPr>
        <w:t xml:space="preserve"> 50-62.</w:t>
      </w:r>
    </w:p>
    <w:p w14:paraId="19921FC4" w14:textId="609A33FC" w:rsidR="00915E54" w:rsidRPr="00F30D8A" w:rsidRDefault="00915E54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Hollingworth, L., Olsen, D., Asikin-Garmager, A., &amp; Winn, K. M. (2018). Initiating conversations and opening doors: How principals establish a positive building culture to sustain school improvement efforts.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Management Administration &amp; Leadership, 46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(6), 1014-1034. </w:t>
      </w:r>
    </w:p>
    <w:p w14:paraId="1FDC6516" w14:textId="16C935B2" w:rsidR="00380E3C" w:rsidRPr="00AE661E" w:rsidRDefault="00380E3C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Jones, C. M., &amp; Thessin, R., A. (2017). Sustaining continous improvement through Professional Learning Communities in a secondary school.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School Leadership, 27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214-241. </w:t>
      </w:r>
    </w:p>
    <w:p w14:paraId="4A34E77F" w14:textId="5C8A4392" w:rsidR="00D71CAC" w:rsidRDefault="00D71CAC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71CAC">
        <w:rPr>
          <w:rFonts w:asciiTheme="minorHAnsi" w:hAnsiTheme="minorHAnsi" w:cstheme="minorHAnsi"/>
          <w:noProof/>
          <w:sz w:val="22"/>
          <w:szCs w:val="22"/>
          <w:lang w:val="en-GB"/>
        </w:rPr>
        <w:t>Kang, S. H. (2016). Spaced repetition promotes efficient and effective learning: Policy implications for instruction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. </w:t>
      </w:r>
      <w:r w:rsidRPr="00601169">
        <w:rPr>
          <w:rFonts w:asciiTheme="minorHAnsi" w:hAnsiTheme="minorHAnsi" w:cstheme="minorHAnsi"/>
          <w:noProof/>
          <w:sz w:val="22"/>
          <w:szCs w:val="22"/>
          <w:lang w:val="en-GB"/>
        </w:rPr>
        <w:t>Policy Insights from</w:t>
      </w:r>
      <w:r w:rsidR="00C31D3B" w:rsidRPr="00601169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for instruction.</w:t>
      </w:r>
      <w:r w:rsidR="00C31D3B" w:rsidRPr="00C31D3B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 Policy Insights from the Behavioral and Brain Sciences, 3</w:t>
      </w:r>
      <w:r w:rsidR="00C31D3B" w:rsidRPr="00601169">
        <w:rPr>
          <w:rFonts w:asciiTheme="minorHAnsi" w:hAnsiTheme="minorHAnsi" w:cstheme="minorHAnsi"/>
          <w:noProof/>
          <w:sz w:val="22"/>
          <w:szCs w:val="22"/>
          <w:lang w:val="en-GB"/>
        </w:rPr>
        <w:t>(1), 12-19.</w:t>
      </w:r>
      <w:r w:rsidRPr="00D71CAC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 </w:t>
      </w:r>
    </w:p>
    <w:p w14:paraId="623F546B" w14:textId="401DBDC3" w:rsidR="00CB0E50" w:rsidRPr="00F30D8A" w:rsidRDefault="00CB0E50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Karagiorgi, Y., Afantiti-Lamprianou, T., Alexandrou-Leonidou, V., Karamanou, M., &amp; Symeou, L. (2018). 'Out of the Box' leadership: Action research towards school improvement.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Action Research, 26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239-257. </w:t>
      </w:r>
    </w:p>
    <w:p w14:paraId="2C07AF59" w14:textId="5005C259" w:rsidR="005D472D" w:rsidRPr="00F30D8A" w:rsidRDefault="005D472D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Karami-Akkary, R., Mahfouz, J., &amp; Mansour, S. (2019). Sustaining school-based improvement: Considering emotional responses to change. </w:t>
      </w:r>
      <w:r w:rsidRPr="00AE661E">
        <w:rPr>
          <w:rFonts w:asciiTheme="minorHAnsi" w:hAnsiTheme="minorHAnsi" w:cstheme="minorHAnsi"/>
          <w:noProof/>
          <w:sz w:val="22"/>
          <w:szCs w:val="22"/>
        </w:rPr>
        <w:t>Journal of Educational Administration, 57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50-67. </w:t>
      </w:r>
    </w:p>
    <w:p w14:paraId="07BEAF4E" w14:textId="07FDA860" w:rsidR="00D71CAC" w:rsidRDefault="00D71CAC" w:rsidP="00D71CA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Katewa, E., &amp; Heystek, J. (2019). Instructional and distributed self-leadership for school improvement: Experiences of schools in the Kavango Region.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Africa Education Review, 16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69-89. </w:t>
      </w:r>
    </w:p>
    <w:p w14:paraId="7FABC33C" w14:textId="29312EC3" w:rsidR="005D472D" w:rsidRPr="00F30D8A" w:rsidRDefault="00CB0E50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Kelley, C., &amp; Dikkers, S. (2016). Framing feedback for school improvement around distributed leadership.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Administration Quarterly, 52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(3), 392-422. </w:t>
      </w:r>
    </w:p>
    <w:p w14:paraId="07E6EEF9" w14:textId="473D3F71" w:rsidR="00CB0E50" w:rsidRPr="00F30D8A" w:rsidRDefault="00CB0E50" w:rsidP="00CB0E5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Keuning, T., van Geel, M., Visscher, A., &amp; Fox, J.-P. (2016). </w:t>
      </w:r>
      <w:r w:rsidRPr="00AE661E">
        <w:rPr>
          <w:rFonts w:asciiTheme="minorHAnsi" w:hAnsiTheme="minorHAnsi" w:cstheme="minorHAnsi"/>
          <w:noProof/>
          <w:sz w:val="22"/>
          <w:szCs w:val="22"/>
        </w:rPr>
        <w:t>The effects of a schoolwide data-based decision making intervention on elementary schools' student achievement growth for mathematics and spelling</w:t>
      </w:r>
      <w:r w:rsidRPr="00F30D8A">
        <w:rPr>
          <w:rFonts w:asciiTheme="minorHAnsi" w:hAnsiTheme="minorHAnsi" w:cstheme="minorHAnsi"/>
          <w:noProof/>
          <w:sz w:val="22"/>
          <w:szCs w:val="22"/>
        </w:rPr>
        <w:t>. Paper presented at SREE Spring Conference 2016, Washington, United States.</w:t>
      </w:r>
    </w:p>
    <w:p w14:paraId="6DF23454" w14:textId="5EDBB80B" w:rsidR="00FB20F7" w:rsidRPr="00D3577B" w:rsidRDefault="00FB20F7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Kingston, N., &amp; Nash, B. (2011)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Formative Assessment: A Meta-Analysis and a Call for Research</w:t>
      </w:r>
      <w:r w:rsidR="00B4651B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Measurement: Issues and Practice, 30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(4), 28–37. </w:t>
      </w:r>
    </w:p>
    <w:p w14:paraId="7C67897A" w14:textId="640C2C29" w:rsidR="005D472D" w:rsidRPr="00F30D8A" w:rsidRDefault="005D472D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Knipe, S. (2019). School improvement and effectiveness underpinned by school-based data and research.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Research Quarterly, 43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3-27. </w:t>
      </w:r>
    </w:p>
    <w:p w14:paraId="2429D68A" w14:textId="529AE6E6" w:rsidR="00E119EE" w:rsidRDefault="00E119EE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Ko, J., &amp; Sammons, P. (2013)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Effective Teaching: A Review of Research and Evidence. ERIC. Retrieved from </w:t>
      </w:r>
      <w:hyperlink r:id="rId33" w:history="1">
        <w:r w:rsidR="00B4651B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http://eric.ed.gov/?id=ED546794</w:t>
        </w:r>
      </w:hyperlink>
      <w:r w:rsidR="00B4651B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BFC7527" w14:textId="3D8582BD" w:rsidR="00D532D2" w:rsidRPr="002D522C" w:rsidRDefault="00D532D2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2D522C">
        <w:rPr>
          <w:rFonts w:asciiTheme="minorHAnsi" w:hAnsiTheme="minorHAnsi" w:cstheme="minorHAnsi"/>
          <w:noProof/>
          <w:sz w:val="22"/>
          <w:szCs w:val="22"/>
        </w:rPr>
        <w:t>Kyndt, E., Raes, E., Lismont, B., Timmers, F., Cascallar, E., &amp; Dochy, F. (2013)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A meta-analysis of the effects of face-to-face cooperative learning. Do recent studies falsify or verify earlier findings?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Research Review, 10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, 133–149. </w:t>
      </w:r>
    </w:p>
    <w:p w14:paraId="606CE0E4" w14:textId="45F55018" w:rsidR="00D532D2" w:rsidRDefault="00031800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2D522C">
        <w:rPr>
          <w:rFonts w:asciiTheme="minorHAnsi" w:hAnsiTheme="minorHAnsi" w:cstheme="minorHAnsi"/>
          <w:noProof/>
          <w:sz w:val="22"/>
          <w:szCs w:val="22"/>
        </w:rPr>
        <w:t>Kyriakides, L., Christoforou, C., &amp; Charalambous, C. Y. (2013)</w:t>
      </w:r>
      <w:r w:rsidR="0028260C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What matters for student learning outcomes: A meta-analysis of studies exploring factors of effective teaching</w:t>
      </w:r>
      <w:r w:rsidR="00B4651B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Teaching and Teacher Education, 36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, 143–152. </w:t>
      </w:r>
    </w:p>
    <w:p w14:paraId="75496337" w14:textId="5BD3C9A5" w:rsidR="00C92C50" w:rsidRDefault="00C92C50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C92C50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Leigh, A. (2010). Estimating teacher effectiveness from two-year changes in students’ test scores.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Economics of Education Review 29</w:t>
      </w:r>
      <w:r w:rsidRPr="00601169">
        <w:rPr>
          <w:rFonts w:asciiTheme="minorHAnsi" w:hAnsiTheme="minorHAnsi" w:cstheme="minorHAnsi"/>
          <w:noProof/>
          <w:sz w:val="22"/>
          <w:szCs w:val="22"/>
          <w:lang w:val="en-GB"/>
        </w:rPr>
        <w:t>(</w:t>
      </w:r>
      <w:r w:rsidRPr="00C92C50">
        <w:rPr>
          <w:rFonts w:asciiTheme="minorHAnsi" w:hAnsiTheme="minorHAnsi" w:cstheme="minorHAnsi"/>
          <w:noProof/>
          <w:sz w:val="22"/>
          <w:szCs w:val="22"/>
          <w:lang w:val="en-GB"/>
        </w:rPr>
        <w:t>3),</w:t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  <w:r w:rsidRPr="00C92C50">
        <w:rPr>
          <w:rFonts w:asciiTheme="minorHAnsi" w:hAnsiTheme="minorHAnsi" w:cstheme="minorHAnsi"/>
          <w:noProof/>
          <w:sz w:val="22"/>
          <w:szCs w:val="22"/>
          <w:lang w:val="en-GB"/>
        </w:rPr>
        <w:t>480–488.</w:t>
      </w:r>
    </w:p>
    <w:p w14:paraId="79352C07" w14:textId="6F0E94D6" w:rsidR="00CB0E50" w:rsidRPr="00F30D8A" w:rsidRDefault="00CB0E50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Leithwood, K. (2016). Department-head leadership for school improvement.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Leadership and Policy in Schools, 15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117-140. </w:t>
      </w:r>
    </w:p>
    <w:p w14:paraId="388D7F45" w14:textId="1D70DA11" w:rsidR="00915E54" w:rsidRPr="00F30D8A" w:rsidRDefault="00915E54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Li, Y. Y. (2017). Processes and dynamics behind whole-school reform: Nine-year journeys of four primary schools.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American Educational Research Journal, 54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279-324. </w:t>
      </w:r>
    </w:p>
    <w:p w14:paraId="49040401" w14:textId="4C14B19C" w:rsidR="00F30D8A" w:rsidRPr="00F30D8A" w:rsidRDefault="00CB0E50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AE661E">
        <w:rPr>
          <w:rFonts w:asciiTheme="minorHAnsi" w:hAnsiTheme="minorHAnsi" w:cstheme="minorHAnsi"/>
          <w:noProof/>
          <w:sz w:val="22"/>
          <w:szCs w:val="22"/>
        </w:rPr>
        <w:t xml:space="preserve">Liu, S., &amp; Hallinger, P. (2018). Principal instructional leadership, teacher self-efficacy, and teacher professional learning in China: Testing a mediated-effects model.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Administration Quarterly, 54</w:t>
      </w:r>
      <w:r w:rsidRPr="00AE661E">
        <w:rPr>
          <w:rFonts w:asciiTheme="minorHAnsi" w:hAnsiTheme="minorHAnsi" w:cstheme="minorHAnsi"/>
          <w:noProof/>
          <w:sz w:val="22"/>
          <w:szCs w:val="22"/>
        </w:rPr>
        <w:t xml:space="preserve">(4), 501-528. </w:t>
      </w:r>
    </w:p>
    <w:p w14:paraId="13CE4FE5" w14:textId="03B802DE" w:rsidR="00915E54" w:rsidRPr="00AE661E" w:rsidRDefault="00915E54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Lynch, D., &amp; Madden, J. (2015). Consolidating what we know works in schools for student learning effect : A case study.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Australian Educational Leader, 37</w:t>
      </w:r>
      <w:r w:rsidRPr="00F30D8A">
        <w:rPr>
          <w:rFonts w:asciiTheme="minorHAnsi" w:hAnsiTheme="minorHAnsi" w:cstheme="minorHAnsi"/>
          <w:noProof/>
          <w:sz w:val="22"/>
          <w:szCs w:val="22"/>
        </w:rPr>
        <w:t>(4), 31-34.</w:t>
      </w:r>
    </w:p>
    <w:p w14:paraId="482B6029" w14:textId="50EE8842" w:rsidR="00F30D8A" w:rsidRPr="00F30D8A" w:rsidRDefault="00F30D8A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Lynch, D., Smith, R., Provost, S., &amp; Madden, J. (2016). Improving teaching capacity to increase student achievement: The key role of data interpretation by school leaders.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Educational Administration, 54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(5), 575-592. </w:t>
      </w:r>
    </w:p>
    <w:p w14:paraId="5821ECB2" w14:textId="5FC14F42" w:rsidR="004F73D0" w:rsidRDefault="004F73D0" w:rsidP="0040023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Marzano, R. J., Waters, T., &amp; McNulty, B. A. (2005)</w:t>
      </w:r>
      <w:r w:rsidR="00866CFA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School Leadership that Works. Alexandria, VA: ACSD</w:t>
      </w:r>
      <w:r w:rsidR="00B4651B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A1881D6" w14:textId="67BF0F7C" w:rsidR="0040023C" w:rsidRPr="0040023C" w:rsidRDefault="00F10FEA" w:rsidP="0040023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10FEA">
        <w:rPr>
          <w:rFonts w:asciiTheme="minorHAnsi" w:hAnsiTheme="minorHAnsi" w:cstheme="minorHAnsi"/>
          <w:noProof/>
          <w:sz w:val="22"/>
          <w:szCs w:val="22"/>
        </w:rPr>
        <w:t>Marzano, R. J. (201</w:t>
      </w:r>
      <w:r w:rsidR="00BF0BC0">
        <w:rPr>
          <w:rFonts w:asciiTheme="minorHAnsi" w:hAnsiTheme="minorHAnsi" w:cstheme="minorHAnsi"/>
          <w:noProof/>
          <w:sz w:val="22"/>
          <w:szCs w:val="22"/>
        </w:rPr>
        <w:t>7</w:t>
      </w:r>
      <w:r w:rsidRPr="00F10FEA">
        <w:rPr>
          <w:rFonts w:asciiTheme="minorHAnsi" w:hAnsiTheme="minorHAnsi" w:cstheme="minorHAnsi"/>
          <w:noProof/>
          <w:sz w:val="22"/>
          <w:szCs w:val="22"/>
        </w:rPr>
        <w:t>).</w:t>
      </w:r>
      <w:r w:rsidR="0040023C" w:rsidRPr="0040023C">
        <w:rPr>
          <w:rFonts w:asciiTheme="minorHAnsi" w:hAnsiTheme="minorHAnsi" w:cstheme="minorHAnsi"/>
          <w:noProof/>
          <w:sz w:val="22"/>
          <w:szCs w:val="22"/>
        </w:rPr>
        <w:t xml:space="preserve"> The new art and science of reaching</w:t>
      </w:r>
      <w:r w:rsidR="00A90401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="0036768D">
        <w:rPr>
          <w:rFonts w:asciiTheme="minorHAnsi" w:hAnsiTheme="minorHAnsi" w:cstheme="minorHAnsi"/>
          <w:noProof/>
          <w:sz w:val="22"/>
          <w:szCs w:val="22"/>
        </w:rPr>
        <w:t>United States</w:t>
      </w:r>
      <w:r w:rsidR="002169E7">
        <w:rPr>
          <w:rFonts w:asciiTheme="minorHAnsi" w:hAnsiTheme="minorHAnsi" w:cstheme="minorHAnsi"/>
          <w:noProof/>
          <w:sz w:val="22"/>
          <w:szCs w:val="22"/>
        </w:rPr>
        <w:t>:</w:t>
      </w:r>
      <w:r w:rsidR="0040023C" w:rsidRPr="0040023C">
        <w:rPr>
          <w:rFonts w:asciiTheme="minorHAnsi" w:hAnsiTheme="minorHAnsi" w:cstheme="minorHAnsi"/>
          <w:noProof/>
          <w:sz w:val="22"/>
          <w:szCs w:val="22"/>
        </w:rPr>
        <w:t xml:space="preserve"> Solution Tree</w:t>
      </w:r>
      <w:r w:rsidR="005F0270">
        <w:rPr>
          <w:rFonts w:asciiTheme="minorHAnsi" w:hAnsiTheme="minorHAnsi" w:cstheme="minorHAnsi"/>
          <w:noProof/>
          <w:sz w:val="22"/>
          <w:szCs w:val="22"/>
        </w:rPr>
        <w:t>.</w:t>
      </w:r>
      <w:r w:rsidR="0040023C" w:rsidRPr="0040023C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C1D4622" w14:textId="6A4FCA35" w:rsidR="0040023C" w:rsidRDefault="0040023C" w:rsidP="0040023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40023C">
        <w:rPr>
          <w:rFonts w:asciiTheme="minorHAnsi" w:hAnsiTheme="minorHAnsi" w:cstheme="minorHAnsi"/>
          <w:noProof/>
          <w:sz w:val="22"/>
          <w:szCs w:val="22"/>
        </w:rPr>
        <w:t>Masters, G. (2012)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  <w:r w:rsidRPr="0040023C">
        <w:rPr>
          <w:rFonts w:asciiTheme="minorHAnsi" w:hAnsiTheme="minorHAnsi" w:cstheme="minorHAnsi"/>
          <w:noProof/>
          <w:sz w:val="22"/>
          <w:szCs w:val="22"/>
        </w:rPr>
        <w:t xml:space="preserve"> Measuring and Rewarding school Improvement </w:t>
      </w:r>
      <w:r w:rsidR="00F705FD">
        <w:rPr>
          <w:rFonts w:asciiTheme="minorHAnsi" w:hAnsiTheme="minorHAnsi" w:cstheme="minorHAnsi"/>
          <w:noProof/>
          <w:sz w:val="22"/>
          <w:szCs w:val="22"/>
        </w:rPr>
        <w:t>(</w:t>
      </w:r>
      <w:r w:rsidR="00320A37">
        <w:rPr>
          <w:rFonts w:asciiTheme="minorHAnsi" w:hAnsiTheme="minorHAnsi" w:cstheme="minorHAnsi"/>
          <w:noProof/>
          <w:sz w:val="22"/>
          <w:szCs w:val="22"/>
        </w:rPr>
        <w:t>r</w:t>
      </w:r>
      <w:r w:rsidR="00FD4BD9">
        <w:rPr>
          <w:rFonts w:asciiTheme="minorHAnsi" w:hAnsiTheme="minorHAnsi" w:cstheme="minorHAnsi"/>
          <w:noProof/>
          <w:sz w:val="22"/>
          <w:szCs w:val="22"/>
        </w:rPr>
        <w:t xml:space="preserve">esearch </w:t>
      </w:r>
      <w:r w:rsidR="00896733">
        <w:rPr>
          <w:rFonts w:asciiTheme="minorHAnsi" w:hAnsiTheme="minorHAnsi" w:cstheme="minorHAnsi"/>
          <w:noProof/>
          <w:sz w:val="22"/>
          <w:szCs w:val="22"/>
        </w:rPr>
        <w:t>d</w:t>
      </w:r>
      <w:r w:rsidR="00FD4BD9">
        <w:rPr>
          <w:rFonts w:asciiTheme="minorHAnsi" w:hAnsiTheme="minorHAnsi" w:cstheme="minorHAnsi"/>
          <w:noProof/>
          <w:sz w:val="22"/>
          <w:szCs w:val="22"/>
        </w:rPr>
        <w:t>issc</w:t>
      </w:r>
      <w:r w:rsidR="00BF0BC0">
        <w:rPr>
          <w:rFonts w:asciiTheme="minorHAnsi" w:hAnsiTheme="minorHAnsi" w:cstheme="minorHAnsi"/>
          <w:noProof/>
          <w:sz w:val="22"/>
          <w:szCs w:val="22"/>
        </w:rPr>
        <w:t xml:space="preserve">ussion </w:t>
      </w:r>
      <w:r w:rsidR="00F705FD">
        <w:rPr>
          <w:rFonts w:asciiTheme="minorHAnsi" w:hAnsiTheme="minorHAnsi" w:cstheme="minorHAnsi"/>
          <w:noProof/>
          <w:sz w:val="22"/>
          <w:szCs w:val="22"/>
        </w:rPr>
        <w:t>p</w:t>
      </w:r>
      <w:r w:rsidR="00BF0BC0">
        <w:rPr>
          <w:rFonts w:asciiTheme="minorHAnsi" w:hAnsiTheme="minorHAnsi" w:cstheme="minorHAnsi"/>
          <w:noProof/>
          <w:sz w:val="22"/>
          <w:szCs w:val="22"/>
        </w:rPr>
        <w:t>aper</w:t>
      </w:r>
      <w:r w:rsidR="00F705FD">
        <w:rPr>
          <w:rFonts w:asciiTheme="minorHAnsi" w:hAnsiTheme="minorHAnsi" w:cstheme="minorHAnsi"/>
          <w:noProof/>
          <w:sz w:val="22"/>
          <w:szCs w:val="22"/>
        </w:rPr>
        <w:t>)</w:t>
      </w:r>
      <w:r w:rsidR="000433E1">
        <w:rPr>
          <w:rFonts w:asciiTheme="minorHAnsi" w:hAnsiTheme="minorHAnsi" w:cstheme="minorHAnsi"/>
          <w:noProof/>
          <w:sz w:val="22"/>
          <w:szCs w:val="22"/>
        </w:rPr>
        <w:t>. Retrieved online from the</w:t>
      </w:r>
      <w:r w:rsidRPr="0040023C">
        <w:rPr>
          <w:rFonts w:asciiTheme="minorHAnsi" w:hAnsiTheme="minorHAnsi" w:cstheme="minorHAnsi"/>
          <w:noProof/>
          <w:sz w:val="22"/>
          <w:szCs w:val="22"/>
        </w:rPr>
        <w:t xml:space="preserve"> Australian Council for Educational Research</w:t>
      </w:r>
      <w:r w:rsidR="000433E1">
        <w:rPr>
          <w:rFonts w:asciiTheme="minorHAnsi" w:hAnsiTheme="minorHAnsi" w:cstheme="minorHAnsi"/>
          <w:noProof/>
          <w:sz w:val="22"/>
          <w:szCs w:val="22"/>
        </w:rPr>
        <w:t xml:space="preserve">: </w:t>
      </w:r>
      <w:hyperlink r:id="rId34" w:history="1">
        <w:r w:rsidR="000433E1" w:rsidRPr="002F4F51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https://research.acer.edu.au/policy_analysis_misc/15/</w:t>
        </w:r>
      </w:hyperlink>
    </w:p>
    <w:p w14:paraId="41D555FB" w14:textId="72D3F030" w:rsidR="00F30D8A" w:rsidRPr="00F30D8A" w:rsidRDefault="005D472D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Mayer, A., Woulfin, S., &amp; Warhol, L. (2015). Moving the center of expertise: Applying a Communities of Practice framework to understand coaching in urban school reform.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Educational Change, 16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101-123. </w:t>
      </w:r>
    </w:p>
    <w:p w14:paraId="5D01FA44" w14:textId="77777777" w:rsidR="00224A2A" w:rsidRDefault="00224A2A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224A2A">
        <w:rPr>
          <w:rFonts w:asciiTheme="minorHAnsi" w:hAnsiTheme="minorHAnsi" w:cstheme="minorHAnsi"/>
          <w:noProof/>
          <w:sz w:val="22"/>
          <w:szCs w:val="22"/>
          <w:lang w:val="en-GB"/>
        </w:rPr>
        <w:t>Moeller, A. J., Theiler, J. M., &amp; Wu, C. (2012). Goal setting and student achievement: A longitudinal study. </w:t>
      </w:r>
      <w:r w:rsidRPr="00224A2A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The Modern Language Journal</w:t>
      </w:r>
      <w:r w:rsidRPr="00224A2A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224A2A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96</w:t>
      </w:r>
      <w:r w:rsidRPr="00224A2A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(2), 153-169. </w:t>
      </w:r>
    </w:p>
    <w:p w14:paraId="52CCE850" w14:textId="711F68BC" w:rsidR="00A7670D" w:rsidRPr="008B04FC" w:rsidRDefault="00A7670D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8B04FC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Mourshed, M., Chijioke, C., &amp; Barber, M. (2010). How the world's most improved school systems keep getting better. McKinsey. Retrieved from </w:t>
      </w:r>
      <w:hyperlink r:id="rId35" w:history="1">
        <w:r w:rsidR="00CB46A8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  <w:lang w:val="en-GB"/>
          </w:rPr>
          <w:t>https://www.mckinsey.com/industries/public-and-social-sector/our-insights/how-the-worlds-most-improved-school-systems-keep-getting-better</w:t>
        </w:r>
      </w:hyperlink>
      <w:r w:rsidR="00CB46A8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</w:p>
    <w:p w14:paraId="74641B3B" w14:textId="5A6CED46" w:rsidR="005D472D" w:rsidRPr="00F30D8A" w:rsidRDefault="005D472D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Moyle, K. (2016). </w:t>
      </w:r>
      <w:r w:rsidRPr="00AE661E">
        <w:rPr>
          <w:rFonts w:asciiTheme="minorHAnsi" w:hAnsiTheme="minorHAnsi" w:cstheme="minorHAnsi"/>
          <w:noProof/>
          <w:sz w:val="22"/>
          <w:szCs w:val="22"/>
        </w:rPr>
        <w:t>Using data, conversations and observations for school improvement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. Retrieved from </w:t>
      </w:r>
      <w:hyperlink r:id="rId36" w:history="1">
        <w:r w:rsidR="00CB46A8" w:rsidRPr="003E710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https://research.acer.edu.au/cgi/viewcontent.cgi?article=1011&amp;context=professional_dev</w:t>
        </w:r>
      </w:hyperlink>
      <w:r w:rsidR="00CB46A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9F1AC48" w14:textId="47B24CE2" w:rsidR="00CB0E50" w:rsidRPr="00F30D8A" w:rsidRDefault="00CB0E50" w:rsidP="00CB0E5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Msila, V. (2016). The struggle to improve schools: Voices of South African teacher mentors.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Management Administration &amp; Leadership, 44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(6), 936-950. </w:t>
      </w:r>
    </w:p>
    <w:p w14:paraId="3E9FED19" w14:textId="1E3C663A" w:rsidR="0043396C" w:rsidRPr="002D522C" w:rsidRDefault="0043396C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2D522C">
        <w:rPr>
          <w:rFonts w:asciiTheme="minorHAnsi" w:hAnsiTheme="minorHAnsi" w:cstheme="minorHAnsi"/>
          <w:noProof/>
          <w:sz w:val="22"/>
          <w:szCs w:val="22"/>
        </w:rPr>
        <w:t>Muijs, D., Kyriakides, L., van der Werf, G., Creemers, B., Timperley, H., &amp; Earl, L. (2014)</w:t>
      </w:r>
      <w:r w:rsidR="00866CFA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State of the art – teacher effectiveness and professional learning</w:t>
      </w:r>
      <w:r w:rsidR="00CB46A8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School Effectiveness and School Improvement, 25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(2), 231–256. </w:t>
      </w:r>
    </w:p>
    <w:p w14:paraId="603DD1A1" w14:textId="37CA510F" w:rsidR="0043396C" w:rsidRDefault="00777E06" w:rsidP="002D522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2D522C">
        <w:rPr>
          <w:rFonts w:asciiTheme="minorHAnsi" w:hAnsiTheme="minorHAnsi" w:cstheme="minorHAnsi"/>
          <w:noProof/>
          <w:sz w:val="22"/>
          <w:szCs w:val="22"/>
        </w:rPr>
        <w:t>Nunnery, J. A., Chappell, S., &amp; Arnold, P. (2013)</w:t>
      </w:r>
      <w:r w:rsidR="00866CFA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A Meta-analysis of a Cooperative Learning Models Effects on Student Achievement in Mathematics</w:t>
      </w:r>
      <w:r w:rsidR="00CB46A8">
        <w:rPr>
          <w:rFonts w:asciiTheme="minorHAnsi" w:hAnsiTheme="minorHAnsi" w:cstheme="minorHAnsi"/>
          <w:noProof/>
          <w:sz w:val="22"/>
          <w:szCs w:val="22"/>
        </w:rPr>
        <w:t>.</w:t>
      </w:r>
      <w:r w:rsidRPr="002D522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Cypriot Journal of Educational Sciences, 8</w:t>
      </w:r>
      <w:r w:rsidRPr="002D522C">
        <w:rPr>
          <w:rFonts w:asciiTheme="minorHAnsi" w:hAnsiTheme="minorHAnsi" w:cstheme="minorHAnsi"/>
          <w:noProof/>
          <w:sz w:val="22"/>
          <w:szCs w:val="22"/>
        </w:rPr>
        <w:t>(1), 34–48.</w:t>
      </w:r>
    </w:p>
    <w:p w14:paraId="240EE19B" w14:textId="0E2A76AC" w:rsidR="00CB0E50" w:rsidRPr="00F30D8A" w:rsidRDefault="005D472D" w:rsidP="00AE661E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Okilwa, N., &amp; Barnett, B. (2017). Sustaining school improvement in a high-need school: Longitudinal analysis of Robbins elementary school (USA) from 1993 to 2015.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Educational Administration, 55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(3), 297-315. </w:t>
      </w:r>
    </w:p>
    <w:p w14:paraId="166026FB" w14:textId="2A785D1C" w:rsidR="008C71D8" w:rsidRDefault="008C71D8" w:rsidP="008C71D8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C71D8">
        <w:rPr>
          <w:rFonts w:asciiTheme="minorHAnsi" w:hAnsiTheme="minorHAnsi" w:cstheme="minorHAnsi"/>
          <w:noProof/>
          <w:sz w:val="22"/>
          <w:szCs w:val="22"/>
          <w:lang w:val="en-GB"/>
        </w:rPr>
        <w:t>Powell, D. R., Diamond, K. E., Burchinal, M. R., &amp; Koehler, M. J. (2010). Effects of an early literacy professional development intervention on head start teachers and children. </w:t>
      </w:r>
      <w:r w:rsidRPr="008C71D8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Journal of educational psychology</w:t>
      </w:r>
      <w:r w:rsidRPr="008C71D8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8C71D8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102</w:t>
      </w:r>
      <w:r w:rsidRPr="008C71D8">
        <w:rPr>
          <w:rFonts w:asciiTheme="minorHAnsi" w:hAnsiTheme="minorHAnsi" w:cstheme="minorHAnsi"/>
          <w:noProof/>
          <w:sz w:val="22"/>
          <w:szCs w:val="22"/>
          <w:lang w:val="en-GB"/>
        </w:rPr>
        <w:t>(2), 299</w:t>
      </w:r>
      <w:r w:rsidR="00FC0DF2">
        <w:rPr>
          <w:rFonts w:asciiTheme="minorHAnsi" w:hAnsiTheme="minorHAnsi" w:cstheme="minorHAnsi"/>
          <w:noProof/>
          <w:sz w:val="22"/>
          <w:szCs w:val="22"/>
          <w:lang w:val="en-GB"/>
        </w:rPr>
        <w:t>-312</w:t>
      </w:r>
      <w:r w:rsidRPr="008C71D8">
        <w:rPr>
          <w:rFonts w:asciiTheme="minorHAnsi" w:hAnsiTheme="minorHAnsi" w:cstheme="minorHAnsi"/>
          <w:noProof/>
          <w:sz w:val="22"/>
          <w:szCs w:val="22"/>
          <w:lang w:val="en-GB"/>
        </w:rPr>
        <w:t>.</w:t>
      </w:r>
    </w:p>
    <w:p w14:paraId="083FB17D" w14:textId="0E174F6C" w:rsidR="00CB0E50" w:rsidRPr="00F30D8A" w:rsidRDefault="00CB0E50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Ramesh, G., &amp; Sucharita, V. (2016). Going tactical rather than strategic: An intervention that helped schools pass the grade.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Contemporary Education Dialogue, 13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213-230. </w:t>
      </w:r>
    </w:p>
    <w:p w14:paraId="2D7FAE1E" w14:textId="2F4E98C9" w:rsidR="00380E3C" w:rsidRPr="00F30D8A" w:rsidRDefault="00380E3C" w:rsidP="00DA5266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Redding, C., Cannata, M., &amp; Miller, J. M. (2018). System learning in an urban school district: A case study of intra-district learning.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Educational Change, 19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77-101. </w:t>
      </w:r>
    </w:p>
    <w:p w14:paraId="4AA750F8" w14:textId="77777777" w:rsidR="009D3EE8" w:rsidRDefault="009D3EE8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9D3EE8">
        <w:rPr>
          <w:rFonts w:asciiTheme="minorHAnsi" w:hAnsiTheme="minorHAnsi" w:cstheme="minorHAnsi"/>
          <w:noProof/>
          <w:sz w:val="22"/>
          <w:szCs w:val="22"/>
          <w:lang w:val="en-GB"/>
        </w:rPr>
        <w:t>Rust, C. (2002). The impact of assessment on student learning: how can the research literature practically help to inform the development of departmental assessment strategies and learner-centred assessment practices?. </w:t>
      </w:r>
      <w:r w:rsidRPr="009D3EE8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Active learning in higher education</w:t>
      </w:r>
      <w:r w:rsidRPr="009D3EE8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9D3EE8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3</w:t>
      </w:r>
      <w:r w:rsidRPr="009D3EE8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(2), 145-158. </w:t>
      </w:r>
    </w:p>
    <w:p w14:paraId="07AB4487" w14:textId="7548137C" w:rsidR="0068241E" w:rsidRPr="00F30D8A" w:rsidRDefault="00CB0E50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Sanchez, J. E., Usinger, J., &amp; Thornton, B. (2019). Perceptions and strategies of a middle school principal: A single case study of school change.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Middle School Journal, 50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24-32. </w:t>
      </w:r>
    </w:p>
    <w:p w14:paraId="32E88DB7" w14:textId="69206C4A" w:rsidR="003143C9" w:rsidRDefault="003143C9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Seidel, T., &amp; Shavelson, R. J. (2007) Teaching Effectiveness Research in the Past Decade: The Role of Theory and Research Design in Disentangling Meta-Analysis Results</w:t>
      </w:r>
      <w:r w:rsidR="00CB46A8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Review of Educational Research, 77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(4), 454–499. </w:t>
      </w:r>
    </w:p>
    <w:p w14:paraId="7E50265A" w14:textId="1BE7309F" w:rsidR="00915E54" w:rsidRPr="00F30D8A" w:rsidRDefault="00915E54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Sigurðardóttir, S. M., &amp; Sigþórsson, R. (2016). The fusion of school improvement and leadership capacity in an elementary school.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Management Administration &amp; Leadership, 44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(4), 599-616. </w:t>
      </w:r>
    </w:p>
    <w:p w14:paraId="1E3A5A26" w14:textId="4BAFC171" w:rsidR="00C211AF" w:rsidRDefault="00C211AF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211AF">
        <w:rPr>
          <w:rFonts w:asciiTheme="minorHAnsi" w:hAnsiTheme="minorHAnsi" w:cstheme="minorHAnsi"/>
          <w:noProof/>
          <w:sz w:val="22"/>
          <w:szCs w:val="22"/>
          <w:lang w:val="en-GB"/>
        </w:rPr>
        <w:t>Subban, P. (2006). Differentiated instruction: A research basis. </w:t>
      </w:r>
      <w:r w:rsidRPr="00C211AF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 xml:space="preserve">International </w:t>
      </w:r>
      <w:r w:rsidR="00CB46A8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E</w:t>
      </w:r>
      <w:r w:rsidRPr="00C211AF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 xml:space="preserve">ducation </w:t>
      </w:r>
      <w:r w:rsidR="00CB46A8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J</w:t>
      </w:r>
      <w:r w:rsidRPr="00C211AF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ournal</w:t>
      </w:r>
      <w:r w:rsidRPr="00C211AF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C211AF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7</w:t>
      </w:r>
      <w:r w:rsidRPr="00C211AF">
        <w:rPr>
          <w:rFonts w:asciiTheme="minorHAnsi" w:hAnsiTheme="minorHAnsi" w:cstheme="minorHAnsi"/>
          <w:noProof/>
          <w:sz w:val="22"/>
          <w:szCs w:val="22"/>
          <w:lang w:val="en-GB"/>
        </w:rPr>
        <w:t>(7), 935-947.</w:t>
      </w:r>
    </w:p>
    <w:p w14:paraId="142105B8" w14:textId="309CEDC2" w:rsidR="005D472D" w:rsidRPr="00F30D8A" w:rsidRDefault="005D472D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Sun, J., Przybylski, R., &amp; Johnson, B. J. (2016). A review of research on teachers' use of student data: From the perspective of school leadership.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Educational Assessment, Evaluation and Accountability, 28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5-33. </w:t>
      </w:r>
    </w:p>
    <w:p w14:paraId="4A52838E" w14:textId="0F59FFED" w:rsidR="005D472D" w:rsidRPr="00F30D8A" w:rsidRDefault="005D472D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Sutton, P. S., &amp; Knuth, R. (2020). How high school academic departments impact school reform efforts.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Journal of Curriculum Studies, 52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118-137. </w:t>
      </w:r>
    </w:p>
    <w:p w14:paraId="707FA00A" w14:textId="569D64D8" w:rsidR="008A670F" w:rsidRDefault="008A670F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A670F">
        <w:rPr>
          <w:rFonts w:asciiTheme="minorHAnsi" w:hAnsiTheme="minorHAnsi" w:cstheme="minorHAnsi"/>
          <w:noProof/>
          <w:sz w:val="22"/>
          <w:szCs w:val="22"/>
          <w:lang w:val="en-GB"/>
        </w:rPr>
        <w:t>Taylor, B. K. (2015). Content, process, and product: Modeling differentiated instruction. </w:t>
      </w:r>
      <w:r w:rsidRPr="008A670F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Kappa Delta Pi Record</w:t>
      </w:r>
      <w:r w:rsidRPr="008A670F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8A670F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51</w:t>
      </w:r>
      <w:r w:rsidRPr="008A670F">
        <w:rPr>
          <w:rFonts w:asciiTheme="minorHAnsi" w:hAnsiTheme="minorHAnsi" w:cstheme="minorHAnsi"/>
          <w:noProof/>
          <w:sz w:val="22"/>
          <w:szCs w:val="22"/>
          <w:lang w:val="en-GB"/>
        </w:rPr>
        <w:t>(1), 13-17.</w:t>
      </w:r>
    </w:p>
    <w:p w14:paraId="4D99E0EE" w14:textId="57EEA27F" w:rsidR="00A95F03" w:rsidRPr="00D3577B" w:rsidRDefault="00A95F03" w:rsidP="00D3577B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Timperley, H., Wilson, A., Barrar, H., &amp; Fung, I. (2007)</w:t>
      </w:r>
      <w:r w:rsidR="00843494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Teacher professional learning and development: Best Evidence Synthesis Iteration. Auckland: Ministry of Education.</w:t>
      </w:r>
    </w:p>
    <w:p w14:paraId="57048241" w14:textId="0ABBCF6A" w:rsidR="00380E3C" w:rsidRPr="00F30D8A" w:rsidRDefault="00CB0E50" w:rsidP="00A42320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Tran, N. H., Hallinger, P., &amp; Truong, T. (2018). The heart of school improvement: a multi-site case study of leadership for teacher learning in Vietnam.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School Leadership &amp; Management, 38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(1), 80-101. </w:t>
      </w:r>
    </w:p>
    <w:p w14:paraId="4592CA8E" w14:textId="37630F95" w:rsidR="005D472D" w:rsidRPr="00F30D8A" w:rsidRDefault="005D472D" w:rsidP="005D472D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van Elk, R., &amp; Kok, S. (2016). The impact of a comprehensive school reform policy for weak schools on educational achievement: Results of the first 4 years.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De Economist</w:t>
      </w:r>
      <w:r w:rsidR="00CB46A8"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,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164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(4), 445-476. </w:t>
      </w:r>
    </w:p>
    <w:p w14:paraId="14A88CE7" w14:textId="77777777" w:rsidR="00A47B42" w:rsidRDefault="00A47B42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A47B42">
        <w:rPr>
          <w:rFonts w:asciiTheme="minorHAnsi" w:hAnsiTheme="minorHAnsi" w:cstheme="minorHAnsi"/>
          <w:noProof/>
          <w:sz w:val="22"/>
          <w:szCs w:val="22"/>
          <w:lang w:val="en-GB"/>
        </w:rPr>
        <w:t>Van Veen, K., Zwart, R., &amp; Meirink, J. (2012). What makes teacher professional development effective. </w:t>
      </w:r>
      <w:r w:rsidRPr="00A47B42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Teacher learning that matters: International perspectives</w:t>
      </w:r>
      <w:r w:rsidRPr="00A47B4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, 3-21. </w:t>
      </w:r>
    </w:p>
    <w:p w14:paraId="2FE1EAB1" w14:textId="6E59AA42" w:rsidR="009B5F06" w:rsidRPr="00F30D8A" w:rsidRDefault="00A42320" w:rsidP="00F30D8A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Voelkel, R. H., Jr., &amp; Chrispeels, J. H. (2017). Understanding the link between professional learning communities and teacher collective efficacy.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School Effectiveness and School Improvement, 28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(4), 505-526. </w:t>
      </w:r>
    </w:p>
    <w:p w14:paraId="52B157D9" w14:textId="001F1F95" w:rsidR="00236FC5" w:rsidRDefault="000F0985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0F0985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Walker, M., Nelson, J., Bradshaw, S. and Brown, C. Teachers’ engagement with research: what do we know? A research briefing. Education Endowment Foundation. </w:t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Retrieved online: </w:t>
      </w:r>
      <w:hyperlink r:id="rId37" w:history="1">
        <w:r w:rsidR="00236FC5" w:rsidRPr="002F4F51">
          <w:rPr>
            <w:rStyle w:val="Hyperlink"/>
            <w:rFonts w:asciiTheme="minorHAnsi" w:hAnsiTheme="minorHAnsi" w:cstheme="minorHAnsi"/>
            <w:noProof/>
            <w:sz w:val="22"/>
            <w:szCs w:val="22"/>
            <w:lang w:val="en-GB"/>
          </w:rPr>
          <w:t>https://educationendowmentfoundation.org.uk/public/files/Evaluation/%20Teachers_engagement_with_research_Research_Brief_JK.pdf/</w:t>
        </w:r>
      </w:hyperlink>
      <w:r w:rsidR="00236FC5" w:rsidRPr="00236FC5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</w:p>
    <w:p w14:paraId="779AA1E8" w14:textId="6913B954" w:rsidR="00926DC5" w:rsidRDefault="00926DC5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926DC5">
        <w:rPr>
          <w:rFonts w:asciiTheme="minorHAnsi" w:hAnsiTheme="minorHAnsi" w:cstheme="minorHAnsi"/>
          <w:noProof/>
          <w:sz w:val="22"/>
          <w:szCs w:val="22"/>
        </w:rPr>
        <w:t xml:space="preserve">Walter, C., &amp; Briggs, J. (2012). What professional development makes the most difference to teachers. A report sponsored by Oxford University Press. Retrieved </w:t>
      </w:r>
      <w:r w:rsidR="00236FC5">
        <w:rPr>
          <w:rFonts w:asciiTheme="minorHAnsi" w:hAnsiTheme="minorHAnsi" w:cstheme="minorHAnsi"/>
          <w:noProof/>
          <w:sz w:val="22"/>
          <w:szCs w:val="22"/>
        </w:rPr>
        <w:t xml:space="preserve">online: </w:t>
      </w:r>
      <w:hyperlink r:id="rId38" w:history="1">
        <w:r w:rsidR="002F2DA9" w:rsidRPr="002F4F51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https://clie.org.uk/wp-content/uploads/2011/10/Walter_Briggs_2012.pdf</w:t>
        </w:r>
      </w:hyperlink>
    </w:p>
    <w:p w14:paraId="776B3CCC" w14:textId="10891FEE" w:rsidR="009B4973" w:rsidRDefault="009B4973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Wieczorek, D., &amp; Lear, J. (2018). Building the "bridge": Teacher leadership for learning and distributed organizational capacity for instructional improvement. </w:t>
      </w:r>
      <w:r w:rsidRPr="00601169">
        <w:rPr>
          <w:rFonts w:asciiTheme="minorHAnsi" w:hAnsiTheme="minorHAnsi" w:cstheme="minorHAnsi"/>
          <w:i/>
          <w:iCs/>
          <w:noProof/>
          <w:sz w:val="22"/>
          <w:szCs w:val="22"/>
        </w:rPr>
        <w:t>International Journal of Teacher Leadership, 9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22-47. </w:t>
      </w:r>
    </w:p>
    <w:p w14:paraId="1213BA70" w14:textId="7C2E2C9F" w:rsidR="00282ECB" w:rsidRDefault="00282ECB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3577B">
        <w:rPr>
          <w:rFonts w:asciiTheme="minorHAnsi" w:hAnsiTheme="minorHAnsi" w:cstheme="minorHAnsi"/>
          <w:noProof/>
          <w:sz w:val="22"/>
          <w:szCs w:val="22"/>
        </w:rPr>
        <w:t>Yoon, K. S., Duncan, T., Lee, S. W.-Y., Scarloss, B., &amp; Shapley, K. L. (2007)</w:t>
      </w:r>
      <w:r w:rsidR="00843494">
        <w:rPr>
          <w:rFonts w:asciiTheme="minorHAnsi" w:hAnsiTheme="minorHAnsi" w:cstheme="minorHAnsi"/>
          <w:noProof/>
          <w:sz w:val="22"/>
          <w:szCs w:val="22"/>
        </w:rPr>
        <w:t>.</w:t>
      </w:r>
      <w:r w:rsidRPr="00D3577B">
        <w:rPr>
          <w:rFonts w:asciiTheme="minorHAnsi" w:hAnsiTheme="minorHAnsi" w:cstheme="minorHAnsi"/>
          <w:noProof/>
          <w:sz w:val="22"/>
          <w:szCs w:val="22"/>
        </w:rPr>
        <w:t xml:space="preserve"> Reviewing the Evidence on How Teacher Professional Development Affects Student Achievement. Issues &amp; Answers. Regional Educational Laboratory Southwest (NJ1). Retrieved </w:t>
      </w:r>
      <w:r w:rsidR="009615A4">
        <w:rPr>
          <w:rFonts w:asciiTheme="minorHAnsi" w:hAnsiTheme="minorHAnsi" w:cstheme="minorHAnsi"/>
          <w:noProof/>
          <w:sz w:val="22"/>
          <w:szCs w:val="22"/>
        </w:rPr>
        <w:t xml:space="preserve">online: </w:t>
      </w:r>
      <w:hyperlink r:id="rId39" w:history="1">
        <w:r w:rsidR="009615A4" w:rsidRPr="002F4F51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https://ies.ed.gov/ncee/edlabs/regions/southwest/pdf/REL_2007033_sum.pdf</w:t>
        </w:r>
      </w:hyperlink>
    </w:p>
    <w:p w14:paraId="4607F332" w14:textId="77777777" w:rsidR="009615A4" w:rsidRPr="00F30D8A" w:rsidRDefault="009615A4" w:rsidP="00915E54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</w:p>
    <w:p w14:paraId="2A9E5C18" w14:textId="77777777" w:rsidR="00CB0E50" w:rsidRDefault="00CB0E50" w:rsidP="00A217C7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</w:p>
    <w:p w14:paraId="6D691C41" w14:textId="77777777" w:rsidR="00421B45" w:rsidRPr="00421B45" w:rsidRDefault="00421B45" w:rsidP="00421B45"/>
    <w:sectPr w:rsidR="00421B45" w:rsidRPr="00421B45" w:rsidSect="00985DC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7C04" w14:textId="77777777" w:rsidR="00224CEB" w:rsidRDefault="00224CEB" w:rsidP="003967DD">
      <w:pPr>
        <w:spacing w:after="0"/>
      </w:pPr>
      <w:r>
        <w:separator/>
      </w:r>
    </w:p>
  </w:endnote>
  <w:endnote w:type="continuationSeparator" w:id="0">
    <w:p w14:paraId="2A2D1F7C" w14:textId="77777777" w:rsidR="00224CEB" w:rsidRDefault="00224CEB" w:rsidP="003967DD">
      <w:pPr>
        <w:spacing w:after="0"/>
      </w:pPr>
      <w:r>
        <w:continuationSeparator/>
      </w:r>
    </w:p>
  </w:endnote>
  <w:endnote w:type="continuationNotice" w:id="1">
    <w:p w14:paraId="2C249B52" w14:textId="77777777" w:rsidR="00224CEB" w:rsidRDefault="00224C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1BB6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80FC" w14:textId="77777777" w:rsidR="00224CEB" w:rsidRDefault="00224CEB" w:rsidP="003967DD">
      <w:pPr>
        <w:spacing w:after="0"/>
      </w:pPr>
      <w:r>
        <w:separator/>
      </w:r>
    </w:p>
  </w:footnote>
  <w:footnote w:type="continuationSeparator" w:id="0">
    <w:p w14:paraId="666C950C" w14:textId="77777777" w:rsidR="00224CEB" w:rsidRDefault="00224CEB" w:rsidP="003967DD">
      <w:pPr>
        <w:spacing w:after="0"/>
      </w:pPr>
      <w:r>
        <w:continuationSeparator/>
      </w:r>
    </w:p>
  </w:footnote>
  <w:footnote w:type="continuationNotice" w:id="1">
    <w:p w14:paraId="60FB6B45" w14:textId="77777777" w:rsidR="00224CEB" w:rsidRDefault="00224C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3A87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2630820E" w:rsidR="003967DD" w:rsidRDefault="00985D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DA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73033"/>
    <w:multiLevelType w:val="hybridMultilevel"/>
    <w:tmpl w:val="C3541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92134"/>
    <w:multiLevelType w:val="hybridMultilevel"/>
    <w:tmpl w:val="13422AD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D40891"/>
    <w:multiLevelType w:val="hybridMultilevel"/>
    <w:tmpl w:val="CF4C39B4"/>
    <w:lvl w:ilvl="0" w:tplc="6576E46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60E6A"/>
    <w:multiLevelType w:val="hybridMultilevel"/>
    <w:tmpl w:val="3850E53C"/>
    <w:lvl w:ilvl="0" w:tplc="D1E6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4A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E7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8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E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4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6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4F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A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ECB28FC"/>
    <w:multiLevelType w:val="hybridMultilevel"/>
    <w:tmpl w:val="F8C40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C1292"/>
    <w:multiLevelType w:val="hybridMultilevel"/>
    <w:tmpl w:val="5C26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94DAB"/>
    <w:multiLevelType w:val="hybridMultilevel"/>
    <w:tmpl w:val="CF047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A27A9"/>
    <w:multiLevelType w:val="hybridMultilevel"/>
    <w:tmpl w:val="7CE26844"/>
    <w:lvl w:ilvl="0" w:tplc="E45A028E">
      <w:start w:val="2014"/>
      <w:numFmt w:val="bullet"/>
      <w:lvlText w:val="-"/>
      <w:lvlJc w:val="left"/>
      <w:pPr>
        <w:ind w:left="1800" w:hanging="360"/>
      </w:pPr>
      <w:rPr>
        <w:rFonts w:ascii="Arial" w:eastAsiaTheme="majorEastAsia" w:hAnsi="Arial" w:cs="Arial" w:hint="default"/>
        <w:b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83973"/>
    <w:multiLevelType w:val="hybridMultilevel"/>
    <w:tmpl w:val="7CC0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B26AD"/>
    <w:multiLevelType w:val="hybridMultilevel"/>
    <w:tmpl w:val="7DA48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7438"/>
    <w:multiLevelType w:val="hybridMultilevel"/>
    <w:tmpl w:val="9814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E3434"/>
    <w:multiLevelType w:val="hybridMultilevel"/>
    <w:tmpl w:val="AB74F90C"/>
    <w:lvl w:ilvl="0" w:tplc="461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242A2"/>
    <w:multiLevelType w:val="hybridMultilevel"/>
    <w:tmpl w:val="F0E4F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2166E"/>
    <w:multiLevelType w:val="hybridMultilevel"/>
    <w:tmpl w:val="68EEF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D7523"/>
    <w:multiLevelType w:val="hybridMultilevel"/>
    <w:tmpl w:val="E3C6D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410A3"/>
    <w:multiLevelType w:val="hybridMultilevel"/>
    <w:tmpl w:val="B6E86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749AA"/>
    <w:multiLevelType w:val="hybridMultilevel"/>
    <w:tmpl w:val="796A6B5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51C672C3"/>
    <w:multiLevelType w:val="hybridMultilevel"/>
    <w:tmpl w:val="B1F470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CC3C60"/>
    <w:multiLevelType w:val="hybridMultilevel"/>
    <w:tmpl w:val="3236CC96"/>
    <w:lvl w:ilvl="0" w:tplc="238045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6361D"/>
    <w:multiLevelType w:val="hybridMultilevel"/>
    <w:tmpl w:val="55423D46"/>
    <w:lvl w:ilvl="0" w:tplc="04407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C6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04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00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2A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C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C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E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8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E6B6C"/>
    <w:multiLevelType w:val="hybridMultilevel"/>
    <w:tmpl w:val="8EC0D1E4"/>
    <w:lvl w:ilvl="0" w:tplc="BEEA8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15D7B"/>
    <w:multiLevelType w:val="hybridMultilevel"/>
    <w:tmpl w:val="1012E00A"/>
    <w:lvl w:ilvl="0" w:tplc="8A5E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0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C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1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0E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61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2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34"/>
  </w:num>
  <w:num w:numId="15">
    <w:abstractNumId w:val="36"/>
  </w:num>
  <w:num w:numId="16">
    <w:abstractNumId w:val="19"/>
  </w:num>
  <w:num w:numId="17">
    <w:abstractNumId w:val="29"/>
  </w:num>
  <w:num w:numId="18">
    <w:abstractNumId w:val="21"/>
  </w:num>
  <w:num w:numId="19">
    <w:abstractNumId w:val="32"/>
  </w:num>
  <w:num w:numId="20">
    <w:abstractNumId w:val="25"/>
  </w:num>
  <w:num w:numId="21">
    <w:abstractNumId w:val="37"/>
  </w:num>
  <w:num w:numId="22">
    <w:abstractNumId w:val="14"/>
  </w:num>
  <w:num w:numId="23">
    <w:abstractNumId w:val="38"/>
  </w:num>
  <w:num w:numId="24">
    <w:abstractNumId w:val="20"/>
  </w:num>
  <w:num w:numId="25">
    <w:abstractNumId w:val="12"/>
  </w:num>
  <w:num w:numId="26">
    <w:abstractNumId w:val="18"/>
  </w:num>
  <w:num w:numId="27">
    <w:abstractNumId w:val="23"/>
  </w:num>
  <w:num w:numId="28">
    <w:abstractNumId w:val="13"/>
  </w:num>
  <w:num w:numId="29">
    <w:abstractNumId w:val="16"/>
  </w:num>
  <w:num w:numId="30">
    <w:abstractNumId w:val="26"/>
  </w:num>
  <w:num w:numId="31">
    <w:abstractNumId w:val="17"/>
  </w:num>
  <w:num w:numId="32">
    <w:abstractNumId w:val="11"/>
  </w:num>
  <w:num w:numId="33">
    <w:abstractNumId w:val="24"/>
  </w:num>
  <w:num w:numId="34">
    <w:abstractNumId w:val="30"/>
  </w:num>
  <w:num w:numId="35">
    <w:abstractNumId w:val="27"/>
  </w:num>
  <w:num w:numId="36">
    <w:abstractNumId w:val="28"/>
  </w:num>
  <w:num w:numId="37">
    <w:abstractNumId w:val="15"/>
  </w:num>
  <w:num w:numId="38">
    <w:abstractNumId w:val="33"/>
  </w:num>
  <w:num w:numId="39">
    <w:abstractNumId w:val="3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0FA"/>
    <w:rsid w:val="00011F30"/>
    <w:rsid w:val="00012A85"/>
    <w:rsid w:val="00013339"/>
    <w:rsid w:val="000167E1"/>
    <w:rsid w:val="00017D95"/>
    <w:rsid w:val="00022BFE"/>
    <w:rsid w:val="00022C19"/>
    <w:rsid w:val="000235D5"/>
    <w:rsid w:val="00025F8F"/>
    <w:rsid w:val="00027ACB"/>
    <w:rsid w:val="00030678"/>
    <w:rsid w:val="00031800"/>
    <w:rsid w:val="0003206E"/>
    <w:rsid w:val="00033189"/>
    <w:rsid w:val="0003655E"/>
    <w:rsid w:val="000406D4"/>
    <w:rsid w:val="00041577"/>
    <w:rsid w:val="00041DD2"/>
    <w:rsid w:val="000433E1"/>
    <w:rsid w:val="000547C3"/>
    <w:rsid w:val="0005555B"/>
    <w:rsid w:val="000565A1"/>
    <w:rsid w:val="00060601"/>
    <w:rsid w:val="00062072"/>
    <w:rsid w:val="00064715"/>
    <w:rsid w:val="000675BF"/>
    <w:rsid w:val="0007286C"/>
    <w:rsid w:val="000766A9"/>
    <w:rsid w:val="00076FF1"/>
    <w:rsid w:val="00081C3F"/>
    <w:rsid w:val="000850AA"/>
    <w:rsid w:val="00086DD7"/>
    <w:rsid w:val="00091C60"/>
    <w:rsid w:val="00095559"/>
    <w:rsid w:val="00096509"/>
    <w:rsid w:val="00097026"/>
    <w:rsid w:val="000A0EA7"/>
    <w:rsid w:val="000A36D9"/>
    <w:rsid w:val="000A47D4"/>
    <w:rsid w:val="000A5110"/>
    <w:rsid w:val="000A6669"/>
    <w:rsid w:val="000B0A8D"/>
    <w:rsid w:val="000B1566"/>
    <w:rsid w:val="000B1B8C"/>
    <w:rsid w:val="000B2ADD"/>
    <w:rsid w:val="000B3F48"/>
    <w:rsid w:val="000C461C"/>
    <w:rsid w:val="000C64C4"/>
    <w:rsid w:val="000C6AA7"/>
    <w:rsid w:val="000C70D8"/>
    <w:rsid w:val="000D0855"/>
    <w:rsid w:val="000D5B85"/>
    <w:rsid w:val="000E2141"/>
    <w:rsid w:val="000F0985"/>
    <w:rsid w:val="000F0C27"/>
    <w:rsid w:val="000F302B"/>
    <w:rsid w:val="000F42A3"/>
    <w:rsid w:val="000F60D7"/>
    <w:rsid w:val="000F6205"/>
    <w:rsid w:val="00101A99"/>
    <w:rsid w:val="00106152"/>
    <w:rsid w:val="00110981"/>
    <w:rsid w:val="00110A00"/>
    <w:rsid w:val="00111965"/>
    <w:rsid w:val="00115CA1"/>
    <w:rsid w:val="00120694"/>
    <w:rsid w:val="00121510"/>
    <w:rsid w:val="00122369"/>
    <w:rsid w:val="00127231"/>
    <w:rsid w:val="00135337"/>
    <w:rsid w:val="00136D05"/>
    <w:rsid w:val="00140256"/>
    <w:rsid w:val="0014138F"/>
    <w:rsid w:val="0014321B"/>
    <w:rsid w:val="00147EFA"/>
    <w:rsid w:val="001501F1"/>
    <w:rsid w:val="00150B87"/>
    <w:rsid w:val="00164299"/>
    <w:rsid w:val="00167C6F"/>
    <w:rsid w:val="001710AF"/>
    <w:rsid w:val="0017219B"/>
    <w:rsid w:val="00176461"/>
    <w:rsid w:val="00176F42"/>
    <w:rsid w:val="00185091"/>
    <w:rsid w:val="0018527F"/>
    <w:rsid w:val="001A0BEF"/>
    <w:rsid w:val="001B3EE9"/>
    <w:rsid w:val="001B7C03"/>
    <w:rsid w:val="001C54E8"/>
    <w:rsid w:val="001D06A8"/>
    <w:rsid w:val="001D24F9"/>
    <w:rsid w:val="001D2BF8"/>
    <w:rsid w:val="001D738E"/>
    <w:rsid w:val="001D76EC"/>
    <w:rsid w:val="001E18CC"/>
    <w:rsid w:val="001E205A"/>
    <w:rsid w:val="001E2D1E"/>
    <w:rsid w:val="001E4D58"/>
    <w:rsid w:val="001E56E4"/>
    <w:rsid w:val="001E7EB8"/>
    <w:rsid w:val="001F033A"/>
    <w:rsid w:val="001F767A"/>
    <w:rsid w:val="001F7D9C"/>
    <w:rsid w:val="00201090"/>
    <w:rsid w:val="002030D2"/>
    <w:rsid w:val="00203B9E"/>
    <w:rsid w:val="00204751"/>
    <w:rsid w:val="002078DC"/>
    <w:rsid w:val="00212FB5"/>
    <w:rsid w:val="002136D7"/>
    <w:rsid w:val="0021433C"/>
    <w:rsid w:val="002169E7"/>
    <w:rsid w:val="00220484"/>
    <w:rsid w:val="0022129C"/>
    <w:rsid w:val="00221659"/>
    <w:rsid w:val="00223B0A"/>
    <w:rsid w:val="00224A2A"/>
    <w:rsid w:val="00224CEB"/>
    <w:rsid w:val="0022525D"/>
    <w:rsid w:val="00230FB8"/>
    <w:rsid w:val="00231BC3"/>
    <w:rsid w:val="00234D13"/>
    <w:rsid w:val="00234D8C"/>
    <w:rsid w:val="0023656C"/>
    <w:rsid w:val="00236FC5"/>
    <w:rsid w:val="00237BCE"/>
    <w:rsid w:val="002428E1"/>
    <w:rsid w:val="00256AF5"/>
    <w:rsid w:val="002605C2"/>
    <w:rsid w:val="002624E7"/>
    <w:rsid w:val="0026468D"/>
    <w:rsid w:val="00264CE7"/>
    <w:rsid w:val="00281F1C"/>
    <w:rsid w:val="0028250F"/>
    <w:rsid w:val="0028260C"/>
    <w:rsid w:val="00282ECB"/>
    <w:rsid w:val="002A4A96"/>
    <w:rsid w:val="002A568B"/>
    <w:rsid w:val="002A79DE"/>
    <w:rsid w:val="002A7BBB"/>
    <w:rsid w:val="002B0854"/>
    <w:rsid w:val="002B1FB9"/>
    <w:rsid w:val="002B45A7"/>
    <w:rsid w:val="002C09FD"/>
    <w:rsid w:val="002C4266"/>
    <w:rsid w:val="002C624E"/>
    <w:rsid w:val="002C669D"/>
    <w:rsid w:val="002D42E6"/>
    <w:rsid w:val="002D522C"/>
    <w:rsid w:val="002D5490"/>
    <w:rsid w:val="002E07F1"/>
    <w:rsid w:val="002E3BED"/>
    <w:rsid w:val="002F2DA9"/>
    <w:rsid w:val="00304755"/>
    <w:rsid w:val="00307B6E"/>
    <w:rsid w:val="00312720"/>
    <w:rsid w:val="003143C9"/>
    <w:rsid w:val="003205E8"/>
    <w:rsid w:val="00320A37"/>
    <w:rsid w:val="00321E09"/>
    <w:rsid w:val="00322C23"/>
    <w:rsid w:val="00326B3E"/>
    <w:rsid w:val="00333406"/>
    <w:rsid w:val="00334BD5"/>
    <w:rsid w:val="00340A57"/>
    <w:rsid w:val="00341555"/>
    <w:rsid w:val="003440E7"/>
    <w:rsid w:val="00345489"/>
    <w:rsid w:val="00350C9B"/>
    <w:rsid w:val="0035393E"/>
    <w:rsid w:val="00356C6E"/>
    <w:rsid w:val="0036203B"/>
    <w:rsid w:val="00363F0A"/>
    <w:rsid w:val="0036768D"/>
    <w:rsid w:val="003720FC"/>
    <w:rsid w:val="00380E3C"/>
    <w:rsid w:val="003821B8"/>
    <w:rsid w:val="003821EA"/>
    <w:rsid w:val="003929DA"/>
    <w:rsid w:val="00394705"/>
    <w:rsid w:val="00394C54"/>
    <w:rsid w:val="003951CD"/>
    <w:rsid w:val="00395E86"/>
    <w:rsid w:val="00395ED3"/>
    <w:rsid w:val="003967DD"/>
    <w:rsid w:val="003A237D"/>
    <w:rsid w:val="003A35F9"/>
    <w:rsid w:val="003A427C"/>
    <w:rsid w:val="003A44C5"/>
    <w:rsid w:val="003A49B1"/>
    <w:rsid w:val="003B09A7"/>
    <w:rsid w:val="003B2A25"/>
    <w:rsid w:val="003B3F3A"/>
    <w:rsid w:val="003C0943"/>
    <w:rsid w:val="003C0A8F"/>
    <w:rsid w:val="003D40F0"/>
    <w:rsid w:val="003E1ACD"/>
    <w:rsid w:val="003E33C0"/>
    <w:rsid w:val="003E7C6A"/>
    <w:rsid w:val="003F568A"/>
    <w:rsid w:val="0040023C"/>
    <w:rsid w:val="00401AB2"/>
    <w:rsid w:val="00401C10"/>
    <w:rsid w:val="00402760"/>
    <w:rsid w:val="00403657"/>
    <w:rsid w:val="00405705"/>
    <w:rsid w:val="004121DD"/>
    <w:rsid w:val="0041550F"/>
    <w:rsid w:val="00421B45"/>
    <w:rsid w:val="004238EA"/>
    <w:rsid w:val="00426AA9"/>
    <w:rsid w:val="00430466"/>
    <w:rsid w:val="00430AD3"/>
    <w:rsid w:val="00432E45"/>
    <w:rsid w:val="00432EC6"/>
    <w:rsid w:val="0043396C"/>
    <w:rsid w:val="00440326"/>
    <w:rsid w:val="004422C3"/>
    <w:rsid w:val="00443D52"/>
    <w:rsid w:val="00451E4B"/>
    <w:rsid w:val="00452BC6"/>
    <w:rsid w:val="00455163"/>
    <w:rsid w:val="00455703"/>
    <w:rsid w:val="0045612D"/>
    <w:rsid w:val="00462A14"/>
    <w:rsid w:val="004652DA"/>
    <w:rsid w:val="004710E6"/>
    <w:rsid w:val="00475F2D"/>
    <w:rsid w:val="00477FF6"/>
    <w:rsid w:val="00490B27"/>
    <w:rsid w:val="00491A8E"/>
    <w:rsid w:val="0049246E"/>
    <w:rsid w:val="004952D8"/>
    <w:rsid w:val="00495813"/>
    <w:rsid w:val="00495EB5"/>
    <w:rsid w:val="00497FFE"/>
    <w:rsid w:val="004A284D"/>
    <w:rsid w:val="004A3294"/>
    <w:rsid w:val="004A5BD3"/>
    <w:rsid w:val="004A7177"/>
    <w:rsid w:val="004B29BE"/>
    <w:rsid w:val="004B2ED6"/>
    <w:rsid w:val="004B4080"/>
    <w:rsid w:val="004B598B"/>
    <w:rsid w:val="004B7E80"/>
    <w:rsid w:val="004C0C8D"/>
    <w:rsid w:val="004C2F0A"/>
    <w:rsid w:val="004C47A6"/>
    <w:rsid w:val="004D1457"/>
    <w:rsid w:val="004E55D8"/>
    <w:rsid w:val="004E72A6"/>
    <w:rsid w:val="004E7EFF"/>
    <w:rsid w:val="004F0907"/>
    <w:rsid w:val="004F3295"/>
    <w:rsid w:val="004F49E2"/>
    <w:rsid w:val="004F73D0"/>
    <w:rsid w:val="00506061"/>
    <w:rsid w:val="00510C74"/>
    <w:rsid w:val="00511B6D"/>
    <w:rsid w:val="005136BC"/>
    <w:rsid w:val="00514B0F"/>
    <w:rsid w:val="00523FAC"/>
    <w:rsid w:val="00524D14"/>
    <w:rsid w:val="00524D9C"/>
    <w:rsid w:val="00524E02"/>
    <w:rsid w:val="00527E06"/>
    <w:rsid w:val="00530DA8"/>
    <w:rsid w:val="0053327A"/>
    <w:rsid w:val="00535BE9"/>
    <w:rsid w:val="0053714D"/>
    <w:rsid w:val="00540EA7"/>
    <w:rsid w:val="00542FF6"/>
    <w:rsid w:val="00543324"/>
    <w:rsid w:val="005444D2"/>
    <w:rsid w:val="005446EB"/>
    <w:rsid w:val="00545B00"/>
    <w:rsid w:val="00547D7B"/>
    <w:rsid w:val="00550A61"/>
    <w:rsid w:val="005520BD"/>
    <w:rsid w:val="0055278C"/>
    <w:rsid w:val="00554BDB"/>
    <w:rsid w:val="00555E38"/>
    <w:rsid w:val="005561D4"/>
    <w:rsid w:val="00564800"/>
    <w:rsid w:val="0057571F"/>
    <w:rsid w:val="005757C5"/>
    <w:rsid w:val="005762F4"/>
    <w:rsid w:val="00577863"/>
    <w:rsid w:val="00581555"/>
    <w:rsid w:val="00584366"/>
    <w:rsid w:val="00587097"/>
    <w:rsid w:val="005957C8"/>
    <w:rsid w:val="005A1011"/>
    <w:rsid w:val="005A5444"/>
    <w:rsid w:val="005B528B"/>
    <w:rsid w:val="005B6172"/>
    <w:rsid w:val="005C3D71"/>
    <w:rsid w:val="005C4D1A"/>
    <w:rsid w:val="005C63F3"/>
    <w:rsid w:val="005C7C1B"/>
    <w:rsid w:val="005D0FF4"/>
    <w:rsid w:val="005D14FC"/>
    <w:rsid w:val="005D1603"/>
    <w:rsid w:val="005D16CA"/>
    <w:rsid w:val="005D472D"/>
    <w:rsid w:val="005D4D35"/>
    <w:rsid w:val="005D604B"/>
    <w:rsid w:val="005E3364"/>
    <w:rsid w:val="005E428F"/>
    <w:rsid w:val="005E49C3"/>
    <w:rsid w:val="005E79D2"/>
    <w:rsid w:val="005E7C49"/>
    <w:rsid w:val="005F0270"/>
    <w:rsid w:val="005F07C6"/>
    <w:rsid w:val="005F2CDD"/>
    <w:rsid w:val="005F310E"/>
    <w:rsid w:val="005F45D1"/>
    <w:rsid w:val="00601169"/>
    <w:rsid w:val="00602FEF"/>
    <w:rsid w:val="0060368D"/>
    <w:rsid w:val="0060382F"/>
    <w:rsid w:val="00604577"/>
    <w:rsid w:val="00605E92"/>
    <w:rsid w:val="00606923"/>
    <w:rsid w:val="00607FA1"/>
    <w:rsid w:val="00611889"/>
    <w:rsid w:val="006119AF"/>
    <w:rsid w:val="00615203"/>
    <w:rsid w:val="00615C9D"/>
    <w:rsid w:val="00616649"/>
    <w:rsid w:val="00620F08"/>
    <w:rsid w:val="0062388A"/>
    <w:rsid w:val="0062498E"/>
    <w:rsid w:val="00624A55"/>
    <w:rsid w:val="006321F9"/>
    <w:rsid w:val="006360B3"/>
    <w:rsid w:val="00636461"/>
    <w:rsid w:val="006375A3"/>
    <w:rsid w:val="00637810"/>
    <w:rsid w:val="0064093D"/>
    <w:rsid w:val="006509B0"/>
    <w:rsid w:val="006520F3"/>
    <w:rsid w:val="00653905"/>
    <w:rsid w:val="00663936"/>
    <w:rsid w:val="006642E0"/>
    <w:rsid w:val="00670B70"/>
    <w:rsid w:val="006712C1"/>
    <w:rsid w:val="006719CB"/>
    <w:rsid w:val="006759EB"/>
    <w:rsid w:val="00681758"/>
    <w:rsid w:val="0068178C"/>
    <w:rsid w:val="0068241E"/>
    <w:rsid w:val="006828B2"/>
    <w:rsid w:val="00691262"/>
    <w:rsid w:val="00692A69"/>
    <w:rsid w:val="00696E7F"/>
    <w:rsid w:val="006A03A0"/>
    <w:rsid w:val="006A25AC"/>
    <w:rsid w:val="006A47B2"/>
    <w:rsid w:val="006A690A"/>
    <w:rsid w:val="006B48A0"/>
    <w:rsid w:val="006B5CD9"/>
    <w:rsid w:val="006C1D0E"/>
    <w:rsid w:val="006C20EA"/>
    <w:rsid w:val="006C2621"/>
    <w:rsid w:val="006C576C"/>
    <w:rsid w:val="006C6493"/>
    <w:rsid w:val="006C7003"/>
    <w:rsid w:val="006C773F"/>
    <w:rsid w:val="006D1AE7"/>
    <w:rsid w:val="006D56AE"/>
    <w:rsid w:val="006D5883"/>
    <w:rsid w:val="006D5D26"/>
    <w:rsid w:val="006E144D"/>
    <w:rsid w:val="006E2DEF"/>
    <w:rsid w:val="006E2E76"/>
    <w:rsid w:val="006E309E"/>
    <w:rsid w:val="006E55C8"/>
    <w:rsid w:val="006E71E0"/>
    <w:rsid w:val="006F0556"/>
    <w:rsid w:val="006F13D4"/>
    <w:rsid w:val="006F645B"/>
    <w:rsid w:val="006F7692"/>
    <w:rsid w:val="00701A6A"/>
    <w:rsid w:val="0071231C"/>
    <w:rsid w:val="00714D08"/>
    <w:rsid w:val="0071706C"/>
    <w:rsid w:val="00721EA6"/>
    <w:rsid w:val="00726C67"/>
    <w:rsid w:val="0072729B"/>
    <w:rsid w:val="0073208F"/>
    <w:rsid w:val="007340BA"/>
    <w:rsid w:val="007365D6"/>
    <w:rsid w:val="007454B3"/>
    <w:rsid w:val="007455A5"/>
    <w:rsid w:val="007607CE"/>
    <w:rsid w:val="00766463"/>
    <w:rsid w:val="0077036B"/>
    <w:rsid w:val="00773A13"/>
    <w:rsid w:val="00775B12"/>
    <w:rsid w:val="007778B3"/>
    <w:rsid w:val="00777E06"/>
    <w:rsid w:val="007806EE"/>
    <w:rsid w:val="00781F69"/>
    <w:rsid w:val="007845E0"/>
    <w:rsid w:val="007847ED"/>
    <w:rsid w:val="00790645"/>
    <w:rsid w:val="00793915"/>
    <w:rsid w:val="007A4E78"/>
    <w:rsid w:val="007A5446"/>
    <w:rsid w:val="007A6334"/>
    <w:rsid w:val="007B088F"/>
    <w:rsid w:val="007B1C6D"/>
    <w:rsid w:val="007B556E"/>
    <w:rsid w:val="007C3401"/>
    <w:rsid w:val="007C486E"/>
    <w:rsid w:val="007C4AE0"/>
    <w:rsid w:val="007C7AB5"/>
    <w:rsid w:val="007D3E38"/>
    <w:rsid w:val="007D4A94"/>
    <w:rsid w:val="007D4D2C"/>
    <w:rsid w:val="007E1B5F"/>
    <w:rsid w:val="007E7663"/>
    <w:rsid w:val="007F323A"/>
    <w:rsid w:val="007F386F"/>
    <w:rsid w:val="007F5BBD"/>
    <w:rsid w:val="00801B41"/>
    <w:rsid w:val="00802224"/>
    <w:rsid w:val="00804D5A"/>
    <w:rsid w:val="00805572"/>
    <w:rsid w:val="008077DD"/>
    <w:rsid w:val="00811327"/>
    <w:rsid w:val="008123F8"/>
    <w:rsid w:val="00812761"/>
    <w:rsid w:val="008243F4"/>
    <w:rsid w:val="00824902"/>
    <w:rsid w:val="00826BC0"/>
    <w:rsid w:val="00836B41"/>
    <w:rsid w:val="00843494"/>
    <w:rsid w:val="00843825"/>
    <w:rsid w:val="00844476"/>
    <w:rsid w:val="008464D4"/>
    <w:rsid w:val="008511CB"/>
    <w:rsid w:val="008544DC"/>
    <w:rsid w:val="00856D6E"/>
    <w:rsid w:val="00860699"/>
    <w:rsid w:val="00866CFA"/>
    <w:rsid w:val="008710A1"/>
    <w:rsid w:val="008735B9"/>
    <w:rsid w:val="00874678"/>
    <w:rsid w:val="008746F7"/>
    <w:rsid w:val="008747F9"/>
    <w:rsid w:val="00877059"/>
    <w:rsid w:val="00877D85"/>
    <w:rsid w:val="008802CA"/>
    <w:rsid w:val="00886A02"/>
    <w:rsid w:val="00894792"/>
    <w:rsid w:val="008950FF"/>
    <w:rsid w:val="00896733"/>
    <w:rsid w:val="00897B1B"/>
    <w:rsid w:val="008A2F2F"/>
    <w:rsid w:val="008A3BB3"/>
    <w:rsid w:val="008A57E6"/>
    <w:rsid w:val="008A670F"/>
    <w:rsid w:val="008A6D2C"/>
    <w:rsid w:val="008B04FC"/>
    <w:rsid w:val="008B1737"/>
    <w:rsid w:val="008B2197"/>
    <w:rsid w:val="008B4F5C"/>
    <w:rsid w:val="008B4FD6"/>
    <w:rsid w:val="008C46D3"/>
    <w:rsid w:val="008C6374"/>
    <w:rsid w:val="008C71D8"/>
    <w:rsid w:val="008D1050"/>
    <w:rsid w:val="008D17E8"/>
    <w:rsid w:val="008D1D18"/>
    <w:rsid w:val="008D29D1"/>
    <w:rsid w:val="008D4F74"/>
    <w:rsid w:val="008E0F27"/>
    <w:rsid w:val="008F2AE7"/>
    <w:rsid w:val="009030AA"/>
    <w:rsid w:val="00907197"/>
    <w:rsid w:val="00911D0E"/>
    <w:rsid w:val="00915E54"/>
    <w:rsid w:val="00920A2F"/>
    <w:rsid w:val="00921B59"/>
    <w:rsid w:val="00924A18"/>
    <w:rsid w:val="0092669A"/>
    <w:rsid w:val="00926A30"/>
    <w:rsid w:val="00926DC5"/>
    <w:rsid w:val="0092756D"/>
    <w:rsid w:val="009318F1"/>
    <w:rsid w:val="00932890"/>
    <w:rsid w:val="00932B42"/>
    <w:rsid w:val="00932CE4"/>
    <w:rsid w:val="00933469"/>
    <w:rsid w:val="00934E80"/>
    <w:rsid w:val="0093629D"/>
    <w:rsid w:val="00940BB6"/>
    <w:rsid w:val="00942E25"/>
    <w:rsid w:val="0094353C"/>
    <w:rsid w:val="009439C4"/>
    <w:rsid w:val="0094760E"/>
    <w:rsid w:val="009531B7"/>
    <w:rsid w:val="00953C5B"/>
    <w:rsid w:val="009562D7"/>
    <w:rsid w:val="009568CC"/>
    <w:rsid w:val="00956EA3"/>
    <w:rsid w:val="009608CC"/>
    <w:rsid w:val="009615A4"/>
    <w:rsid w:val="00962201"/>
    <w:rsid w:val="00963468"/>
    <w:rsid w:val="00970EA5"/>
    <w:rsid w:val="00974F4D"/>
    <w:rsid w:val="0097539B"/>
    <w:rsid w:val="009812BB"/>
    <w:rsid w:val="0098278B"/>
    <w:rsid w:val="00982EB4"/>
    <w:rsid w:val="00985DC7"/>
    <w:rsid w:val="0099381E"/>
    <w:rsid w:val="009A20DA"/>
    <w:rsid w:val="009A2E43"/>
    <w:rsid w:val="009A3B4B"/>
    <w:rsid w:val="009A407C"/>
    <w:rsid w:val="009A4885"/>
    <w:rsid w:val="009A5D95"/>
    <w:rsid w:val="009B0F43"/>
    <w:rsid w:val="009B3733"/>
    <w:rsid w:val="009B3B40"/>
    <w:rsid w:val="009B4973"/>
    <w:rsid w:val="009B4FB6"/>
    <w:rsid w:val="009B5F06"/>
    <w:rsid w:val="009B773B"/>
    <w:rsid w:val="009C0A30"/>
    <w:rsid w:val="009C426D"/>
    <w:rsid w:val="009D2B48"/>
    <w:rsid w:val="009D3EE8"/>
    <w:rsid w:val="009D3F37"/>
    <w:rsid w:val="009D49EB"/>
    <w:rsid w:val="009E69D5"/>
    <w:rsid w:val="009F6E90"/>
    <w:rsid w:val="009F7EA0"/>
    <w:rsid w:val="00A000C6"/>
    <w:rsid w:val="00A007AE"/>
    <w:rsid w:val="00A03867"/>
    <w:rsid w:val="00A11E64"/>
    <w:rsid w:val="00A136B7"/>
    <w:rsid w:val="00A20795"/>
    <w:rsid w:val="00A21139"/>
    <w:rsid w:val="00A217C7"/>
    <w:rsid w:val="00A21D67"/>
    <w:rsid w:val="00A26799"/>
    <w:rsid w:val="00A31243"/>
    <w:rsid w:val="00A31926"/>
    <w:rsid w:val="00A3232C"/>
    <w:rsid w:val="00A32D97"/>
    <w:rsid w:val="00A331CA"/>
    <w:rsid w:val="00A3747A"/>
    <w:rsid w:val="00A406AD"/>
    <w:rsid w:val="00A42320"/>
    <w:rsid w:val="00A43D12"/>
    <w:rsid w:val="00A45B9E"/>
    <w:rsid w:val="00A463A5"/>
    <w:rsid w:val="00A47158"/>
    <w:rsid w:val="00A47B42"/>
    <w:rsid w:val="00A5506F"/>
    <w:rsid w:val="00A559BB"/>
    <w:rsid w:val="00A5763E"/>
    <w:rsid w:val="00A67C6C"/>
    <w:rsid w:val="00A7670D"/>
    <w:rsid w:val="00A82B25"/>
    <w:rsid w:val="00A82EBF"/>
    <w:rsid w:val="00A847A9"/>
    <w:rsid w:val="00A85976"/>
    <w:rsid w:val="00A86C7E"/>
    <w:rsid w:val="00A87F70"/>
    <w:rsid w:val="00A90401"/>
    <w:rsid w:val="00A943F5"/>
    <w:rsid w:val="00A95F03"/>
    <w:rsid w:val="00A970A7"/>
    <w:rsid w:val="00AA1BD6"/>
    <w:rsid w:val="00AA501E"/>
    <w:rsid w:val="00AC0684"/>
    <w:rsid w:val="00AD3AEF"/>
    <w:rsid w:val="00AD3D61"/>
    <w:rsid w:val="00AE01A7"/>
    <w:rsid w:val="00AE04ED"/>
    <w:rsid w:val="00AE165B"/>
    <w:rsid w:val="00AE661E"/>
    <w:rsid w:val="00AE7066"/>
    <w:rsid w:val="00AE717F"/>
    <w:rsid w:val="00AF16AB"/>
    <w:rsid w:val="00AF2E0F"/>
    <w:rsid w:val="00AF342C"/>
    <w:rsid w:val="00AF64EB"/>
    <w:rsid w:val="00AF7A66"/>
    <w:rsid w:val="00AF7DCA"/>
    <w:rsid w:val="00B00B1F"/>
    <w:rsid w:val="00B030BF"/>
    <w:rsid w:val="00B0394E"/>
    <w:rsid w:val="00B063BE"/>
    <w:rsid w:val="00B10A94"/>
    <w:rsid w:val="00B14B2B"/>
    <w:rsid w:val="00B17D42"/>
    <w:rsid w:val="00B252A6"/>
    <w:rsid w:val="00B33EF0"/>
    <w:rsid w:val="00B37293"/>
    <w:rsid w:val="00B414D2"/>
    <w:rsid w:val="00B421BD"/>
    <w:rsid w:val="00B42A1B"/>
    <w:rsid w:val="00B42AC1"/>
    <w:rsid w:val="00B445BD"/>
    <w:rsid w:val="00B4651B"/>
    <w:rsid w:val="00B52C23"/>
    <w:rsid w:val="00B559A5"/>
    <w:rsid w:val="00B575EA"/>
    <w:rsid w:val="00B612E3"/>
    <w:rsid w:val="00B62FDC"/>
    <w:rsid w:val="00B71A12"/>
    <w:rsid w:val="00B73ED3"/>
    <w:rsid w:val="00B74463"/>
    <w:rsid w:val="00B74C28"/>
    <w:rsid w:val="00B76695"/>
    <w:rsid w:val="00B77A85"/>
    <w:rsid w:val="00B8120E"/>
    <w:rsid w:val="00B846ED"/>
    <w:rsid w:val="00B85081"/>
    <w:rsid w:val="00B87314"/>
    <w:rsid w:val="00B90DDD"/>
    <w:rsid w:val="00B938AE"/>
    <w:rsid w:val="00B95226"/>
    <w:rsid w:val="00B95F77"/>
    <w:rsid w:val="00BB02A7"/>
    <w:rsid w:val="00BB0D0A"/>
    <w:rsid w:val="00BB32F4"/>
    <w:rsid w:val="00BB7F87"/>
    <w:rsid w:val="00BC23BC"/>
    <w:rsid w:val="00BC24B4"/>
    <w:rsid w:val="00BC3940"/>
    <w:rsid w:val="00BD1304"/>
    <w:rsid w:val="00BD4823"/>
    <w:rsid w:val="00BD5ED4"/>
    <w:rsid w:val="00BD5F3A"/>
    <w:rsid w:val="00BE7859"/>
    <w:rsid w:val="00BF0BC0"/>
    <w:rsid w:val="00BF657E"/>
    <w:rsid w:val="00BF6CF7"/>
    <w:rsid w:val="00BF7142"/>
    <w:rsid w:val="00C00F81"/>
    <w:rsid w:val="00C059B7"/>
    <w:rsid w:val="00C067DE"/>
    <w:rsid w:val="00C070C3"/>
    <w:rsid w:val="00C13270"/>
    <w:rsid w:val="00C13E84"/>
    <w:rsid w:val="00C14BA8"/>
    <w:rsid w:val="00C16238"/>
    <w:rsid w:val="00C17297"/>
    <w:rsid w:val="00C211AF"/>
    <w:rsid w:val="00C21CF8"/>
    <w:rsid w:val="00C22AC2"/>
    <w:rsid w:val="00C22B48"/>
    <w:rsid w:val="00C23828"/>
    <w:rsid w:val="00C23F0E"/>
    <w:rsid w:val="00C27EBE"/>
    <w:rsid w:val="00C31D3B"/>
    <w:rsid w:val="00C336F9"/>
    <w:rsid w:val="00C35ABF"/>
    <w:rsid w:val="00C40C81"/>
    <w:rsid w:val="00C41277"/>
    <w:rsid w:val="00C417F7"/>
    <w:rsid w:val="00C46DCA"/>
    <w:rsid w:val="00C56C86"/>
    <w:rsid w:val="00C57E5C"/>
    <w:rsid w:val="00C71337"/>
    <w:rsid w:val="00C81824"/>
    <w:rsid w:val="00C81DCC"/>
    <w:rsid w:val="00C830DA"/>
    <w:rsid w:val="00C83ECD"/>
    <w:rsid w:val="00C841E7"/>
    <w:rsid w:val="00C90647"/>
    <w:rsid w:val="00C92C50"/>
    <w:rsid w:val="00C95152"/>
    <w:rsid w:val="00C95430"/>
    <w:rsid w:val="00CA086E"/>
    <w:rsid w:val="00CA74B6"/>
    <w:rsid w:val="00CB0E50"/>
    <w:rsid w:val="00CB1473"/>
    <w:rsid w:val="00CB31A8"/>
    <w:rsid w:val="00CB46A8"/>
    <w:rsid w:val="00CB4C90"/>
    <w:rsid w:val="00CC14E2"/>
    <w:rsid w:val="00CC1B77"/>
    <w:rsid w:val="00CC1BBF"/>
    <w:rsid w:val="00CC1EC1"/>
    <w:rsid w:val="00CC22D3"/>
    <w:rsid w:val="00CC2755"/>
    <w:rsid w:val="00CC3C2D"/>
    <w:rsid w:val="00CC6ADC"/>
    <w:rsid w:val="00CC7B46"/>
    <w:rsid w:val="00CD4954"/>
    <w:rsid w:val="00CD67D7"/>
    <w:rsid w:val="00CD75BB"/>
    <w:rsid w:val="00CD7600"/>
    <w:rsid w:val="00CE025F"/>
    <w:rsid w:val="00CE10A0"/>
    <w:rsid w:val="00CE74BD"/>
    <w:rsid w:val="00CF2DCB"/>
    <w:rsid w:val="00CF2E6A"/>
    <w:rsid w:val="00CF42FE"/>
    <w:rsid w:val="00CF75E0"/>
    <w:rsid w:val="00CF7C6D"/>
    <w:rsid w:val="00CF7F2B"/>
    <w:rsid w:val="00D01476"/>
    <w:rsid w:val="00D05812"/>
    <w:rsid w:val="00D0692E"/>
    <w:rsid w:val="00D06D9B"/>
    <w:rsid w:val="00D072C3"/>
    <w:rsid w:val="00D11D1B"/>
    <w:rsid w:val="00D131FD"/>
    <w:rsid w:val="00D30CF4"/>
    <w:rsid w:val="00D31F4E"/>
    <w:rsid w:val="00D3430E"/>
    <w:rsid w:val="00D34C71"/>
    <w:rsid w:val="00D3577B"/>
    <w:rsid w:val="00D37093"/>
    <w:rsid w:val="00D43D1E"/>
    <w:rsid w:val="00D44B44"/>
    <w:rsid w:val="00D44BE2"/>
    <w:rsid w:val="00D45C14"/>
    <w:rsid w:val="00D46598"/>
    <w:rsid w:val="00D47388"/>
    <w:rsid w:val="00D532D2"/>
    <w:rsid w:val="00D54F4E"/>
    <w:rsid w:val="00D56FBA"/>
    <w:rsid w:val="00D608BD"/>
    <w:rsid w:val="00D63996"/>
    <w:rsid w:val="00D71CAC"/>
    <w:rsid w:val="00D7270A"/>
    <w:rsid w:val="00D72DC7"/>
    <w:rsid w:val="00D76B98"/>
    <w:rsid w:val="00D84095"/>
    <w:rsid w:val="00D84192"/>
    <w:rsid w:val="00D84274"/>
    <w:rsid w:val="00D853E8"/>
    <w:rsid w:val="00D87C18"/>
    <w:rsid w:val="00D91E52"/>
    <w:rsid w:val="00D938D4"/>
    <w:rsid w:val="00D941D3"/>
    <w:rsid w:val="00D95642"/>
    <w:rsid w:val="00D97BED"/>
    <w:rsid w:val="00DA4C92"/>
    <w:rsid w:val="00DA5266"/>
    <w:rsid w:val="00DA615A"/>
    <w:rsid w:val="00DB18BB"/>
    <w:rsid w:val="00DB4F0B"/>
    <w:rsid w:val="00DC0E8A"/>
    <w:rsid w:val="00DC425A"/>
    <w:rsid w:val="00DC6224"/>
    <w:rsid w:val="00DC76BB"/>
    <w:rsid w:val="00DC7A06"/>
    <w:rsid w:val="00DD371A"/>
    <w:rsid w:val="00DD427D"/>
    <w:rsid w:val="00DE0C67"/>
    <w:rsid w:val="00DE407E"/>
    <w:rsid w:val="00DE54B1"/>
    <w:rsid w:val="00DE5632"/>
    <w:rsid w:val="00DE64A7"/>
    <w:rsid w:val="00DE7533"/>
    <w:rsid w:val="00DF09D2"/>
    <w:rsid w:val="00DF17B1"/>
    <w:rsid w:val="00DF2955"/>
    <w:rsid w:val="00DF392F"/>
    <w:rsid w:val="00DF5256"/>
    <w:rsid w:val="00DF65A0"/>
    <w:rsid w:val="00DF6EA6"/>
    <w:rsid w:val="00E03E62"/>
    <w:rsid w:val="00E061EF"/>
    <w:rsid w:val="00E06648"/>
    <w:rsid w:val="00E07A01"/>
    <w:rsid w:val="00E07EB7"/>
    <w:rsid w:val="00E119EE"/>
    <w:rsid w:val="00E139E8"/>
    <w:rsid w:val="00E153A2"/>
    <w:rsid w:val="00E169B8"/>
    <w:rsid w:val="00E17C1B"/>
    <w:rsid w:val="00E17FF2"/>
    <w:rsid w:val="00E20E1C"/>
    <w:rsid w:val="00E22498"/>
    <w:rsid w:val="00E2383D"/>
    <w:rsid w:val="00E238C1"/>
    <w:rsid w:val="00E26F98"/>
    <w:rsid w:val="00E34815"/>
    <w:rsid w:val="00E34A9A"/>
    <w:rsid w:val="00E36807"/>
    <w:rsid w:val="00E37878"/>
    <w:rsid w:val="00E4582A"/>
    <w:rsid w:val="00E53AF1"/>
    <w:rsid w:val="00E53D32"/>
    <w:rsid w:val="00E60005"/>
    <w:rsid w:val="00E61EE7"/>
    <w:rsid w:val="00E626AD"/>
    <w:rsid w:val="00E63A67"/>
    <w:rsid w:val="00E70C19"/>
    <w:rsid w:val="00E74D78"/>
    <w:rsid w:val="00E81351"/>
    <w:rsid w:val="00E87D70"/>
    <w:rsid w:val="00E9074C"/>
    <w:rsid w:val="00E919A9"/>
    <w:rsid w:val="00E91D6C"/>
    <w:rsid w:val="00E95CE7"/>
    <w:rsid w:val="00EB2776"/>
    <w:rsid w:val="00EB27AC"/>
    <w:rsid w:val="00EB3DF0"/>
    <w:rsid w:val="00EC1C27"/>
    <w:rsid w:val="00EC2F08"/>
    <w:rsid w:val="00EC2F79"/>
    <w:rsid w:val="00ED0797"/>
    <w:rsid w:val="00ED2D63"/>
    <w:rsid w:val="00ED31A0"/>
    <w:rsid w:val="00ED5281"/>
    <w:rsid w:val="00ED5801"/>
    <w:rsid w:val="00ED593D"/>
    <w:rsid w:val="00ED5A33"/>
    <w:rsid w:val="00EE144C"/>
    <w:rsid w:val="00EE7043"/>
    <w:rsid w:val="00F066B8"/>
    <w:rsid w:val="00F072B4"/>
    <w:rsid w:val="00F10FEA"/>
    <w:rsid w:val="00F14F7D"/>
    <w:rsid w:val="00F15912"/>
    <w:rsid w:val="00F162CF"/>
    <w:rsid w:val="00F1664C"/>
    <w:rsid w:val="00F20ED7"/>
    <w:rsid w:val="00F26B48"/>
    <w:rsid w:val="00F30725"/>
    <w:rsid w:val="00F30D8A"/>
    <w:rsid w:val="00F3365B"/>
    <w:rsid w:val="00F3739D"/>
    <w:rsid w:val="00F40110"/>
    <w:rsid w:val="00F44616"/>
    <w:rsid w:val="00F510CE"/>
    <w:rsid w:val="00F57CB0"/>
    <w:rsid w:val="00F60695"/>
    <w:rsid w:val="00F64CBF"/>
    <w:rsid w:val="00F67591"/>
    <w:rsid w:val="00F67A46"/>
    <w:rsid w:val="00F704F5"/>
    <w:rsid w:val="00F705FD"/>
    <w:rsid w:val="00F715FD"/>
    <w:rsid w:val="00F73A98"/>
    <w:rsid w:val="00F8383A"/>
    <w:rsid w:val="00F83A7F"/>
    <w:rsid w:val="00F87D85"/>
    <w:rsid w:val="00F91718"/>
    <w:rsid w:val="00F91BE7"/>
    <w:rsid w:val="00FA0AE6"/>
    <w:rsid w:val="00FA203D"/>
    <w:rsid w:val="00FA4146"/>
    <w:rsid w:val="00FA43E7"/>
    <w:rsid w:val="00FA5C20"/>
    <w:rsid w:val="00FA6733"/>
    <w:rsid w:val="00FB20F7"/>
    <w:rsid w:val="00FB33F2"/>
    <w:rsid w:val="00FB59E6"/>
    <w:rsid w:val="00FB5DEC"/>
    <w:rsid w:val="00FB6E6A"/>
    <w:rsid w:val="00FC09F4"/>
    <w:rsid w:val="00FC0DF2"/>
    <w:rsid w:val="00FC260F"/>
    <w:rsid w:val="00FD012D"/>
    <w:rsid w:val="00FD0C3B"/>
    <w:rsid w:val="00FD177D"/>
    <w:rsid w:val="00FD3C93"/>
    <w:rsid w:val="00FD3F04"/>
    <w:rsid w:val="00FD4BD9"/>
    <w:rsid w:val="00FD5063"/>
    <w:rsid w:val="00FD571A"/>
    <w:rsid w:val="00FE0993"/>
    <w:rsid w:val="00FE12F7"/>
    <w:rsid w:val="00FE17D1"/>
    <w:rsid w:val="00FE7D3A"/>
    <w:rsid w:val="26EF7BA4"/>
    <w:rsid w:val="2C01463F"/>
    <w:rsid w:val="357BE300"/>
    <w:rsid w:val="3619CA01"/>
    <w:rsid w:val="366DCEB6"/>
    <w:rsid w:val="44F4D704"/>
    <w:rsid w:val="60273025"/>
    <w:rsid w:val="6F75E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3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8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6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ListParagraph">
    <w:name w:val="List Paragraph"/>
    <w:basedOn w:val="Normal"/>
    <w:link w:val="ListParagraphChar"/>
    <w:uiPriority w:val="34"/>
    <w:qFormat/>
    <w:rsid w:val="000B3F48"/>
    <w:pPr>
      <w:spacing w:after="160" w:line="259" w:lineRule="auto"/>
      <w:ind w:left="720"/>
      <w:contextualSpacing/>
    </w:pPr>
    <w:rPr>
      <w:szCs w:val="22"/>
      <w:lang w:val="en-AU"/>
    </w:rPr>
  </w:style>
  <w:style w:type="table" w:styleId="GridTable2-Accent1">
    <w:name w:val="Grid Table 2 Accent 1"/>
    <w:basedOn w:val="TableNormal"/>
    <w:uiPriority w:val="47"/>
    <w:rsid w:val="000B3F48"/>
    <w:rPr>
      <w:sz w:val="22"/>
      <w:szCs w:val="22"/>
      <w:lang w:val="en-AU"/>
    </w:rPr>
    <w:tblPr>
      <w:tblStyleRowBandSize w:val="1"/>
      <w:tblStyleColBandSize w:val="1"/>
      <w:tblBorders>
        <w:top w:val="single" w:sz="2" w:space="0" w:color="3190FF" w:themeColor="accent1" w:themeTint="99"/>
        <w:bottom w:val="single" w:sz="2" w:space="0" w:color="3190FF" w:themeColor="accent1" w:themeTint="99"/>
        <w:insideH w:val="single" w:sz="2" w:space="0" w:color="3190FF" w:themeColor="accent1" w:themeTint="99"/>
        <w:insideV w:val="single" w:sz="2" w:space="0" w:color="319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9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9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F" w:themeFill="accent1" w:themeFillTint="33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GridTable2">
    <w:name w:val="Grid Table 2"/>
    <w:basedOn w:val="TableNormal"/>
    <w:uiPriority w:val="47"/>
    <w:rsid w:val="000B3F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8802C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033189"/>
    <w:rPr>
      <w:vertAlign w:val="superscript"/>
    </w:rPr>
  </w:style>
  <w:style w:type="character" w:customStyle="1" w:styleId="textrun">
    <w:name w:val="textrun"/>
    <w:basedOn w:val="DefaultParagraphFont"/>
    <w:rsid w:val="00D3430E"/>
  </w:style>
  <w:style w:type="character" w:customStyle="1" w:styleId="normaltextrun">
    <w:name w:val="normaltextrun"/>
    <w:basedOn w:val="DefaultParagraphFont"/>
    <w:rsid w:val="00D3430E"/>
  </w:style>
  <w:style w:type="character" w:customStyle="1" w:styleId="eop">
    <w:name w:val="eop"/>
    <w:basedOn w:val="DefaultParagraphFont"/>
    <w:rsid w:val="00D3430E"/>
  </w:style>
  <w:style w:type="paragraph" w:customStyle="1" w:styleId="EndNoteBibliography">
    <w:name w:val="EndNote Bibliography"/>
    <w:basedOn w:val="Normal"/>
    <w:link w:val="EndNoteBibliographyChar"/>
    <w:rsid w:val="00027ACB"/>
    <w:pPr>
      <w:spacing w:before="120" w:after="0"/>
      <w:ind w:firstLine="737"/>
    </w:pPr>
    <w:rPr>
      <w:rFonts w:ascii="Calibri" w:eastAsia="Times New Roman" w:hAnsi="Calibri" w:cs="Calibri"/>
      <w:sz w:val="24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027ACB"/>
    <w:rPr>
      <w:rFonts w:ascii="Calibri" w:eastAsia="Times New Roman" w:hAnsi="Calibri" w:cs="Calibri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7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C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0678"/>
    <w:rPr>
      <w:sz w:val="22"/>
      <w:szCs w:val="22"/>
      <w:lang w:val="en-AU"/>
    </w:rPr>
  </w:style>
  <w:style w:type="paragraph" w:customStyle="1" w:styleId="bullets">
    <w:name w:val="bullets"/>
    <w:basedOn w:val="ListParagraph"/>
    <w:link w:val="bulletsChar"/>
    <w:qFormat/>
    <w:rsid w:val="00B030BF"/>
    <w:pPr>
      <w:numPr>
        <w:numId w:val="28"/>
      </w:numPr>
      <w:spacing w:before="160" w:after="90" w:line="276" w:lineRule="auto"/>
      <w:jc w:val="both"/>
    </w:pPr>
    <w:rPr>
      <w:rFonts w:ascii="Arial" w:eastAsia="Calibri" w:hAnsi="Arial" w:cs="Arial"/>
      <w:color w:val="404040" w:themeColor="text1" w:themeTint="BF"/>
      <w:sz w:val="19"/>
      <w:szCs w:val="19"/>
      <w:lang w:val="en-US" w:eastAsia="en-AU"/>
    </w:rPr>
  </w:style>
  <w:style w:type="character" w:customStyle="1" w:styleId="bulletsChar">
    <w:name w:val="bullets Char"/>
    <w:basedOn w:val="DefaultParagraphFont"/>
    <w:link w:val="bullets"/>
    <w:rsid w:val="00B030BF"/>
    <w:rPr>
      <w:rFonts w:ascii="Arial" w:eastAsia="Calibri" w:hAnsi="Arial" w:cs="Arial"/>
      <w:color w:val="404040" w:themeColor="text1" w:themeTint="BF"/>
      <w:sz w:val="19"/>
      <w:szCs w:val="19"/>
      <w:lang w:val="en-US" w:eastAsia="en-AU"/>
    </w:rPr>
  </w:style>
  <w:style w:type="character" w:styleId="UnresolvedMention">
    <w:name w:val="Unresolved Mention"/>
    <w:basedOn w:val="DefaultParagraphFont"/>
    <w:uiPriority w:val="99"/>
    <w:rsid w:val="00926DC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0F0"/>
  </w:style>
  <w:style w:type="character" w:customStyle="1" w:styleId="BodyTextChar">
    <w:name w:val="Body Text Char"/>
    <w:basedOn w:val="DefaultParagraphFont"/>
    <w:link w:val="BodyText"/>
    <w:uiPriority w:val="99"/>
    <w:semiHidden/>
    <w:rsid w:val="003D40F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87D7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491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04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609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7837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se.education.vic.gov.au/Resource/LandingPage?ObjectId=1407efe9-7853-4f25-87b3-21c5c3a4bf96" TargetMode="External"/><Relationship Id="rId18" Type="http://schemas.openxmlformats.org/officeDocument/2006/relationships/hyperlink" Target="https://fuse.education.vic.gov.au/Resource/LandingPage?ObjectId=ca2fb853-0afb-41ae-8252-96ede5a443e3&amp;SearchScope=Teacher" TargetMode="External"/><Relationship Id="rId26" Type="http://schemas.openxmlformats.org/officeDocument/2006/relationships/hyperlink" Target="http://australia.teachingandlearningtoolkit.net.au/" TargetMode="External"/><Relationship Id="rId39" Type="http://schemas.openxmlformats.org/officeDocument/2006/relationships/hyperlink" Target="https://ies.ed.gov/ncee/edlabs/regions/southwest/pdf/REL_2007033_sum.pdf" TargetMode="External"/><Relationship Id="rId21" Type="http://schemas.openxmlformats.org/officeDocument/2006/relationships/hyperlink" Target="http://www.google.com.au/url?sa=t&amp;rct=j&amp;q=&amp;esrc=s&amp;source=web&amp;cd=1&amp;cad=rja&amp;uact=8&amp;sqi=2&amp;ved=0CCIQFjAA&amp;url=http%3A%2F%2Fwww.metproject.org%2Fdownloads%2FMET_Ensuring_Fair_and_Reliable_Measures_Practitioner_Brief.pdf&amp;ei=7wtwVNmsKZTi8AW60YKwBA&amp;usg=AFQjCNEoH_4L8Y3qQ2-6CIKiV13BeZAFFw&amp;bvm=bv.80185997,d.dGY" TargetMode="External"/><Relationship Id="rId34" Type="http://schemas.openxmlformats.org/officeDocument/2006/relationships/hyperlink" Target="https://research.acer.edu.au/policy_analysis_misc/15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use.education.vic.gov.au/Resource/LandingPage?ObjectId=25502f0f-5a93-40de-ab09-401b8f6abf82" TargetMode="External"/><Relationship Id="rId29" Type="http://schemas.openxmlformats.org/officeDocument/2006/relationships/hyperlink" Target="https://evidenceforlearning.org.au/the-toolkits/the-teaching-and-learning-toolkit/all-approaches/feedbac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school/teachers/teachingresources/%20practice/improve/Pages/hits.aspx" TargetMode="External"/><Relationship Id="rId24" Type="http://schemas.openxmlformats.org/officeDocument/2006/relationships/hyperlink" Target="https://www.cese.nsw.gov.au/publications-filter/what-works-best-2020-update" TargetMode="External"/><Relationship Id="rId32" Type="http://schemas.openxmlformats.org/officeDocument/2006/relationships/hyperlink" Target="http://www.decd.sa.gov.au/limestonecoast/files/pages/new%20page/PLC/teachers_make_a_difference.pdf" TargetMode="External"/><Relationship Id="rId37" Type="http://schemas.openxmlformats.org/officeDocument/2006/relationships/hyperlink" Target="https://educationendowmentfoundation.org.uk/public/files/Evaluation/%20Teachers_engagement_with_research_Research_Brief_JK.pdf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fuse.education.vic.gov.au/Resource/LandingPage?ObjectId=33a41d51-0f52-4332-8089-77798a963045" TargetMode="External"/><Relationship Id="rId23" Type="http://schemas.openxmlformats.org/officeDocument/2006/relationships/hyperlink" Target="http://nla.gov.au/nla.arc-158409-20160517-0329-www.cese.nsw.gov.au/images/stories/PDF/HighValueAddReport_Oct2015.pdf" TargetMode="External"/><Relationship Id="rId28" Type="http://schemas.openxmlformats.org/officeDocument/2006/relationships/hyperlink" Target="https://evidenceforlearning.org.au/the-toolkits/the-teaching-and-learning-toolkit/all-approaches/feedback/" TargetMode="External"/><Relationship Id="rId36" Type="http://schemas.openxmlformats.org/officeDocument/2006/relationships/hyperlink" Target="https://research.acer.edu.au/cgi/viewcontent.cgi?article=1011&amp;context=professional_de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itsl.edu.au/tools-resources/resource/the-essential-guide-to-professional-learning-collaboration" TargetMode="External"/><Relationship Id="rId31" Type="http://schemas.openxmlformats.org/officeDocument/2006/relationships/hyperlink" Target="https://grattan.edu.au/wp-content/uploads/2020/02/928-top-teachers.pdf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&#8226;%09https:/www.education.vic.gov.au/school/%20teachers/classrooms/Pages/approachesppn17cop.aspx" TargetMode="External"/><Relationship Id="rId22" Type="http://schemas.openxmlformats.org/officeDocument/2006/relationships/hyperlink" Target="https://files.eric.ed.gov/fulltext/ED544700.pdf" TargetMode="External"/><Relationship Id="rId27" Type="http://schemas.openxmlformats.org/officeDocument/2006/relationships/hyperlink" Target="https://evidenceforlearning.org.au/the-toolkits/" TargetMode="External"/><Relationship Id="rId30" Type="http://schemas.openxmlformats.org/officeDocument/2006/relationships/hyperlink" Target="https://grattan.edu.au/wp-content/uploads/2017/02/Engaging-students-creating-classrooms-that-improve-learning.pdf" TargetMode="External"/><Relationship Id="rId35" Type="http://schemas.openxmlformats.org/officeDocument/2006/relationships/hyperlink" Target="https://www.mckinsey.com/industries/public-and-social-sector/our-insights/how-the-worlds-most-improved-school-systems-keep-getting-better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fuse.education.vic.gov.au/Resource/%20LandingPage?ObjectId=0ff17d39-ea41-4ee0-977f-1dac0e642ffc" TargetMode="External"/><Relationship Id="rId17" Type="http://schemas.openxmlformats.org/officeDocument/2006/relationships/hyperlink" Target="http://fuse.education.vic.gov.au/Resource/LandingPage?ObjectId=2757dfa2-186f-4f51-a64c-83a12a9a9027" TargetMode="External"/><Relationship Id="rId25" Type="http://schemas.openxmlformats.org/officeDocument/2006/relationships/hyperlink" Target="http://dro.dur.ac.uk/13747/" TargetMode="External"/><Relationship Id="rId33" Type="http://schemas.openxmlformats.org/officeDocument/2006/relationships/hyperlink" Target="http://eric.ed.gov/?id=ED546794" TargetMode="External"/><Relationship Id="rId38" Type="http://schemas.openxmlformats.org/officeDocument/2006/relationships/hyperlink" Target="https://clie.org.uk/wp-content/uploads/2011/10/Walter_Briggs_2012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mckinsey.com/industries/public-and-social-sector/our-insights/how-the-worlds-best-performing-school-systems-come-out-on-top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Excellence in teaching and learning evidence base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8EBC2-6FC5-4BBA-BEE6-6C137C14DB6F}"/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purl.org/dc/elements/1.1/"/>
    <ds:schemaRef ds:uri="3e94c8a7-64a9-4ba9-ad00-20dd670ef9a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e5bef44a-dead-4763-a9f1-15c67a35074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7B93A7-E81B-469C-A64A-CC24518C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10</Pages>
  <Words>5198</Words>
  <Characters>29633</Characters>
  <Application>Microsoft Office Word</Application>
  <DocSecurity>0</DocSecurity>
  <Lines>246</Lines>
  <Paragraphs>69</Paragraphs>
  <ScaleCrop>false</ScaleCrop>
  <Company/>
  <LinksUpToDate>false</LinksUpToDate>
  <CharactersWithSpaces>34762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Elizabeth Forrest</cp:lastModifiedBy>
  <cp:revision>699</cp:revision>
  <dcterms:created xsi:type="dcterms:W3CDTF">2020-07-29T04:30:00Z</dcterms:created>
  <dcterms:modified xsi:type="dcterms:W3CDTF">2021-01-07T06:29:00Z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