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E4BF" w14:textId="25887DBA" w:rsidR="00CC4C6E" w:rsidRDefault="00CC4C6E" w:rsidP="5C79F2D3">
      <w:pPr>
        <w:pStyle w:val="Heading2"/>
        <w:rPr>
          <w:sz w:val="44"/>
          <w:szCs w:val="44"/>
        </w:rPr>
      </w:pPr>
      <w:r w:rsidRPr="354C8AD9">
        <w:rPr>
          <w:sz w:val="44"/>
          <w:szCs w:val="44"/>
        </w:rPr>
        <w:t>community engagemen</w:t>
      </w:r>
      <w:r w:rsidR="00012498" w:rsidRPr="354C8AD9">
        <w:rPr>
          <w:sz w:val="44"/>
          <w:szCs w:val="44"/>
        </w:rPr>
        <w:t>t</w:t>
      </w:r>
      <w:r w:rsidRPr="354C8AD9">
        <w:rPr>
          <w:sz w:val="44"/>
          <w:szCs w:val="44"/>
        </w:rPr>
        <w:t xml:space="preserve"> in learning</w:t>
      </w:r>
      <w:r w:rsidR="00DD427D" w:rsidRPr="354C8AD9">
        <w:rPr>
          <w:sz w:val="44"/>
          <w:szCs w:val="44"/>
        </w:rPr>
        <w:t xml:space="preserve"> </w:t>
      </w:r>
      <w:r w:rsidR="00E81824">
        <w:rPr>
          <w:sz w:val="44"/>
          <w:szCs w:val="44"/>
        </w:rPr>
        <w:t xml:space="preserve">RESEARCH </w:t>
      </w:r>
      <w:r w:rsidR="00DD427D" w:rsidRPr="354C8AD9">
        <w:rPr>
          <w:sz w:val="44"/>
          <w:szCs w:val="44"/>
        </w:rPr>
        <w:t>evidence base</w:t>
      </w:r>
    </w:p>
    <w:p w14:paraId="09CADD16" w14:textId="3AF08512" w:rsidR="354C8AD9" w:rsidRDefault="00597D1A" w:rsidP="00D4363E">
      <w:pPr>
        <w:pStyle w:val="Intro"/>
      </w:pPr>
      <w:r>
        <w:t>There is a</w:t>
      </w:r>
      <w:r w:rsidR="008C2373">
        <w:t xml:space="preserve"> </w:t>
      </w:r>
      <w:r w:rsidR="00E001AF">
        <w:t>growing</w:t>
      </w:r>
      <w:r w:rsidR="008C2373">
        <w:t xml:space="preserve"> </w:t>
      </w:r>
      <w:r w:rsidR="009F0FA7">
        <w:t xml:space="preserve">research </w:t>
      </w:r>
      <w:r w:rsidR="008C2373">
        <w:t>evidence base</w:t>
      </w:r>
      <w:r w:rsidR="00324ADC">
        <w:t xml:space="preserve"> support</w:t>
      </w:r>
      <w:r w:rsidR="00AE4E3C">
        <w:t>ing the link between</w:t>
      </w:r>
      <w:r w:rsidR="005C17A9">
        <w:t xml:space="preserve"> </w:t>
      </w:r>
      <w:r w:rsidR="000D72A5">
        <w:t xml:space="preserve">school </w:t>
      </w:r>
      <w:r w:rsidR="005C17A9">
        <w:t>p</w:t>
      </w:r>
      <w:r w:rsidR="00BC6491" w:rsidRPr="00C1350E">
        <w:t>artnerships and</w:t>
      </w:r>
      <w:r w:rsidR="000D72A5">
        <w:t xml:space="preserve"> </w:t>
      </w:r>
      <w:r w:rsidR="00BC6491" w:rsidRPr="00C1350E">
        <w:t>network</w:t>
      </w:r>
      <w:r w:rsidR="000D72A5">
        <w:t xml:space="preserve">s </w:t>
      </w:r>
      <w:r w:rsidR="000E4DA8">
        <w:t>and</w:t>
      </w:r>
      <w:r w:rsidR="00324ADC">
        <w:t xml:space="preserve"> </w:t>
      </w:r>
      <w:r w:rsidR="000E4DA8">
        <w:t xml:space="preserve">enhanced </w:t>
      </w:r>
      <w:r w:rsidR="00324ADC">
        <w:t>student outcomes</w:t>
      </w:r>
      <w:r w:rsidR="00B424F8">
        <w:t xml:space="preserve">. </w:t>
      </w:r>
      <w:r w:rsidR="00BC0B3E" w:rsidRPr="00C1350E">
        <w:rPr>
          <w:rFonts w:eastAsia="Times New Roman" w:cstheme="minorHAnsi"/>
          <w:szCs w:val="22"/>
          <w:lang w:val="en-GB"/>
        </w:rPr>
        <w:t>The contemporary literature recognises that collaboration beyond the school</w:t>
      </w:r>
      <w:r w:rsidR="00162775">
        <w:rPr>
          <w:rFonts w:eastAsia="Times New Roman" w:cstheme="minorHAnsi"/>
          <w:szCs w:val="22"/>
        </w:rPr>
        <w:t>, including with parents</w:t>
      </w:r>
      <w:r w:rsidR="006C7C81">
        <w:rPr>
          <w:rFonts w:eastAsia="Times New Roman" w:cstheme="minorHAnsi"/>
          <w:szCs w:val="22"/>
        </w:rPr>
        <w:t>/carers</w:t>
      </w:r>
      <w:r w:rsidR="00B9497C">
        <w:rPr>
          <w:rFonts w:eastAsia="Times New Roman" w:cstheme="minorHAnsi"/>
          <w:szCs w:val="22"/>
        </w:rPr>
        <w:t>/kin</w:t>
      </w:r>
      <w:r w:rsidR="00162775">
        <w:rPr>
          <w:rFonts w:eastAsia="Times New Roman" w:cstheme="minorHAnsi"/>
          <w:szCs w:val="22"/>
        </w:rPr>
        <w:t xml:space="preserve">, </w:t>
      </w:r>
      <w:r w:rsidR="006D1012">
        <w:rPr>
          <w:rFonts w:eastAsia="Times New Roman" w:cstheme="minorHAnsi"/>
          <w:szCs w:val="22"/>
        </w:rPr>
        <w:t xml:space="preserve">services, industry and networks, </w:t>
      </w:r>
      <w:r w:rsidR="00BC0B3E" w:rsidRPr="00C1350E">
        <w:rPr>
          <w:rFonts w:eastAsia="Times New Roman" w:cstheme="minorHAnsi"/>
          <w:szCs w:val="22"/>
          <w:lang w:val="en-GB"/>
        </w:rPr>
        <w:t>is a critical driver of school improvement</w:t>
      </w:r>
      <w:r w:rsidR="00294FCF">
        <w:rPr>
          <w:rFonts w:eastAsia="Times New Roman" w:cstheme="minorHAnsi"/>
          <w:szCs w:val="22"/>
          <w:lang w:val="en-GB"/>
        </w:rPr>
        <w:t>.</w:t>
      </w:r>
    </w:p>
    <w:p w14:paraId="07B4887C" w14:textId="4769223E" w:rsidR="00967CB9" w:rsidRPr="00466871" w:rsidRDefault="00967CB9">
      <w:pPr>
        <w:rPr>
          <w:rFonts w:cstheme="minorHAnsi"/>
          <w:szCs w:val="22"/>
        </w:rPr>
      </w:pPr>
      <w:r w:rsidRPr="00FA00A5">
        <w:rPr>
          <w:b/>
          <w:bCs/>
        </w:rPr>
        <w:t>Building communities</w:t>
      </w:r>
    </w:p>
    <w:p w14:paraId="42B02D5D" w14:textId="37495D08" w:rsidR="00FF5C9A" w:rsidRPr="00623287" w:rsidRDefault="00E80520" w:rsidP="00FF5C9A">
      <w:pPr>
        <w:rPr>
          <w:rFonts w:cstheme="minorHAnsi"/>
          <w:szCs w:val="22"/>
          <w:lang w:val="en-AU"/>
        </w:rPr>
      </w:pPr>
      <w:r>
        <w:rPr>
          <w:rFonts w:cstheme="minorHAnsi"/>
          <w:szCs w:val="22"/>
        </w:rPr>
        <w:t>Engaging the community through d</w:t>
      </w:r>
      <w:r w:rsidR="00895EC3" w:rsidRPr="00C1350E">
        <w:rPr>
          <w:rFonts w:cstheme="minorHAnsi"/>
          <w:szCs w:val="22"/>
        </w:rPr>
        <w:t xml:space="preserve">eveloping and maintaining </w:t>
      </w:r>
      <w:r>
        <w:rPr>
          <w:rFonts w:cstheme="minorHAnsi"/>
          <w:szCs w:val="22"/>
        </w:rPr>
        <w:t>relationships</w:t>
      </w:r>
      <w:r w:rsidR="00895EC3" w:rsidRPr="00C1350E">
        <w:rPr>
          <w:rFonts w:cstheme="minorHAnsi"/>
          <w:szCs w:val="22"/>
        </w:rPr>
        <w:t xml:space="preserve"> with a broad range of </w:t>
      </w:r>
      <w:r w:rsidR="00895EC3" w:rsidRPr="00AC5F7D">
        <w:rPr>
          <w:rFonts w:cstheme="minorHAnsi"/>
          <w:szCs w:val="22"/>
        </w:rPr>
        <w:t>stakeholders is recognised as a driver for enhancing teaching and non-teaching capacity within schools</w:t>
      </w:r>
      <w:r w:rsidR="003E3DAD" w:rsidRPr="00AC5F7D">
        <w:rPr>
          <w:rFonts w:cstheme="minorHAnsi"/>
          <w:szCs w:val="22"/>
        </w:rPr>
        <w:t xml:space="preserve">. </w:t>
      </w:r>
      <w:r w:rsidR="00AD477A">
        <w:rPr>
          <w:rFonts w:cstheme="minorHAnsi"/>
          <w:szCs w:val="22"/>
        </w:rPr>
        <w:t>Relationships</w:t>
      </w:r>
      <w:r w:rsidR="00396707" w:rsidRPr="00AC5F7D">
        <w:rPr>
          <w:rFonts w:cstheme="minorHAnsi"/>
          <w:szCs w:val="22"/>
        </w:rPr>
        <w:t xml:space="preserve"> </w:t>
      </w:r>
      <w:r w:rsidR="0091326E" w:rsidRPr="00AC5F7D">
        <w:rPr>
          <w:rFonts w:cstheme="minorHAnsi"/>
          <w:szCs w:val="22"/>
        </w:rPr>
        <w:t>between teachers and with the broader community strengthen the professional capital of those working</w:t>
      </w:r>
      <w:r w:rsidR="0091326E" w:rsidRPr="007A7F7A">
        <w:rPr>
          <w:rFonts w:cstheme="minorHAnsi"/>
          <w:szCs w:val="22"/>
        </w:rPr>
        <w:t xml:space="preserve"> within a school and of the community as a whole.</w:t>
      </w:r>
      <w:r w:rsidR="0091326E" w:rsidRPr="007A7F7A">
        <w:rPr>
          <w:rFonts w:cstheme="minorHAnsi"/>
          <w:szCs w:val="22"/>
          <w:lang w:val="en-AU"/>
        </w:rPr>
        <w:t xml:space="preserve"> </w:t>
      </w:r>
      <w:r w:rsidR="00FF5C9A">
        <w:rPr>
          <w:rFonts w:cstheme="minorHAnsi"/>
          <w:szCs w:val="22"/>
        </w:rPr>
        <w:t xml:space="preserve">The work of </w:t>
      </w:r>
      <w:r w:rsidR="00AC5999">
        <w:rPr>
          <w:rFonts w:cstheme="minorHAnsi"/>
          <w:szCs w:val="22"/>
        </w:rPr>
        <w:t>b</w:t>
      </w:r>
      <w:r w:rsidR="00FF5C9A">
        <w:rPr>
          <w:rFonts w:cstheme="minorHAnsi"/>
          <w:szCs w:val="22"/>
        </w:rPr>
        <w:t xml:space="preserve">uilding </w:t>
      </w:r>
      <w:r w:rsidR="00AC5999">
        <w:rPr>
          <w:rFonts w:cstheme="minorHAnsi"/>
          <w:szCs w:val="22"/>
        </w:rPr>
        <w:t>c</w:t>
      </w:r>
      <w:r w:rsidR="00FF5C9A">
        <w:rPr>
          <w:rFonts w:cstheme="minorHAnsi"/>
          <w:szCs w:val="22"/>
        </w:rPr>
        <w:t xml:space="preserve">ommunities is complex and multifaceted. </w:t>
      </w:r>
      <w:r w:rsidR="00FF5C9A" w:rsidRPr="00623287">
        <w:rPr>
          <w:rFonts w:cstheme="minorHAnsi"/>
          <w:szCs w:val="22"/>
          <w:lang w:val="en-AU"/>
        </w:rPr>
        <w:t xml:space="preserve">The </w:t>
      </w:r>
      <w:r w:rsidR="00FF5C9A" w:rsidRPr="00623287">
        <w:rPr>
          <w:rFonts w:cstheme="minorHAnsi"/>
          <w:szCs w:val="22"/>
        </w:rPr>
        <w:t>Measure of School, Family, and Community Partnerships developed by Johns Hopkins University is an instrument designed to measure how schools engage with parents, community members and students</w:t>
      </w:r>
      <w:r w:rsidR="002B2F2B">
        <w:rPr>
          <w:rFonts w:cstheme="minorHAnsi"/>
          <w:szCs w:val="22"/>
        </w:rPr>
        <w:t>,</w:t>
      </w:r>
      <w:r w:rsidR="009C73C8">
        <w:rPr>
          <w:rFonts w:cstheme="minorHAnsi"/>
          <w:szCs w:val="22"/>
        </w:rPr>
        <w:t xml:space="preserve"> and includes</w:t>
      </w:r>
      <w:r w:rsidR="00FF5C9A" w:rsidRPr="00623287">
        <w:rPr>
          <w:rFonts w:cstheme="minorHAnsi"/>
          <w:szCs w:val="22"/>
        </w:rPr>
        <w:t xml:space="preserve"> six types of involvement: parenting, communication, volunteering, learning at home, decision-making and collaborating with the community </w:t>
      </w:r>
      <w:r w:rsidR="00FF5C9A" w:rsidRPr="00E04711">
        <w:rPr>
          <w:rFonts w:cstheme="minorHAnsi"/>
          <w:szCs w:val="22"/>
        </w:rPr>
        <w:t>(Salinas, et al., 2019).</w:t>
      </w:r>
    </w:p>
    <w:p w14:paraId="0AD7E490" w14:textId="7AA7EE0C" w:rsidR="00BB61DC" w:rsidRDefault="00202398" w:rsidP="007D44B2">
      <w:r w:rsidRPr="004D6CF1">
        <w:rPr>
          <w:rFonts w:cstheme="minorHAnsi"/>
          <w:szCs w:val="22"/>
          <w:lang w:val="en-AU"/>
        </w:rPr>
        <w:t xml:space="preserve">Effective schools build positive ways to communicate with students and the community to develop a shared vision of the school ethos and learning environment, with a strong focus on </w:t>
      </w:r>
      <w:r w:rsidR="00BC24D5">
        <w:rPr>
          <w:rFonts w:cstheme="minorHAnsi"/>
          <w:szCs w:val="22"/>
          <w:lang w:val="en-AU"/>
        </w:rPr>
        <w:t>pedagogy</w:t>
      </w:r>
      <w:r w:rsidR="00BC24D5" w:rsidRPr="004D6CF1">
        <w:rPr>
          <w:rFonts w:cstheme="minorHAnsi"/>
          <w:szCs w:val="22"/>
          <w:lang w:val="en-AU"/>
        </w:rPr>
        <w:t xml:space="preserve"> </w:t>
      </w:r>
      <w:r w:rsidRPr="004D6CF1">
        <w:rPr>
          <w:rFonts w:cstheme="minorHAnsi"/>
          <w:szCs w:val="22"/>
          <w:lang w:val="en-AU"/>
        </w:rPr>
        <w:t>and problem-solving.</w:t>
      </w:r>
      <w:r w:rsidR="00F54855">
        <w:rPr>
          <w:rFonts w:cstheme="minorHAnsi"/>
          <w:szCs w:val="22"/>
          <w:lang w:val="en"/>
        </w:rPr>
        <w:t xml:space="preserve"> </w:t>
      </w:r>
      <w:r w:rsidR="00EB1B81">
        <w:rPr>
          <w:rFonts w:cstheme="minorHAnsi"/>
          <w:szCs w:val="22"/>
          <w:lang w:val="en-AU"/>
        </w:rPr>
        <w:t>S</w:t>
      </w:r>
      <w:r w:rsidR="00EB1B81" w:rsidRPr="007A7F7A">
        <w:rPr>
          <w:rFonts w:cstheme="minorHAnsi"/>
          <w:szCs w:val="22"/>
          <w:lang w:val="en-AU"/>
        </w:rPr>
        <w:t>hared decision-making and consultation with families and the wider community</w:t>
      </w:r>
      <w:r w:rsidR="00EB1B81">
        <w:rPr>
          <w:rFonts w:cstheme="minorHAnsi"/>
          <w:szCs w:val="22"/>
          <w:lang w:val="en-AU"/>
        </w:rPr>
        <w:t xml:space="preserve"> are vital</w:t>
      </w:r>
      <w:r w:rsidR="00EB1B81" w:rsidRPr="007A7F7A">
        <w:rPr>
          <w:rFonts w:cstheme="minorHAnsi"/>
          <w:szCs w:val="22"/>
          <w:lang w:val="en-AU"/>
        </w:rPr>
        <w:t xml:space="preserve"> in planning and designing supports for students</w:t>
      </w:r>
      <w:r w:rsidR="002B2F2B">
        <w:rPr>
          <w:rFonts w:cstheme="minorHAnsi"/>
          <w:szCs w:val="22"/>
          <w:lang w:val="en-AU"/>
        </w:rPr>
        <w:t>,</w:t>
      </w:r>
      <w:r w:rsidR="00583B9D">
        <w:rPr>
          <w:rFonts w:cstheme="minorHAnsi"/>
          <w:szCs w:val="22"/>
          <w:lang w:val="en-AU"/>
        </w:rPr>
        <w:t xml:space="preserve"> as this ensures </w:t>
      </w:r>
      <w:r w:rsidR="00186686">
        <w:rPr>
          <w:rFonts w:cstheme="minorHAnsi"/>
          <w:szCs w:val="22"/>
          <w:lang w:val="en-AU"/>
        </w:rPr>
        <w:t>supports are tailored based on all available information from teachers and parents/carers/kin</w:t>
      </w:r>
      <w:r w:rsidR="007D44B2">
        <w:rPr>
          <w:rFonts w:cstheme="minorHAnsi"/>
          <w:szCs w:val="22"/>
          <w:lang w:val="en-AU"/>
        </w:rPr>
        <w:t xml:space="preserve"> (</w:t>
      </w:r>
      <w:proofErr w:type="spellStart"/>
      <w:r w:rsidR="007D44B2" w:rsidRPr="006450FF">
        <w:rPr>
          <w:rFonts w:cstheme="minorHAnsi"/>
          <w:szCs w:val="22"/>
          <w:lang w:val="en-AU"/>
        </w:rPr>
        <w:t>Attree</w:t>
      </w:r>
      <w:proofErr w:type="spellEnd"/>
      <w:r w:rsidR="007D44B2" w:rsidRPr="006450FF">
        <w:rPr>
          <w:rFonts w:cstheme="minorHAnsi"/>
          <w:szCs w:val="22"/>
          <w:lang w:val="en-AU"/>
        </w:rPr>
        <w:t>, 2011</w:t>
      </w:r>
      <w:r w:rsidR="007D44B2">
        <w:rPr>
          <w:rFonts w:cstheme="minorHAnsi"/>
          <w:szCs w:val="22"/>
          <w:lang w:val="en-AU"/>
        </w:rPr>
        <w:t>)</w:t>
      </w:r>
      <w:r w:rsidR="00EB1B81">
        <w:rPr>
          <w:rFonts w:cstheme="minorHAnsi"/>
          <w:szCs w:val="22"/>
          <w:lang w:val="en-AU"/>
        </w:rPr>
        <w:t xml:space="preserve">. </w:t>
      </w:r>
      <w:r w:rsidR="003E3DAD" w:rsidRPr="00C1350E">
        <w:rPr>
          <w:rFonts w:cstheme="minorHAnsi"/>
          <w:szCs w:val="22"/>
        </w:rPr>
        <w:t xml:space="preserve">Collaborative partnerships between parents, communities and schools </w:t>
      </w:r>
      <w:r w:rsidR="003E3DAD">
        <w:rPr>
          <w:rFonts w:cstheme="minorHAnsi"/>
          <w:szCs w:val="22"/>
        </w:rPr>
        <w:t>are particularly important for driving improvement in</w:t>
      </w:r>
      <w:r w:rsidR="003E3DAD" w:rsidRPr="00C1350E">
        <w:rPr>
          <w:rFonts w:cstheme="minorHAnsi"/>
          <w:szCs w:val="22"/>
        </w:rPr>
        <w:t xml:space="preserve"> culturally diverse schools</w:t>
      </w:r>
      <w:r w:rsidR="009A7375">
        <w:rPr>
          <w:rFonts w:cstheme="minorHAnsi"/>
          <w:szCs w:val="22"/>
        </w:rPr>
        <w:t xml:space="preserve"> and </w:t>
      </w:r>
      <w:r w:rsidR="009A7375" w:rsidRPr="00DF1DFA">
        <w:rPr>
          <w:rFonts w:cstheme="minorHAnsi"/>
          <w:bCs/>
          <w:szCs w:val="22"/>
        </w:rPr>
        <w:t>can significantly improve students’ health and wellbeing outcomes</w:t>
      </w:r>
      <w:r w:rsidR="003E3DAD">
        <w:rPr>
          <w:rFonts w:cstheme="minorHAnsi"/>
          <w:szCs w:val="22"/>
        </w:rPr>
        <w:t xml:space="preserve">. </w:t>
      </w:r>
      <w:r w:rsidR="00495C53">
        <w:rPr>
          <w:rFonts w:eastAsia="Times New Roman" w:cstheme="minorHAnsi"/>
          <w:szCs w:val="22"/>
        </w:rPr>
        <w:t xml:space="preserve">Strong communication </w:t>
      </w:r>
      <w:r w:rsidR="00D70EAE">
        <w:rPr>
          <w:rFonts w:eastAsia="Times New Roman" w:cstheme="minorHAnsi"/>
          <w:szCs w:val="22"/>
        </w:rPr>
        <w:t xml:space="preserve">of values and expectations for students </w:t>
      </w:r>
      <w:r w:rsidR="00655D0A" w:rsidRPr="00C1350E">
        <w:rPr>
          <w:rFonts w:eastAsia="Times New Roman" w:cstheme="minorHAnsi"/>
          <w:szCs w:val="22"/>
        </w:rPr>
        <w:t xml:space="preserve">across all levels of the school community is critical in building </w:t>
      </w:r>
      <w:r w:rsidR="00274ECF">
        <w:rPr>
          <w:rFonts w:eastAsia="Times New Roman" w:cstheme="minorHAnsi"/>
          <w:szCs w:val="22"/>
        </w:rPr>
        <w:t>a</w:t>
      </w:r>
      <w:r w:rsidR="00655D0A" w:rsidRPr="00C1350E">
        <w:rPr>
          <w:rFonts w:eastAsia="Times New Roman" w:cstheme="minorHAnsi"/>
          <w:szCs w:val="22"/>
        </w:rPr>
        <w:t xml:space="preserve"> culture of high expectations</w:t>
      </w:r>
      <w:r w:rsidR="00C266AF">
        <w:rPr>
          <w:rFonts w:cstheme="minorHAnsi"/>
          <w:szCs w:val="22"/>
        </w:rPr>
        <w:t xml:space="preserve"> </w:t>
      </w:r>
      <w:r w:rsidR="003418E7">
        <w:rPr>
          <w:rFonts w:cstheme="minorHAnsi"/>
          <w:szCs w:val="22"/>
        </w:rPr>
        <w:t>(</w:t>
      </w:r>
      <w:r w:rsidR="003418E7" w:rsidRPr="00DB5513">
        <w:rPr>
          <w:rFonts w:cstheme="minorHAnsi"/>
          <w:szCs w:val="22"/>
        </w:rPr>
        <w:t xml:space="preserve">Bradford &amp; Clarke, 2015; </w:t>
      </w:r>
      <w:r w:rsidR="007D44B2" w:rsidRPr="00D87550">
        <w:rPr>
          <w:rFonts w:cstheme="minorHAnsi"/>
          <w:bCs/>
          <w:szCs w:val="22"/>
        </w:rPr>
        <w:t>Sheridan, et al., 2019</w:t>
      </w:r>
      <w:r w:rsidR="007D44B2">
        <w:rPr>
          <w:rFonts w:cstheme="minorHAnsi"/>
          <w:bCs/>
          <w:szCs w:val="22"/>
        </w:rPr>
        <w:t xml:space="preserve">; </w:t>
      </w:r>
      <w:r w:rsidR="003E3DAD" w:rsidRPr="00DB5513">
        <w:rPr>
          <w:rFonts w:cstheme="minorHAnsi"/>
          <w:szCs w:val="22"/>
        </w:rPr>
        <w:t>Wang et al., 2016</w:t>
      </w:r>
      <w:r w:rsidR="003E3DAD">
        <w:rPr>
          <w:rFonts w:cstheme="minorHAnsi"/>
          <w:szCs w:val="22"/>
        </w:rPr>
        <w:t>).</w:t>
      </w:r>
      <w:r w:rsidR="007E54B7" w:rsidRPr="007E54B7">
        <w:t xml:space="preserve"> </w:t>
      </w:r>
    </w:p>
    <w:p w14:paraId="03D42EFE" w14:textId="3CAC0923" w:rsidR="002A6EF0" w:rsidRPr="00FA00A5" w:rsidRDefault="002A6EF0">
      <w:pPr>
        <w:rPr>
          <w:b/>
          <w:bCs/>
        </w:rPr>
      </w:pPr>
      <w:r w:rsidRPr="00FA00A5">
        <w:rPr>
          <w:b/>
          <w:bCs/>
        </w:rPr>
        <w:t>Parents and carers as partners</w:t>
      </w:r>
    </w:p>
    <w:p w14:paraId="43044C39" w14:textId="6462736E" w:rsidR="007D44B2" w:rsidRDefault="00AF2B1B" w:rsidP="007D44B2">
      <w:r>
        <w:rPr>
          <w:rFonts w:cstheme="minorHAnsi"/>
        </w:rPr>
        <w:t>While t</w:t>
      </w:r>
      <w:r w:rsidRPr="0045101C">
        <w:rPr>
          <w:rFonts w:cstheme="minorHAnsi"/>
        </w:rPr>
        <w:t xml:space="preserve">here is no one-size-fits-all approach for engaging </w:t>
      </w:r>
      <w:r>
        <w:rPr>
          <w:rFonts w:cstheme="minorHAnsi"/>
        </w:rPr>
        <w:t xml:space="preserve">parents/carers/kin </w:t>
      </w:r>
      <w:r w:rsidRPr="0045101C">
        <w:rPr>
          <w:rFonts w:cstheme="minorHAnsi"/>
        </w:rPr>
        <w:t>in student learning,</w:t>
      </w:r>
      <w:r>
        <w:rPr>
          <w:rFonts w:cstheme="minorHAnsi"/>
        </w:rPr>
        <w:t xml:space="preserve"> th</w:t>
      </w:r>
      <w:r w:rsidR="00054411">
        <w:rPr>
          <w:rFonts w:eastAsia="Times New Roman" w:cstheme="minorHAnsi"/>
          <w:szCs w:val="22"/>
        </w:rPr>
        <w:t xml:space="preserve">ere is strong consensus in contemporary literature that </w:t>
      </w:r>
      <w:r w:rsidR="00054411" w:rsidRPr="00C1350E">
        <w:rPr>
          <w:rFonts w:eastAsia="Times New Roman" w:cstheme="minorHAnsi"/>
          <w:szCs w:val="22"/>
        </w:rPr>
        <w:t>the development of partnerships with parents</w:t>
      </w:r>
      <w:r w:rsidR="00786D06">
        <w:rPr>
          <w:rFonts w:eastAsia="Times New Roman" w:cstheme="minorHAnsi"/>
          <w:szCs w:val="22"/>
        </w:rPr>
        <w:t>/carers/kin</w:t>
      </w:r>
      <w:r w:rsidR="00054411" w:rsidRPr="00C1350E">
        <w:rPr>
          <w:rFonts w:eastAsia="Times New Roman" w:cstheme="minorHAnsi"/>
          <w:szCs w:val="22"/>
        </w:rPr>
        <w:t xml:space="preserve"> is a critical driver of school improvemen</w:t>
      </w:r>
      <w:r w:rsidR="00054411">
        <w:rPr>
          <w:rFonts w:eastAsia="Times New Roman" w:cstheme="minorHAnsi"/>
          <w:szCs w:val="22"/>
        </w:rPr>
        <w:t>t</w:t>
      </w:r>
      <w:r w:rsidR="004C2045">
        <w:rPr>
          <w:rFonts w:eastAsia="Times New Roman" w:cstheme="minorHAnsi"/>
          <w:szCs w:val="22"/>
        </w:rPr>
        <w:t>.</w:t>
      </w:r>
      <w:r w:rsidR="000F2734">
        <w:rPr>
          <w:rFonts w:eastAsia="Times New Roman" w:cstheme="minorHAnsi"/>
          <w:szCs w:val="22"/>
        </w:rPr>
        <w:t xml:space="preserve"> Effective partnerships include</w:t>
      </w:r>
      <w:r w:rsidR="00786D06">
        <w:rPr>
          <w:rFonts w:eastAsia="Times New Roman" w:cstheme="minorHAnsi"/>
          <w:szCs w:val="22"/>
        </w:rPr>
        <w:t xml:space="preserve"> </w:t>
      </w:r>
      <w:r w:rsidR="000F2734">
        <w:rPr>
          <w:rFonts w:eastAsia="Times New Roman" w:cstheme="minorHAnsi"/>
          <w:szCs w:val="22"/>
        </w:rPr>
        <w:t>participation</w:t>
      </w:r>
      <w:r w:rsidR="00786D06" w:rsidRPr="00C1350E">
        <w:rPr>
          <w:rFonts w:eastAsia="Times New Roman" w:cstheme="minorHAnsi"/>
          <w:szCs w:val="22"/>
        </w:rPr>
        <w:t xml:space="preserve"> in school culture </w:t>
      </w:r>
      <w:r w:rsidR="00786D06">
        <w:rPr>
          <w:rFonts w:eastAsia="Times New Roman" w:cstheme="minorHAnsi"/>
          <w:szCs w:val="22"/>
        </w:rPr>
        <w:t>and opportunities for parents</w:t>
      </w:r>
      <w:r w:rsidR="000F2734">
        <w:rPr>
          <w:rFonts w:eastAsia="Times New Roman" w:cstheme="minorHAnsi"/>
          <w:szCs w:val="22"/>
        </w:rPr>
        <w:t>/carers/kin</w:t>
      </w:r>
      <w:r w:rsidR="00786D06">
        <w:rPr>
          <w:rFonts w:eastAsia="Times New Roman" w:cstheme="minorHAnsi"/>
          <w:szCs w:val="22"/>
        </w:rPr>
        <w:t xml:space="preserve"> to be </w:t>
      </w:r>
      <w:r w:rsidR="00786D06" w:rsidRPr="00C1350E">
        <w:rPr>
          <w:rFonts w:eastAsia="Times New Roman" w:cstheme="minorHAnsi"/>
          <w:szCs w:val="22"/>
        </w:rPr>
        <w:t>active in decision-makin</w:t>
      </w:r>
      <w:r w:rsidR="00786D06">
        <w:rPr>
          <w:rFonts w:eastAsia="Times New Roman" w:cstheme="minorHAnsi"/>
          <w:szCs w:val="22"/>
        </w:rPr>
        <w:t>g</w:t>
      </w:r>
      <w:r w:rsidR="00AF5659">
        <w:rPr>
          <w:rFonts w:eastAsia="Times New Roman" w:cstheme="minorHAnsi"/>
          <w:szCs w:val="22"/>
        </w:rPr>
        <w:t xml:space="preserve">. </w:t>
      </w:r>
      <w:r w:rsidR="00AF5659">
        <w:rPr>
          <w:rFonts w:cstheme="minorHAnsi"/>
        </w:rPr>
        <w:t>The i</w:t>
      </w:r>
      <w:r w:rsidR="00AF5659" w:rsidRPr="002102B5">
        <w:rPr>
          <w:rFonts w:cstheme="minorHAnsi"/>
        </w:rPr>
        <w:t xml:space="preserve">nvolvement </w:t>
      </w:r>
      <w:r w:rsidR="00AF5659">
        <w:rPr>
          <w:rFonts w:cstheme="minorHAnsi"/>
        </w:rPr>
        <w:t xml:space="preserve">of parents/carers/kin </w:t>
      </w:r>
      <w:r w:rsidR="00913E65" w:rsidRPr="002102B5">
        <w:rPr>
          <w:rFonts w:cstheme="minorHAnsi"/>
        </w:rPr>
        <w:t>foster</w:t>
      </w:r>
      <w:r w:rsidR="00913E65">
        <w:rPr>
          <w:rFonts w:cstheme="minorHAnsi"/>
        </w:rPr>
        <w:t>s</w:t>
      </w:r>
      <w:r w:rsidR="00913E65" w:rsidRPr="002102B5">
        <w:rPr>
          <w:rFonts w:cstheme="minorHAnsi"/>
        </w:rPr>
        <w:t xml:space="preserve"> </w:t>
      </w:r>
      <w:r w:rsidR="00BD25E7">
        <w:rPr>
          <w:rFonts w:cstheme="minorHAnsi"/>
        </w:rPr>
        <w:t>student</w:t>
      </w:r>
      <w:r w:rsidR="00913E65" w:rsidRPr="002102B5">
        <w:rPr>
          <w:rFonts w:cstheme="minorHAnsi"/>
        </w:rPr>
        <w:t xml:space="preserve"> engagement </w:t>
      </w:r>
      <w:r w:rsidR="00B32BEC">
        <w:rPr>
          <w:rFonts w:cstheme="minorHAnsi"/>
        </w:rPr>
        <w:t xml:space="preserve">through </w:t>
      </w:r>
      <w:r w:rsidR="00AF5659" w:rsidRPr="002102B5">
        <w:rPr>
          <w:rFonts w:cstheme="minorHAnsi"/>
        </w:rPr>
        <w:t xml:space="preserve">intrinsic </w:t>
      </w:r>
      <w:r w:rsidR="00913E65">
        <w:rPr>
          <w:rFonts w:cstheme="minorHAnsi"/>
        </w:rPr>
        <w:t>motivation,</w:t>
      </w:r>
      <w:r w:rsidR="00AF5659" w:rsidRPr="002102B5">
        <w:rPr>
          <w:rFonts w:cstheme="minorHAnsi"/>
        </w:rPr>
        <w:t xml:space="preserve"> </w:t>
      </w:r>
      <w:r w:rsidR="00EC6E91">
        <w:rPr>
          <w:rFonts w:cstheme="minorHAnsi"/>
        </w:rPr>
        <w:t xml:space="preserve">increased confidence, </w:t>
      </w:r>
      <w:r w:rsidR="00AF5659" w:rsidRPr="002102B5">
        <w:rPr>
          <w:rFonts w:cstheme="minorHAnsi"/>
        </w:rPr>
        <w:t>a sense of control over academic performance</w:t>
      </w:r>
      <w:r w:rsidR="00BD25E7">
        <w:rPr>
          <w:rFonts w:cstheme="minorHAnsi"/>
        </w:rPr>
        <w:t xml:space="preserve"> and</w:t>
      </w:r>
      <w:r w:rsidR="00AF5659" w:rsidRPr="002102B5">
        <w:rPr>
          <w:rFonts w:cstheme="minorHAnsi"/>
        </w:rPr>
        <w:t xml:space="preserve"> </w:t>
      </w:r>
      <w:r w:rsidR="00105E9F">
        <w:rPr>
          <w:rFonts w:cstheme="minorHAnsi"/>
        </w:rPr>
        <w:t xml:space="preserve">more </w:t>
      </w:r>
      <w:r w:rsidR="00AF5659" w:rsidRPr="002102B5">
        <w:rPr>
          <w:rFonts w:cstheme="minorHAnsi"/>
        </w:rPr>
        <w:t xml:space="preserve">positive </w:t>
      </w:r>
      <w:r w:rsidR="00105E9F">
        <w:rPr>
          <w:rFonts w:cstheme="minorHAnsi"/>
        </w:rPr>
        <w:t xml:space="preserve">associations with education </w:t>
      </w:r>
      <w:r w:rsidR="00AF5659" w:rsidRPr="002102B5">
        <w:rPr>
          <w:rFonts w:cstheme="minorHAnsi"/>
        </w:rPr>
        <w:t>(</w:t>
      </w:r>
      <w:r w:rsidR="00785925">
        <w:rPr>
          <w:rFonts w:eastAsia="Times New Roman" w:cstheme="minorHAnsi"/>
          <w:szCs w:val="22"/>
        </w:rPr>
        <w:t xml:space="preserve">Barker &amp; Harris, 2020; </w:t>
      </w:r>
      <w:r w:rsidR="00054411" w:rsidRPr="00DB5513">
        <w:rPr>
          <w:rFonts w:eastAsia="Times New Roman" w:cstheme="minorHAnsi"/>
          <w:szCs w:val="22"/>
        </w:rPr>
        <w:t>Clark, 2017; Liu, 2017</w:t>
      </w:r>
      <w:r w:rsidR="00054411">
        <w:rPr>
          <w:rFonts w:eastAsia="Times New Roman" w:cstheme="minorHAnsi"/>
          <w:szCs w:val="22"/>
        </w:rPr>
        <w:t xml:space="preserve"> and </w:t>
      </w:r>
      <w:proofErr w:type="spellStart"/>
      <w:r w:rsidR="00054411" w:rsidRPr="00DB5513">
        <w:rPr>
          <w:rFonts w:eastAsia="Times New Roman" w:cstheme="minorHAnsi"/>
          <w:szCs w:val="22"/>
        </w:rPr>
        <w:t>Okilwa</w:t>
      </w:r>
      <w:proofErr w:type="spellEnd"/>
      <w:r w:rsidR="00054411" w:rsidRPr="00DB5513">
        <w:rPr>
          <w:rFonts w:eastAsia="Times New Roman" w:cstheme="minorHAnsi"/>
          <w:szCs w:val="22"/>
        </w:rPr>
        <w:t xml:space="preserve"> &amp; Barnett, 2017</w:t>
      </w:r>
      <w:r w:rsidR="00054411">
        <w:rPr>
          <w:rFonts w:eastAsia="Times New Roman" w:cstheme="minorHAnsi"/>
          <w:szCs w:val="22"/>
        </w:rPr>
        <w:t>).</w:t>
      </w:r>
      <w:r w:rsidR="007D44B2" w:rsidRPr="007D44B2">
        <w:t xml:space="preserve"> </w:t>
      </w:r>
    </w:p>
    <w:p w14:paraId="431D4AEF" w14:textId="6541DEF2" w:rsidR="00B014E0" w:rsidRPr="00B014E0" w:rsidRDefault="00B306E1" w:rsidP="00B014E0">
      <w:pPr>
        <w:rPr>
          <w:rFonts w:eastAsia="Times New Roman" w:cstheme="minorHAnsi"/>
          <w:szCs w:val="22"/>
          <w:lang w:val="en-AU"/>
        </w:rPr>
      </w:pPr>
      <w:r>
        <w:rPr>
          <w:rFonts w:eastAsia="Times New Roman" w:cstheme="minorHAnsi"/>
          <w:szCs w:val="22"/>
          <w:lang w:val="en-AU"/>
        </w:rPr>
        <w:t>Contemporary r</w:t>
      </w:r>
      <w:r w:rsidR="00C55249" w:rsidRPr="00C55249">
        <w:rPr>
          <w:rFonts w:eastAsia="Times New Roman" w:cstheme="minorHAnsi"/>
          <w:szCs w:val="22"/>
          <w:lang w:val="en-AU"/>
        </w:rPr>
        <w:t>esearch consistently finds a strong and positive correlation between parents actively supporting their child’s learning and student achievement (E</w:t>
      </w:r>
      <w:r w:rsidR="00080399">
        <w:rPr>
          <w:rFonts w:eastAsia="Times New Roman" w:cstheme="minorHAnsi"/>
          <w:szCs w:val="22"/>
          <w:lang w:val="en-AU"/>
        </w:rPr>
        <w:t xml:space="preserve">ducation </w:t>
      </w:r>
      <w:r w:rsidR="00C55249" w:rsidRPr="00C55249">
        <w:rPr>
          <w:rFonts w:eastAsia="Times New Roman" w:cstheme="minorHAnsi"/>
          <w:szCs w:val="22"/>
          <w:lang w:val="en-AU"/>
        </w:rPr>
        <w:t>E</w:t>
      </w:r>
      <w:r w:rsidR="00080399">
        <w:rPr>
          <w:rFonts w:eastAsia="Times New Roman" w:cstheme="minorHAnsi"/>
          <w:szCs w:val="22"/>
          <w:lang w:val="en-AU"/>
        </w:rPr>
        <w:t xml:space="preserve">ndowment </w:t>
      </w:r>
      <w:r w:rsidR="00C55249" w:rsidRPr="00C55249">
        <w:rPr>
          <w:rFonts w:eastAsia="Times New Roman" w:cstheme="minorHAnsi"/>
          <w:szCs w:val="22"/>
          <w:lang w:val="en-AU"/>
        </w:rPr>
        <w:t>F</w:t>
      </w:r>
      <w:r w:rsidR="000A61AC">
        <w:rPr>
          <w:rFonts w:eastAsia="Times New Roman" w:cstheme="minorHAnsi"/>
          <w:szCs w:val="22"/>
          <w:lang w:val="en-AU"/>
        </w:rPr>
        <w:t>oundation</w:t>
      </w:r>
      <w:r w:rsidR="00C55249" w:rsidRPr="00C55249">
        <w:rPr>
          <w:rFonts w:eastAsia="Times New Roman" w:cstheme="minorHAnsi"/>
          <w:szCs w:val="22"/>
          <w:lang w:val="en-AU"/>
        </w:rPr>
        <w:t xml:space="preserve">, 2018; </w:t>
      </w:r>
      <w:r w:rsidR="00694385">
        <w:rPr>
          <w:rFonts w:eastAsia="Times New Roman" w:cstheme="minorHAnsi"/>
          <w:szCs w:val="22"/>
          <w:lang w:val="en-AU"/>
        </w:rPr>
        <w:t>Barker &amp; Harris,</w:t>
      </w:r>
      <w:r w:rsidR="00C55249" w:rsidRPr="00C55249">
        <w:rPr>
          <w:rFonts w:eastAsia="Times New Roman" w:cstheme="minorHAnsi"/>
          <w:szCs w:val="22"/>
          <w:lang w:val="en-AU"/>
        </w:rPr>
        <w:t xml:space="preserve"> 20</w:t>
      </w:r>
      <w:r w:rsidR="00694385">
        <w:rPr>
          <w:rFonts w:eastAsia="Times New Roman" w:cstheme="minorHAnsi"/>
          <w:szCs w:val="22"/>
          <w:lang w:val="en-AU"/>
        </w:rPr>
        <w:t>20</w:t>
      </w:r>
      <w:r w:rsidR="00C55249" w:rsidRPr="00C55249">
        <w:rPr>
          <w:rFonts w:eastAsia="Times New Roman" w:cstheme="minorHAnsi"/>
          <w:szCs w:val="22"/>
          <w:lang w:val="en-AU"/>
        </w:rPr>
        <w:t>)</w:t>
      </w:r>
      <w:r w:rsidR="00C55249">
        <w:rPr>
          <w:rFonts w:eastAsia="Times New Roman" w:cstheme="minorHAnsi"/>
          <w:szCs w:val="22"/>
          <w:lang w:val="en-AU"/>
        </w:rPr>
        <w:t xml:space="preserve">. </w:t>
      </w:r>
      <w:r w:rsidR="007D44B2" w:rsidRPr="007D44B2">
        <w:rPr>
          <w:rFonts w:eastAsia="Times New Roman" w:cstheme="minorHAnsi"/>
          <w:szCs w:val="22"/>
        </w:rPr>
        <w:t>Effective teachers take deliberate steps to increase discussions with parents/carers/kin about student learning and progress</w:t>
      </w:r>
      <w:r w:rsidR="00B70BC3">
        <w:rPr>
          <w:rFonts w:eastAsia="Times New Roman" w:cstheme="minorHAnsi"/>
          <w:szCs w:val="22"/>
        </w:rPr>
        <w:t>, which</w:t>
      </w:r>
      <w:r w:rsidR="00B70BC3" w:rsidRPr="002102B5">
        <w:rPr>
          <w:rFonts w:cstheme="minorHAnsi"/>
        </w:rPr>
        <w:t xml:space="preserve"> increases families’ confidence in the school environment and can transform parents into advocates for the school</w:t>
      </w:r>
      <w:r w:rsidR="007D44B2" w:rsidRPr="007D44B2">
        <w:rPr>
          <w:rFonts w:eastAsia="Times New Roman" w:cstheme="minorHAnsi"/>
          <w:szCs w:val="22"/>
        </w:rPr>
        <w:t xml:space="preserve">. </w:t>
      </w:r>
      <w:r w:rsidR="00B014E0" w:rsidRPr="00B014E0">
        <w:rPr>
          <w:rFonts w:eastAsia="Times New Roman" w:cstheme="minorHAnsi"/>
          <w:szCs w:val="22"/>
          <w:lang w:val="en-AU"/>
        </w:rPr>
        <w:t>Sharing individual student performance data with families</w:t>
      </w:r>
      <w:r w:rsidR="0015161D">
        <w:rPr>
          <w:rFonts w:eastAsia="Times New Roman" w:cstheme="minorHAnsi"/>
          <w:szCs w:val="22"/>
          <w:lang w:val="en-AU"/>
        </w:rPr>
        <w:t xml:space="preserve">, </w:t>
      </w:r>
      <w:r w:rsidR="00B014E0" w:rsidRPr="00B014E0">
        <w:rPr>
          <w:rFonts w:eastAsia="Times New Roman" w:cstheme="minorHAnsi"/>
          <w:szCs w:val="22"/>
          <w:lang w:val="en-AU"/>
        </w:rPr>
        <w:t>as well as drawing information from families about students’ interests, behaviours, and challenges</w:t>
      </w:r>
      <w:r w:rsidR="0015161D">
        <w:rPr>
          <w:rFonts w:eastAsia="Times New Roman" w:cstheme="minorHAnsi"/>
          <w:szCs w:val="22"/>
          <w:lang w:val="en-AU"/>
        </w:rPr>
        <w:t xml:space="preserve">, </w:t>
      </w:r>
      <w:r w:rsidR="00B014E0" w:rsidRPr="00B014E0">
        <w:rPr>
          <w:rFonts w:eastAsia="Times New Roman" w:cstheme="minorHAnsi"/>
          <w:szCs w:val="22"/>
          <w:lang w:val="en-AU"/>
        </w:rPr>
        <w:t xml:space="preserve">can deepen the conversation on a </w:t>
      </w:r>
      <w:r w:rsidR="0015161D">
        <w:rPr>
          <w:rFonts w:eastAsia="Times New Roman" w:cstheme="minorHAnsi"/>
          <w:szCs w:val="22"/>
          <w:lang w:val="en-AU"/>
        </w:rPr>
        <w:t>students’</w:t>
      </w:r>
      <w:r w:rsidR="0015161D" w:rsidRPr="00B014E0">
        <w:rPr>
          <w:rFonts w:eastAsia="Times New Roman" w:cstheme="minorHAnsi"/>
          <w:szCs w:val="22"/>
          <w:lang w:val="en-AU"/>
        </w:rPr>
        <w:t xml:space="preserve"> </w:t>
      </w:r>
      <w:r w:rsidR="00B014E0" w:rsidRPr="00B014E0">
        <w:rPr>
          <w:rFonts w:eastAsia="Times New Roman" w:cstheme="minorHAnsi"/>
          <w:szCs w:val="22"/>
          <w:lang w:val="en-AU"/>
        </w:rPr>
        <w:t>progress (Weiss &amp; Lopez, 2011)</w:t>
      </w:r>
      <w:r w:rsidR="00B014E0">
        <w:rPr>
          <w:rFonts w:eastAsia="Times New Roman" w:cstheme="minorHAnsi"/>
          <w:szCs w:val="22"/>
          <w:lang w:val="en-AU"/>
        </w:rPr>
        <w:t>.</w:t>
      </w:r>
    </w:p>
    <w:p w14:paraId="5990026D" w14:textId="20525C74" w:rsidR="000D7805" w:rsidRPr="00BB61DC" w:rsidRDefault="007D44B2" w:rsidP="00FA00A5">
      <w:pPr>
        <w:rPr>
          <w:rFonts w:eastAsia="Times New Roman" w:cstheme="minorHAnsi"/>
          <w:szCs w:val="22"/>
          <w:lang w:val="en-AU"/>
        </w:rPr>
      </w:pPr>
      <w:r w:rsidRPr="007D44B2">
        <w:rPr>
          <w:rFonts w:eastAsia="Times New Roman" w:cstheme="minorHAnsi"/>
          <w:szCs w:val="22"/>
        </w:rPr>
        <w:t xml:space="preserve">To be impactful, </w:t>
      </w:r>
      <w:r w:rsidRPr="007D44B2">
        <w:rPr>
          <w:rFonts w:eastAsia="Times New Roman" w:cstheme="minorHAnsi"/>
          <w:szCs w:val="22"/>
          <w:lang w:val="en-AU"/>
        </w:rPr>
        <w:t>communication and partnerships must be tailored to the context of students’ backgrounds, family/carer/kin characteristics and the needs of their communities</w:t>
      </w:r>
      <w:r w:rsidR="008A2A51">
        <w:rPr>
          <w:rFonts w:eastAsia="Times New Roman" w:cstheme="minorHAnsi"/>
          <w:szCs w:val="22"/>
          <w:lang w:val="en-AU"/>
        </w:rPr>
        <w:t xml:space="preserve">. For example, </w:t>
      </w:r>
      <w:r w:rsidR="003E6BCE" w:rsidRPr="008A2A51">
        <w:rPr>
          <w:rFonts w:eastAsia="Times New Roman" w:cstheme="minorHAnsi"/>
          <w:szCs w:val="22"/>
        </w:rPr>
        <w:t>culture</w:t>
      </w:r>
      <w:r w:rsidR="008A2A51" w:rsidRPr="008A2A51">
        <w:rPr>
          <w:rFonts w:eastAsia="Times New Roman" w:cstheme="minorHAnsi"/>
          <w:szCs w:val="22"/>
        </w:rPr>
        <w:t xml:space="preserve"> and language may be barriers to some families engaging in their child’s learning, including a lack of translated information and resources about what their child is learning</w:t>
      </w:r>
      <w:r w:rsidRPr="007D44B2">
        <w:rPr>
          <w:rFonts w:eastAsia="Times New Roman" w:cstheme="minorHAnsi"/>
          <w:szCs w:val="22"/>
          <w:lang w:val="en-AU"/>
        </w:rPr>
        <w:t xml:space="preserve"> (Sheridan, et al., 2019). </w:t>
      </w:r>
      <w:r w:rsidR="008A29B6">
        <w:rPr>
          <w:rFonts w:eastAsia="Times New Roman" w:cstheme="minorHAnsi"/>
          <w:szCs w:val="22"/>
          <w:lang w:val="en-AU"/>
        </w:rPr>
        <w:t>Informing</w:t>
      </w:r>
      <w:r w:rsidR="00AA2290" w:rsidRPr="00AA2290">
        <w:rPr>
          <w:rFonts w:eastAsia="Times New Roman" w:cstheme="minorHAnsi"/>
          <w:szCs w:val="22"/>
          <w:lang w:val="en-AU"/>
        </w:rPr>
        <w:t xml:space="preserve"> parent</w:t>
      </w:r>
      <w:r w:rsidR="00A42D8E">
        <w:rPr>
          <w:rFonts w:eastAsia="Times New Roman" w:cstheme="minorHAnsi"/>
          <w:szCs w:val="22"/>
          <w:lang w:val="en-AU"/>
        </w:rPr>
        <w:t>s</w:t>
      </w:r>
      <w:r w:rsidR="00AA2290" w:rsidRPr="00AA2290">
        <w:rPr>
          <w:rFonts w:eastAsia="Times New Roman" w:cstheme="minorHAnsi"/>
          <w:szCs w:val="22"/>
          <w:lang w:val="en-AU"/>
        </w:rPr>
        <w:t>/carer</w:t>
      </w:r>
      <w:r w:rsidR="00A42D8E">
        <w:rPr>
          <w:rFonts w:eastAsia="Times New Roman" w:cstheme="minorHAnsi"/>
          <w:szCs w:val="22"/>
          <w:lang w:val="en-AU"/>
        </w:rPr>
        <w:t>s</w:t>
      </w:r>
      <w:r w:rsidR="00AA2290" w:rsidRPr="00AA2290">
        <w:rPr>
          <w:rFonts w:eastAsia="Times New Roman" w:cstheme="minorHAnsi"/>
          <w:szCs w:val="22"/>
          <w:lang w:val="en-AU"/>
        </w:rPr>
        <w:t xml:space="preserve">/kin </w:t>
      </w:r>
      <w:r w:rsidR="008A29B6">
        <w:rPr>
          <w:rFonts w:eastAsia="Times New Roman" w:cstheme="minorHAnsi"/>
          <w:szCs w:val="22"/>
          <w:lang w:val="en-AU"/>
        </w:rPr>
        <w:t>of how they can best</w:t>
      </w:r>
      <w:r w:rsidR="00AA2290" w:rsidRPr="00AA2290">
        <w:rPr>
          <w:rFonts w:eastAsia="Times New Roman" w:cstheme="minorHAnsi"/>
          <w:szCs w:val="22"/>
          <w:lang w:val="en-AU"/>
        </w:rPr>
        <w:t xml:space="preserve"> help</w:t>
      </w:r>
      <w:r w:rsidR="008A29B6">
        <w:rPr>
          <w:rFonts w:eastAsia="Times New Roman" w:cstheme="minorHAnsi"/>
          <w:szCs w:val="22"/>
          <w:lang w:val="en-AU"/>
        </w:rPr>
        <w:t xml:space="preserve"> </w:t>
      </w:r>
      <w:r w:rsidR="00AA2290" w:rsidRPr="00AA2290">
        <w:rPr>
          <w:rFonts w:eastAsia="Times New Roman" w:cstheme="minorHAnsi"/>
          <w:szCs w:val="22"/>
          <w:lang w:val="en-AU"/>
        </w:rPr>
        <w:t>students meet learning standards</w:t>
      </w:r>
      <w:r w:rsidR="00A42D8E">
        <w:rPr>
          <w:rFonts w:eastAsia="Times New Roman" w:cstheme="minorHAnsi"/>
          <w:szCs w:val="22"/>
          <w:lang w:val="en-AU"/>
        </w:rPr>
        <w:t xml:space="preserve"> </w:t>
      </w:r>
      <w:r w:rsidR="00A42D8E">
        <w:rPr>
          <w:rFonts w:eastAsia="Times New Roman" w:cstheme="minorHAnsi"/>
          <w:szCs w:val="22"/>
          <w:lang w:val="en-AU"/>
        </w:rPr>
        <w:lastRenderedPageBreak/>
        <w:t xml:space="preserve">and </w:t>
      </w:r>
      <w:r w:rsidR="00A42D8E" w:rsidRPr="007D44B2">
        <w:rPr>
          <w:rFonts w:eastAsia="Times New Roman" w:cstheme="minorHAnsi"/>
          <w:szCs w:val="22"/>
          <w:lang w:val="en-AU"/>
        </w:rPr>
        <w:t>ensur</w:t>
      </w:r>
      <w:r w:rsidR="00A42D8E">
        <w:rPr>
          <w:rFonts w:eastAsia="Times New Roman" w:cstheme="minorHAnsi"/>
          <w:szCs w:val="22"/>
          <w:lang w:val="en-AU"/>
        </w:rPr>
        <w:t>ing</w:t>
      </w:r>
      <w:r w:rsidR="00A42D8E" w:rsidRPr="007D44B2">
        <w:rPr>
          <w:rFonts w:eastAsia="Times New Roman" w:cstheme="minorHAnsi"/>
          <w:szCs w:val="22"/>
          <w:lang w:val="en-AU"/>
        </w:rPr>
        <w:t xml:space="preserve"> that there are ongoing conversations between teachers and parents/carers/kin about their roles and expectations in supporting student learning</w:t>
      </w:r>
      <w:r w:rsidR="00A42D8E">
        <w:rPr>
          <w:rFonts w:eastAsia="Times New Roman" w:cstheme="minorHAnsi"/>
          <w:szCs w:val="22"/>
          <w:lang w:val="en-AU"/>
        </w:rPr>
        <w:t xml:space="preserve"> </w:t>
      </w:r>
      <w:r w:rsidRPr="007D44B2">
        <w:rPr>
          <w:rFonts w:eastAsia="Times New Roman" w:cstheme="minorHAnsi"/>
          <w:szCs w:val="22"/>
        </w:rPr>
        <w:t>have a positive influence on learning outcomes (</w:t>
      </w:r>
      <w:proofErr w:type="spellStart"/>
      <w:r w:rsidRPr="007D44B2">
        <w:rPr>
          <w:rFonts w:eastAsia="Times New Roman" w:cstheme="minorHAnsi"/>
          <w:szCs w:val="22"/>
        </w:rPr>
        <w:t>Jeynes</w:t>
      </w:r>
      <w:proofErr w:type="spellEnd"/>
      <w:r w:rsidRPr="007D44B2">
        <w:rPr>
          <w:rFonts w:eastAsia="Times New Roman" w:cstheme="minorHAnsi"/>
          <w:szCs w:val="22"/>
        </w:rPr>
        <w:t>, 2012; Redding et al, 2004)</w:t>
      </w:r>
      <w:r w:rsidR="00D25C64">
        <w:rPr>
          <w:rFonts w:eastAsia="Times New Roman" w:cstheme="minorHAnsi"/>
          <w:szCs w:val="22"/>
        </w:rPr>
        <w:t xml:space="preserve">. </w:t>
      </w:r>
      <w:r w:rsidR="00F71D43">
        <w:rPr>
          <w:rFonts w:eastAsia="Times New Roman" w:cstheme="minorHAnsi"/>
          <w:szCs w:val="22"/>
          <w:lang w:val="en-AU"/>
        </w:rPr>
        <w:t>C</w:t>
      </w:r>
      <w:r w:rsidR="00F71D43" w:rsidRPr="007D44B2">
        <w:rPr>
          <w:rFonts w:eastAsia="Times New Roman" w:cstheme="minorHAnsi"/>
          <w:szCs w:val="22"/>
          <w:lang w:val="en-AU"/>
        </w:rPr>
        <w:t>hecking of homework and reading</w:t>
      </w:r>
      <w:r w:rsidR="00F71D43">
        <w:rPr>
          <w:rFonts w:eastAsia="Times New Roman" w:cstheme="minorHAnsi"/>
          <w:szCs w:val="22"/>
          <w:lang w:val="en-AU"/>
        </w:rPr>
        <w:t xml:space="preserve"> with students are</w:t>
      </w:r>
      <w:r w:rsidR="00F71D43">
        <w:rPr>
          <w:rFonts w:eastAsia="Times New Roman" w:cstheme="minorHAnsi"/>
          <w:szCs w:val="22"/>
        </w:rPr>
        <w:t xml:space="preserve"> e</w:t>
      </w:r>
      <w:r w:rsidR="00D25C64">
        <w:rPr>
          <w:rFonts w:eastAsia="Times New Roman" w:cstheme="minorHAnsi"/>
          <w:szCs w:val="22"/>
        </w:rPr>
        <w:t xml:space="preserve">ffective </w:t>
      </w:r>
      <w:r w:rsidR="00D25C64">
        <w:rPr>
          <w:rFonts w:eastAsia="Times New Roman" w:cstheme="minorHAnsi"/>
          <w:szCs w:val="22"/>
          <w:lang w:val="en-AU"/>
        </w:rPr>
        <w:t>h</w:t>
      </w:r>
      <w:r w:rsidRPr="007D44B2">
        <w:rPr>
          <w:rFonts w:eastAsia="Times New Roman" w:cstheme="minorHAnsi"/>
          <w:szCs w:val="22"/>
          <w:lang w:val="en-AU"/>
        </w:rPr>
        <w:t>ome learning practices. The Longitudinal Study of Australian Children found that children who are read to 6-7 times per week are more than twice as likely to record the highest reading test score than children read to 0-2 times per week, and 16</w:t>
      </w:r>
      <w:r w:rsidR="00F952C4">
        <w:rPr>
          <w:rFonts w:eastAsia="Times New Roman" w:cstheme="minorHAnsi"/>
          <w:szCs w:val="22"/>
          <w:lang w:val="en-AU"/>
        </w:rPr>
        <w:t xml:space="preserve"> to</w:t>
      </w:r>
      <w:r w:rsidRPr="007D44B2">
        <w:rPr>
          <w:rFonts w:eastAsia="Times New Roman" w:cstheme="minorHAnsi"/>
          <w:szCs w:val="22"/>
          <w:lang w:val="en-AU"/>
        </w:rPr>
        <w:t>18</w:t>
      </w:r>
      <w:r w:rsidR="00F952C4">
        <w:rPr>
          <w:rFonts w:eastAsia="Times New Roman" w:cstheme="minorHAnsi"/>
          <w:szCs w:val="22"/>
          <w:lang w:val="en-AU"/>
        </w:rPr>
        <w:t xml:space="preserve"> per cent</w:t>
      </w:r>
      <w:r w:rsidRPr="007D44B2">
        <w:rPr>
          <w:rFonts w:eastAsia="Times New Roman" w:cstheme="minorHAnsi"/>
          <w:szCs w:val="22"/>
          <w:lang w:val="en-AU"/>
        </w:rPr>
        <w:t xml:space="preserve"> less likely to record the lowest score. This is a similar effect to an additional year of learning (</w:t>
      </w:r>
      <w:proofErr w:type="spellStart"/>
      <w:r w:rsidRPr="007D44B2">
        <w:rPr>
          <w:rFonts w:eastAsia="Times New Roman" w:cstheme="minorHAnsi"/>
          <w:szCs w:val="22"/>
          <w:lang w:val="en-AU"/>
        </w:rPr>
        <w:t>Kalb</w:t>
      </w:r>
      <w:proofErr w:type="spellEnd"/>
      <w:r w:rsidRPr="007D44B2">
        <w:rPr>
          <w:rFonts w:eastAsia="Times New Roman" w:cstheme="minorHAnsi"/>
          <w:szCs w:val="22"/>
          <w:lang w:val="en-AU"/>
        </w:rPr>
        <w:t xml:space="preserve"> &amp; van Ours, 2013).</w:t>
      </w:r>
    </w:p>
    <w:p w14:paraId="46C8EFBD" w14:textId="7E855EBA" w:rsidR="002A6EF0" w:rsidRPr="00FA00A5" w:rsidRDefault="002A6EF0">
      <w:pPr>
        <w:rPr>
          <w:b/>
          <w:bCs/>
        </w:rPr>
      </w:pPr>
      <w:r w:rsidRPr="00FA00A5">
        <w:rPr>
          <w:b/>
          <w:bCs/>
        </w:rPr>
        <w:t>Global citizenship</w:t>
      </w:r>
    </w:p>
    <w:p w14:paraId="093B5DE0" w14:textId="40FF8277" w:rsidR="009E50D0" w:rsidRPr="00230B3C" w:rsidRDefault="00184567" w:rsidP="009E50D0">
      <w:pPr>
        <w:rPr>
          <w:rFonts w:eastAsia="Times New Roman"/>
          <w:color w:val="000000"/>
          <w:highlight w:val="yellow"/>
        </w:rPr>
      </w:pPr>
      <w:r>
        <w:t>I</w:t>
      </w:r>
      <w:r w:rsidRPr="00184567">
        <w:t>ntercultural interactions have become a part of everyday life in our increasingly multicultural and globalised world</w:t>
      </w:r>
      <w:r>
        <w:t>, where schools play a vital role in d</w:t>
      </w:r>
      <w:r w:rsidRPr="00184567">
        <w:t xml:space="preserve">eveloping </w:t>
      </w:r>
      <w:r>
        <w:t xml:space="preserve">students’ </w:t>
      </w:r>
      <w:r w:rsidRPr="00184567">
        <w:t>intercultural knowledge, skills and understandings</w:t>
      </w:r>
      <w:r>
        <w:t>. Contemporary research shows that</w:t>
      </w:r>
      <w:r w:rsidR="009D31E2">
        <w:t xml:space="preserve"> drawing on real </w:t>
      </w:r>
      <w:r w:rsidR="00D26EEA">
        <w:t>life</w:t>
      </w:r>
      <w:r w:rsidR="009D31E2">
        <w:t xml:space="preserve"> intercultural experiences </w:t>
      </w:r>
      <w:r w:rsidR="00D26EEA">
        <w:t>and supporting students to</w:t>
      </w:r>
      <w:r w:rsidR="00C86726">
        <w:t xml:space="preserve"> learn about </w:t>
      </w:r>
      <w:r w:rsidR="0000240D">
        <w:t>cultural diversity</w:t>
      </w:r>
      <w:r w:rsidR="00C86726">
        <w:t xml:space="preserve"> reduces prejudice</w:t>
      </w:r>
      <w:r w:rsidR="00913D45">
        <w:t xml:space="preserve"> and that p</w:t>
      </w:r>
      <w:r w:rsidR="0000240D">
        <w:t>ositive interracial contact between school-aged young people can encourage positive intercultural attitudes</w:t>
      </w:r>
      <w:r w:rsidR="009E50D0">
        <w:t xml:space="preserve"> (Pettigrew &amp; </w:t>
      </w:r>
      <w:proofErr w:type="spellStart"/>
      <w:r w:rsidR="009E50D0">
        <w:t>Tropp</w:t>
      </w:r>
      <w:proofErr w:type="spellEnd"/>
      <w:r w:rsidR="009E50D0">
        <w:t xml:space="preserve">, 2006; White et al, 2009). </w:t>
      </w:r>
      <w:r w:rsidR="001902BD">
        <w:rPr>
          <w:rFonts w:eastAsia="Times New Roman"/>
          <w:color w:val="000000"/>
        </w:rPr>
        <w:t>Community learning opportunities a</w:t>
      </w:r>
      <w:r w:rsidR="0096739C">
        <w:rPr>
          <w:rFonts w:eastAsia="Times New Roman"/>
          <w:color w:val="000000"/>
        </w:rPr>
        <w:t>re</w:t>
      </w:r>
      <w:r w:rsidR="001902BD">
        <w:rPr>
          <w:rFonts w:eastAsia="Times New Roman"/>
          <w:color w:val="000000"/>
        </w:rPr>
        <w:t xml:space="preserve"> integral to supporting students’ progress through schooling, as it provides them with engaging learning and personal development experiences</w:t>
      </w:r>
      <w:r w:rsidR="00FB1175">
        <w:rPr>
          <w:rFonts w:eastAsia="Times New Roman"/>
          <w:color w:val="000000"/>
        </w:rPr>
        <w:t>.</w:t>
      </w:r>
      <w:r w:rsidR="001902BD">
        <w:rPr>
          <w:rFonts w:eastAsia="Times New Roman"/>
          <w:color w:val="000000"/>
        </w:rPr>
        <w:t xml:space="preserve"> </w:t>
      </w:r>
      <w:r w:rsidR="00793F21">
        <w:rPr>
          <w:rFonts w:eastAsia="Times New Roman"/>
          <w:color w:val="000000"/>
        </w:rPr>
        <w:t xml:space="preserve">Participation in social activities, including </w:t>
      </w:r>
      <w:r w:rsidR="00F952C4">
        <w:rPr>
          <w:rFonts w:eastAsia="Times New Roman"/>
          <w:color w:val="000000"/>
        </w:rPr>
        <w:t>community-oriented</w:t>
      </w:r>
      <w:r w:rsidR="00793F21">
        <w:rPr>
          <w:rFonts w:eastAsia="Times New Roman"/>
          <w:color w:val="000000"/>
        </w:rPr>
        <w:t xml:space="preserve"> volunteering also ha</w:t>
      </w:r>
      <w:r w:rsidR="00BE72A0">
        <w:rPr>
          <w:rFonts w:eastAsia="Times New Roman"/>
          <w:color w:val="000000"/>
        </w:rPr>
        <w:t>ve</w:t>
      </w:r>
      <w:r w:rsidR="00793F21">
        <w:rPr>
          <w:rFonts w:eastAsia="Times New Roman"/>
          <w:color w:val="000000"/>
        </w:rPr>
        <w:t xml:space="preserve"> positive impacts on academic achievement, positive self-identity and self-esteem related student outcomes </w:t>
      </w:r>
      <w:r w:rsidR="00793F21" w:rsidRPr="004A0AD2">
        <w:rPr>
          <w:rFonts w:eastAsia="Times New Roman"/>
          <w:color w:val="000000"/>
        </w:rPr>
        <w:t>(</w:t>
      </w:r>
      <w:r w:rsidR="005728DC">
        <w:rPr>
          <w:rFonts w:eastAsia="Times New Roman"/>
          <w:color w:val="000000"/>
        </w:rPr>
        <w:t>The Department of Education and Training,</w:t>
      </w:r>
      <w:r w:rsidR="004A0AD2" w:rsidRPr="004A0AD2">
        <w:rPr>
          <w:rFonts w:eastAsia="Times New Roman"/>
          <w:color w:val="000000"/>
        </w:rPr>
        <w:t xml:space="preserve"> 2018</w:t>
      </w:r>
      <w:r w:rsidR="004A0AD2" w:rsidRPr="00FA00A5">
        <w:rPr>
          <w:rFonts w:eastAsia="Times New Roman"/>
          <w:color w:val="000000"/>
        </w:rPr>
        <w:t xml:space="preserve">; </w:t>
      </w:r>
      <w:r w:rsidR="00793F21" w:rsidRPr="00FA00A5">
        <w:rPr>
          <w:rFonts w:eastAsia="Times New Roman"/>
          <w:color w:val="000000"/>
        </w:rPr>
        <w:t>Lewis, 200</w:t>
      </w:r>
      <w:r w:rsidR="00274D59" w:rsidRPr="00FA00A5">
        <w:rPr>
          <w:rFonts w:eastAsia="Times New Roman"/>
          <w:color w:val="000000"/>
        </w:rPr>
        <w:t>5</w:t>
      </w:r>
      <w:r w:rsidR="00793F21" w:rsidRPr="00FA00A5">
        <w:rPr>
          <w:rFonts w:eastAsia="Times New Roman"/>
          <w:color w:val="000000"/>
        </w:rPr>
        <w:t>).</w:t>
      </w:r>
    </w:p>
    <w:p w14:paraId="1A000928" w14:textId="253CDE48" w:rsidR="006E1557" w:rsidRPr="009E50D0" w:rsidRDefault="009E50D0" w:rsidP="006E1557">
      <w:r w:rsidRPr="009E50D0">
        <w:t>A report documenting the benefits of sister school relationships in Victoria found that such programs can have positive effects on student global awareness, attitudes and responses. These benefits are of greatest significance during the third year, once relationships had been well established and embedded within the school, nonetheless</w:t>
      </w:r>
      <w:r w:rsidR="00F952C4">
        <w:t>,</w:t>
      </w:r>
      <w:r w:rsidRPr="009E50D0">
        <w:t xml:space="preserve"> short-term benefits are also evident (Department of Education and Early Childhood Development, 2013). </w:t>
      </w:r>
    </w:p>
    <w:p w14:paraId="1486A23A" w14:textId="79C9D9FB" w:rsidR="002A42C6" w:rsidRPr="00FA00A5" w:rsidRDefault="002A42C6" w:rsidP="00FA00A5">
      <w:pPr>
        <w:rPr>
          <w:b/>
          <w:bCs/>
          <w:szCs w:val="22"/>
        </w:rPr>
      </w:pPr>
      <w:r w:rsidRPr="00FA00A5">
        <w:rPr>
          <w:b/>
          <w:bCs/>
        </w:rPr>
        <w:t>Networks with schools, services and agencies</w:t>
      </w:r>
    </w:p>
    <w:p w14:paraId="5966FCAD" w14:textId="2B283BD6" w:rsidR="00BE0560" w:rsidRDefault="00130885" w:rsidP="00762BBD">
      <w:pPr>
        <w:spacing w:after="0"/>
        <w:rPr>
          <w:rFonts w:asciiTheme="majorHAnsi" w:eastAsiaTheme="majorEastAsia" w:hAnsiTheme="majorHAnsi" w:cstheme="majorBidi"/>
          <w:b/>
          <w:color w:val="000000" w:themeColor="text1"/>
          <w:sz w:val="24"/>
        </w:rPr>
      </w:pPr>
      <w:r w:rsidRPr="00C1350E">
        <w:rPr>
          <w:rFonts w:cstheme="minorHAnsi"/>
          <w:szCs w:val="22"/>
        </w:rPr>
        <w:t>Schools that are successfully implementing and sustaining strategies for improving student achievement may have a range of community partnerships that provide additional support for student health and wellbeing, social support, transport, learning opportunities and expertise</w:t>
      </w:r>
      <w:r>
        <w:rPr>
          <w:rFonts w:cstheme="minorHAnsi"/>
          <w:szCs w:val="22"/>
        </w:rPr>
        <w:t xml:space="preserve">. </w:t>
      </w:r>
      <w:r w:rsidR="00762BBD" w:rsidRPr="00C1350E">
        <w:rPr>
          <w:rFonts w:cstheme="minorHAnsi"/>
          <w:szCs w:val="22"/>
        </w:rPr>
        <w:t>While community partnerships are generally a feature in small-scale school initiatives and supported by community organisation</w:t>
      </w:r>
      <w:r w:rsidR="00762BBD">
        <w:rPr>
          <w:rFonts w:cstheme="minorHAnsi"/>
          <w:szCs w:val="22"/>
        </w:rPr>
        <w:t>s</w:t>
      </w:r>
      <w:r w:rsidR="00762BBD" w:rsidRPr="00C1350E">
        <w:rPr>
          <w:rFonts w:cstheme="minorHAnsi"/>
          <w:szCs w:val="22"/>
        </w:rPr>
        <w:t>, international partnerships can be similarly effective in engaging staff and student</w:t>
      </w:r>
      <w:r w:rsidR="00762BBD">
        <w:rPr>
          <w:rFonts w:cstheme="minorHAnsi"/>
          <w:szCs w:val="22"/>
        </w:rPr>
        <w:t>s (</w:t>
      </w:r>
      <w:r w:rsidR="00762BBD" w:rsidRPr="00FB2311">
        <w:rPr>
          <w:rFonts w:cstheme="minorHAnsi"/>
          <w:szCs w:val="22"/>
        </w:rPr>
        <w:t xml:space="preserve">Mayer et al., 2015; </w:t>
      </w:r>
      <w:proofErr w:type="spellStart"/>
      <w:r w:rsidR="00762BBD" w:rsidRPr="00FB2311">
        <w:rPr>
          <w:rFonts w:cstheme="minorHAnsi"/>
          <w:szCs w:val="22"/>
        </w:rPr>
        <w:t>Sahlin</w:t>
      </w:r>
      <w:proofErr w:type="spellEnd"/>
      <w:r w:rsidR="00762BBD" w:rsidRPr="00FB2311">
        <w:rPr>
          <w:rFonts w:cstheme="minorHAnsi"/>
          <w:szCs w:val="22"/>
        </w:rPr>
        <w:t xml:space="preserve"> &amp; </w:t>
      </w:r>
      <w:proofErr w:type="spellStart"/>
      <w:r w:rsidR="00762BBD" w:rsidRPr="00FB2311">
        <w:rPr>
          <w:rFonts w:cstheme="minorHAnsi"/>
          <w:szCs w:val="22"/>
        </w:rPr>
        <w:t>Styf</w:t>
      </w:r>
      <w:proofErr w:type="spellEnd"/>
      <w:r w:rsidR="00F952C4">
        <w:rPr>
          <w:rFonts w:cstheme="minorHAnsi"/>
          <w:szCs w:val="22"/>
        </w:rPr>
        <w:t>,</w:t>
      </w:r>
      <w:bookmarkStart w:id="0" w:name="_GoBack"/>
      <w:bookmarkEnd w:id="0"/>
      <w:r w:rsidR="00762BBD" w:rsidRPr="00FB2311">
        <w:rPr>
          <w:rFonts w:cstheme="minorHAnsi"/>
          <w:szCs w:val="22"/>
        </w:rPr>
        <w:t xml:space="preserve"> 2019</w:t>
      </w:r>
      <w:r w:rsidR="00762BBD">
        <w:rPr>
          <w:rFonts w:cstheme="minorHAnsi"/>
          <w:szCs w:val="22"/>
        </w:rPr>
        <w:t>).</w:t>
      </w:r>
    </w:p>
    <w:p w14:paraId="13EE3E48" w14:textId="77777777" w:rsidR="00762BBD" w:rsidRPr="00762BBD" w:rsidRDefault="00762BBD" w:rsidP="00762BBD">
      <w:pPr>
        <w:spacing w:after="0"/>
        <w:rPr>
          <w:rFonts w:asciiTheme="majorHAnsi" w:eastAsiaTheme="majorEastAsia" w:hAnsiTheme="majorHAnsi" w:cstheme="majorBidi"/>
          <w:b/>
          <w:color w:val="000000" w:themeColor="text1"/>
          <w:sz w:val="24"/>
        </w:rPr>
      </w:pPr>
    </w:p>
    <w:p w14:paraId="6AAAA5F4" w14:textId="649CFAC1" w:rsidR="000D7805" w:rsidRPr="00FA00A5" w:rsidRDefault="00F7793D" w:rsidP="00FA00A5">
      <w:pPr>
        <w:rPr>
          <w:rFonts w:cs="Arial"/>
        </w:rPr>
      </w:pPr>
      <w:r>
        <w:rPr>
          <w:rFonts w:cstheme="minorHAnsi"/>
          <w:szCs w:val="22"/>
        </w:rPr>
        <w:t xml:space="preserve">Recent research </w:t>
      </w:r>
      <w:r w:rsidR="00C30D27">
        <w:rPr>
          <w:rFonts w:cstheme="minorHAnsi"/>
          <w:szCs w:val="22"/>
        </w:rPr>
        <w:t xml:space="preserve">identifies a range of </w:t>
      </w:r>
      <w:r w:rsidR="00466E05">
        <w:rPr>
          <w:rFonts w:cstheme="minorHAnsi"/>
          <w:szCs w:val="22"/>
        </w:rPr>
        <w:t xml:space="preserve">impactful </w:t>
      </w:r>
      <w:r w:rsidR="001532D7">
        <w:rPr>
          <w:rFonts w:cstheme="minorHAnsi"/>
          <w:szCs w:val="22"/>
        </w:rPr>
        <w:t>network types</w:t>
      </w:r>
      <w:r w:rsidR="00466E05">
        <w:rPr>
          <w:rFonts w:cstheme="minorHAnsi"/>
          <w:szCs w:val="22"/>
        </w:rPr>
        <w:t xml:space="preserve">. </w:t>
      </w:r>
      <w:r w:rsidR="00545A99">
        <w:rPr>
          <w:rFonts w:cs="Arial"/>
        </w:rPr>
        <w:t xml:space="preserve">Networks </w:t>
      </w:r>
      <w:r w:rsidR="00BE0560">
        <w:rPr>
          <w:rFonts w:cs="Arial"/>
        </w:rPr>
        <w:t xml:space="preserve">with general and oral health services </w:t>
      </w:r>
      <w:r w:rsidR="000F0F0C">
        <w:rPr>
          <w:rFonts w:cs="Arial"/>
        </w:rPr>
        <w:t>can help</w:t>
      </w:r>
      <w:r w:rsidR="00545A99">
        <w:rPr>
          <w:rFonts w:cs="Arial"/>
        </w:rPr>
        <w:t xml:space="preserve"> achieve strong health outcomes for student</w:t>
      </w:r>
      <w:r w:rsidR="000F0F0C">
        <w:rPr>
          <w:rFonts w:cs="Arial"/>
        </w:rPr>
        <w:t>s</w:t>
      </w:r>
      <w:r w:rsidR="00BE0560">
        <w:rPr>
          <w:rFonts w:cs="Arial"/>
        </w:rPr>
        <w:t xml:space="preserve"> (Moore et al, 2013).</w:t>
      </w:r>
      <w:r w:rsidR="00466E05">
        <w:rPr>
          <w:rFonts w:cstheme="minorHAnsi"/>
        </w:rPr>
        <w:t xml:space="preserve"> </w:t>
      </w:r>
      <w:r w:rsidR="00130885" w:rsidRPr="00FA00A5">
        <w:rPr>
          <w:rFonts w:cstheme="minorHAnsi"/>
        </w:rPr>
        <w:t>University</w:t>
      </w:r>
      <w:r w:rsidR="006827E1" w:rsidRPr="00FA00A5">
        <w:rPr>
          <w:rFonts w:cstheme="minorHAnsi"/>
        </w:rPr>
        <w:t xml:space="preserve"> and </w:t>
      </w:r>
      <w:r w:rsidR="00130885" w:rsidRPr="00FA00A5">
        <w:rPr>
          <w:rFonts w:cstheme="minorHAnsi"/>
        </w:rPr>
        <w:t xml:space="preserve">school partnerships can provide learning opportunities in leadership and research collaboration that focus on school improvement. External partnerships also advocate for schools and provide protection from outside inhibitors (Sanders, 2016; </w:t>
      </w:r>
      <w:proofErr w:type="spellStart"/>
      <w:r w:rsidR="00130885" w:rsidRPr="00FA00A5">
        <w:rPr>
          <w:rFonts w:cstheme="minorHAnsi"/>
        </w:rPr>
        <w:t>Tarpey</w:t>
      </w:r>
      <w:proofErr w:type="spellEnd"/>
      <w:r w:rsidR="00130885" w:rsidRPr="00FA00A5">
        <w:rPr>
          <w:rFonts w:cstheme="minorHAnsi"/>
        </w:rPr>
        <w:t xml:space="preserve"> &amp; Poultney, 2015</w:t>
      </w:r>
      <w:r w:rsidR="006F5B6D" w:rsidRPr="00FA00A5">
        <w:rPr>
          <w:rFonts w:cstheme="minorHAnsi"/>
        </w:rPr>
        <w:t>)</w:t>
      </w:r>
      <w:r w:rsidR="00466E05">
        <w:rPr>
          <w:rFonts w:cs="Arial"/>
        </w:rPr>
        <w:t xml:space="preserve">. </w:t>
      </w:r>
      <w:r w:rsidR="007E6A48" w:rsidRPr="00FA00A5">
        <w:rPr>
          <w:rFonts w:cs="Arial"/>
        </w:rPr>
        <w:t>C</w:t>
      </w:r>
      <w:r w:rsidR="00F111E1" w:rsidRPr="00FA00A5">
        <w:rPr>
          <w:rFonts w:cs="Arial"/>
        </w:rPr>
        <w:t xml:space="preserve">o-located and shared facilities </w:t>
      </w:r>
      <w:r w:rsidR="007E6A48" w:rsidRPr="00FA00A5">
        <w:rPr>
          <w:rFonts w:cs="Arial"/>
        </w:rPr>
        <w:t>improve</w:t>
      </w:r>
      <w:r w:rsidR="00F111E1" w:rsidRPr="00FA00A5">
        <w:rPr>
          <w:rFonts w:cs="Arial"/>
        </w:rPr>
        <w:t xml:space="preserve"> access to services for youth and families, youth connection to school, </w:t>
      </w:r>
      <w:r w:rsidR="003D551E" w:rsidRPr="00FA00A5">
        <w:rPr>
          <w:rFonts w:cs="Arial"/>
        </w:rPr>
        <w:t xml:space="preserve">and can increase </w:t>
      </w:r>
      <w:r w:rsidR="00F111E1" w:rsidRPr="00FA00A5">
        <w:rPr>
          <w:rFonts w:cs="Arial"/>
        </w:rPr>
        <w:t>attendance</w:t>
      </w:r>
      <w:r w:rsidR="003D551E" w:rsidRPr="00FA00A5">
        <w:rPr>
          <w:rFonts w:cs="Arial"/>
        </w:rPr>
        <w:t xml:space="preserve"> and </w:t>
      </w:r>
      <w:r w:rsidR="00F111E1" w:rsidRPr="00FA00A5">
        <w:rPr>
          <w:rFonts w:cs="Arial"/>
        </w:rPr>
        <w:t>achievement (</w:t>
      </w:r>
      <w:proofErr w:type="spellStart"/>
      <w:r w:rsidR="00F111E1">
        <w:t>Sanjeevan</w:t>
      </w:r>
      <w:proofErr w:type="spellEnd"/>
      <w:r w:rsidR="00F111E1">
        <w:t xml:space="preserve"> et al, 2012)</w:t>
      </w:r>
      <w:r w:rsidR="00F111E1" w:rsidRPr="00FA00A5">
        <w:rPr>
          <w:rFonts w:cs="Arial"/>
        </w:rPr>
        <w:t>.</w:t>
      </w:r>
      <w:r w:rsidR="00F111E1">
        <w:rPr>
          <w:rStyle w:val="CommentReference"/>
        </w:rPr>
        <w:t xml:space="preserve"> </w:t>
      </w:r>
      <w:r w:rsidR="00DD6EA3" w:rsidRPr="00FA00A5">
        <w:rPr>
          <w:rFonts w:cs="Arial"/>
        </w:rPr>
        <w:t>C</w:t>
      </w:r>
      <w:r w:rsidR="00F111E1" w:rsidRPr="00FA00A5">
        <w:rPr>
          <w:rFonts w:cs="Arial"/>
        </w:rPr>
        <w:t xml:space="preserve">ommunity hubs </w:t>
      </w:r>
      <w:r w:rsidR="00DD6EA3" w:rsidRPr="00FA00A5">
        <w:rPr>
          <w:rFonts w:cs="Arial"/>
        </w:rPr>
        <w:t>may benefit</w:t>
      </w:r>
      <w:r w:rsidR="008A6CF7" w:rsidRPr="00FA00A5">
        <w:rPr>
          <w:rFonts w:cs="Arial"/>
        </w:rPr>
        <w:t xml:space="preserve"> parents/carers/kin in improving</w:t>
      </w:r>
      <w:r w:rsidR="00F111E1" w:rsidRPr="00FA00A5">
        <w:rPr>
          <w:rFonts w:cs="Arial"/>
        </w:rPr>
        <w:t xml:space="preserve"> </w:t>
      </w:r>
      <w:r w:rsidR="008A6CF7" w:rsidRPr="00FA00A5">
        <w:rPr>
          <w:rFonts w:cs="Arial"/>
        </w:rPr>
        <w:t xml:space="preserve">their </w:t>
      </w:r>
      <w:r w:rsidR="00F111E1" w:rsidRPr="00FA00A5">
        <w:rPr>
          <w:rFonts w:cs="Arial"/>
        </w:rPr>
        <w:t>understanding of the school and school culture (Press et al, 2015).</w:t>
      </w:r>
    </w:p>
    <w:p w14:paraId="1C998FFE" w14:textId="6C7C966C" w:rsidR="0083720B" w:rsidRPr="00A3192A" w:rsidRDefault="005D6A4B" w:rsidP="001306E0">
      <w:pPr>
        <w:rPr>
          <w:rFonts w:eastAsia="Times New Roman" w:cstheme="minorHAnsi"/>
          <w:szCs w:val="22"/>
        </w:rPr>
      </w:pPr>
      <w:r>
        <w:rPr>
          <w:rFonts w:cstheme="minorHAnsi"/>
          <w:szCs w:val="22"/>
        </w:rPr>
        <w:t xml:space="preserve">Formal and informal professional networks </w:t>
      </w:r>
      <w:r w:rsidR="008E1CD6">
        <w:rPr>
          <w:rFonts w:cstheme="minorHAnsi"/>
          <w:szCs w:val="22"/>
        </w:rPr>
        <w:t xml:space="preserve">for school staff </w:t>
      </w:r>
      <w:r>
        <w:rPr>
          <w:rFonts w:cstheme="minorHAnsi"/>
          <w:szCs w:val="22"/>
        </w:rPr>
        <w:t xml:space="preserve">are </w:t>
      </w:r>
      <w:r w:rsidR="00B51DD7" w:rsidRPr="00C1350E">
        <w:rPr>
          <w:rFonts w:cstheme="minorHAnsi"/>
          <w:szCs w:val="22"/>
        </w:rPr>
        <w:t>a prerequisite for successful and sustained school improvement, which builds the internal capacity of schools</w:t>
      </w:r>
      <w:r w:rsidR="00B51DD7">
        <w:rPr>
          <w:rFonts w:cstheme="minorHAnsi"/>
          <w:szCs w:val="22"/>
        </w:rPr>
        <w:t>.</w:t>
      </w:r>
      <w:r w:rsidR="00B51DD7" w:rsidRPr="00C1350E">
        <w:rPr>
          <w:rFonts w:cstheme="minorHAnsi"/>
          <w:szCs w:val="22"/>
        </w:rPr>
        <w:t xml:space="preserve"> </w:t>
      </w:r>
      <w:r w:rsidR="00415741" w:rsidRPr="00C1350E">
        <w:rPr>
          <w:rFonts w:cstheme="minorHAnsi"/>
          <w:szCs w:val="22"/>
        </w:rPr>
        <w:t>Connections between teachers and</w:t>
      </w:r>
      <w:r w:rsidR="009D03D1">
        <w:rPr>
          <w:rFonts w:cstheme="minorHAnsi"/>
          <w:szCs w:val="22"/>
        </w:rPr>
        <w:t xml:space="preserve"> with</w:t>
      </w:r>
      <w:r w:rsidR="00415741" w:rsidRPr="00C1350E">
        <w:rPr>
          <w:rFonts w:cstheme="minorHAnsi"/>
          <w:szCs w:val="22"/>
        </w:rPr>
        <w:t xml:space="preserve"> the broader community strengthen the professional capital of those working within a school and of the </w:t>
      </w:r>
      <w:r w:rsidR="00445D4E" w:rsidRPr="00C1350E">
        <w:rPr>
          <w:rFonts w:cstheme="minorHAnsi"/>
          <w:szCs w:val="22"/>
        </w:rPr>
        <w:t>organisation</w:t>
      </w:r>
      <w:r w:rsidR="007248FD">
        <w:rPr>
          <w:rFonts w:cstheme="minorHAnsi"/>
          <w:szCs w:val="22"/>
        </w:rPr>
        <w:t xml:space="preserve"> (</w:t>
      </w:r>
      <w:proofErr w:type="spellStart"/>
      <w:r w:rsidR="007248FD">
        <w:rPr>
          <w:rFonts w:cstheme="minorHAnsi"/>
          <w:szCs w:val="22"/>
        </w:rPr>
        <w:t>Sahlin</w:t>
      </w:r>
      <w:proofErr w:type="spellEnd"/>
      <w:r w:rsidR="007248FD">
        <w:rPr>
          <w:rFonts w:cstheme="minorHAnsi"/>
          <w:szCs w:val="22"/>
        </w:rPr>
        <w:t>, 2019)</w:t>
      </w:r>
      <w:r w:rsidR="00415741" w:rsidRPr="00C1350E">
        <w:rPr>
          <w:rFonts w:cstheme="minorHAnsi"/>
          <w:szCs w:val="22"/>
        </w:rPr>
        <w:t xml:space="preserve">. </w:t>
      </w:r>
      <w:r w:rsidR="0063636D">
        <w:rPr>
          <w:rFonts w:cstheme="minorHAnsi"/>
          <w:szCs w:val="22"/>
        </w:rPr>
        <w:t xml:space="preserve">This can include </w:t>
      </w:r>
      <w:r w:rsidR="00415741" w:rsidRPr="00C1350E">
        <w:rPr>
          <w:rFonts w:cstheme="minorHAnsi"/>
          <w:szCs w:val="22"/>
        </w:rPr>
        <w:t>the broadening of professional learning communities to support teachers and school leaders to collaborate with colleagues from other schools</w:t>
      </w:r>
      <w:r w:rsidR="007248FD">
        <w:rPr>
          <w:rFonts w:cstheme="minorHAnsi"/>
          <w:szCs w:val="22"/>
        </w:rPr>
        <w:t xml:space="preserve"> (</w:t>
      </w:r>
      <w:proofErr w:type="spellStart"/>
      <w:r w:rsidR="007248FD">
        <w:rPr>
          <w:rFonts w:cstheme="minorHAnsi"/>
          <w:szCs w:val="22"/>
        </w:rPr>
        <w:t>Mujis</w:t>
      </w:r>
      <w:proofErr w:type="spellEnd"/>
      <w:r w:rsidR="007248FD">
        <w:rPr>
          <w:rFonts w:cstheme="minorHAnsi"/>
          <w:szCs w:val="22"/>
        </w:rPr>
        <w:t>, 2015)</w:t>
      </w:r>
      <w:r w:rsidR="008E1CD6">
        <w:rPr>
          <w:rFonts w:cstheme="minorHAnsi"/>
          <w:szCs w:val="22"/>
        </w:rPr>
        <w:t xml:space="preserve"> </w:t>
      </w:r>
      <w:r w:rsidR="00415741" w:rsidRPr="00C1350E">
        <w:rPr>
          <w:rFonts w:cstheme="minorHAnsi"/>
          <w:szCs w:val="22"/>
        </w:rPr>
        <w:t>and external organisations</w:t>
      </w:r>
      <w:r w:rsidR="007248FD">
        <w:rPr>
          <w:rFonts w:cstheme="minorHAnsi"/>
          <w:szCs w:val="22"/>
        </w:rPr>
        <w:t xml:space="preserve"> (</w:t>
      </w:r>
      <w:proofErr w:type="spellStart"/>
      <w:r w:rsidR="007248FD" w:rsidRPr="007248FD">
        <w:rPr>
          <w:rFonts w:cstheme="minorHAnsi"/>
          <w:szCs w:val="22"/>
        </w:rPr>
        <w:t>Ainscow</w:t>
      </w:r>
      <w:proofErr w:type="spellEnd"/>
      <w:r w:rsidR="007248FD" w:rsidRPr="007248FD">
        <w:rPr>
          <w:rFonts w:cstheme="minorHAnsi"/>
          <w:szCs w:val="22"/>
        </w:rPr>
        <w:t xml:space="preserve"> et al., 2016</w:t>
      </w:r>
      <w:r w:rsidR="007248FD">
        <w:rPr>
          <w:rFonts w:cstheme="minorHAnsi"/>
          <w:szCs w:val="22"/>
        </w:rPr>
        <w:t>).</w:t>
      </w:r>
    </w:p>
    <w:p w14:paraId="5F817D0E" w14:textId="77777777" w:rsidR="00691B83" w:rsidRDefault="00691B83">
      <w:pPr>
        <w:spacing w:after="0"/>
        <w:rPr>
          <w:b/>
          <w:lang w:val="en-US"/>
        </w:rPr>
      </w:pPr>
      <w:bookmarkStart w:id="1" w:name="_Toc59029131"/>
      <w:r>
        <w:rPr>
          <w:b/>
          <w:lang w:val="en-US"/>
        </w:rPr>
        <w:br w:type="page"/>
      </w:r>
    </w:p>
    <w:p w14:paraId="183B715F" w14:textId="5C0C50B8" w:rsidR="008D4065" w:rsidRPr="008D4065" w:rsidRDefault="008D4065" w:rsidP="008D4065">
      <w:pPr>
        <w:spacing w:after="0"/>
        <w:rPr>
          <w:b/>
          <w:lang w:val="en-US"/>
        </w:rPr>
      </w:pPr>
      <w:r w:rsidRPr="008D4065">
        <w:rPr>
          <w:b/>
          <w:lang w:val="en-US"/>
        </w:rPr>
        <w:lastRenderedPageBreak/>
        <w:t>Community engagement case studies</w:t>
      </w:r>
      <w:bookmarkEnd w:id="1"/>
      <w:r w:rsidRPr="008D4065">
        <w:rPr>
          <w:b/>
          <w:lang w:val="en-US"/>
        </w:rPr>
        <w:t xml:space="preserve"> </w:t>
      </w:r>
    </w:p>
    <w:p w14:paraId="3B78FF50" w14:textId="5A2AC16A" w:rsidR="008D4065" w:rsidRPr="008D4065" w:rsidRDefault="00D16609" w:rsidP="00691B83">
      <w:pPr>
        <w:numPr>
          <w:ilvl w:val="0"/>
          <w:numId w:val="33"/>
        </w:numPr>
        <w:ind w:left="499" w:hanging="357"/>
        <w:rPr>
          <w:lang w:val="en-US"/>
        </w:rPr>
      </w:pPr>
      <w:hyperlink r:id="rId11" w:history="1">
        <w:r w:rsidR="008D4065" w:rsidRPr="008D4065">
          <w:rPr>
            <w:rStyle w:val="Hyperlink"/>
            <w:lang w:val="en-US"/>
          </w:rPr>
          <w:t>Canterbury Primary School</w:t>
        </w:r>
      </w:hyperlink>
      <w:r w:rsidR="008D4065" w:rsidRPr="008D4065">
        <w:rPr>
          <w:lang w:val="en-US"/>
        </w:rPr>
        <w:t xml:space="preserve">: </w:t>
      </w:r>
      <w:r w:rsidR="0003086B">
        <w:rPr>
          <w:lang w:val="en-US"/>
        </w:rPr>
        <w:t>T</w:t>
      </w:r>
      <w:r w:rsidR="008D4065" w:rsidRPr="008D4065">
        <w:rPr>
          <w:lang w:val="en-US"/>
        </w:rPr>
        <w:t>aking student learning beyond classroom walls to a local radio station, where students participated in a workshop with a local radio host</w:t>
      </w:r>
    </w:p>
    <w:p w14:paraId="2BE76393" w14:textId="112FDF32" w:rsidR="008D4065" w:rsidRPr="008D4065" w:rsidRDefault="00D16609" w:rsidP="00691B83">
      <w:pPr>
        <w:numPr>
          <w:ilvl w:val="0"/>
          <w:numId w:val="33"/>
        </w:numPr>
        <w:ind w:left="499" w:hanging="357"/>
        <w:rPr>
          <w:lang w:val="en-US"/>
        </w:rPr>
      </w:pPr>
      <w:hyperlink r:id="rId12" w:history="1">
        <w:r w:rsidR="008D4065" w:rsidRPr="0003086B">
          <w:rPr>
            <w:rStyle w:val="Hyperlink"/>
            <w:lang w:val="en-US"/>
          </w:rPr>
          <w:t>Eastbourne Primary School</w:t>
        </w:r>
      </w:hyperlink>
      <w:r w:rsidR="008D4065" w:rsidRPr="0003086B">
        <w:rPr>
          <w:lang w:val="en-US"/>
        </w:rPr>
        <w:t xml:space="preserve">:  </w:t>
      </w:r>
      <w:r w:rsidR="0003086B">
        <w:rPr>
          <w:lang w:val="en-US"/>
        </w:rPr>
        <w:t>C</w:t>
      </w:r>
      <w:r w:rsidR="008D4065" w:rsidRPr="0003086B">
        <w:rPr>
          <w:lang w:val="en-US"/>
        </w:rPr>
        <w:t xml:space="preserve">ollaborating with local early learning </w:t>
      </w:r>
      <w:r w:rsidR="008D4065" w:rsidRPr="008D4065">
        <w:rPr>
          <w:lang w:val="en-US"/>
        </w:rPr>
        <w:t>providers to ensure all students make greater than expected progress through personalised learning</w:t>
      </w:r>
    </w:p>
    <w:p w14:paraId="66E3CB20" w14:textId="2A72ACCD" w:rsidR="008D4065" w:rsidRPr="008D4065" w:rsidRDefault="00D16609" w:rsidP="00691B83">
      <w:pPr>
        <w:numPr>
          <w:ilvl w:val="0"/>
          <w:numId w:val="33"/>
        </w:numPr>
        <w:ind w:left="499" w:hanging="357"/>
        <w:rPr>
          <w:lang w:val="en-US"/>
        </w:rPr>
      </w:pPr>
      <w:hyperlink r:id="rId13" w:history="1">
        <w:r w:rsidR="008D4065" w:rsidRPr="008D4065">
          <w:rPr>
            <w:rStyle w:val="Hyperlink"/>
            <w:lang w:val="en-US"/>
          </w:rPr>
          <w:t>Bendigo Senior Secondary College</w:t>
        </w:r>
      </w:hyperlink>
      <w:r w:rsidR="008D4065" w:rsidRPr="008D4065">
        <w:rPr>
          <w:lang w:val="en-US"/>
        </w:rPr>
        <w:t xml:space="preserve">: </w:t>
      </w:r>
      <w:proofErr w:type="spellStart"/>
      <w:r w:rsidR="0003086B">
        <w:rPr>
          <w:lang w:val="en"/>
        </w:rPr>
        <w:t>O</w:t>
      </w:r>
      <w:r w:rsidR="008D4065" w:rsidRPr="008D4065">
        <w:rPr>
          <w:lang w:val="en"/>
        </w:rPr>
        <w:t>rganising</w:t>
      </w:r>
      <w:proofErr w:type="spellEnd"/>
      <w:r w:rsidR="008D4065" w:rsidRPr="008D4065">
        <w:rPr>
          <w:lang w:val="en"/>
        </w:rPr>
        <w:t xml:space="preserve"> student-led community events in the lead up to the 2016 election to inform others about national and global issues </w:t>
      </w:r>
    </w:p>
    <w:p w14:paraId="4BF48AD4" w14:textId="0A63A17D" w:rsidR="008D4065" w:rsidRPr="008D4065" w:rsidRDefault="00D16609" w:rsidP="00691B83">
      <w:pPr>
        <w:numPr>
          <w:ilvl w:val="0"/>
          <w:numId w:val="33"/>
        </w:numPr>
        <w:ind w:left="499" w:hanging="357"/>
        <w:rPr>
          <w:lang w:val="en-US"/>
        </w:rPr>
      </w:pPr>
      <w:hyperlink r:id="rId14" w:history="1">
        <w:proofErr w:type="spellStart"/>
        <w:r w:rsidR="008D4065" w:rsidRPr="008D4065">
          <w:rPr>
            <w:rStyle w:val="Hyperlink"/>
            <w:lang w:val="en-US"/>
          </w:rPr>
          <w:t>Timboon</w:t>
        </w:r>
        <w:proofErr w:type="spellEnd"/>
        <w:r w:rsidR="008D4065" w:rsidRPr="008D4065">
          <w:rPr>
            <w:rStyle w:val="Hyperlink"/>
            <w:lang w:val="en-US"/>
          </w:rPr>
          <w:t xml:space="preserve"> P-12 School:</w:t>
        </w:r>
      </w:hyperlink>
      <w:r w:rsidR="008D4065" w:rsidRPr="008D4065">
        <w:rPr>
          <w:lang w:val="en-US"/>
        </w:rPr>
        <w:t xml:space="preserve"> </w:t>
      </w:r>
      <w:r w:rsidR="0003086B">
        <w:rPr>
          <w:lang w:val="en-US"/>
        </w:rPr>
        <w:t>W</w:t>
      </w:r>
      <w:r w:rsidR="008D4065" w:rsidRPr="008D4065">
        <w:rPr>
          <w:lang w:val="en-US"/>
        </w:rPr>
        <w:t xml:space="preserve">orking with businesses and community members to integrate agriculture and food technology into the curriculum as part of the </w:t>
      </w:r>
      <w:proofErr w:type="spellStart"/>
      <w:r w:rsidR="008D4065" w:rsidRPr="008D4065">
        <w:rPr>
          <w:lang w:val="en-US"/>
        </w:rPr>
        <w:t>Timboon</w:t>
      </w:r>
      <w:proofErr w:type="spellEnd"/>
      <w:r w:rsidR="008D4065" w:rsidRPr="008D4065">
        <w:rPr>
          <w:lang w:val="en-US"/>
        </w:rPr>
        <w:t xml:space="preserve"> Agriculture Project (TAP).</w:t>
      </w:r>
    </w:p>
    <w:p w14:paraId="51A24BE8" w14:textId="77777777" w:rsidR="00563F99" w:rsidRDefault="00563F99">
      <w:pPr>
        <w:spacing w:after="0"/>
        <w:rPr>
          <w:rFonts w:asciiTheme="majorHAnsi" w:eastAsiaTheme="majorEastAsia" w:hAnsiTheme="majorHAnsi" w:cstheme="majorBidi"/>
          <w:b/>
          <w:color w:val="000000" w:themeColor="text1"/>
          <w:sz w:val="24"/>
        </w:rPr>
      </w:pPr>
      <w:r>
        <w:br w:type="page"/>
      </w:r>
    </w:p>
    <w:p w14:paraId="5EA7F055" w14:textId="69925A16" w:rsidR="00ED5B55" w:rsidRPr="00ED5B55" w:rsidRDefault="008E1CD6" w:rsidP="00ED5B55">
      <w:pPr>
        <w:pStyle w:val="Heading3"/>
      </w:pPr>
      <w:r>
        <w:lastRenderedPageBreak/>
        <w:t>References:</w:t>
      </w:r>
    </w:p>
    <w:p w14:paraId="550523FA" w14:textId="15EDD258" w:rsidR="00F61BD3" w:rsidRPr="00F61BD3" w:rsidRDefault="00F61BD3"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Ainscow, M., Dyson, A., Goldrick, S., &amp; West, M. (2016). Using collaborative inquiry to foster equity within school systems: Opportunities and barriers. </w:t>
      </w:r>
      <w:r w:rsidRPr="00664C91">
        <w:rPr>
          <w:rFonts w:asciiTheme="minorHAnsi" w:hAnsiTheme="minorHAnsi" w:cstheme="minorHAnsi"/>
          <w:noProof/>
          <w:sz w:val="22"/>
          <w:szCs w:val="22"/>
        </w:rPr>
        <w:t>School Effectiveness and School Improvement, 27</w:t>
      </w:r>
      <w:r w:rsidRPr="00F61BD3">
        <w:rPr>
          <w:rFonts w:asciiTheme="minorHAnsi" w:hAnsiTheme="minorHAnsi" w:cstheme="minorHAnsi"/>
          <w:noProof/>
          <w:sz w:val="22"/>
          <w:szCs w:val="22"/>
        </w:rPr>
        <w:t>(1), 7-23.</w:t>
      </w:r>
    </w:p>
    <w:p w14:paraId="6CCE8D72" w14:textId="1A9B0D89" w:rsidR="00ED5B55" w:rsidRDefault="00ED5B55" w:rsidP="00145EF0">
      <w:pPr>
        <w:pStyle w:val="EndNoteBibliography"/>
        <w:ind w:left="720" w:hanging="720"/>
        <w:rPr>
          <w:rFonts w:asciiTheme="minorHAnsi" w:hAnsiTheme="minorHAnsi" w:cstheme="minorHAnsi"/>
          <w:noProof/>
          <w:sz w:val="22"/>
          <w:szCs w:val="22"/>
        </w:rPr>
      </w:pPr>
      <w:r>
        <w:rPr>
          <w:rFonts w:asciiTheme="minorHAnsi" w:hAnsiTheme="minorHAnsi" w:cstheme="minorHAnsi"/>
          <w:noProof/>
          <w:sz w:val="22"/>
          <w:szCs w:val="22"/>
        </w:rPr>
        <w:t xml:space="preserve">ARACY – See Barker </w:t>
      </w:r>
      <w:r w:rsidR="00CE5A4B">
        <w:rPr>
          <w:rFonts w:asciiTheme="minorHAnsi" w:hAnsiTheme="minorHAnsi" w:cstheme="minorHAnsi"/>
          <w:noProof/>
          <w:sz w:val="22"/>
          <w:szCs w:val="22"/>
        </w:rPr>
        <w:t>&amp; Harris, 2020.</w:t>
      </w:r>
    </w:p>
    <w:p w14:paraId="311F69A8" w14:textId="45CD16A5" w:rsidR="00CD0AD5" w:rsidRPr="00145EF0" w:rsidRDefault="00CD0AD5"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 xml:space="preserve">Ata, A., Bastian, B., &amp; Lusher, D. (2009) Intergroup contact in context: The mediating role of social norms and group-based perceptions on the contact–prejudice link International Journal of Intercultural Relations, 33(6), 498–506. </w:t>
      </w:r>
    </w:p>
    <w:p w14:paraId="2EBFFB37" w14:textId="47DB2450" w:rsidR="00CD0AD5" w:rsidRDefault="00097853" w:rsidP="00664C91">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Attree, P. (2011). The experience of community engagement for individuals: a rapid review of evidence. Health and social care in the community, 19(3), 250-260.</w:t>
      </w:r>
    </w:p>
    <w:p w14:paraId="57540DA1" w14:textId="5058F2AB" w:rsidR="00D20BD6" w:rsidRDefault="00AE5EC7" w:rsidP="00145EF0">
      <w:pPr>
        <w:pStyle w:val="EndNoteBibliography"/>
        <w:ind w:left="720" w:hanging="720"/>
        <w:rPr>
          <w:rFonts w:asciiTheme="minorHAnsi" w:hAnsiTheme="minorHAnsi" w:cstheme="minorHAnsi"/>
          <w:noProof/>
          <w:sz w:val="22"/>
          <w:szCs w:val="22"/>
        </w:rPr>
      </w:pPr>
      <w:r w:rsidRPr="00AE5EC7">
        <w:rPr>
          <w:rFonts w:asciiTheme="minorHAnsi" w:hAnsiTheme="minorHAnsi" w:cstheme="minorHAnsi"/>
          <w:noProof/>
          <w:sz w:val="22"/>
          <w:szCs w:val="22"/>
        </w:rPr>
        <w:t>Barker, S., (2018). Student Voice to Improve Instruction: Leading transformation of a school system</w:t>
      </w:r>
      <w:r w:rsidR="00F46C02">
        <w:rPr>
          <w:rFonts w:asciiTheme="minorHAnsi" w:hAnsiTheme="minorHAnsi" w:cstheme="minorHAnsi"/>
          <w:noProof/>
          <w:sz w:val="22"/>
          <w:szCs w:val="22"/>
        </w:rPr>
        <w:t xml:space="preserve"> (</w:t>
      </w:r>
      <w:r w:rsidR="00DE460C">
        <w:rPr>
          <w:rFonts w:asciiTheme="minorHAnsi" w:hAnsiTheme="minorHAnsi" w:cstheme="minorHAnsi"/>
          <w:noProof/>
          <w:sz w:val="22"/>
          <w:szCs w:val="22"/>
        </w:rPr>
        <w:t>D</w:t>
      </w:r>
      <w:r w:rsidR="00F46C02">
        <w:rPr>
          <w:rFonts w:asciiTheme="minorHAnsi" w:hAnsiTheme="minorHAnsi" w:cstheme="minorHAnsi"/>
          <w:noProof/>
          <w:sz w:val="22"/>
          <w:szCs w:val="22"/>
        </w:rPr>
        <w:t>octoral dissertation)</w:t>
      </w:r>
      <w:r w:rsidRPr="00AE5EC7">
        <w:rPr>
          <w:rFonts w:asciiTheme="minorHAnsi" w:hAnsiTheme="minorHAnsi" w:cstheme="minorHAnsi"/>
          <w:noProof/>
          <w:sz w:val="22"/>
          <w:szCs w:val="22"/>
        </w:rPr>
        <w:t>. Abilene Christian University</w:t>
      </w:r>
      <w:r w:rsidR="00DE460C">
        <w:rPr>
          <w:rFonts w:asciiTheme="minorHAnsi" w:hAnsiTheme="minorHAnsi" w:cstheme="minorHAnsi"/>
          <w:noProof/>
          <w:sz w:val="22"/>
          <w:szCs w:val="22"/>
        </w:rPr>
        <w:t xml:space="preserve">. Retrieved online: </w:t>
      </w:r>
      <w:hyperlink r:id="rId15" w:history="1">
        <w:r w:rsidR="00DE460C" w:rsidRPr="002F4F51">
          <w:rPr>
            <w:rStyle w:val="Hyperlink"/>
            <w:rFonts w:asciiTheme="minorHAnsi" w:hAnsiTheme="minorHAnsi" w:cstheme="minorHAnsi"/>
            <w:noProof/>
            <w:sz w:val="22"/>
            <w:szCs w:val="22"/>
          </w:rPr>
          <w:t>https://digitalcommons.acu.edu/etd/112/</w:t>
        </w:r>
      </w:hyperlink>
    </w:p>
    <w:p w14:paraId="39ACF797" w14:textId="15F65923" w:rsidR="00ED5B55" w:rsidRDefault="00ED5B55" w:rsidP="00664C91">
      <w:pPr>
        <w:pStyle w:val="EndNoteBibliography"/>
        <w:ind w:left="720" w:hanging="720"/>
        <w:rPr>
          <w:rFonts w:asciiTheme="minorHAnsi" w:hAnsiTheme="minorHAnsi" w:cstheme="minorHAnsi"/>
          <w:noProof/>
          <w:sz w:val="22"/>
          <w:szCs w:val="22"/>
          <w:lang w:val="en-GB"/>
        </w:rPr>
      </w:pPr>
      <w:r w:rsidRPr="00ED5B55">
        <w:rPr>
          <w:rFonts w:asciiTheme="minorHAnsi" w:hAnsiTheme="minorHAnsi" w:cstheme="minorHAnsi"/>
          <w:noProof/>
          <w:sz w:val="22"/>
          <w:szCs w:val="22"/>
          <w:lang w:val="en-GB"/>
        </w:rPr>
        <w:t>Barker, B., &amp; Harris, D. (2020). Parent and Family Engagement: An Implementation Guide for School Communities. Canberra: ARACY</w:t>
      </w:r>
      <w:r w:rsidR="00B95B6A">
        <w:rPr>
          <w:rFonts w:asciiTheme="minorHAnsi" w:hAnsiTheme="minorHAnsi" w:cstheme="minorHAnsi"/>
          <w:noProof/>
          <w:sz w:val="22"/>
          <w:szCs w:val="22"/>
          <w:lang w:val="en-GB"/>
        </w:rPr>
        <w:t>.</w:t>
      </w:r>
      <w:r w:rsidR="00DE460C">
        <w:rPr>
          <w:rFonts w:asciiTheme="minorHAnsi" w:hAnsiTheme="minorHAnsi" w:cstheme="minorHAnsi"/>
          <w:noProof/>
          <w:sz w:val="22"/>
          <w:szCs w:val="22"/>
          <w:lang w:val="en-GB"/>
        </w:rPr>
        <w:t xml:space="preserve"> </w:t>
      </w:r>
      <w:r w:rsidR="00891800">
        <w:rPr>
          <w:rFonts w:asciiTheme="minorHAnsi" w:hAnsiTheme="minorHAnsi" w:cstheme="minorHAnsi"/>
          <w:noProof/>
          <w:sz w:val="22"/>
          <w:szCs w:val="22"/>
          <w:lang w:val="en-GB"/>
        </w:rPr>
        <w:t xml:space="preserve">Retrieved online: </w:t>
      </w:r>
      <w:hyperlink r:id="rId16" w:history="1">
        <w:r w:rsidR="00891800" w:rsidRPr="002F4F51">
          <w:rPr>
            <w:rStyle w:val="Hyperlink"/>
            <w:rFonts w:asciiTheme="minorHAnsi" w:hAnsiTheme="minorHAnsi" w:cstheme="minorHAnsi"/>
            <w:noProof/>
            <w:sz w:val="22"/>
            <w:szCs w:val="22"/>
            <w:lang w:val="en-GB"/>
          </w:rPr>
          <w:t>https://www.aracy.org.au/documents/item/647</w:t>
        </w:r>
      </w:hyperlink>
    </w:p>
    <w:p w14:paraId="6F9F7497" w14:textId="55332AFD" w:rsidR="001830B0" w:rsidRDefault="001830B0" w:rsidP="00664C91">
      <w:pPr>
        <w:pStyle w:val="EndNoteBibliography"/>
        <w:ind w:left="720" w:hanging="720"/>
        <w:rPr>
          <w:rFonts w:asciiTheme="minorHAnsi" w:hAnsiTheme="minorHAnsi" w:cstheme="minorHAnsi"/>
          <w:noProof/>
          <w:sz w:val="22"/>
          <w:szCs w:val="22"/>
        </w:rPr>
      </w:pPr>
      <w:r w:rsidRPr="001830B0">
        <w:rPr>
          <w:rFonts w:asciiTheme="minorHAnsi" w:hAnsiTheme="minorHAnsi" w:cstheme="minorHAnsi"/>
          <w:noProof/>
          <w:sz w:val="22"/>
          <w:szCs w:val="22"/>
          <w:lang w:val="en-GB"/>
        </w:rPr>
        <w:t>Berthelsen, D., &amp; Walker, S. (2008). Parents' involvement in their children's education. </w:t>
      </w:r>
      <w:r w:rsidRPr="00CF06AB">
        <w:rPr>
          <w:rFonts w:asciiTheme="minorHAnsi" w:hAnsiTheme="minorHAnsi" w:cstheme="minorHAnsi"/>
          <w:i/>
          <w:iCs/>
          <w:noProof/>
          <w:sz w:val="22"/>
          <w:szCs w:val="22"/>
          <w:lang w:val="en-GB"/>
        </w:rPr>
        <w:t>Family matters</w:t>
      </w:r>
      <w:r w:rsidRPr="00FA00A5">
        <w:rPr>
          <w:rFonts w:asciiTheme="minorHAnsi" w:hAnsiTheme="minorHAnsi" w:cstheme="minorHAnsi"/>
          <w:i/>
          <w:iCs/>
          <w:noProof/>
          <w:sz w:val="22"/>
          <w:szCs w:val="22"/>
          <w:lang w:val="en-GB"/>
        </w:rPr>
        <w:t>, 79</w:t>
      </w:r>
      <w:r w:rsidR="00E413AC">
        <w:rPr>
          <w:rFonts w:asciiTheme="minorHAnsi" w:hAnsiTheme="minorHAnsi" w:cstheme="minorHAnsi"/>
          <w:noProof/>
          <w:sz w:val="22"/>
          <w:szCs w:val="22"/>
          <w:lang w:val="en-GB"/>
        </w:rPr>
        <w:t>(1)</w:t>
      </w:r>
      <w:r w:rsidRPr="001830B0">
        <w:rPr>
          <w:rFonts w:asciiTheme="minorHAnsi" w:hAnsiTheme="minorHAnsi" w:cstheme="minorHAnsi"/>
          <w:noProof/>
          <w:sz w:val="22"/>
          <w:szCs w:val="22"/>
          <w:lang w:val="en-GB"/>
        </w:rPr>
        <w:t>, 34.</w:t>
      </w:r>
    </w:p>
    <w:p w14:paraId="34E44C0B" w14:textId="27050155" w:rsidR="00315E91" w:rsidRDefault="00315E91"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Bradford, D., &amp; Clarke, S. (2015). </w:t>
      </w:r>
      <w:r w:rsidRPr="00664C91">
        <w:rPr>
          <w:rFonts w:asciiTheme="minorHAnsi" w:hAnsiTheme="minorHAnsi" w:cstheme="minorHAnsi"/>
          <w:noProof/>
          <w:sz w:val="22"/>
          <w:szCs w:val="22"/>
        </w:rPr>
        <w:t>High value-add schools : key drivers of school improvement</w:t>
      </w:r>
      <w:r w:rsidRPr="00F61BD3">
        <w:rPr>
          <w:rFonts w:asciiTheme="minorHAnsi" w:hAnsiTheme="minorHAnsi" w:cstheme="minorHAnsi"/>
          <w:noProof/>
          <w:sz w:val="22"/>
          <w:szCs w:val="22"/>
        </w:rPr>
        <w:t xml:space="preserve">. Retrieved </w:t>
      </w:r>
      <w:r w:rsidR="00CF06AB">
        <w:rPr>
          <w:rFonts w:asciiTheme="minorHAnsi" w:hAnsiTheme="minorHAnsi" w:cstheme="minorHAnsi"/>
          <w:noProof/>
          <w:sz w:val="22"/>
          <w:szCs w:val="22"/>
        </w:rPr>
        <w:t>online</w:t>
      </w:r>
      <w:r w:rsidRPr="00F61BD3">
        <w:rPr>
          <w:rFonts w:asciiTheme="minorHAnsi" w:hAnsiTheme="minorHAnsi" w:cstheme="minorHAnsi"/>
          <w:noProof/>
          <w:sz w:val="22"/>
          <w:szCs w:val="22"/>
        </w:rPr>
        <w:t xml:space="preserve">, </w:t>
      </w:r>
      <w:hyperlink r:id="rId17" w:history="1">
        <w:r w:rsidR="00CF06AB" w:rsidRPr="002F4F51">
          <w:rPr>
            <w:rStyle w:val="Hyperlink"/>
            <w:rFonts w:asciiTheme="minorHAnsi" w:hAnsiTheme="minorHAnsi" w:cstheme="minorHAnsi"/>
            <w:noProof/>
            <w:sz w:val="22"/>
            <w:szCs w:val="22"/>
          </w:rPr>
          <w:t>http://nla.gov.au/nla.arc-158409-20160517-0329-www.cese.nsw.gov.au/images/stories/PDF/HighValueAddReport_Oct2015.pdf</w:t>
        </w:r>
      </w:hyperlink>
    </w:p>
    <w:p w14:paraId="4D91FAB3" w14:textId="006DDC64" w:rsidR="0025455E" w:rsidRPr="00F61BD3" w:rsidRDefault="0025455E"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Brown, M., McNamara, G., O'Hara, J., Hood, S., Burns, D., &amp; Kurum, G. (2019). Evaluating the impact of distributed culturally responsive leadership in a disadvantaged rural primary school in Ireland. </w:t>
      </w:r>
      <w:r w:rsidRPr="00FA00A5">
        <w:rPr>
          <w:rFonts w:asciiTheme="minorHAnsi" w:hAnsiTheme="minorHAnsi" w:cstheme="minorHAnsi"/>
          <w:i/>
          <w:iCs/>
          <w:noProof/>
          <w:sz w:val="22"/>
          <w:szCs w:val="22"/>
        </w:rPr>
        <w:t>Educational Management Administration &amp; Leadership, 47</w:t>
      </w:r>
      <w:r w:rsidRPr="00F61BD3">
        <w:rPr>
          <w:rFonts w:asciiTheme="minorHAnsi" w:hAnsiTheme="minorHAnsi" w:cstheme="minorHAnsi"/>
          <w:noProof/>
          <w:sz w:val="22"/>
          <w:szCs w:val="22"/>
        </w:rPr>
        <w:t xml:space="preserve">(3), 457-474. </w:t>
      </w:r>
    </w:p>
    <w:p w14:paraId="67A4B5EE" w14:textId="11AC9DAE" w:rsidR="00315E91" w:rsidRPr="00F61BD3" w:rsidRDefault="00DD4424"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Childs, J., &amp; Russell, J. L. (2017). Improving low-achieving schools: Building state capacity to support school improvement through Race to the Top. </w:t>
      </w:r>
      <w:r w:rsidRPr="00FA00A5">
        <w:rPr>
          <w:rFonts w:asciiTheme="minorHAnsi" w:hAnsiTheme="minorHAnsi" w:cstheme="minorHAnsi"/>
          <w:i/>
          <w:iCs/>
          <w:noProof/>
          <w:sz w:val="22"/>
          <w:szCs w:val="22"/>
        </w:rPr>
        <w:t>Urban Education, 52</w:t>
      </w:r>
      <w:r w:rsidRPr="00F61BD3">
        <w:rPr>
          <w:rFonts w:asciiTheme="minorHAnsi" w:hAnsiTheme="minorHAnsi" w:cstheme="minorHAnsi"/>
          <w:noProof/>
          <w:sz w:val="22"/>
          <w:szCs w:val="22"/>
        </w:rPr>
        <w:t xml:space="preserve">(2), 236-266. </w:t>
      </w:r>
    </w:p>
    <w:p w14:paraId="7AC23248" w14:textId="7DFCD5D8" w:rsidR="00042C2F" w:rsidRPr="00F61BD3" w:rsidRDefault="00042C2F"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Clark, A. J. (2017). Sustainable school improvement: Suburban elementary principals' capacity building. </w:t>
      </w:r>
      <w:r w:rsidRPr="00FA00A5">
        <w:rPr>
          <w:rFonts w:asciiTheme="minorHAnsi" w:hAnsiTheme="minorHAnsi" w:cstheme="minorHAnsi"/>
          <w:i/>
          <w:iCs/>
          <w:noProof/>
          <w:sz w:val="22"/>
          <w:szCs w:val="22"/>
        </w:rPr>
        <w:t>Journal for Leadership and Instruction, 16</w:t>
      </w:r>
      <w:r w:rsidRPr="00F61BD3">
        <w:rPr>
          <w:rFonts w:asciiTheme="minorHAnsi" w:hAnsiTheme="minorHAnsi" w:cstheme="minorHAnsi"/>
          <w:noProof/>
          <w:sz w:val="22"/>
          <w:szCs w:val="22"/>
        </w:rPr>
        <w:t xml:space="preserve">(1), 5-8. </w:t>
      </w:r>
    </w:p>
    <w:p w14:paraId="1FB42FB0" w14:textId="2629DC47" w:rsidR="00B66DB3" w:rsidRDefault="00E21313"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Corrales, A. (2017). Not watching the fight: Examining the dynamics of school turnaround. </w:t>
      </w:r>
      <w:r w:rsidRPr="00FA00A5">
        <w:rPr>
          <w:rFonts w:asciiTheme="minorHAnsi" w:hAnsiTheme="minorHAnsi" w:cstheme="minorHAnsi"/>
          <w:i/>
          <w:iCs/>
          <w:noProof/>
          <w:sz w:val="22"/>
          <w:szCs w:val="22"/>
        </w:rPr>
        <w:t>Journal of Cases in Educational Leadership, 20</w:t>
      </w:r>
      <w:r w:rsidRPr="00F61BD3">
        <w:rPr>
          <w:rFonts w:asciiTheme="minorHAnsi" w:hAnsiTheme="minorHAnsi" w:cstheme="minorHAnsi"/>
          <w:noProof/>
          <w:sz w:val="22"/>
          <w:szCs w:val="22"/>
        </w:rPr>
        <w:t xml:space="preserve">(3), 76-85. </w:t>
      </w:r>
    </w:p>
    <w:p w14:paraId="45451D88" w14:textId="13546275" w:rsidR="00B66DB3" w:rsidRPr="00664C91" w:rsidRDefault="00B66DB3" w:rsidP="00664C91">
      <w:pPr>
        <w:pStyle w:val="EndNoteBibliography"/>
        <w:ind w:left="720" w:hanging="720"/>
        <w:rPr>
          <w:rFonts w:asciiTheme="minorHAnsi" w:hAnsiTheme="minorHAnsi" w:cstheme="minorHAnsi"/>
          <w:noProof/>
          <w:sz w:val="22"/>
          <w:szCs w:val="22"/>
        </w:rPr>
      </w:pPr>
      <w:r w:rsidRPr="00664C91">
        <w:rPr>
          <w:rFonts w:asciiTheme="minorHAnsi" w:hAnsiTheme="minorHAnsi" w:cstheme="minorHAnsi"/>
          <w:noProof/>
          <w:sz w:val="22"/>
          <w:szCs w:val="22"/>
        </w:rPr>
        <w:t xml:space="preserve">Cox, D. (2005) Evidence-based Interventions Using Home-School Collaboration School </w:t>
      </w:r>
      <w:r w:rsidRPr="00FA00A5">
        <w:rPr>
          <w:rFonts w:asciiTheme="minorHAnsi" w:hAnsiTheme="minorHAnsi" w:cstheme="minorHAnsi"/>
          <w:i/>
          <w:iCs/>
          <w:noProof/>
          <w:sz w:val="22"/>
          <w:szCs w:val="22"/>
        </w:rPr>
        <w:t>Psychology Quarterly, 20</w:t>
      </w:r>
      <w:r w:rsidRPr="00664C91">
        <w:rPr>
          <w:rFonts w:asciiTheme="minorHAnsi" w:hAnsiTheme="minorHAnsi" w:cstheme="minorHAnsi"/>
          <w:noProof/>
          <w:sz w:val="22"/>
          <w:szCs w:val="22"/>
        </w:rPr>
        <w:t>(4), 473–497.</w:t>
      </w:r>
    </w:p>
    <w:p w14:paraId="6E51306E" w14:textId="6F3C47D7" w:rsidR="00B853B8" w:rsidRDefault="00B853B8"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 xml:space="preserve">Department of Education and Early Childhood Development (2013) The benefits, impacts and success factors for successful sister school relationships. Melbourne, Victoria: Department of Education and Early Childhood Development, Victoria. Retrieved </w:t>
      </w:r>
      <w:r w:rsidR="00B765D8">
        <w:rPr>
          <w:rFonts w:asciiTheme="minorHAnsi" w:hAnsiTheme="minorHAnsi" w:cstheme="minorHAnsi"/>
          <w:noProof/>
          <w:sz w:val="22"/>
          <w:szCs w:val="22"/>
        </w:rPr>
        <w:t xml:space="preserve">online: </w:t>
      </w:r>
      <w:hyperlink r:id="rId18" w:history="1">
        <w:r w:rsidR="00B765D8" w:rsidRPr="002F4F51">
          <w:rPr>
            <w:rStyle w:val="Hyperlink"/>
            <w:rFonts w:asciiTheme="minorHAnsi" w:hAnsiTheme="minorHAnsi" w:cstheme="minorHAnsi"/>
            <w:noProof/>
            <w:sz w:val="22"/>
            <w:szCs w:val="22"/>
          </w:rPr>
          <w:t>http://www.education.vic.gov.au/Documents/school/principals/management/IRU-SSkit-SisSchFindings.pdf</w:t>
        </w:r>
      </w:hyperlink>
    </w:p>
    <w:p w14:paraId="2DE0B678" w14:textId="55EFD03B" w:rsidR="002F3227" w:rsidRDefault="002F3227" w:rsidP="002F3227">
      <w:pPr>
        <w:pStyle w:val="EndNoteBibliography"/>
        <w:ind w:left="720" w:hanging="720"/>
        <w:rPr>
          <w:rFonts w:asciiTheme="minorHAnsi" w:hAnsiTheme="minorHAnsi" w:cstheme="minorHAnsi"/>
          <w:noProof/>
          <w:sz w:val="22"/>
          <w:szCs w:val="22"/>
          <w:lang w:val="en-GB"/>
        </w:rPr>
      </w:pPr>
      <w:r>
        <w:rPr>
          <w:rFonts w:asciiTheme="minorHAnsi" w:hAnsiTheme="minorHAnsi" w:cstheme="minorHAnsi"/>
          <w:noProof/>
          <w:sz w:val="22"/>
          <w:szCs w:val="22"/>
          <w:lang w:val="en-GB"/>
        </w:rPr>
        <w:t>Department of Education and Training</w:t>
      </w:r>
      <w:r w:rsidRPr="004A0AD2">
        <w:rPr>
          <w:rFonts w:asciiTheme="minorHAnsi" w:hAnsiTheme="minorHAnsi" w:cstheme="minorHAnsi"/>
          <w:noProof/>
          <w:sz w:val="22"/>
          <w:szCs w:val="22"/>
          <w:lang w:val="en-GB"/>
        </w:rPr>
        <w:t xml:space="preserve"> (2018). Through growth to achievement: Report of the review to achieve educational excellence in Australian schools.</w:t>
      </w:r>
      <w:r>
        <w:rPr>
          <w:rFonts w:asciiTheme="minorHAnsi" w:hAnsiTheme="minorHAnsi" w:cstheme="minorHAnsi"/>
          <w:noProof/>
          <w:sz w:val="22"/>
          <w:szCs w:val="22"/>
          <w:lang w:val="en-GB"/>
        </w:rPr>
        <w:t xml:space="preserve"> Retrived online: </w:t>
      </w:r>
      <w:hyperlink r:id="rId19" w:history="1">
        <w:r w:rsidRPr="002F4F51">
          <w:rPr>
            <w:rStyle w:val="Hyperlink"/>
            <w:rFonts w:asciiTheme="minorHAnsi" w:hAnsiTheme="minorHAnsi" w:cstheme="minorHAnsi"/>
            <w:noProof/>
            <w:sz w:val="22"/>
            <w:szCs w:val="22"/>
            <w:lang w:val="en-GB"/>
          </w:rPr>
          <w:t>https://www.dese.gov.au/uncategorised/resources/through-growth-achievement-report-review-achieve-educational-excellence-australian-schools</w:t>
        </w:r>
      </w:hyperlink>
    </w:p>
    <w:p w14:paraId="45E97F16" w14:textId="32F68EB8" w:rsidR="00B853B8" w:rsidRDefault="00D855FC" w:rsidP="00145EF0">
      <w:pPr>
        <w:pStyle w:val="EndNoteBibliography"/>
        <w:ind w:left="720" w:hanging="720"/>
        <w:rPr>
          <w:rFonts w:asciiTheme="minorHAnsi" w:hAnsiTheme="minorHAnsi" w:cstheme="minorHAnsi"/>
          <w:noProof/>
          <w:sz w:val="22"/>
          <w:szCs w:val="22"/>
        </w:rPr>
      </w:pPr>
      <w:r w:rsidRPr="00D855FC">
        <w:rPr>
          <w:rFonts w:asciiTheme="minorHAnsi" w:hAnsiTheme="minorHAnsi" w:cstheme="minorHAnsi"/>
          <w:noProof/>
          <w:sz w:val="22"/>
          <w:szCs w:val="22"/>
        </w:rPr>
        <w:t xml:space="preserve">Donohoo, J., Hattie, J. &amp; Eells, R. (2018). The power of collective efficacy. </w:t>
      </w:r>
      <w:r w:rsidRPr="00FA00A5">
        <w:rPr>
          <w:rFonts w:asciiTheme="minorHAnsi" w:hAnsiTheme="minorHAnsi" w:cstheme="minorHAnsi"/>
          <w:i/>
          <w:iCs/>
          <w:noProof/>
          <w:sz w:val="22"/>
          <w:szCs w:val="22"/>
        </w:rPr>
        <w:t>Educational Leadership, 75</w:t>
      </w:r>
      <w:r w:rsidRPr="00D855FC">
        <w:rPr>
          <w:rFonts w:asciiTheme="minorHAnsi" w:hAnsiTheme="minorHAnsi" w:cstheme="minorHAnsi"/>
          <w:noProof/>
          <w:sz w:val="22"/>
          <w:szCs w:val="22"/>
        </w:rPr>
        <w:t>(6), 40-44.</w:t>
      </w:r>
    </w:p>
    <w:p w14:paraId="015EC35C" w14:textId="05A92B29" w:rsidR="0071583F" w:rsidRPr="00F61BD3" w:rsidRDefault="0071583F"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Ebell, S., Hughes, H., Bockart, S., Silva, S., &amp; McBride, S. (2017). Principal communities of practice inspire learning in Texas district. </w:t>
      </w:r>
      <w:r w:rsidRPr="00FA00A5">
        <w:rPr>
          <w:rFonts w:asciiTheme="minorHAnsi" w:hAnsiTheme="minorHAnsi" w:cstheme="minorHAnsi"/>
          <w:i/>
          <w:iCs/>
          <w:noProof/>
          <w:sz w:val="22"/>
          <w:szCs w:val="22"/>
        </w:rPr>
        <w:t>Learning Professional, 38</w:t>
      </w:r>
      <w:r w:rsidRPr="00F61BD3">
        <w:rPr>
          <w:rFonts w:asciiTheme="minorHAnsi" w:hAnsiTheme="minorHAnsi" w:cstheme="minorHAnsi"/>
          <w:noProof/>
          <w:sz w:val="22"/>
          <w:szCs w:val="22"/>
        </w:rPr>
        <w:t xml:space="preserve">(4), 58-62. </w:t>
      </w:r>
    </w:p>
    <w:p w14:paraId="007E2B39" w14:textId="3CC4F660" w:rsidR="00080399" w:rsidRDefault="00080399" w:rsidP="00664C91">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lastRenderedPageBreak/>
        <w:t>Education Endowment Foundation (20</w:t>
      </w:r>
      <w:r>
        <w:rPr>
          <w:rFonts w:asciiTheme="minorHAnsi" w:hAnsiTheme="minorHAnsi" w:cstheme="minorHAnsi"/>
          <w:noProof/>
          <w:sz w:val="22"/>
          <w:szCs w:val="22"/>
        </w:rPr>
        <w:t xml:space="preserve">18). </w:t>
      </w:r>
      <w:r w:rsidR="003223DE">
        <w:rPr>
          <w:rFonts w:asciiTheme="minorHAnsi" w:hAnsiTheme="minorHAnsi" w:cstheme="minorHAnsi"/>
          <w:noProof/>
          <w:sz w:val="22"/>
          <w:szCs w:val="22"/>
        </w:rPr>
        <w:t xml:space="preserve">Parental engagement, Teaching and Learning Toolkit. Retrieved </w:t>
      </w:r>
      <w:r w:rsidR="00B765D8">
        <w:rPr>
          <w:rFonts w:asciiTheme="minorHAnsi" w:hAnsiTheme="minorHAnsi" w:cstheme="minorHAnsi"/>
          <w:noProof/>
          <w:sz w:val="22"/>
          <w:szCs w:val="22"/>
        </w:rPr>
        <w:t xml:space="preserve">online: </w:t>
      </w:r>
      <w:hyperlink r:id="rId20" w:history="1">
        <w:r w:rsidR="00B765D8" w:rsidRPr="002F4F51">
          <w:rPr>
            <w:rStyle w:val="Hyperlink"/>
            <w:rFonts w:asciiTheme="minorHAnsi" w:hAnsiTheme="minorHAnsi" w:cstheme="minorHAnsi"/>
            <w:noProof/>
            <w:sz w:val="22"/>
            <w:szCs w:val="22"/>
          </w:rPr>
          <w:t>https://educationendowmentfoundation.org.uk/evidence-summaries/teaching-learning-toolkit/parental-engagement/</w:t>
        </w:r>
      </w:hyperlink>
    </w:p>
    <w:p w14:paraId="3D8E56BB" w14:textId="1EB59715" w:rsidR="00B24E1B" w:rsidRDefault="00A37B89" w:rsidP="004F48E3">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Education Endowment Foundation (2020). The EEF Guide to Supporting School Planning: A Tiered Approach to 2020-21. Retrieved online</w:t>
      </w:r>
      <w:r w:rsidR="00B24E1B">
        <w:rPr>
          <w:rFonts w:asciiTheme="minorHAnsi" w:hAnsiTheme="minorHAnsi" w:cstheme="minorHAnsi"/>
          <w:noProof/>
          <w:sz w:val="22"/>
          <w:szCs w:val="22"/>
        </w:rPr>
        <w:t xml:space="preserve"> </w:t>
      </w:r>
      <w:hyperlink r:id="rId21" w:history="1">
        <w:r w:rsidR="00B24E1B" w:rsidRPr="002F4F51">
          <w:rPr>
            <w:rStyle w:val="Hyperlink"/>
            <w:rFonts w:asciiTheme="minorHAnsi" w:hAnsiTheme="minorHAnsi" w:cstheme="minorHAnsi"/>
            <w:noProof/>
            <w:sz w:val="22"/>
            <w:szCs w:val="22"/>
          </w:rPr>
          <w:t>https://educationendowmentfoundation.org.uk/covid-19-resources/guide-to-supporting-schools-planning/</w:t>
        </w:r>
      </w:hyperlink>
    </w:p>
    <w:p w14:paraId="54F763A6" w14:textId="4EAF5C32" w:rsidR="00AE05E5" w:rsidRDefault="00AE05E5" w:rsidP="00664C91">
      <w:pPr>
        <w:pStyle w:val="EndNoteBibliography"/>
        <w:ind w:left="720" w:hanging="720"/>
        <w:rPr>
          <w:rFonts w:asciiTheme="minorHAnsi" w:hAnsiTheme="minorHAnsi" w:cstheme="minorHAnsi"/>
          <w:noProof/>
          <w:sz w:val="22"/>
          <w:szCs w:val="22"/>
        </w:rPr>
      </w:pPr>
      <w:r w:rsidRPr="00664C91">
        <w:rPr>
          <w:rFonts w:asciiTheme="minorHAnsi" w:hAnsiTheme="minorHAnsi" w:cstheme="minorHAnsi"/>
          <w:noProof/>
          <w:sz w:val="22"/>
          <w:szCs w:val="22"/>
        </w:rPr>
        <w:t>Emerson, L., Fear, J., Fox, S., &amp; Sanders, E. (2012)</w:t>
      </w:r>
      <w:r w:rsidR="00B24E1B">
        <w:rPr>
          <w:rFonts w:asciiTheme="minorHAnsi" w:hAnsiTheme="minorHAnsi" w:cstheme="minorHAnsi"/>
          <w:noProof/>
          <w:sz w:val="22"/>
          <w:szCs w:val="22"/>
        </w:rPr>
        <w:t>.</w:t>
      </w:r>
      <w:r w:rsidRPr="00664C91">
        <w:rPr>
          <w:rFonts w:asciiTheme="minorHAnsi" w:hAnsiTheme="minorHAnsi" w:cstheme="minorHAnsi"/>
          <w:noProof/>
          <w:sz w:val="22"/>
          <w:szCs w:val="22"/>
        </w:rPr>
        <w:t xml:space="preserve"> Parental engagement in learning and schooling: Lessons from research</w:t>
      </w:r>
      <w:r w:rsidR="002D6917">
        <w:rPr>
          <w:rFonts w:asciiTheme="minorHAnsi" w:hAnsiTheme="minorHAnsi" w:cstheme="minorHAnsi"/>
          <w:noProof/>
          <w:sz w:val="22"/>
          <w:szCs w:val="22"/>
        </w:rPr>
        <w:t xml:space="preserve">. </w:t>
      </w:r>
      <w:r w:rsidRPr="00664C91">
        <w:rPr>
          <w:rFonts w:asciiTheme="minorHAnsi" w:hAnsiTheme="minorHAnsi" w:cstheme="minorHAnsi"/>
          <w:noProof/>
          <w:sz w:val="22"/>
          <w:szCs w:val="22"/>
        </w:rPr>
        <w:t>Canberra, ACT: Australian Research Alliance for Children and Youth.</w:t>
      </w:r>
      <w:r w:rsidR="002D6917">
        <w:rPr>
          <w:rFonts w:asciiTheme="minorHAnsi" w:hAnsiTheme="minorHAnsi" w:cstheme="minorHAnsi"/>
          <w:noProof/>
          <w:sz w:val="22"/>
          <w:szCs w:val="22"/>
        </w:rPr>
        <w:t xml:space="preserve"> Retrieved online: </w:t>
      </w:r>
      <w:hyperlink r:id="rId22" w:history="1">
        <w:r w:rsidR="002D6917" w:rsidRPr="002F4F51">
          <w:rPr>
            <w:rStyle w:val="Hyperlink"/>
            <w:rFonts w:asciiTheme="minorHAnsi" w:hAnsiTheme="minorHAnsi" w:cstheme="minorHAnsi"/>
            <w:noProof/>
            <w:sz w:val="22"/>
            <w:szCs w:val="22"/>
          </w:rPr>
          <w:t>http://www.familyschool.org.au/files/3313/7955/2295/parental-engagement-in-learning-and-schooling.pdf</w:t>
        </w:r>
      </w:hyperlink>
    </w:p>
    <w:p w14:paraId="723F7D1D" w14:textId="5700B2A9" w:rsidR="00351A65" w:rsidRDefault="004A0337" w:rsidP="00664C91">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Evidence for Learning (2019). Putting evidence to work: A school’s guide to implementation. Retrieved online</w:t>
      </w:r>
      <w:r w:rsidR="00351A65">
        <w:rPr>
          <w:rFonts w:asciiTheme="minorHAnsi" w:hAnsiTheme="minorHAnsi" w:cstheme="minorHAnsi"/>
          <w:noProof/>
          <w:sz w:val="22"/>
          <w:szCs w:val="22"/>
        </w:rPr>
        <w:t xml:space="preserve"> </w:t>
      </w:r>
      <w:hyperlink r:id="rId23" w:history="1">
        <w:r w:rsidR="00351A65" w:rsidRPr="002F4F51">
          <w:rPr>
            <w:rStyle w:val="Hyperlink"/>
            <w:rFonts w:asciiTheme="minorHAnsi" w:hAnsiTheme="minorHAnsi" w:cstheme="minorHAnsi"/>
            <w:noProof/>
            <w:sz w:val="22"/>
            <w:szCs w:val="22"/>
          </w:rPr>
          <w:t>https://evidenceforlearning.org.au/guidance-reports/putting-evidence-to-work-a-schools-guide-to-implementation/</w:t>
        </w:r>
      </w:hyperlink>
    </w:p>
    <w:p w14:paraId="0A5B817A" w14:textId="629DB32B" w:rsidR="00FD18CF" w:rsidRDefault="00FD18CF"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 xml:space="preserve">Goldberg, J., Sklad, M., Elfrink, T., Schruers, K. M. G., Bohlmeijer, E. T. &amp; Clarke, A. M. (2019). Effectiveness of interventions adopting a whole school to enhancing social and emotional development: a meta-analysis. </w:t>
      </w:r>
      <w:r w:rsidRPr="00FA00A5">
        <w:rPr>
          <w:rFonts w:asciiTheme="minorHAnsi" w:hAnsiTheme="minorHAnsi" w:cstheme="minorHAnsi"/>
          <w:i/>
          <w:iCs/>
          <w:noProof/>
          <w:sz w:val="22"/>
          <w:szCs w:val="22"/>
        </w:rPr>
        <w:t>European Journal of Psychology of Education, 34</w:t>
      </w:r>
      <w:r w:rsidRPr="00145EF0">
        <w:rPr>
          <w:rFonts w:asciiTheme="minorHAnsi" w:hAnsiTheme="minorHAnsi" w:cstheme="minorHAnsi"/>
          <w:noProof/>
          <w:sz w:val="22"/>
          <w:szCs w:val="22"/>
        </w:rPr>
        <w:t>, 755-782.</w:t>
      </w:r>
    </w:p>
    <w:p w14:paraId="6849B397" w14:textId="37EE8554" w:rsidR="0071583F" w:rsidRPr="00F61BD3" w:rsidRDefault="003D4FB6"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Hajisoteriou, C., Karousiou, C., &amp; Angelides, P. (2018). Successful components of school improvement in culturally diverse schools. </w:t>
      </w:r>
      <w:r w:rsidRPr="00FA00A5">
        <w:rPr>
          <w:rFonts w:asciiTheme="minorHAnsi" w:hAnsiTheme="minorHAnsi" w:cstheme="minorHAnsi"/>
          <w:i/>
          <w:iCs/>
          <w:noProof/>
          <w:sz w:val="22"/>
          <w:szCs w:val="22"/>
        </w:rPr>
        <w:t>School Effectiveness and School Improvement, 29</w:t>
      </w:r>
      <w:r w:rsidRPr="00F61BD3">
        <w:rPr>
          <w:rFonts w:asciiTheme="minorHAnsi" w:hAnsiTheme="minorHAnsi" w:cstheme="minorHAnsi"/>
          <w:noProof/>
          <w:sz w:val="22"/>
          <w:szCs w:val="22"/>
        </w:rPr>
        <w:t xml:space="preserve">(1), 91-112. </w:t>
      </w:r>
    </w:p>
    <w:p w14:paraId="3E639372" w14:textId="587511C4" w:rsidR="00BF687D" w:rsidRDefault="00BF687D" w:rsidP="00664C91">
      <w:pPr>
        <w:pStyle w:val="EndNoteBibliography"/>
        <w:ind w:left="720" w:hanging="720"/>
        <w:rPr>
          <w:rFonts w:asciiTheme="minorHAnsi" w:hAnsiTheme="minorHAnsi" w:cstheme="minorHAnsi"/>
          <w:noProof/>
          <w:sz w:val="22"/>
          <w:szCs w:val="22"/>
        </w:rPr>
      </w:pPr>
      <w:r w:rsidRPr="00BF687D">
        <w:rPr>
          <w:rFonts w:asciiTheme="minorHAnsi" w:hAnsiTheme="minorHAnsi" w:cstheme="minorHAnsi"/>
          <w:noProof/>
          <w:sz w:val="22"/>
          <w:szCs w:val="22"/>
          <w:lang w:val="en-GB"/>
        </w:rPr>
        <w:t>Hands, C. (2013). Including all families in education: School district-level efforts to promote parent engagement in Ontario, Canada. </w:t>
      </w:r>
      <w:r w:rsidRPr="00BF687D">
        <w:rPr>
          <w:rFonts w:asciiTheme="minorHAnsi" w:hAnsiTheme="minorHAnsi" w:cstheme="minorHAnsi"/>
          <w:i/>
          <w:iCs/>
          <w:noProof/>
          <w:sz w:val="22"/>
          <w:szCs w:val="22"/>
          <w:lang w:val="en-GB"/>
        </w:rPr>
        <w:t>Teaching Education</w:t>
      </w:r>
      <w:r w:rsidRPr="00BF687D">
        <w:rPr>
          <w:rFonts w:asciiTheme="minorHAnsi" w:hAnsiTheme="minorHAnsi" w:cstheme="minorHAnsi"/>
          <w:noProof/>
          <w:sz w:val="22"/>
          <w:szCs w:val="22"/>
          <w:lang w:val="en-GB"/>
        </w:rPr>
        <w:t>, </w:t>
      </w:r>
      <w:r w:rsidRPr="00BF687D">
        <w:rPr>
          <w:rFonts w:asciiTheme="minorHAnsi" w:hAnsiTheme="minorHAnsi" w:cstheme="minorHAnsi"/>
          <w:i/>
          <w:iCs/>
          <w:noProof/>
          <w:sz w:val="22"/>
          <w:szCs w:val="22"/>
          <w:lang w:val="en-GB"/>
        </w:rPr>
        <w:t>24</w:t>
      </w:r>
      <w:r w:rsidRPr="00BF687D">
        <w:rPr>
          <w:rFonts w:asciiTheme="minorHAnsi" w:hAnsiTheme="minorHAnsi" w:cstheme="minorHAnsi"/>
          <w:noProof/>
          <w:sz w:val="22"/>
          <w:szCs w:val="22"/>
          <w:lang w:val="en-GB"/>
        </w:rPr>
        <w:t>(2), 134-149.</w:t>
      </w:r>
    </w:p>
    <w:p w14:paraId="49C8C740" w14:textId="6B3A8094" w:rsidR="00265BA5" w:rsidRPr="00664C91" w:rsidRDefault="00265BA5" w:rsidP="00664C91">
      <w:pPr>
        <w:pStyle w:val="EndNoteBibliography"/>
        <w:ind w:left="720" w:hanging="720"/>
        <w:rPr>
          <w:rFonts w:asciiTheme="minorHAnsi" w:hAnsiTheme="minorHAnsi" w:cstheme="minorHAnsi"/>
          <w:noProof/>
          <w:sz w:val="22"/>
          <w:szCs w:val="22"/>
        </w:rPr>
      </w:pPr>
      <w:r w:rsidRPr="00664C91">
        <w:rPr>
          <w:rFonts w:asciiTheme="minorHAnsi" w:hAnsiTheme="minorHAnsi" w:cstheme="minorHAnsi"/>
          <w:noProof/>
          <w:sz w:val="22"/>
          <w:szCs w:val="22"/>
        </w:rPr>
        <w:t>Harris, J. Knipe, S. Smithers, K. Ross, M. (2020a). School Improvement: A review of empirical research into the drivers and practices of school improvement (2015 – 2020). A paper developed for DET in collaboration with the University of Newcastle.</w:t>
      </w:r>
    </w:p>
    <w:p w14:paraId="6BC84ED9" w14:textId="152018DF" w:rsidR="00CB2F0A" w:rsidRPr="00664C91" w:rsidRDefault="00CB2F0A" w:rsidP="00664C91">
      <w:pPr>
        <w:pStyle w:val="EndNoteBibliography"/>
        <w:ind w:left="720" w:hanging="720"/>
        <w:rPr>
          <w:rFonts w:asciiTheme="minorHAnsi" w:hAnsiTheme="minorHAnsi" w:cstheme="minorHAnsi"/>
          <w:noProof/>
          <w:sz w:val="22"/>
          <w:szCs w:val="22"/>
        </w:rPr>
      </w:pPr>
      <w:r w:rsidRPr="00664C91">
        <w:rPr>
          <w:rFonts w:asciiTheme="minorHAnsi" w:hAnsiTheme="minorHAnsi" w:cstheme="minorHAnsi"/>
          <w:noProof/>
          <w:sz w:val="22"/>
          <w:szCs w:val="22"/>
        </w:rPr>
        <w:t>Harris, J. Knipe, S. Smithers, K. Ross, M. (2020</w:t>
      </w:r>
      <w:r w:rsidR="00265BA5" w:rsidRPr="00664C91">
        <w:rPr>
          <w:rFonts w:asciiTheme="minorHAnsi" w:hAnsiTheme="minorHAnsi" w:cstheme="minorHAnsi"/>
          <w:noProof/>
          <w:sz w:val="22"/>
          <w:szCs w:val="22"/>
        </w:rPr>
        <w:t>b</w:t>
      </w:r>
      <w:r w:rsidRPr="00664C91">
        <w:rPr>
          <w:rFonts w:asciiTheme="minorHAnsi" w:hAnsiTheme="minorHAnsi" w:cstheme="minorHAnsi"/>
          <w:noProof/>
          <w:sz w:val="22"/>
          <w:szCs w:val="22"/>
        </w:rPr>
        <w:t xml:space="preserve">). Transitions for remote delivery to reopening: A review of evidence on school improvement for schools impacted by COVID 19. </w:t>
      </w:r>
      <w:r w:rsidR="005A632B">
        <w:rPr>
          <w:rFonts w:asciiTheme="minorHAnsi" w:hAnsiTheme="minorHAnsi" w:cstheme="minorHAnsi"/>
          <w:noProof/>
          <w:sz w:val="22"/>
          <w:szCs w:val="22"/>
        </w:rPr>
        <w:t xml:space="preserve">Melbourne: Departmemt of Education and Training. </w:t>
      </w:r>
    </w:p>
    <w:p w14:paraId="71D713AC" w14:textId="547DACD3" w:rsidR="00C71D99" w:rsidRPr="00F61BD3" w:rsidRDefault="00C71D99"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Hartman, J. J. (2018). See the connections? Addressing leadership and supervision challenges to</w:t>
      </w:r>
      <w:r w:rsidR="00F61BD3">
        <w:rPr>
          <w:rFonts w:asciiTheme="minorHAnsi" w:hAnsiTheme="minorHAnsi" w:cstheme="minorHAnsi"/>
          <w:noProof/>
          <w:sz w:val="22"/>
          <w:szCs w:val="22"/>
        </w:rPr>
        <w:t xml:space="preserve"> </w:t>
      </w:r>
      <w:r w:rsidRPr="00F61BD3">
        <w:rPr>
          <w:rFonts w:asciiTheme="minorHAnsi" w:hAnsiTheme="minorHAnsi" w:cstheme="minorHAnsi"/>
          <w:noProof/>
          <w:sz w:val="22"/>
          <w:szCs w:val="22"/>
        </w:rPr>
        <w:t xml:space="preserve">support improved student achievement in a small rural school. </w:t>
      </w:r>
      <w:r w:rsidRPr="00FA00A5">
        <w:rPr>
          <w:rFonts w:asciiTheme="minorHAnsi" w:hAnsiTheme="minorHAnsi" w:cstheme="minorHAnsi"/>
          <w:i/>
          <w:iCs/>
          <w:noProof/>
          <w:sz w:val="22"/>
          <w:szCs w:val="22"/>
        </w:rPr>
        <w:t>Journal of Cases in Educational Leadership, 21</w:t>
      </w:r>
      <w:r w:rsidRPr="00F61BD3">
        <w:rPr>
          <w:rFonts w:asciiTheme="minorHAnsi" w:hAnsiTheme="minorHAnsi" w:cstheme="minorHAnsi"/>
          <w:noProof/>
          <w:sz w:val="22"/>
          <w:szCs w:val="22"/>
        </w:rPr>
        <w:t xml:space="preserve">(3), 36-47. </w:t>
      </w:r>
    </w:p>
    <w:p w14:paraId="1059B697" w14:textId="44A26BA9" w:rsidR="002962C2" w:rsidRDefault="002962C2" w:rsidP="00664C91">
      <w:pPr>
        <w:pStyle w:val="EndNoteBibliography"/>
        <w:ind w:left="720" w:hanging="720"/>
        <w:rPr>
          <w:rFonts w:asciiTheme="minorHAnsi" w:hAnsiTheme="minorHAnsi" w:cstheme="minorHAnsi"/>
          <w:noProof/>
          <w:sz w:val="22"/>
          <w:szCs w:val="22"/>
        </w:rPr>
      </w:pPr>
      <w:r w:rsidRPr="002962C2">
        <w:rPr>
          <w:rFonts w:asciiTheme="minorHAnsi" w:hAnsiTheme="minorHAnsi" w:cstheme="minorHAnsi"/>
          <w:noProof/>
          <w:sz w:val="22"/>
          <w:szCs w:val="22"/>
          <w:lang w:val="en-GB"/>
        </w:rPr>
        <w:t>Hoover-Dempsey, K. V., Walker, J. M., Sandler, H. M., Whetsel, D., Green, C. L., Wilkins, A. S., &amp; Closson, K. (2005). Why do parents become involved? Research findings and implications. </w:t>
      </w:r>
      <w:r w:rsidRPr="002962C2">
        <w:rPr>
          <w:rFonts w:asciiTheme="minorHAnsi" w:hAnsiTheme="minorHAnsi" w:cstheme="minorHAnsi"/>
          <w:i/>
          <w:iCs/>
          <w:noProof/>
          <w:sz w:val="22"/>
          <w:szCs w:val="22"/>
          <w:lang w:val="en-GB"/>
        </w:rPr>
        <w:t>The elementary school journal</w:t>
      </w:r>
      <w:r w:rsidRPr="002962C2">
        <w:rPr>
          <w:rFonts w:asciiTheme="minorHAnsi" w:hAnsiTheme="minorHAnsi" w:cstheme="minorHAnsi"/>
          <w:noProof/>
          <w:sz w:val="22"/>
          <w:szCs w:val="22"/>
          <w:lang w:val="en-GB"/>
        </w:rPr>
        <w:t>, </w:t>
      </w:r>
      <w:r w:rsidRPr="002962C2">
        <w:rPr>
          <w:rFonts w:asciiTheme="minorHAnsi" w:hAnsiTheme="minorHAnsi" w:cstheme="minorHAnsi"/>
          <w:i/>
          <w:iCs/>
          <w:noProof/>
          <w:sz w:val="22"/>
          <w:szCs w:val="22"/>
          <w:lang w:val="en-GB"/>
        </w:rPr>
        <w:t>106</w:t>
      </w:r>
      <w:r w:rsidRPr="002962C2">
        <w:rPr>
          <w:rFonts w:asciiTheme="minorHAnsi" w:hAnsiTheme="minorHAnsi" w:cstheme="minorHAnsi"/>
          <w:noProof/>
          <w:sz w:val="22"/>
          <w:szCs w:val="22"/>
          <w:lang w:val="en-GB"/>
        </w:rPr>
        <w:t>(2), 105-130.</w:t>
      </w:r>
    </w:p>
    <w:p w14:paraId="4E2EA517" w14:textId="745BF52A" w:rsidR="00362B41" w:rsidRPr="00664C91" w:rsidRDefault="00362B41" w:rsidP="00664C91">
      <w:pPr>
        <w:pStyle w:val="EndNoteBibliography"/>
        <w:ind w:left="720" w:hanging="720"/>
        <w:rPr>
          <w:rFonts w:asciiTheme="minorHAnsi" w:hAnsiTheme="minorHAnsi" w:cstheme="minorHAnsi"/>
          <w:noProof/>
          <w:sz w:val="22"/>
          <w:szCs w:val="22"/>
        </w:rPr>
      </w:pPr>
      <w:r w:rsidRPr="00664C91">
        <w:rPr>
          <w:rFonts w:asciiTheme="minorHAnsi" w:hAnsiTheme="minorHAnsi" w:cstheme="minorHAnsi"/>
          <w:noProof/>
          <w:sz w:val="22"/>
          <w:szCs w:val="22"/>
        </w:rPr>
        <w:t>Jeynes, W. (2012) A Meta-Analysis of the Efficacy of Different Types of Parental Involvement Programs for Urban Students</w:t>
      </w:r>
      <w:r w:rsidR="006B7C10">
        <w:rPr>
          <w:rFonts w:asciiTheme="minorHAnsi" w:hAnsiTheme="minorHAnsi" w:cstheme="minorHAnsi"/>
          <w:noProof/>
          <w:sz w:val="22"/>
          <w:szCs w:val="22"/>
        </w:rPr>
        <w:t>.</w:t>
      </w:r>
      <w:r w:rsidRPr="00664C91">
        <w:rPr>
          <w:rFonts w:asciiTheme="minorHAnsi" w:hAnsiTheme="minorHAnsi" w:cstheme="minorHAnsi"/>
          <w:noProof/>
          <w:sz w:val="22"/>
          <w:szCs w:val="22"/>
        </w:rPr>
        <w:t xml:space="preserve"> </w:t>
      </w:r>
      <w:r w:rsidRPr="00FA00A5">
        <w:rPr>
          <w:rFonts w:asciiTheme="minorHAnsi" w:hAnsiTheme="minorHAnsi" w:cstheme="minorHAnsi"/>
          <w:i/>
          <w:iCs/>
          <w:noProof/>
          <w:sz w:val="22"/>
          <w:szCs w:val="22"/>
        </w:rPr>
        <w:t>Urban Education, 47</w:t>
      </w:r>
      <w:r w:rsidRPr="00664C91">
        <w:rPr>
          <w:rFonts w:asciiTheme="minorHAnsi" w:hAnsiTheme="minorHAnsi" w:cstheme="minorHAnsi"/>
          <w:noProof/>
          <w:sz w:val="22"/>
          <w:szCs w:val="22"/>
        </w:rPr>
        <w:t xml:space="preserve">(4), 706–742. </w:t>
      </w:r>
    </w:p>
    <w:p w14:paraId="4CF06340" w14:textId="4D9CFC34" w:rsidR="00362B41" w:rsidRPr="00FA00A5" w:rsidRDefault="00172524">
      <w:pPr>
        <w:pStyle w:val="EndNoteBibliography"/>
        <w:ind w:left="720" w:hanging="720"/>
        <w:rPr>
          <w:rFonts w:asciiTheme="minorHAnsi" w:hAnsiTheme="minorHAnsi" w:cstheme="minorBidi"/>
          <w:noProof/>
          <w:sz w:val="22"/>
          <w:szCs w:val="22"/>
          <w:lang w:val="en-GB"/>
        </w:rPr>
      </w:pPr>
      <w:r w:rsidRPr="00172524">
        <w:rPr>
          <w:rFonts w:asciiTheme="minorHAnsi" w:hAnsiTheme="minorHAnsi" w:cstheme="minorBidi"/>
          <w:noProof/>
          <w:sz w:val="22"/>
          <w:szCs w:val="22"/>
          <w:lang w:val="en-GB"/>
        </w:rPr>
        <w:t>Kalb, G. &amp; van Ours, J. C. (2014). Reading to young children: A head-start in life? </w:t>
      </w:r>
      <w:r w:rsidRPr="00172524">
        <w:rPr>
          <w:rFonts w:asciiTheme="minorHAnsi" w:hAnsiTheme="minorHAnsi" w:cstheme="minorBidi"/>
          <w:i/>
          <w:iCs/>
          <w:noProof/>
          <w:sz w:val="22"/>
          <w:szCs w:val="22"/>
          <w:lang w:val="en-GB"/>
        </w:rPr>
        <w:t>Economics of Education Review</w:t>
      </w:r>
      <w:r w:rsidRPr="00172524">
        <w:rPr>
          <w:rFonts w:asciiTheme="minorHAnsi" w:hAnsiTheme="minorHAnsi" w:cstheme="minorBidi"/>
          <w:noProof/>
          <w:sz w:val="22"/>
          <w:szCs w:val="22"/>
          <w:lang w:val="en-GB"/>
        </w:rPr>
        <w:t>, 40 pp. 1-24.</w:t>
      </w:r>
      <w:r w:rsidR="00F27922" w:rsidRPr="5D7865C8">
        <w:rPr>
          <w:rFonts w:asciiTheme="minorHAnsi" w:hAnsiTheme="minorHAnsi" w:cstheme="minorBidi"/>
          <w:noProof/>
          <w:sz w:val="22"/>
          <w:szCs w:val="22"/>
        </w:rPr>
        <w:t xml:space="preserve"> Retrieved </w:t>
      </w:r>
      <w:r w:rsidR="009647B0">
        <w:rPr>
          <w:rFonts w:asciiTheme="minorHAnsi" w:hAnsiTheme="minorHAnsi" w:cstheme="minorBidi"/>
          <w:noProof/>
          <w:sz w:val="22"/>
          <w:szCs w:val="22"/>
        </w:rPr>
        <w:t xml:space="preserve">online </w:t>
      </w:r>
      <w:hyperlink r:id="rId24" w:history="1">
        <w:r w:rsidR="009647B0" w:rsidRPr="002F4F51">
          <w:rPr>
            <w:rStyle w:val="Hyperlink"/>
            <w:rFonts w:asciiTheme="minorHAnsi" w:hAnsiTheme="minorHAnsi" w:cstheme="minorBidi"/>
            <w:noProof/>
            <w:sz w:val="22"/>
            <w:szCs w:val="22"/>
          </w:rPr>
          <w:t>https://www.melbourneinstitute.com/downloads/working_paper_series/wp2013n17.pdf</w:t>
        </w:r>
      </w:hyperlink>
    </w:p>
    <w:p w14:paraId="558DE1FD" w14:textId="0C86F250" w:rsidR="0003013A" w:rsidRDefault="0003013A" w:rsidP="00664C91">
      <w:pPr>
        <w:pStyle w:val="EndNoteBibliography"/>
        <w:ind w:left="720" w:hanging="720"/>
        <w:rPr>
          <w:rFonts w:asciiTheme="minorHAnsi" w:hAnsiTheme="minorHAnsi" w:cstheme="minorHAnsi"/>
          <w:noProof/>
          <w:sz w:val="22"/>
          <w:szCs w:val="22"/>
        </w:rPr>
      </w:pPr>
      <w:r w:rsidRPr="0003013A">
        <w:rPr>
          <w:rFonts w:asciiTheme="minorHAnsi" w:hAnsiTheme="minorHAnsi" w:cstheme="minorHAnsi"/>
          <w:noProof/>
          <w:sz w:val="22"/>
          <w:szCs w:val="22"/>
        </w:rPr>
        <w:t>Lewis, C. P. (2005). The relation between extracurricular activities with academic and social competencies in school age children: A meta-analysis (Doctoral dissertation</w:t>
      </w:r>
      <w:r w:rsidR="00100DFE">
        <w:rPr>
          <w:rFonts w:asciiTheme="minorHAnsi" w:hAnsiTheme="minorHAnsi" w:cstheme="minorHAnsi"/>
          <w:noProof/>
          <w:sz w:val="22"/>
          <w:szCs w:val="22"/>
        </w:rPr>
        <w:t>).</w:t>
      </w:r>
      <w:r w:rsidRPr="0003013A">
        <w:rPr>
          <w:rFonts w:asciiTheme="minorHAnsi" w:hAnsiTheme="minorHAnsi" w:cstheme="minorHAnsi"/>
          <w:noProof/>
          <w:sz w:val="22"/>
          <w:szCs w:val="22"/>
        </w:rPr>
        <w:t xml:space="preserve"> Texas A&amp;M University.</w:t>
      </w:r>
      <w:r w:rsidR="00100DFE">
        <w:rPr>
          <w:rFonts w:asciiTheme="minorHAnsi" w:hAnsiTheme="minorHAnsi" w:cstheme="minorHAnsi"/>
          <w:noProof/>
          <w:sz w:val="22"/>
          <w:szCs w:val="22"/>
        </w:rPr>
        <w:t xml:space="preserve"> Retrived online: </w:t>
      </w:r>
      <w:hyperlink r:id="rId25" w:history="1">
        <w:r w:rsidR="00D80A8B" w:rsidRPr="002F4F51">
          <w:rPr>
            <w:rStyle w:val="Hyperlink"/>
            <w:rFonts w:asciiTheme="minorHAnsi" w:hAnsiTheme="minorHAnsi" w:cstheme="minorHAnsi"/>
            <w:noProof/>
            <w:sz w:val="22"/>
            <w:szCs w:val="22"/>
          </w:rPr>
          <w:t>https://oaktrust.library.tamu.edu/bitstream/handle/1969.1/2710/etd-tamu-2004B-SPSY-lewis.pdf?sequence=1&amp;isAllowed=y</w:t>
        </w:r>
      </w:hyperlink>
    </w:p>
    <w:p w14:paraId="3FA211F0" w14:textId="7AF94C0B" w:rsidR="00435F99" w:rsidRPr="00F61BD3" w:rsidRDefault="00435F99"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Li, Y. Y. (2017). Processes and dynamics behind whole-school reform: Nine-year journeys of four primary schools. </w:t>
      </w:r>
      <w:r w:rsidRPr="00FA00A5">
        <w:rPr>
          <w:rFonts w:asciiTheme="minorHAnsi" w:hAnsiTheme="minorHAnsi" w:cstheme="minorHAnsi"/>
          <w:i/>
          <w:iCs/>
          <w:noProof/>
          <w:sz w:val="22"/>
          <w:szCs w:val="22"/>
        </w:rPr>
        <w:t>American Educational Research Journal, 54</w:t>
      </w:r>
      <w:r w:rsidRPr="00F61BD3">
        <w:rPr>
          <w:rFonts w:asciiTheme="minorHAnsi" w:hAnsiTheme="minorHAnsi" w:cstheme="minorHAnsi"/>
          <w:noProof/>
          <w:sz w:val="22"/>
          <w:szCs w:val="22"/>
        </w:rPr>
        <w:t xml:space="preserve">(2), 279-324. </w:t>
      </w:r>
    </w:p>
    <w:p w14:paraId="75F11D59" w14:textId="48E7426C" w:rsidR="00790B73" w:rsidRPr="00F61BD3" w:rsidRDefault="00A83D37"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lastRenderedPageBreak/>
        <w:t xml:space="preserve">Liu, P. (2017). Transforming turnaround schools in China: A review. </w:t>
      </w:r>
      <w:r w:rsidRPr="00664C91">
        <w:rPr>
          <w:rFonts w:asciiTheme="minorHAnsi" w:hAnsiTheme="minorHAnsi" w:cstheme="minorHAnsi"/>
          <w:noProof/>
          <w:sz w:val="22"/>
          <w:szCs w:val="22"/>
        </w:rPr>
        <w:t>School Effectiveness and School Improvement, 28</w:t>
      </w:r>
      <w:r w:rsidRPr="00F61BD3">
        <w:rPr>
          <w:rFonts w:asciiTheme="minorHAnsi" w:hAnsiTheme="minorHAnsi" w:cstheme="minorHAnsi"/>
          <w:noProof/>
          <w:sz w:val="22"/>
          <w:szCs w:val="22"/>
        </w:rPr>
        <w:t xml:space="preserve">(1), 74-101. </w:t>
      </w:r>
    </w:p>
    <w:p w14:paraId="20D4491C" w14:textId="6AEC0FF5" w:rsidR="00790B73" w:rsidRPr="00F61BD3" w:rsidRDefault="00790B73"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Mayer, A., Woulfin, S., &amp; Warhol, L. (2015). Moving the center of expertise: Applying a Communities of Practice framework to understand coaching in urban school reform. </w:t>
      </w:r>
      <w:r w:rsidRPr="00664C91">
        <w:rPr>
          <w:rFonts w:asciiTheme="minorHAnsi" w:hAnsiTheme="minorHAnsi" w:cstheme="minorHAnsi"/>
          <w:noProof/>
          <w:sz w:val="22"/>
          <w:szCs w:val="22"/>
        </w:rPr>
        <w:t>Journal of Educational Change, 16</w:t>
      </w:r>
      <w:r w:rsidRPr="00F61BD3">
        <w:rPr>
          <w:rFonts w:asciiTheme="minorHAnsi" w:hAnsiTheme="minorHAnsi" w:cstheme="minorHAnsi"/>
          <w:noProof/>
          <w:sz w:val="22"/>
          <w:szCs w:val="22"/>
        </w:rPr>
        <w:t xml:space="preserve">(1), 101-123. </w:t>
      </w:r>
    </w:p>
    <w:p w14:paraId="1D1DF1DC" w14:textId="59087CC8" w:rsidR="00790B73" w:rsidRPr="00F61BD3" w:rsidRDefault="00B9680F"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Mazzeo, C., Fleischman, S., Heppen, J., &amp; Jahangir, T. (2016). Improving high school success: Searching for evidence of promise. </w:t>
      </w:r>
      <w:r w:rsidRPr="00FA00A5">
        <w:rPr>
          <w:rFonts w:asciiTheme="minorHAnsi" w:hAnsiTheme="minorHAnsi" w:cstheme="minorHAnsi"/>
          <w:i/>
          <w:iCs/>
          <w:noProof/>
          <w:sz w:val="22"/>
          <w:szCs w:val="22"/>
        </w:rPr>
        <w:t>Teachers College Record, 118</w:t>
      </w:r>
      <w:r w:rsidRPr="00F61BD3">
        <w:rPr>
          <w:rFonts w:asciiTheme="minorHAnsi" w:hAnsiTheme="minorHAnsi" w:cstheme="minorHAnsi"/>
          <w:noProof/>
          <w:sz w:val="22"/>
          <w:szCs w:val="22"/>
        </w:rPr>
        <w:t>(13)</w:t>
      </w:r>
      <w:r w:rsidR="00072D5A">
        <w:rPr>
          <w:rFonts w:asciiTheme="minorHAnsi" w:hAnsiTheme="minorHAnsi" w:cstheme="minorHAnsi"/>
          <w:noProof/>
          <w:sz w:val="22"/>
          <w:szCs w:val="22"/>
        </w:rPr>
        <w:t xml:space="preserve"> 1-32</w:t>
      </w:r>
      <w:r w:rsidRPr="00F61BD3">
        <w:rPr>
          <w:rFonts w:asciiTheme="minorHAnsi" w:hAnsiTheme="minorHAnsi" w:cstheme="minorHAnsi"/>
          <w:noProof/>
          <w:sz w:val="22"/>
          <w:szCs w:val="22"/>
        </w:rPr>
        <w:t xml:space="preserve">. </w:t>
      </w:r>
    </w:p>
    <w:p w14:paraId="444D39AD" w14:textId="7D2D2B54" w:rsidR="00371AED" w:rsidRPr="00F61BD3" w:rsidRDefault="00371AED"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McCollow, M. M., &amp; Hoffman, H. H. (2020). Evidence-based decision-making: A team effort toward achieving goals. </w:t>
      </w:r>
      <w:r w:rsidRPr="00FA00A5">
        <w:rPr>
          <w:rFonts w:asciiTheme="minorHAnsi" w:hAnsiTheme="minorHAnsi" w:cstheme="minorHAnsi"/>
          <w:i/>
          <w:iCs/>
          <w:noProof/>
          <w:sz w:val="22"/>
          <w:szCs w:val="22"/>
        </w:rPr>
        <w:t>Young Exceptional Children, 23</w:t>
      </w:r>
      <w:r w:rsidRPr="00F61BD3">
        <w:rPr>
          <w:rFonts w:asciiTheme="minorHAnsi" w:hAnsiTheme="minorHAnsi" w:cstheme="minorHAnsi"/>
          <w:noProof/>
          <w:sz w:val="22"/>
          <w:szCs w:val="22"/>
        </w:rPr>
        <w:t xml:space="preserve">(1), 15-23. </w:t>
      </w:r>
    </w:p>
    <w:p w14:paraId="5E0887EF" w14:textId="7535BA65" w:rsidR="00DD6E5B" w:rsidRDefault="00DD6E5B" w:rsidP="00664C91">
      <w:pPr>
        <w:pStyle w:val="EndNoteBibliography"/>
        <w:ind w:left="720" w:hanging="720"/>
        <w:rPr>
          <w:rFonts w:asciiTheme="minorHAnsi" w:hAnsiTheme="minorHAnsi" w:cstheme="minorHAnsi"/>
          <w:noProof/>
          <w:sz w:val="22"/>
          <w:szCs w:val="22"/>
        </w:rPr>
      </w:pPr>
      <w:r w:rsidRPr="00DD6E5B">
        <w:rPr>
          <w:rFonts w:asciiTheme="minorHAnsi" w:hAnsiTheme="minorHAnsi" w:cstheme="minorHAnsi"/>
          <w:noProof/>
          <w:sz w:val="22"/>
          <w:szCs w:val="22"/>
          <w:lang w:val="en-GB"/>
        </w:rPr>
        <w:t>Monti, J. D., Pomerantz, E. M., &amp; Roisman, G. I. (2014). Can parents’ involvement in children’s education offset the effects of early insensitivity on academic functioning?. </w:t>
      </w:r>
      <w:r w:rsidRPr="00DD6E5B">
        <w:rPr>
          <w:rFonts w:asciiTheme="minorHAnsi" w:hAnsiTheme="minorHAnsi" w:cstheme="minorHAnsi"/>
          <w:i/>
          <w:iCs/>
          <w:noProof/>
          <w:sz w:val="22"/>
          <w:szCs w:val="22"/>
          <w:lang w:val="en-GB"/>
        </w:rPr>
        <w:t>Journal of Educational Psychology</w:t>
      </w:r>
      <w:r w:rsidRPr="00DD6E5B">
        <w:rPr>
          <w:rFonts w:asciiTheme="minorHAnsi" w:hAnsiTheme="minorHAnsi" w:cstheme="minorHAnsi"/>
          <w:noProof/>
          <w:sz w:val="22"/>
          <w:szCs w:val="22"/>
          <w:lang w:val="en-GB"/>
        </w:rPr>
        <w:t>, </w:t>
      </w:r>
      <w:r w:rsidRPr="00DD6E5B">
        <w:rPr>
          <w:rFonts w:asciiTheme="minorHAnsi" w:hAnsiTheme="minorHAnsi" w:cstheme="minorHAnsi"/>
          <w:i/>
          <w:iCs/>
          <w:noProof/>
          <w:sz w:val="22"/>
          <w:szCs w:val="22"/>
          <w:lang w:val="en-GB"/>
        </w:rPr>
        <w:t>106</w:t>
      </w:r>
      <w:r w:rsidRPr="00DD6E5B">
        <w:rPr>
          <w:rFonts w:asciiTheme="minorHAnsi" w:hAnsiTheme="minorHAnsi" w:cstheme="minorHAnsi"/>
          <w:noProof/>
          <w:sz w:val="22"/>
          <w:szCs w:val="22"/>
          <w:lang w:val="en-GB"/>
        </w:rPr>
        <w:t>(3), 859.</w:t>
      </w:r>
    </w:p>
    <w:p w14:paraId="421B74F0" w14:textId="5EC29E59" w:rsidR="00720C84" w:rsidRDefault="00732664" w:rsidP="00664C91">
      <w:pPr>
        <w:pStyle w:val="EndNoteBibliography"/>
        <w:ind w:left="720" w:hanging="720"/>
        <w:rPr>
          <w:rFonts w:asciiTheme="minorHAnsi" w:hAnsiTheme="minorHAnsi" w:cstheme="minorHAnsi"/>
          <w:noProof/>
          <w:sz w:val="22"/>
          <w:szCs w:val="22"/>
          <w:lang w:val="en-GB"/>
        </w:rPr>
      </w:pPr>
      <w:r w:rsidRPr="00664C91">
        <w:rPr>
          <w:rFonts w:asciiTheme="minorHAnsi" w:hAnsiTheme="minorHAnsi" w:cstheme="minorHAnsi"/>
          <w:noProof/>
          <w:sz w:val="22"/>
          <w:szCs w:val="22"/>
        </w:rPr>
        <w:t>Moore, T., McDonald, M., Tollit, M., &amp; Bennett, K. (2013)</w:t>
      </w:r>
      <w:r w:rsidR="001549B8">
        <w:rPr>
          <w:rFonts w:asciiTheme="minorHAnsi" w:hAnsiTheme="minorHAnsi" w:cstheme="minorHAnsi"/>
          <w:noProof/>
          <w:sz w:val="22"/>
          <w:szCs w:val="22"/>
        </w:rPr>
        <w:t>.</w:t>
      </w:r>
      <w:r w:rsidRPr="00664C91">
        <w:rPr>
          <w:rFonts w:asciiTheme="minorHAnsi" w:hAnsiTheme="minorHAnsi" w:cstheme="minorHAnsi"/>
          <w:noProof/>
          <w:sz w:val="22"/>
          <w:szCs w:val="22"/>
        </w:rPr>
        <w:t xml:space="preserve"> </w:t>
      </w:r>
      <w:r w:rsidR="00720C84" w:rsidRPr="00720C84">
        <w:rPr>
          <w:rFonts w:asciiTheme="minorHAnsi" w:hAnsiTheme="minorHAnsi" w:cstheme="minorHAnsi"/>
          <w:noProof/>
          <w:sz w:val="22"/>
          <w:szCs w:val="22"/>
          <w:lang w:val="en-GB"/>
        </w:rPr>
        <w:t>Children and young people’s health and wellbeing in educational settings: A review of the evidence. Prepared for the Department of Education and Early Childhood Development. Parkville, Victoria: Centre for Community Child Health and Centre for Adolescent Health, Murdoch Childrens Research Institute</w:t>
      </w:r>
    </w:p>
    <w:p w14:paraId="17E4EC62" w14:textId="6B41AAB3" w:rsidR="00371AED" w:rsidRPr="00F61BD3" w:rsidRDefault="008C3B42"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Muijs, D. (2015). Improving schools through collaboration: A mixed methods study of school-to-school partnerships in the primary sector. </w:t>
      </w:r>
      <w:r w:rsidRPr="00FA00A5">
        <w:rPr>
          <w:rFonts w:asciiTheme="minorHAnsi" w:hAnsiTheme="minorHAnsi" w:cstheme="minorHAnsi"/>
          <w:i/>
          <w:iCs/>
          <w:noProof/>
          <w:sz w:val="22"/>
          <w:szCs w:val="22"/>
        </w:rPr>
        <w:t>Oxford Review of Education, 41</w:t>
      </w:r>
      <w:r w:rsidRPr="00F61BD3">
        <w:rPr>
          <w:rFonts w:asciiTheme="minorHAnsi" w:hAnsiTheme="minorHAnsi" w:cstheme="minorHAnsi"/>
          <w:noProof/>
          <w:sz w:val="22"/>
          <w:szCs w:val="22"/>
        </w:rPr>
        <w:t xml:space="preserve">(5), 563-586. </w:t>
      </w:r>
    </w:p>
    <w:p w14:paraId="18536B8F" w14:textId="66634776" w:rsidR="00074A78" w:rsidRDefault="00F15D54" w:rsidP="00145EF0">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Okilwa, N., &amp; Barnett, B. (2017). Sustaining school improvement in a high-need school: Longitudinal analysis of Robbins elementary school (USA) from 1993 to 2015. </w:t>
      </w:r>
      <w:r w:rsidRPr="00FA00A5">
        <w:rPr>
          <w:rFonts w:asciiTheme="minorHAnsi" w:hAnsiTheme="minorHAnsi" w:cstheme="minorHAnsi"/>
          <w:i/>
          <w:iCs/>
          <w:noProof/>
          <w:sz w:val="22"/>
          <w:szCs w:val="22"/>
        </w:rPr>
        <w:t>Journal of Educational Administration, 55</w:t>
      </w:r>
      <w:r w:rsidRPr="00F61BD3">
        <w:rPr>
          <w:rFonts w:asciiTheme="minorHAnsi" w:hAnsiTheme="minorHAnsi" w:cstheme="minorHAnsi"/>
          <w:noProof/>
          <w:sz w:val="22"/>
          <w:szCs w:val="22"/>
        </w:rPr>
        <w:t>(3), 297-315</w:t>
      </w:r>
      <w:r w:rsidR="001549B8">
        <w:rPr>
          <w:rFonts w:asciiTheme="minorHAnsi" w:hAnsiTheme="minorHAnsi" w:cstheme="minorHAnsi"/>
          <w:noProof/>
          <w:sz w:val="22"/>
          <w:szCs w:val="22"/>
        </w:rPr>
        <w:t>.</w:t>
      </w:r>
    </w:p>
    <w:p w14:paraId="2A12701E" w14:textId="27F21FBA" w:rsidR="00074A78" w:rsidRPr="00145EF0" w:rsidRDefault="00074A78"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Pettigrew, T. F., &amp; Tropp, L. R. (2006) A meta-analytic test of intergroup contact theory</w:t>
      </w:r>
      <w:r w:rsidR="001549B8">
        <w:rPr>
          <w:rFonts w:asciiTheme="minorHAnsi" w:hAnsiTheme="minorHAnsi" w:cstheme="minorHAnsi"/>
          <w:noProof/>
          <w:sz w:val="22"/>
          <w:szCs w:val="22"/>
        </w:rPr>
        <w:t>.</w:t>
      </w:r>
      <w:r w:rsidRPr="00145EF0">
        <w:rPr>
          <w:rFonts w:asciiTheme="minorHAnsi" w:hAnsiTheme="minorHAnsi" w:cstheme="minorHAnsi"/>
          <w:noProof/>
          <w:sz w:val="22"/>
          <w:szCs w:val="22"/>
        </w:rPr>
        <w:t xml:space="preserve"> </w:t>
      </w:r>
      <w:r w:rsidRPr="00FA00A5">
        <w:rPr>
          <w:rFonts w:asciiTheme="minorHAnsi" w:hAnsiTheme="minorHAnsi" w:cstheme="minorHAnsi"/>
          <w:i/>
          <w:iCs/>
          <w:noProof/>
          <w:sz w:val="22"/>
          <w:szCs w:val="22"/>
        </w:rPr>
        <w:t>Journal of Personality and Social Psychology, 90</w:t>
      </w:r>
      <w:r w:rsidRPr="00145EF0">
        <w:rPr>
          <w:rFonts w:asciiTheme="minorHAnsi" w:hAnsiTheme="minorHAnsi" w:cstheme="minorHAnsi"/>
          <w:noProof/>
          <w:sz w:val="22"/>
          <w:szCs w:val="22"/>
        </w:rPr>
        <w:t xml:space="preserve">(5), 751–783. </w:t>
      </w:r>
    </w:p>
    <w:p w14:paraId="071AD5CE" w14:textId="5FE89EFB" w:rsidR="00291443" w:rsidRPr="00291443" w:rsidRDefault="00291443" w:rsidP="00291443">
      <w:pPr>
        <w:pStyle w:val="EndNoteBibliography"/>
        <w:ind w:left="720" w:hanging="720"/>
        <w:rPr>
          <w:rFonts w:asciiTheme="minorHAnsi" w:hAnsiTheme="minorHAnsi" w:cstheme="minorHAnsi"/>
          <w:noProof/>
          <w:sz w:val="22"/>
          <w:szCs w:val="22"/>
        </w:rPr>
      </w:pPr>
      <w:r w:rsidRPr="00291443">
        <w:rPr>
          <w:rFonts w:asciiTheme="minorHAnsi" w:hAnsiTheme="minorHAnsi" w:cstheme="minorHAnsi"/>
          <w:noProof/>
          <w:sz w:val="22"/>
          <w:szCs w:val="22"/>
        </w:rPr>
        <w:t>Pomerantz, E. M., Moorman, E. A., &amp; Litwack, S. D. (2007). The how, whom, and why of parents’ involvement in children’s academic lives: More is not always better. </w:t>
      </w:r>
      <w:r w:rsidRPr="00FA00A5">
        <w:rPr>
          <w:rFonts w:asciiTheme="minorHAnsi" w:hAnsiTheme="minorHAnsi" w:cstheme="minorHAnsi"/>
          <w:i/>
          <w:iCs/>
          <w:noProof/>
          <w:sz w:val="22"/>
          <w:szCs w:val="22"/>
        </w:rPr>
        <w:t>Review of educational research, 77</w:t>
      </w:r>
      <w:r w:rsidRPr="00291443">
        <w:rPr>
          <w:rFonts w:asciiTheme="minorHAnsi" w:hAnsiTheme="minorHAnsi" w:cstheme="minorHAnsi"/>
          <w:noProof/>
          <w:sz w:val="22"/>
          <w:szCs w:val="22"/>
        </w:rPr>
        <w:t xml:space="preserve">(3), 373-410. </w:t>
      </w:r>
    </w:p>
    <w:p w14:paraId="0C3A8386" w14:textId="7E3B67F1" w:rsidR="00074A78" w:rsidRDefault="005F35CC"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Press, F., Wong, S., Woods, A., Miller, M., Rivalland, C., &amp; Sumsion, J. (2015) Independent Evaluation of the National Community Hubs Program. Wagga Wagga, NSW: Research Institute for Professional Practice, Learning and Education (RIPPLE).</w:t>
      </w:r>
      <w:r w:rsidR="00581FDF">
        <w:rPr>
          <w:rFonts w:asciiTheme="minorHAnsi" w:hAnsiTheme="minorHAnsi" w:cstheme="minorHAnsi"/>
          <w:noProof/>
          <w:sz w:val="22"/>
          <w:szCs w:val="22"/>
        </w:rPr>
        <w:t xml:space="preserve"> Retrived online: </w:t>
      </w:r>
      <w:hyperlink r:id="rId26" w:history="1">
        <w:r w:rsidR="00581FDF" w:rsidRPr="002F4F51">
          <w:rPr>
            <w:rStyle w:val="Hyperlink"/>
            <w:rFonts w:asciiTheme="minorHAnsi" w:hAnsiTheme="minorHAnsi" w:cstheme="minorHAnsi"/>
            <w:noProof/>
            <w:sz w:val="22"/>
            <w:szCs w:val="22"/>
          </w:rPr>
          <w:t>https://researchers.mq.edu.au/en/publications/independent-evaluation-of-the-national-community-hubs-program</w:t>
        </w:r>
      </w:hyperlink>
    </w:p>
    <w:p w14:paraId="25116A14" w14:textId="1F118943" w:rsidR="0045645C" w:rsidRDefault="0045645C" w:rsidP="00664C91">
      <w:pPr>
        <w:pStyle w:val="EndNoteBibliography"/>
        <w:ind w:left="720" w:hanging="720"/>
        <w:rPr>
          <w:rFonts w:asciiTheme="minorHAnsi" w:hAnsiTheme="minorHAnsi" w:cstheme="minorHAnsi"/>
          <w:noProof/>
          <w:sz w:val="22"/>
          <w:szCs w:val="22"/>
        </w:rPr>
      </w:pPr>
      <w:r w:rsidRPr="00664C91">
        <w:rPr>
          <w:rFonts w:asciiTheme="minorHAnsi" w:hAnsiTheme="minorHAnsi" w:cstheme="minorHAnsi"/>
          <w:noProof/>
          <w:sz w:val="22"/>
          <w:szCs w:val="22"/>
        </w:rPr>
        <w:t>Redding, S., Langdon, J., Meyer, J., &amp; Sheley, P. (2004) The Effects of Comprehensive Parent Engagement on Student Learning Outcomes. Presented at the American Educational Research Association convention, San Diego, CA.</w:t>
      </w:r>
      <w:r w:rsidR="00F61901">
        <w:rPr>
          <w:rFonts w:asciiTheme="minorHAnsi" w:hAnsiTheme="minorHAnsi" w:cstheme="minorHAnsi"/>
          <w:noProof/>
          <w:sz w:val="22"/>
          <w:szCs w:val="22"/>
        </w:rPr>
        <w:t xml:space="preserve"> Retrived online: </w:t>
      </w:r>
      <w:hyperlink r:id="rId27" w:history="1">
        <w:r w:rsidR="00F61901" w:rsidRPr="002F4F51">
          <w:rPr>
            <w:rStyle w:val="Hyperlink"/>
            <w:rFonts w:asciiTheme="minorHAnsi" w:hAnsiTheme="minorHAnsi" w:cstheme="minorHAnsi"/>
            <w:noProof/>
            <w:sz w:val="22"/>
            <w:szCs w:val="22"/>
          </w:rPr>
          <w:t>https://citeseerx.ist.psu.edu/viewdoc/download?doi=10.1.1.502.8515&amp;rep=rep1&amp;type=pdf</w:t>
        </w:r>
      </w:hyperlink>
    </w:p>
    <w:p w14:paraId="69AEA2B1" w14:textId="5CFE5BB7" w:rsidR="00537A24" w:rsidRPr="00F61BD3" w:rsidRDefault="00537A24"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Rennie, L., Wallace, J., &amp; Venville, G. (2018). Natural disasters as unique socioscientific events: Curricular responses to the New Zealand earthquakes. In D. Corrigan (Ed.), </w:t>
      </w:r>
      <w:r w:rsidRPr="00664C91">
        <w:rPr>
          <w:rFonts w:asciiTheme="minorHAnsi" w:hAnsiTheme="minorHAnsi" w:cstheme="minorHAnsi"/>
          <w:noProof/>
          <w:sz w:val="22"/>
          <w:szCs w:val="22"/>
        </w:rPr>
        <w:t>Navigating the Changing Landscape of Formal and Informal Science Learning Opportunities</w:t>
      </w:r>
      <w:r w:rsidRPr="00F61BD3">
        <w:rPr>
          <w:rFonts w:asciiTheme="minorHAnsi" w:hAnsiTheme="minorHAnsi" w:cstheme="minorHAnsi"/>
          <w:noProof/>
          <w:sz w:val="22"/>
          <w:szCs w:val="22"/>
        </w:rPr>
        <w:t xml:space="preserve"> (pp. 105-125). Cham: Springer.</w:t>
      </w:r>
    </w:p>
    <w:p w14:paraId="17626F19" w14:textId="1C595061" w:rsidR="00C7415D" w:rsidRPr="00F61BD3" w:rsidRDefault="0059502D"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Robinson, V., Bendikson, L., McNaughton, S., Wilson, A., &amp; Zhu, T. (2017). Joining the dots: The challenge of creating coherent school improvement. </w:t>
      </w:r>
      <w:r w:rsidRPr="00FA00A5">
        <w:rPr>
          <w:rFonts w:asciiTheme="minorHAnsi" w:hAnsiTheme="minorHAnsi" w:cstheme="minorHAnsi"/>
          <w:i/>
          <w:iCs/>
          <w:noProof/>
          <w:sz w:val="22"/>
          <w:szCs w:val="22"/>
        </w:rPr>
        <w:t>Teachers College Record, 119</w:t>
      </w:r>
      <w:r w:rsidRPr="00F61BD3">
        <w:rPr>
          <w:rFonts w:asciiTheme="minorHAnsi" w:hAnsiTheme="minorHAnsi" w:cstheme="minorHAnsi"/>
          <w:noProof/>
          <w:sz w:val="22"/>
          <w:szCs w:val="22"/>
        </w:rPr>
        <w:t xml:space="preserve">(8), 1-44. </w:t>
      </w:r>
    </w:p>
    <w:p w14:paraId="0F601A54" w14:textId="4073A26C" w:rsidR="000160EB" w:rsidRPr="00F61BD3" w:rsidRDefault="000160EB"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Sahlin, S. (2019). Collaboration with private companies as a vehicle for school improvement. </w:t>
      </w:r>
      <w:r w:rsidRPr="00FA00A5">
        <w:rPr>
          <w:rFonts w:asciiTheme="minorHAnsi" w:hAnsiTheme="minorHAnsi" w:cstheme="minorHAnsi"/>
          <w:i/>
          <w:iCs/>
          <w:noProof/>
          <w:sz w:val="22"/>
          <w:szCs w:val="22"/>
        </w:rPr>
        <w:t>Journal of Professional Capital and Community, 4</w:t>
      </w:r>
      <w:r w:rsidRPr="00F61BD3">
        <w:rPr>
          <w:rFonts w:asciiTheme="minorHAnsi" w:hAnsiTheme="minorHAnsi" w:cstheme="minorHAnsi"/>
          <w:noProof/>
          <w:sz w:val="22"/>
          <w:szCs w:val="22"/>
        </w:rPr>
        <w:t xml:space="preserve">(1), 15-35. </w:t>
      </w:r>
    </w:p>
    <w:p w14:paraId="364CC8B5" w14:textId="1C7594A5" w:rsidR="00C7415D" w:rsidRPr="00F61BD3" w:rsidRDefault="00C7415D"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Sahlin, S., &amp; Styf, M. (2019). Internationalization as an internal capacity builder for school improvement: A case study</w:t>
      </w:r>
      <w:r w:rsidRPr="00FA00A5">
        <w:rPr>
          <w:rFonts w:asciiTheme="minorHAnsi" w:hAnsiTheme="minorHAnsi" w:cstheme="minorHAnsi"/>
          <w:i/>
          <w:iCs/>
          <w:noProof/>
          <w:sz w:val="22"/>
          <w:szCs w:val="22"/>
        </w:rPr>
        <w:t>. International Journal of Leadership in Education,</w:t>
      </w:r>
      <w:r w:rsidR="006711F3" w:rsidRPr="00FA00A5">
        <w:rPr>
          <w:rFonts w:asciiTheme="minorHAnsi" w:hAnsiTheme="minorHAnsi" w:cstheme="minorHAnsi"/>
          <w:i/>
          <w:iCs/>
          <w:noProof/>
          <w:sz w:val="22"/>
          <w:szCs w:val="22"/>
        </w:rPr>
        <w:t xml:space="preserve"> 22</w:t>
      </w:r>
      <w:r w:rsidR="006711F3">
        <w:rPr>
          <w:rFonts w:asciiTheme="minorHAnsi" w:hAnsiTheme="minorHAnsi" w:cstheme="minorHAnsi"/>
          <w:noProof/>
          <w:sz w:val="22"/>
          <w:szCs w:val="22"/>
        </w:rPr>
        <w:t>(1)</w:t>
      </w:r>
      <w:r w:rsidRPr="00F61BD3">
        <w:rPr>
          <w:rFonts w:asciiTheme="minorHAnsi" w:hAnsiTheme="minorHAnsi" w:cstheme="minorHAnsi"/>
          <w:noProof/>
          <w:sz w:val="22"/>
          <w:szCs w:val="22"/>
        </w:rPr>
        <w:t xml:space="preserve"> 1-2</w:t>
      </w:r>
      <w:r w:rsidR="00F728D2">
        <w:rPr>
          <w:rFonts w:asciiTheme="minorHAnsi" w:hAnsiTheme="minorHAnsi" w:cstheme="minorHAnsi"/>
          <w:noProof/>
          <w:sz w:val="22"/>
          <w:szCs w:val="22"/>
        </w:rPr>
        <w:t>3</w:t>
      </w:r>
      <w:r w:rsidRPr="00F61BD3">
        <w:rPr>
          <w:rFonts w:asciiTheme="minorHAnsi" w:hAnsiTheme="minorHAnsi" w:cstheme="minorHAnsi"/>
          <w:noProof/>
          <w:sz w:val="22"/>
          <w:szCs w:val="22"/>
        </w:rPr>
        <w:t xml:space="preserve">. </w:t>
      </w:r>
    </w:p>
    <w:p w14:paraId="5EE3C389" w14:textId="65D43ADB" w:rsidR="007C7D1D" w:rsidRDefault="007C7D1D"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lastRenderedPageBreak/>
        <w:t xml:space="preserve">Salinas, K., Epstein, J. &amp; Sanders, M., (2019). Measure of school, family and community partnerships. </w:t>
      </w:r>
      <w:r w:rsidR="006711F3">
        <w:rPr>
          <w:rFonts w:asciiTheme="minorHAnsi" w:hAnsiTheme="minorHAnsi" w:cstheme="minorHAnsi"/>
          <w:noProof/>
          <w:sz w:val="22"/>
          <w:szCs w:val="22"/>
        </w:rPr>
        <w:t>Retrived online</w:t>
      </w:r>
      <w:r w:rsidR="008937A6">
        <w:rPr>
          <w:rFonts w:asciiTheme="minorHAnsi" w:hAnsiTheme="minorHAnsi" w:cstheme="minorHAnsi"/>
          <w:noProof/>
          <w:sz w:val="22"/>
          <w:szCs w:val="22"/>
        </w:rPr>
        <w:t xml:space="preserve">: </w:t>
      </w:r>
      <w:hyperlink r:id="rId28" w:history="1">
        <w:r w:rsidR="008937A6" w:rsidRPr="002F4F51">
          <w:rPr>
            <w:rStyle w:val="Hyperlink"/>
            <w:rFonts w:asciiTheme="minorHAnsi" w:hAnsiTheme="minorHAnsi" w:cstheme="minorHAnsi"/>
            <w:noProof/>
            <w:sz w:val="22"/>
            <w:szCs w:val="22"/>
          </w:rPr>
          <w:t>https://resources.corwin.com/sites/default/files/9_3-measure_of_partnerships.pdf</w:t>
        </w:r>
      </w:hyperlink>
    </w:p>
    <w:p w14:paraId="35B224E9" w14:textId="78AE443C" w:rsidR="00F40D2C" w:rsidRPr="00F61BD3" w:rsidRDefault="00F40D2C"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Sanders, M. (2016). Leadership, partnerships, and organizational development: Exploring components of effectiveness in three full-service community schools. </w:t>
      </w:r>
      <w:r w:rsidRPr="00FA00A5">
        <w:rPr>
          <w:rFonts w:asciiTheme="minorHAnsi" w:hAnsiTheme="minorHAnsi" w:cstheme="minorHAnsi"/>
          <w:i/>
          <w:iCs/>
          <w:noProof/>
          <w:sz w:val="22"/>
          <w:szCs w:val="22"/>
        </w:rPr>
        <w:t>School Effectiveness and School Improvement, 27</w:t>
      </w:r>
      <w:r w:rsidRPr="00F61BD3">
        <w:rPr>
          <w:rFonts w:asciiTheme="minorHAnsi" w:hAnsiTheme="minorHAnsi" w:cstheme="minorHAnsi"/>
          <w:noProof/>
          <w:sz w:val="22"/>
          <w:szCs w:val="22"/>
        </w:rPr>
        <w:t xml:space="preserve">(2), 157-177. </w:t>
      </w:r>
    </w:p>
    <w:p w14:paraId="1482FC49" w14:textId="010E57DD" w:rsidR="00E713D7" w:rsidRDefault="00506DC1"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Sanjeevan, S., McDonald, M., &amp; Moore, T. (2012) Primary schools as community hubs: A review of the literature. Parkville, Victoria: The Royal Children’s Hospital Centre for Community Child Health. Retrieved</w:t>
      </w:r>
      <w:r w:rsidR="00E713D7">
        <w:rPr>
          <w:rFonts w:asciiTheme="minorHAnsi" w:hAnsiTheme="minorHAnsi" w:cstheme="minorHAnsi"/>
          <w:noProof/>
          <w:sz w:val="22"/>
          <w:szCs w:val="22"/>
        </w:rPr>
        <w:t xml:space="preserve"> online: </w:t>
      </w:r>
      <w:hyperlink r:id="rId29" w:history="1">
        <w:r w:rsidR="00E713D7" w:rsidRPr="002F4F51">
          <w:rPr>
            <w:rStyle w:val="Hyperlink"/>
            <w:rFonts w:asciiTheme="minorHAnsi" w:hAnsiTheme="minorHAnsi" w:cstheme="minorHAnsi"/>
            <w:noProof/>
            <w:sz w:val="22"/>
            <w:szCs w:val="22"/>
          </w:rPr>
          <w:t>https://www.rch.org.au/uploadedFiles/Main/Content/ccch/Schools_as_Community_Hubs_Lit_Review.pdf</w:t>
        </w:r>
      </w:hyperlink>
    </w:p>
    <w:p w14:paraId="0715753A" w14:textId="26688B73" w:rsidR="00CA114D" w:rsidRPr="00664C91" w:rsidRDefault="00CA114D" w:rsidP="00664C91">
      <w:pPr>
        <w:pStyle w:val="EndNoteBibliography"/>
        <w:ind w:left="720" w:hanging="720"/>
        <w:rPr>
          <w:rFonts w:asciiTheme="minorHAnsi" w:hAnsiTheme="minorHAnsi" w:cstheme="minorHAnsi"/>
          <w:noProof/>
          <w:sz w:val="22"/>
          <w:szCs w:val="22"/>
        </w:rPr>
      </w:pPr>
      <w:r w:rsidRPr="00664C91">
        <w:rPr>
          <w:rFonts w:asciiTheme="minorHAnsi" w:hAnsiTheme="minorHAnsi" w:cstheme="minorHAnsi"/>
          <w:noProof/>
          <w:sz w:val="22"/>
          <w:szCs w:val="22"/>
        </w:rPr>
        <w:t>Sheldon, S. B. (2007) Improving Student Attendance With School, Family, and Community Partnerships</w:t>
      </w:r>
      <w:r w:rsidR="00E713D7">
        <w:rPr>
          <w:rFonts w:asciiTheme="minorHAnsi" w:hAnsiTheme="minorHAnsi" w:cstheme="minorHAnsi"/>
          <w:noProof/>
          <w:sz w:val="22"/>
          <w:szCs w:val="22"/>
        </w:rPr>
        <w:t>.</w:t>
      </w:r>
      <w:r w:rsidRPr="00664C91">
        <w:rPr>
          <w:rFonts w:asciiTheme="minorHAnsi" w:hAnsiTheme="minorHAnsi" w:cstheme="minorHAnsi"/>
          <w:noProof/>
          <w:sz w:val="22"/>
          <w:szCs w:val="22"/>
        </w:rPr>
        <w:t xml:space="preserve"> </w:t>
      </w:r>
      <w:r w:rsidRPr="00FA00A5">
        <w:rPr>
          <w:rFonts w:asciiTheme="minorHAnsi" w:hAnsiTheme="minorHAnsi" w:cstheme="minorHAnsi"/>
          <w:i/>
          <w:iCs/>
          <w:noProof/>
          <w:sz w:val="22"/>
          <w:szCs w:val="22"/>
        </w:rPr>
        <w:t>The Journal of Educational Research, 100</w:t>
      </w:r>
      <w:r w:rsidRPr="00664C91">
        <w:rPr>
          <w:rFonts w:asciiTheme="minorHAnsi" w:hAnsiTheme="minorHAnsi" w:cstheme="minorHAnsi"/>
          <w:noProof/>
          <w:sz w:val="22"/>
          <w:szCs w:val="22"/>
        </w:rPr>
        <w:t xml:space="preserve">(5), 267–275. </w:t>
      </w:r>
    </w:p>
    <w:p w14:paraId="3EBDD917" w14:textId="204A017E" w:rsidR="00D03364" w:rsidRDefault="00D03364"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Sheridan, S., Smith, T. &amp; Moorman, E., (2019). A Meta-Analysis of Family-School Interventions and Children’s Social-Emotional Functioning: Moderators and Components of Efficacy. Review of Educational Research, 89(2), 296-332.</w:t>
      </w:r>
    </w:p>
    <w:p w14:paraId="222020FC" w14:textId="2C0CE88D" w:rsidR="00725DC5" w:rsidRDefault="001F0046">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Tarpey, C., &amp; Poultney, V. (2015). Maximising leadership capacity and school improvement through re-alignment of children’s services. </w:t>
      </w:r>
      <w:r w:rsidRPr="00FA00A5">
        <w:rPr>
          <w:rFonts w:cstheme="minorHAnsi"/>
          <w:i/>
          <w:iCs/>
          <w:noProof/>
          <w:szCs w:val="22"/>
        </w:rPr>
        <w:t>Management in Education, 29</w:t>
      </w:r>
      <w:r w:rsidRPr="00F61BD3">
        <w:rPr>
          <w:rFonts w:asciiTheme="minorHAnsi" w:hAnsiTheme="minorHAnsi" w:cstheme="minorHAnsi"/>
          <w:noProof/>
          <w:sz w:val="22"/>
          <w:szCs w:val="22"/>
        </w:rPr>
        <w:t xml:space="preserve">(2), 63-68. </w:t>
      </w:r>
    </w:p>
    <w:p w14:paraId="1318C129" w14:textId="06422C83" w:rsidR="00DA6100" w:rsidRDefault="00DA6100" w:rsidP="00664C91">
      <w:pPr>
        <w:pStyle w:val="EndNoteBibliography"/>
        <w:ind w:left="720" w:hanging="720"/>
        <w:rPr>
          <w:rFonts w:asciiTheme="minorHAnsi" w:hAnsiTheme="minorHAnsi" w:cstheme="minorHAnsi"/>
          <w:noProof/>
          <w:sz w:val="22"/>
          <w:szCs w:val="22"/>
        </w:rPr>
      </w:pPr>
      <w:r w:rsidRPr="00F61BD3">
        <w:rPr>
          <w:rFonts w:asciiTheme="minorHAnsi" w:hAnsiTheme="minorHAnsi" w:cstheme="minorHAnsi"/>
          <w:noProof/>
          <w:sz w:val="22"/>
          <w:szCs w:val="22"/>
        </w:rPr>
        <w:t xml:space="preserve">Wang, L. H., Gurr, D., &amp; Drysdale, L. (2016). Successful school leadership: Case studies of four Singapore primary schools. </w:t>
      </w:r>
      <w:r w:rsidRPr="00FA00A5">
        <w:rPr>
          <w:rFonts w:asciiTheme="minorHAnsi" w:hAnsiTheme="minorHAnsi" w:cstheme="minorHAnsi"/>
          <w:i/>
          <w:iCs/>
          <w:noProof/>
          <w:sz w:val="22"/>
          <w:szCs w:val="22"/>
        </w:rPr>
        <w:t>Journal of Educational Administration, 54</w:t>
      </w:r>
      <w:r w:rsidRPr="00F61BD3">
        <w:rPr>
          <w:rFonts w:asciiTheme="minorHAnsi" w:hAnsiTheme="minorHAnsi" w:cstheme="minorHAnsi"/>
          <w:noProof/>
          <w:sz w:val="22"/>
          <w:szCs w:val="22"/>
        </w:rPr>
        <w:t xml:space="preserve">(3), 270-287. </w:t>
      </w:r>
    </w:p>
    <w:p w14:paraId="6CBD1588" w14:textId="33B2556A" w:rsidR="00800F80" w:rsidRDefault="00C42CBF" w:rsidP="008576C6">
      <w:pPr>
        <w:pStyle w:val="EndNoteBibliography"/>
        <w:ind w:left="720" w:hanging="720"/>
        <w:rPr>
          <w:rFonts w:asciiTheme="minorHAnsi" w:hAnsiTheme="minorHAnsi" w:cstheme="minorHAnsi"/>
          <w:noProof/>
          <w:sz w:val="22"/>
          <w:szCs w:val="22"/>
          <w:lang w:val="en-GB"/>
        </w:rPr>
      </w:pPr>
      <w:r w:rsidRPr="00C42CBF">
        <w:rPr>
          <w:rFonts w:asciiTheme="minorHAnsi" w:hAnsiTheme="minorHAnsi" w:cstheme="minorHAnsi"/>
          <w:noProof/>
          <w:sz w:val="22"/>
          <w:szCs w:val="22"/>
          <w:lang w:val="en-GB"/>
        </w:rPr>
        <w:t xml:space="preserve">Weiss, H. &amp; Lopez, M.E. (2011). Making data matter in family engagement. In Redding, S., Murphy, M., &amp; Sheley, P. (Eds.) Handbook on family and community engagement 21-28. Lincoln, IL: Academic Development Institute. Retrieved </w:t>
      </w:r>
      <w:r w:rsidR="00800F80">
        <w:rPr>
          <w:rFonts w:asciiTheme="minorHAnsi" w:hAnsiTheme="minorHAnsi" w:cstheme="minorHAnsi"/>
          <w:noProof/>
          <w:sz w:val="22"/>
          <w:szCs w:val="22"/>
          <w:lang w:val="en-GB"/>
        </w:rPr>
        <w:t xml:space="preserve">online: </w:t>
      </w:r>
      <w:hyperlink r:id="rId30" w:history="1">
        <w:r w:rsidR="00800F80" w:rsidRPr="002F4F51">
          <w:rPr>
            <w:rStyle w:val="Hyperlink"/>
            <w:rFonts w:asciiTheme="minorHAnsi" w:hAnsiTheme="minorHAnsi" w:cstheme="minorHAnsi"/>
            <w:noProof/>
            <w:sz w:val="22"/>
            <w:szCs w:val="22"/>
            <w:lang w:val="en-GB"/>
          </w:rPr>
          <w:t>http://www.schoolcommunitynetwork.org/downloads/FACEHandbook.pdf</w:t>
        </w:r>
      </w:hyperlink>
    </w:p>
    <w:p w14:paraId="0FF59530" w14:textId="56971FFA" w:rsidR="003A356B" w:rsidRPr="00145EF0" w:rsidRDefault="003A356B"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White, F. A., &amp; Abu-Rayya, H. M. (2012) A dual identity-electronic contact (DIEC) experiment promoting short- and long-term intergroup harmony</w:t>
      </w:r>
      <w:r w:rsidR="00800F80">
        <w:rPr>
          <w:rFonts w:asciiTheme="minorHAnsi" w:hAnsiTheme="minorHAnsi" w:cstheme="minorHAnsi"/>
          <w:noProof/>
          <w:sz w:val="22"/>
          <w:szCs w:val="22"/>
        </w:rPr>
        <w:t>.</w:t>
      </w:r>
      <w:r w:rsidRPr="00145EF0">
        <w:rPr>
          <w:rFonts w:asciiTheme="minorHAnsi" w:hAnsiTheme="minorHAnsi" w:cstheme="minorHAnsi"/>
          <w:noProof/>
          <w:sz w:val="22"/>
          <w:szCs w:val="22"/>
        </w:rPr>
        <w:t xml:space="preserve"> </w:t>
      </w:r>
      <w:r w:rsidRPr="00FA00A5">
        <w:rPr>
          <w:rFonts w:asciiTheme="minorHAnsi" w:hAnsiTheme="minorHAnsi" w:cstheme="minorHAnsi"/>
          <w:i/>
          <w:iCs/>
          <w:noProof/>
          <w:sz w:val="22"/>
          <w:szCs w:val="22"/>
        </w:rPr>
        <w:t>Journal of Experimental Social Psychology, 48</w:t>
      </w:r>
      <w:r w:rsidRPr="00145EF0">
        <w:rPr>
          <w:rFonts w:asciiTheme="minorHAnsi" w:hAnsiTheme="minorHAnsi" w:cstheme="minorHAnsi"/>
          <w:noProof/>
          <w:sz w:val="22"/>
          <w:szCs w:val="22"/>
        </w:rPr>
        <w:t xml:space="preserve">(3), 597–608. </w:t>
      </w:r>
    </w:p>
    <w:p w14:paraId="25DC1B72" w14:textId="7EB2A650" w:rsidR="00FD0B7A" w:rsidRPr="00145EF0" w:rsidRDefault="00FD0B7A" w:rsidP="00145EF0">
      <w:pPr>
        <w:pStyle w:val="EndNoteBibliography"/>
        <w:ind w:left="720" w:hanging="720"/>
        <w:rPr>
          <w:rFonts w:asciiTheme="minorHAnsi" w:hAnsiTheme="minorHAnsi" w:cstheme="minorHAnsi"/>
          <w:noProof/>
          <w:sz w:val="22"/>
          <w:szCs w:val="22"/>
        </w:rPr>
      </w:pPr>
      <w:r w:rsidRPr="00145EF0">
        <w:rPr>
          <w:rFonts w:asciiTheme="minorHAnsi" w:hAnsiTheme="minorHAnsi" w:cstheme="minorHAnsi"/>
          <w:noProof/>
          <w:sz w:val="22"/>
          <w:szCs w:val="22"/>
        </w:rPr>
        <w:t>White, F. A., Wootton, B., Man, J., Diaz, H., Rasiah, J., Swift, E., &amp; Wilkinson, A. (2009) Adolescent racial prejudice development: The role of friendship quality and interracial contact</w:t>
      </w:r>
      <w:r w:rsidR="00800F80">
        <w:rPr>
          <w:rFonts w:asciiTheme="minorHAnsi" w:hAnsiTheme="minorHAnsi" w:cstheme="minorHAnsi"/>
          <w:noProof/>
          <w:sz w:val="22"/>
          <w:szCs w:val="22"/>
        </w:rPr>
        <w:t>.</w:t>
      </w:r>
      <w:r w:rsidRPr="00145EF0">
        <w:rPr>
          <w:rFonts w:asciiTheme="minorHAnsi" w:hAnsiTheme="minorHAnsi" w:cstheme="minorHAnsi"/>
          <w:noProof/>
          <w:sz w:val="22"/>
          <w:szCs w:val="22"/>
        </w:rPr>
        <w:t xml:space="preserve"> </w:t>
      </w:r>
      <w:r w:rsidRPr="00FA00A5">
        <w:rPr>
          <w:rFonts w:asciiTheme="minorHAnsi" w:hAnsiTheme="minorHAnsi" w:cstheme="minorHAnsi"/>
          <w:i/>
          <w:iCs/>
          <w:noProof/>
          <w:sz w:val="22"/>
          <w:szCs w:val="22"/>
        </w:rPr>
        <w:t>International Journal of Intercultural Relations, 33</w:t>
      </w:r>
      <w:r w:rsidRPr="00145EF0">
        <w:rPr>
          <w:rFonts w:asciiTheme="minorHAnsi" w:hAnsiTheme="minorHAnsi" w:cstheme="minorHAnsi"/>
          <w:noProof/>
          <w:sz w:val="22"/>
          <w:szCs w:val="22"/>
        </w:rPr>
        <w:t xml:space="preserve">(6), 524–534. </w:t>
      </w:r>
    </w:p>
    <w:p w14:paraId="3638F1AB" w14:textId="0AF61FA0" w:rsidR="008A3C22" w:rsidRDefault="00F2246D" w:rsidP="00664C91">
      <w:pPr>
        <w:pStyle w:val="EndNoteBibliography"/>
        <w:ind w:left="720" w:hanging="720"/>
        <w:rPr>
          <w:rFonts w:asciiTheme="minorHAnsi" w:hAnsiTheme="minorHAnsi" w:cstheme="minorHAnsi"/>
          <w:noProof/>
          <w:sz w:val="22"/>
          <w:szCs w:val="22"/>
        </w:rPr>
      </w:pPr>
      <w:r>
        <w:rPr>
          <w:rFonts w:asciiTheme="minorHAnsi" w:hAnsiTheme="minorHAnsi" w:cstheme="minorHAnsi"/>
          <w:noProof/>
          <w:sz w:val="22"/>
          <w:szCs w:val="22"/>
        </w:rPr>
        <w:t xml:space="preserve">Young, S., </w:t>
      </w:r>
      <w:r w:rsidR="001E0803">
        <w:rPr>
          <w:rFonts w:asciiTheme="minorHAnsi" w:hAnsiTheme="minorHAnsi" w:cstheme="minorHAnsi"/>
          <w:noProof/>
          <w:sz w:val="22"/>
          <w:szCs w:val="22"/>
        </w:rPr>
        <w:t>(</w:t>
      </w:r>
      <w:r>
        <w:rPr>
          <w:rFonts w:asciiTheme="minorHAnsi" w:hAnsiTheme="minorHAnsi" w:cstheme="minorHAnsi"/>
          <w:noProof/>
          <w:sz w:val="22"/>
          <w:szCs w:val="22"/>
        </w:rPr>
        <w:t>2006</w:t>
      </w:r>
      <w:r w:rsidR="001E0803">
        <w:rPr>
          <w:rFonts w:asciiTheme="minorHAnsi" w:hAnsiTheme="minorHAnsi" w:cstheme="minorHAnsi"/>
          <w:noProof/>
          <w:sz w:val="22"/>
          <w:szCs w:val="22"/>
        </w:rPr>
        <w:t>). What is the best modern evidence to guide building a community?</w:t>
      </w:r>
      <w:r w:rsidR="008A3C22" w:rsidRPr="008A3C22">
        <w:rPr>
          <w:rFonts w:asciiTheme="minorHAnsi" w:eastAsiaTheme="minorHAnsi" w:hAnsiTheme="minorHAnsi" w:cstheme="minorBidi"/>
          <w:sz w:val="22"/>
          <w:lang w:val="en-GB" w:eastAsia="en-US"/>
        </w:rPr>
        <w:t xml:space="preserve"> </w:t>
      </w:r>
      <w:r w:rsidR="008A3C22" w:rsidRPr="008A3C22">
        <w:rPr>
          <w:rFonts w:asciiTheme="minorHAnsi" w:hAnsiTheme="minorHAnsi" w:cstheme="minorHAnsi"/>
          <w:noProof/>
          <w:sz w:val="22"/>
          <w:szCs w:val="22"/>
          <w:lang w:val="en-GB"/>
        </w:rPr>
        <w:t>Australian Research Alliance for Children and Youth</w:t>
      </w:r>
      <w:r w:rsidR="008A3C22">
        <w:rPr>
          <w:rFonts w:asciiTheme="minorHAnsi" w:hAnsiTheme="minorHAnsi" w:cstheme="minorHAnsi"/>
          <w:noProof/>
          <w:sz w:val="22"/>
          <w:szCs w:val="22"/>
        </w:rPr>
        <w:t xml:space="preserve">. Retrived online: </w:t>
      </w:r>
      <w:hyperlink r:id="rId31" w:history="1">
        <w:r w:rsidR="008A3C22" w:rsidRPr="002F4F51">
          <w:rPr>
            <w:rStyle w:val="Hyperlink"/>
            <w:rFonts w:asciiTheme="minorHAnsi" w:hAnsiTheme="minorHAnsi" w:cstheme="minorHAnsi"/>
            <w:noProof/>
            <w:sz w:val="22"/>
            <w:szCs w:val="22"/>
          </w:rPr>
          <w:t>https://www.aracy.org.au/publications-resources/command/download_file/id/167/filename/What_is_the_best_modern_evidence_to_guide_building_a_community.pdf</w:t>
        </w:r>
      </w:hyperlink>
    </w:p>
    <w:p w14:paraId="575E3742" w14:textId="4FE8EF80" w:rsidR="003A356B" w:rsidRPr="00F61BD3" w:rsidRDefault="008A3C22" w:rsidP="00664C91">
      <w:pPr>
        <w:pStyle w:val="EndNoteBibliography"/>
        <w:ind w:left="720" w:hanging="720"/>
        <w:rPr>
          <w:rFonts w:asciiTheme="minorHAnsi" w:hAnsiTheme="minorHAnsi" w:cstheme="minorHAnsi"/>
          <w:noProof/>
          <w:sz w:val="22"/>
          <w:szCs w:val="22"/>
        </w:rPr>
      </w:pPr>
      <w:r>
        <w:rPr>
          <w:rFonts w:asciiTheme="minorHAnsi" w:hAnsiTheme="minorHAnsi" w:cstheme="minorHAnsi"/>
          <w:noProof/>
          <w:sz w:val="22"/>
          <w:szCs w:val="22"/>
        </w:rPr>
        <w:t xml:space="preserve"> </w:t>
      </w:r>
    </w:p>
    <w:p w14:paraId="03208922" w14:textId="77777777" w:rsidR="0098278C" w:rsidRPr="00F61BD3" w:rsidRDefault="0098278C" w:rsidP="00F61BD3">
      <w:pPr>
        <w:autoSpaceDE w:val="0"/>
        <w:autoSpaceDN w:val="0"/>
        <w:adjustRightInd w:val="0"/>
        <w:rPr>
          <w:rFonts w:cstheme="minorHAnsi"/>
          <w:color w:val="000000"/>
          <w:szCs w:val="22"/>
          <w:lang w:val="en-US"/>
        </w:rPr>
      </w:pPr>
    </w:p>
    <w:p w14:paraId="03A40B79" w14:textId="45E2B474" w:rsidR="002C2D0A" w:rsidRPr="00F61BD3" w:rsidRDefault="002C2D0A" w:rsidP="008576C6">
      <w:pPr>
        <w:pStyle w:val="EndNoteBibliography"/>
        <w:ind w:left="720" w:hanging="720"/>
        <w:rPr>
          <w:rFonts w:cstheme="minorHAnsi"/>
          <w:szCs w:val="22"/>
        </w:rPr>
      </w:pPr>
    </w:p>
    <w:sectPr w:rsidR="002C2D0A" w:rsidRPr="00F61BD3" w:rsidSect="00985DC7">
      <w:headerReference w:type="even" r:id="rId32"/>
      <w:headerReference w:type="default" r:id="rId33"/>
      <w:footerReference w:type="even" r:id="rId34"/>
      <w:footerReference w:type="default" r:id="rId35"/>
      <w:headerReference w:type="first" r:id="rId36"/>
      <w:footerReference w:type="first" r:id="rId37"/>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B272" w14:textId="77777777" w:rsidR="00D16609" w:rsidRDefault="00D16609" w:rsidP="003967DD">
      <w:pPr>
        <w:spacing w:after="0"/>
      </w:pPr>
      <w:r>
        <w:separator/>
      </w:r>
    </w:p>
  </w:endnote>
  <w:endnote w:type="continuationSeparator" w:id="0">
    <w:p w14:paraId="4BFBD8B4" w14:textId="77777777" w:rsidR="00D16609" w:rsidRDefault="00D16609" w:rsidP="003967DD">
      <w:pPr>
        <w:spacing w:after="0"/>
      </w:pPr>
      <w:r>
        <w:continuationSeparator/>
      </w:r>
    </w:p>
  </w:endnote>
  <w:endnote w:type="continuationNotice" w:id="1">
    <w:p w14:paraId="1FDA9634" w14:textId="77777777" w:rsidR="00D16609" w:rsidRDefault="00D166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676F1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676F1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64A7">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1BB6" w14:textId="77777777" w:rsidR="006E2E76" w:rsidRDefault="006E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45DC" w14:textId="77777777" w:rsidR="00D16609" w:rsidRDefault="00D16609" w:rsidP="003967DD">
      <w:pPr>
        <w:spacing w:after="0"/>
      </w:pPr>
      <w:r>
        <w:separator/>
      </w:r>
    </w:p>
  </w:footnote>
  <w:footnote w:type="continuationSeparator" w:id="0">
    <w:p w14:paraId="27A8E856" w14:textId="77777777" w:rsidR="00D16609" w:rsidRDefault="00D16609" w:rsidP="003967DD">
      <w:pPr>
        <w:spacing w:after="0"/>
      </w:pPr>
      <w:r>
        <w:continuationSeparator/>
      </w:r>
    </w:p>
  </w:footnote>
  <w:footnote w:type="continuationNotice" w:id="1">
    <w:p w14:paraId="32E5393E" w14:textId="77777777" w:rsidR="00D16609" w:rsidRDefault="00D166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3A87" w14:textId="77777777" w:rsidR="006E2E76" w:rsidRDefault="006E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630820E" w:rsidR="003967DD" w:rsidRDefault="00985DC7">
    <w:pPr>
      <w:pStyle w:val="Header"/>
    </w:pPr>
    <w:r>
      <w:rPr>
        <w:noProof/>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DA4A" w14:textId="77777777" w:rsidR="006E2E76" w:rsidRDefault="006E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C35C4A8A"/>
    <w:lvl w:ilvl="0" w:tplc="7ED070D6">
      <w:start w:val="1"/>
      <w:numFmt w:val="decimal"/>
      <w:lvlText w:val="%1."/>
      <w:lvlJc w:val="left"/>
      <w:pPr>
        <w:tabs>
          <w:tab w:val="num" w:pos="1492"/>
        </w:tabs>
        <w:ind w:left="1492" w:hanging="360"/>
      </w:pPr>
    </w:lvl>
    <w:lvl w:ilvl="1" w:tplc="314EC862">
      <w:numFmt w:val="decimal"/>
      <w:lvlText w:val=""/>
      <w:lvlJc w:val="left"/>
    </w:lvl>
    <w:lvl w:ilvl="2" w:tplc="E974B2A4">
      <w:numFmt w:val="decimal"/>
      <w:lvlText w:val=""/>
      <w:lvlJc w:val="left"/>
    </w:lvl>
    <w:lvl w:ilvl="3" w:tplc="DDC21D3C">
      <w:numFmt w:val="decimal"/>
      <w:lvlText w:val=""/>
      <w:lvlJc w:val="left"/>
    </w:lvl>
    <w:lvl w:ilvl="4" w:tplc="0276DAE6">
      <w:numFmt w:val="decimal"/>
      <w:lvlText w:val=""/>
      <w:lvlJc w:val="left"/>
    </w:lvl>
    <w:lvl w:ilvl="5" w:tplc="52E813CC">
      <w:numFmt w:val="decimal"/>
      <w:lvlText w:val=""/>
      <w:lvlJc w:val="left"/>
    </w:lvl>
    <w:lvl w:ilvl="6" w:tplc="C188FE04">
      <w:numFmt w:val="decimal"/>
      <w:lvlText w:val=""/>
      <w:lvlJc w:val="left"/>
    </w:lvl>
    <w:lvl w:ilvl="7" w:tplc="923A4ACC">
      <w:numFmt w:val="decimal"/>
      <w:lvlText w:val=""/>
      <w:lvlJc w:val="left"/>
    </w:lvl>
    <w:lvl w:ilvl="8" w:tplc="F9DE4C02">
      <w:numFmt w:val="decimal"/>
      <w:lvlText w:val=""/>
      <w:lvlJc w:val="left"/>
    </w:lvl>
  </w:abstractNum>
  <w:abstractNum w:abstractNumId="2" w15:restartNumberingAfterBreak="0">
    <w:nsid w:val="FFFFFF7D"/>
    <w:multiLevelType w:val="multilevel"/>
    <w:tmpl w:val="13785984"/>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0B1FA2"/>
    <w:multiLevelType w:val="hybridMultilevel"/>
    <w:tmpl w:val="A8A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8892134"/>
    <w:multiLevelType w:val="hybridMultilevel"/>
    <w:tmpl w:val="13422AD0"/>
    <w:lvl w:ilvl="0" w:tplc="0C090001">
      <w:start w:val="1"/>
      <w:numFmt w:val="bullet"/>
      <w:lvlText w:val=""/>
      <w:lvlJc w:val="left"/>
      <w:pPr>
        <w:ind w:left="1125" w:hanging="360"/>
      </w:pPr>
      <w:rPr>
        <w:rFonts w:ascii="Symbol" w:hAnsi="Symbol" w:hint="default"/>
      </w:rPr>
    </w:lvl>
    <w:lvl w:ilvl="1" w:tplc="0C090003">
      <w:start w:val="1"/>
      <w:numFmt w:val="bullet"/>
      <w:lvlText w:val="o"/>
      <w:lvlJc w:val="left"/>
      <w:pPr>
        <w:ind w:left="1845" w:hanging="360"/>
      </w:pPr>
      <w:rPr>
        <w:rFonts w:ascii="Courier New" w:hAnsi="Courier New" w:cs="Courier New" w:hint="default"/>
      </w:rPr>
    </w:lvl>
    <w:lvl w:ilvl="2" w:tplc="0C090005">
      <w:start w:val="1"/>
      <w:numFmt w:val="bullet"/>
      <w:lvlText w:val=""/>
      <w:lvlJc w:val="left"/>
      <w:pPr>
        <w:ind w:left="2565" w:hanging="360"/>
      </w:pPr>
      <w:rPr>
        <w:rFonts w:ascii="Wingdings" w:hAnsi="Wingdings" w:hint="default"/>
      </w:rPr>
    </w:lvl>
    <w:lvl w:ilvl="3" w:tplc="0C090001">
      <w:start w:val="1"/>
      <w:numFmt w:val="bullet"/>
      <w:lvlText w:val=""/>
      <w:lvlJc w:val="left"/>
      <w:pPr>
        <w:ind w:left="3285" w:hanging="360"/>
      </w:pPr>
      <w:rPr>
        <w:rFonts w:ascii="Symbol" w:hAnsi="Symbol" w:hint="default"/>
      </w:rPr>
    </w:lvl>
    <w:lvl w:ilvl="4" w:tplc="0C090003">
      <w:start w:val="1"/>
      <w:numFmt w:val="bullet"/>
      <w:lvlText w:val="o"/>
      <w:lvlJc w:val="left"/>
      <w:pPr>
        <w:ind w:left="4005" w:hanging="360"/>
      </w:pPr>
      <w:rPr>
        <w:rFonts w:ascii="Courier New" w:hAnsi="Courier New" w:cs="Courier New" w:hint="default"/>
      </w:rPr>
    </w:lvl>
    <w:lvl w:ilvl="5" w:tplc="0C090005">
      <w:start w:val="1"/>
      <w:numFmt w:val="bullet"/>
      <w:lvlText w:val=""/>
      <w:lvlJc w:val="left"/>
      <w:pPr>
        <w:ind w:left="4725" w:hanging="360"/>
      </w:pPr>
      <w:rPr>
        <w:rFonts w:ascii="Wingdings" w:hAnsi="Wingdings" w:hint="default"/>
      </w:rPr>
    </w:lvl>
    <w:lvl w:ilvl="6" w:tplc="0C090001">
      <w:start w:val="1"/>
      <w:numFmt w:val="bullet"/>
      <w:lvlText w:val=""/>
      <w:lvlJc w:val="left"/>
      <w:pPr>
        <w:ind w:left="5445" w:hanging="360"/>
      </w:pPr>
      <w:rPr>
        <w:rFonts w:ascii="Symbol" w:hAnsi="Symbol" w:hint="default"/>
      </w:rPr>
    </w:lvl>
    <w:lvl w:ilvl="7" w:tplc="0C090003">
      <w:start w:val="1"/>
      <w:numFmt w:val="bullet"/>
      <w:lvlText w:val="o"/>
      <w:lvlJc w:val="left"/>
      <w:pPr>
        <w:ind w:left="6165" w:hanging="360"/>
      </w:pPr>
      <w:rPr>
        <w:rFonts w:ascii="Courier New" w:hAnsi="Courier New" w:cs="Courier New" w:hint="default"/>
      </w:rPr>
    </w:lvl>
    <w:lvl w:ilvl="8" w:tplc="0C090005">
      <w:start w:val="1"/>
      <w:numFmt w:val="bullet"/>
      <w:lvlText w:val=""/>
      <w:lvlJc w:val="left"/>
      <w:pPr>
        <w:ind w:left="6885" w:hanging="360"/>
      </w:pPr>
      <w:rPr>
        <w:rFonts w:ascii="Wingdings" w:hAnsi="Wingdings" w:hint="default"/>
      </w:rPr>
    </w:lvl>
  </w:abstractNum>
  <w:abstractNum w:abstractNumId="13" w15:restartNumberingAfterBreak="0">
    <w:nsid w:val="0D860E6A"/>
    <w:multiLevelType w:val="hybridMultilevel"/>
    <w:tmpl w:val="3850E53C"/>
    <w:lvl w:ilvl="0" w:tplc="D1E6107A">
      <w:start w:val="1"/>
      <w:numFmt w:val="bullet"/>
      <w:lvlText w:val="•"/>
      <w:lvlJc w:val="left"/>
      <w:pPr>
        <w:tabs>
          <w:tab w:val="num" w:pos="720"/>
        </w:tabs>
        <w:ind w:left="720" w:hanging="360"/>
      </w:pPr>
      <w:rPr>
        <w:rFonts w:ascii="Arial" w:hAnsi="Arial" w:hint="default"/>
      </w:rPr>
    </w:lvl>
    <w:lvl w:ilvl="1" w:tplc="6B44A40E" w:tentative="1">
      <w:start w:val="1"/>
      <w:numFmt w:val="bullet"/>
      <w:lvlText w:val="•"/>
      <w:lvlJc w:val="left"/>
      <w:pPr>
        <w:tabs>
          <w:tab w:val="num" w:pos="1440"/>
        </w:tabs>
        <w:ind w:left="1440" w:hanging="360"/>
      </w:pPr>
      <w:rPr>
        <w:rFonts w:ascii="Arial" w:hAnsi="Arial" w:hint="default"/>
      </w:rPr>
    </w:lvl>
    <w:lvl w:ilvl="2" w:tplc="1C2E7A76" w:tentative="1">
      <w:start w:val="1"/>
      <w:numFmt w:val="bullet"/>
      <w:lvlText w:val="•"/>
      <w:lvlJc w:val="left"/>
      <w:pPr>
        <w:tabs>
          <w:tab w:val="num" w:pos="2160"/>
        </w:tabs>
        <w:ind w:left="2160" w:hanging="360"/>
      </w:pPr>
      <w:rPr>
        <w:rFonts w:ascii="Arial" w:hAnsi="Arial" w:hint="default"/>
      </w:rPr>
    </w:lvl>
    <w:lvl w:ilvl="3" w:tplc="6BE8423E" w:tentative="1">
      <w:start w:val="1"/>
      <w:numFmt w:val="bullet"/>
      <w:lvlText w:val="•"/>
      <w:lvlJc w:val="left"/>
      <w:pPr>
        <w:tabs>
          <w:tab w:val="num" w:pos="2880"/>
        </w:tabs>
        <w:ind w:left="2880" w:hanging="360"/>
      </w:pPr>
      <w:rPr>
        <w:rFonts w:ascii="Arial" w:hAnsi="Arial" w:hint="default"/>
      </w:rPr>
    </w:lvl>
    <w:lvl w:ilvl="4" w:tplc="C9FED306" w:tentative="1">
      <w:start w:val="1"/>
      <w:numFmt w:val="bullet"/>
      <w:lvlText w:val="•"/>
      <w:lvlJc w:val="left"/>
      <w:pPr>
        <w:tabs>
          <w:tab w:val="num" w:pos="3600"/>
        </w:tabs>
        <w:ind w:left="3600" w:hanging="360"/>
      </w:pPr>
      <w:rPr>
        <w:rFonts w:ascii="Arial" w:hAnsi="Arial" w:hint="default"/>
      </w:rPr>
    </w:lvl>
    <w:lvl w:ilvl="5" w:tplc="13D4FC84" w:tentative="1">
      <w:start w:val="1"/>
      <w:numFmt w:val="bullet"/>
      <w:lvlText w:val="•"/>
      <w:lvlJc w:val="left"/>
      <w:pPr>
        <w:tabs>
          <w:tab w:val="num" w:pos="4320"/>
        </w:tabs>
        <w:ind w:left="4320" w:hanging="360"/>
      </w:pPr>
      <w:rPr>
        <w:rFonts w:ascii="Arial" w:hAnsi="Arial" w:hint="default"/>
      </w:rPr>
    </w:lvl>
    <w:lvl w:ilvl="6" w:tplc="07465DD0" w:tentative="1">
      <w:start w:val="1"/>
      <w:numFmt w:val="bullet"/>
      <w:lvlText w:val="•"/>
      <w:lvlJc w:val="left"/>
      <w:pPr>
        <w:tabs>
          <w:tab w:val="num" w:pos="5040"/>
        </w:tabs>
        <w:ind w:left="5040" w:hanging="360"/>
      </w:pPr>
      <w:rPr>
        <w:rFonts w:ascii="Arial" w:hAnsi="Arial" w:hint="default"/>
      </w:rPr>
    </w:lvl>
    <w:lvl w:ilvl="7" w:tplc="79C4F964" w:tentative="1">
      <w:start w:val="1"/>
      <w:numFmt w:val="bullet"/>
      <w:lvlText w:val="•"/>
      <w:lvlJc w:val="left"/>
      <w:pPr>
        <w:tabs>
          <w:tab w:val="num" w:pos="5760"/>
        </w:tabs>
        <w:ind w:left="5760" w:hanging="360"/>
      </w:pPr>
      <w:rPr>
        <w:rFonts w:ascii="Arial" w:hAnsi="Arial" w:hint="default"/>
      </w:rPr>
    </w:lvl>
    <w:lvl w:ilvl="8" w:tplc="1D4AEB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D9A7D47"/>
    <w:multiLevelType w:val="hybridMultilevel"/>
    <w:tmpl w:val="B2C24BB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83973"/>
    <w:multiLevelType w:val="hybridMultilevel"/>
    <w:tmpl w:val="7CC053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6560E9"/>
    <w:multiLevelType w:val="hybridMultilevel"/>
    <w:tmpl w:val="3730BB92"/>
    <w:lvl w:ilvl="0" w:tplc="7F160AB4">
      <w:start w:val="1"/>
      <w:numFmt w:val="bullet"/>
      <w:lvlText w:val=""/>
      <w:lvlJc w:val="left"/>
      <w:pPr>
        <w:ind w:left="720" w:hanging="360"/>
      </w:pPr>
      <w:rPr>
        <w:rFonts w:ascii="Symbol" w:hAnsi="Symbol" w:hint="default"/>
      </w:rPr>
    </w:lvl>
    <w:lvl w:ilvl="1" w:tplc="E056F4C2">
      <w:start w:val="1"/>
      <w:numFmt w:val="bullet"/>
      <w:lvlText w:val="o"/>
      <w:lvlJc w:val="left"/>
      <w:pPr>
        <w:ind w:left="1440" w:hanging="360"/>
      </w:pPr>
      <w:rPr>
        <w:rFonts w:ascii="Courier New" w:hAnsi="Courier New" w:hint="default"/>
      </w:rPr>
    </w:lvl>
    <w:lvl w:ilvl="2" w:tplc="484A91E2">
      <w:start w:val="1"/>
      <w:numFmt w:val="bullet"/>
      <w:lvlText w:val=""/>
      <w:lvlJc w:val="left"/>
      <w:pPr>
        <w:ind w:left="2160" w:hanging="360"/>
      </w:pPr>
      <w:rPr>
        <w:rFonts w:ascii="Wingdings" w:hAnsi="Wingdings" w:hint="default"/>
      </w:rPr>
    </w:lvl>
    <w:lvl w:ilvl="3" w:tplc="0E3A1DA8">
      <w:start w:val="1"/>
      <w:numFmt w:val="bullet"/>
      <w:lvlText w:val=""/>
      <w:lvlJc w:val="left"/>
      <w:pPr>
        <w:ind w:left="2880" w:hanging="360"/>
      </w:pPr>
      <w:rPr>
        <w:rFonts w:ascii="Symbol" w:hAnsi="Symbol" w:hint="default"/>
      </w:rPr>
    </w:lvl>
    <w:lvl w:ilvl="4" w:tplc="32A693DE">
      <w:start w:val="1"/>
      <w:numFmt w:val="bullet"/>
      <w:lvlText w:val="o"/>
      <w:lvlJc w:val="left"/>
      <w:pPr>
        <w:ind w:left="3600" w:hanging="360"/>
      </w:pPr>
      <w:rPr>
        <w:rFonts w:ascii="Courier New" w:hAnsi="Courier New" w:hint="default"/>
      </w:rPr>
    </w:lvl>
    <w:lvl w:ilvl="5" w:tplc="43AEF4D6">
      <w:start w:val="1"/>
      <w:numFmt w:val="bullet"/>
      <w:lvlText w:val=""/>
      <w:lvlJc w:val="left"/>
      <w:pPr>
        <w:ind w:left="4320" w:hanging="360"/>
      </w:pPr>
      <w:rPr>
        <w:rFonts w:ascii="Wingdings" w:hAnsi="Wingdings" w:hint="default"/>
      </w:rPr>
    </w:lvl>
    <w:lvl w:ilvl="6" w:tplc="5DC6E512">
      <w:start w:val="1"/>
      <w:numFmt w:val="bullet"/>
      <w:lvlText w:val=""/>
      <w:lvlJc w:val="left"/>
      <w:pPr>
        <w:ind w:left="5040" w:hanging="360"/>
      </w:pPr>
      <w:rPr>
        <w:rFonts w:ascii="Symbol" w:hAnsi="Symbol" w:hint="default"/>
      </w:rPr>
    </w:lvl>
    <w:lvl w:ilvl="7" w:tplc="65C804A4">
      <w:start w:val="1"/>
      <w:numFmt w:val="bullet"/>
      <w:lvlText w:val="o"/>
      <w:lvlJc w:val="left"/>
      <w:pPr>
        <w:ind w:left="5760" w:hanging="360"/>
      </w:pPr>
      <w:rPr>
        <w:rFonts w:ascii="Courier New" w:hAnsi="Courier New" w:hint="default"/>
      </w:rPr>
    </w:lvl>
    <w:lvl w:ilvl="8" w:tplc="7F86CA6E">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E3434"/>
    <w:multiLevelType w:val="hybridMultilevel"/>
    <w:tmpl w:val="AB74F90C"/>
    <w:lvl w:ilvl="0" w:tplc="461ABA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hybridMultilevel"/>
    <w:tmpl w:val="70143508"/>
    <w:lvl w:ilvl="0" w:tplc="D09EE1C6">
      <w:start w:val="1"/>
      <w:numFmt w:val="decimal"/>
      <w:lvlText w:val="%1."/>
      <w:lvlJc w:val="left"/>
      <w:pPr>
        <w:ind w:left="720" w:hanging="360"/>
      </w:pPr>
    </w:lvl>
    <w:lvl w:ilvl="1" w:tplc="16DA0EC0">
      <w:start w:val="1"/>
      <w:numFmt w:val="lowerLetter"/>
      <w:lvlText w:val="%2."/>
      <w:lvlJc w:val="left"/>
      <w:pPr>
        <w:ind w:left="1440" w:hanging="360"/>
      </w:pPr>
    </w:lvl>
    <w:lvl w:ilvl="2" w:tplc="219EF87A">
      <w:start w:val="1"/>
      <w:numFmt w:val="lowerRoman"/>
      <w:lvlText w:val="%3."/>
      <w:lvlJc w:val="right"/>
      <w:pPr>
        <w:ind w:left="2160" w:hanging="180"/>
      </w:pPr>
    </w:lvl>
    <w:lvl w:ilvl="3" w:tplc="010C9024">
      <w:start w:val="1"/>
      <w:numFmt w:val="decimal"/>
      <w:lvlText w:val="%4."/>
      <w:lvlJc w:val="left"/>
      <w:pPr>
        <w:ind w:left="2880" w:hanging="360"/>
      </w:pPr>
    </w:lvl>
    <w:lvl w:ilvl="4" w:tplc="4BC8A848">
      <w:start w:val="1"/>
      <w:numFmt w:val="lowerLetter"/>
      <w:lvlText w:val="%5."/>
      <w:lvlJc w:val="left"/>
      <w:pPr>
        <w:ind w:left="3600" w:hanging="360"/>
      </w:pPr>
    </w:lvl>
    <w:lvl w:ilvl="5" w:tplc="57944D50">
      <w:start w:val="1"/>
      <w:numFmt w:val="lowerRoman"/>
      <w:lvlText w:val="%6."/>
      <w:lvlJc w:val="right"/>
      <w:pPr>
        <w:ind w:left="4320" w:hanging="180"/>
      </w:pPr>
    </w:lvl>
    <w:lvl w:ilvl="6" w:tplc="57B67A1E">
      <w:start w:val="1"/>
      <w:numFmt w:val="decimal"/>
      <w:lvlText w:val="%7."/>
      <w:lvlJc w:val="left"/>
      <w:pPr>
        <w:ind w:left="5040" w:hanging="360"/>
      </w:pPr>
    </w:lvl>
    <w:lvl w:ilvl="7" w:tplc="624C9828">
      <w:start w:val="1"/>
      <w:numFmt w:val="lowerLetter"/>
      <w:lvlText w:val="%8."/>
      <w:lvlJc w:val="left"/>
      <w:pPr>
        <w:ind w:left="5760" w:hanging="360"/>
      </w:pPr>
    </w:lvl>
    <w:lvl w:ilvl="8" w:tplc="9C58753E">
      <w:start w:val="1"/>
      <w:numFmt w:val="lowerRoman"/>
      <w:lvlText w:val="%9."/>
      <w:lvlJc w:val="right"/>
      <w:pPr>
        <w:ind w:left="6480" w:hanging="180"/>
      </w:pPr>
    </w:lvl>
  </w:abstractNum>
  <w:abstractNum w:abstractNumId="22" w15:restartNumberingAfterBreak="0">
    <w:nsid w:val="463939C6"/>
    <w:multiLevelType w:val="hybridMultilevel"/>
    <w:tmpl w:val="25D6F7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1C672C3"/>
    <w:multiLevelType w:val="hybridMultilevel"/>
    <w:tmpl w:val="B1F47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34C4EC2"/>
    <w:multiLevelType w:val="hybridMultilevel"/>
    <w:tmpl w:val="37E22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5058D"/>
    <w:multiLevelType w:val="hybridMultilevel"/>
    <w:tmpl w:val="52AE5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6A71D1C"/>
    <w:multiLevelType w:val="hybridMultilevel"/>
    <w:tmpl w:val="029A1BA0"/>
    <w:lvl w:ilvl="0" w:tplc="16B68628">
      <w:start w:val="1"/>
      <w:numFmt w:val="bullet"/>
      <w:lvlText w:val="•"/>
      <w:lvlJc w:val="left"/>
      <w:pPr>
        <w:tabs>
          <w:tab w:val="num" w:pos="720"/>
        </w:tabs>
        <w:ind w:left="720" w:hanging="360"/>
      </w:pPr>
      <w:rPr>
        <w:rFonts w:ascii="Arial" w:hAnsi="Arial" w:hint="default"/>
      </w:rPr>
    </w:lvl>
    <w:lvl w:ilvl="1" w:tplc="4626B518" w:tentative="1">
      <w:start w:val="1"/>
      <w:numFmt w:val="bullet"/>
      <w:lvlText w:val="•"/>
      <w:lvlJc w:val="left"/>
      <w:pPr>
        <w:tabs>
          <w:tab w:val="num" w:pos="1440"/>
        </w:tabs>
        <w:ind w:left="1440" w:hanging="360"/>
      </w:pPr>
      <w:rPr>
        <w:rFonts w:ascii="Arial" w:hAnsi="Arial" w:hint="default"/>
      </w:rPr>
    </w:lvl>
    <w:lvl w:ilvl="2" w:tplc="CDA26E6C" w:tentative="1">
      <w:start w:val="1"/>
      <w:numFmt w:val="bullet"/>
      <w:lvlText w:val="•"/>
      <w:lvlJc w:val="left"/>
      <w:pPr>
        <w:tabs>
          <w:tab w:val="num" w:pos="2160"/>
        </w:tabs>
        <w:ind w:left="2160" w:hanging="360"/>
      </w:pPr>
      <w:rPr>
        <w:rFonts w:ascii="Arial" w:hAnsi="Arial" w:hint="default"/>
      </w:rPr>
    </w:lvl>
    <w:lvl w:ilvl="3" w:tplc="9AD8D052" w:tentative="1">
      <w:start w:val="1"/>
      <w:numFmt w:val="bullet"/>
      <w:lvlText w:val="•"/>
      <w:lvlJc w:val="left"/>
      <w:pPr>
        <w:tabs>
          <w:tab w:val="num" w:pos="2880"/>
        </w:tabs>
        <w:ind w:left="2880" w:hanging="360"/>
      </w:pPr>
      <w:rPr>
        <w:rFonts w:ascii="Arial" w:hAnsi="Arial" w:hint="default"/>
      </w:rPr>
    </w:lvl>
    <w:lvl w:ilvl="4" w:tplc="635893E6" w:tentative="1">
      <w:start w:val="1"/>
      <w:numFmt w:val="bullet"/>
      <w:lvlText w:val="•"/>
      <w:lvlJc w:val="left"/>
      <w:pPr>
        <w:tabs>
          <w:tab w:val="num" w:pos="3600"/>
        </w:tabs>
        <w:ind w:left="3600" w:hanging="360"/>
      </w:pPr>
      <w:rPr>
        <w:rFonts w:ascii="Arial" w:hAnsi="Arial" w:hint="default"/>
      </w:rPr>
    </w:lvl>
    <w:lvl w:ilvl="5" w:tplc="51D6CDE2" w:tentative="1">
      <w:start w:val="1"/>
      <w:numFmt w:val="bullet"/>
      <w:lvlText w:val="•"/>
      <w:lvlJc w:val="left"/>
      <w:pPr>
        <w:tabs>
          <w:tab w:val="num" w:pos="4320"/>
        </w:tabs>
        <w:ind w:left="4320" w:hanging="360"/>
      </w:pPr>
      <w:rPr>
        <w:rFonts w:ascii="Arial" w:hAnsi="Arial" w:hint="default"/>
      </w:rPr>
    </w:lvl>
    <w:lvl w:ilvl="6" w:tplc="DC3C648E" w:tentative="1">
      <w:start w:val="1"/>
      <w:numFmt w:val="bullet"/>
      <w:lvlText w:val="•"/>
      <w:lvlJc w:val="left"/>
      <w:pPr>
        <w:tabs>
          <w:tab w:val="num" w:pos="5040"/>
        </w:tabs>
        <w:ind w:left="5040" w:hanging="360"/>
      </w:pPr>
      <w:rPr>
        <w:rFonts w:ascii="Arial" w:hAnsi="Arial" w:hint="default"/>
      </w:rPr>
    </w:lvl>
    <w:lvl w:ilvl="7" w:tplc="16B6AB3A" w:tentative="1">
      <w:start w:val="1"/>
      <w:numFmt w:val="bullet"/>
      <w:lvlText w:val="•"/>
      <w:lvlJc w:val="left"/>
      <w:pPr>
        <w:tabs>
          <w:tab w:val="num" w:pos="5760"/>
        </w:tabs>
        <w:ind w:left="5760" w:hanging="360"/>
      </w:pPr>
      <w:rPr>
        <w:rFonts w:ascii="Arial" w:hAnsi="Arial" w:hint="default"/>
      </w:rPr>
    </w:lvl>
    <w:lvl w:ilvl="8" w:tplc="46BE72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467301"/>
    <w:multiLevelType w:val="hybridMultilevel"/>
    <w:tmpl w:val="7D94FF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EC3233D"/>
    <w:multiLevelType w:val="hybridMultilevel"/>
    <w:tmpl w:val="67B27658"/>
    <w:lvl w:ilvl="0" w:tplc="B1D02E14">
      <w:start w:val="1"/>
      <w:numFmt w:val="bullet"/>
      <w:lvlText w:val=""/>
      <w:lvlJc w:val="left"/>
      <w:pPr>
        <w:ind w:left="720" w:hanging="360"/>
      </w:pPr>
      <w:rPr>
        <w:rFonts w:ascii="Symbol" w:hAnsi="Symbol" w:hint="default"/>
      </w:rPr>
    </w:lvl>
    <w:lvl w:ilvl="1" w:tplc="2B443908">
      <w:start w:val="1"/>
      <w:numFmt w:val="bullet"/>
      <w:lvlText w:val="o"/>
      <w:lvlJc w:val="left"/>
      <w:pPr>
        <w:ind w:left="1440" w:hanging="360"/>
      </w:pPr>
      <w:rPr>
        <w:rFonts w:ascii="Courier New" w:hAnsi="Courier New" w:cs="Courier New" w:hint="default"/>
      </w:rPr>
    </w:lvl>
    <w:lvl w:ilvl="2" w:tplc="64907880">
      <w:start w:val="1"/>
      <w:numFmt w:val="bullet"/>
      <w:lvlText w:val=""/>
      <w:lvlJc w:val="left"/>
      <w:pPr>
        <w:ind w:left="2160" w:hanging="360"/>
      </w:pPr>
      <w:rPr>
        <w:rFonts w:ascii="Wingdings" w:hAnsi="Wingdings" w:hint="default"/>
      </w:rPr>
    </w:lvl>
    <w:lvl w:ilvl="3" w:tplc="5C4EB2F0">
      <w:start w:val="1"/>
      <w:numFmt w:val="bullet"/>
      <w:lvlText w:val=""/>
      <w:lvlJc w:val="left"/>
      <w:pPr>
        <w:ind w:left="2880" w:hanging="360"/>
      </w:pPr>
      <w:rPr>
        <w:rFonts w:ascii="Symbol" w:hAnsi="Symbol" w:hint="default"/>
      </w:rPr>
    </w:lvl>
    <w:lvl w:ilvl="4" w:tplc="1A5EED04">
      <w:start w:val="1"/>
      <w:numFmt w:val="bullet"/>
      <w:lvlText w:val="o"/>
      <w:lvlJc w:val="left"/>
      <w:pPr>
        <w:ind w:left="3600" w:hanging="360"/>
      </w:pPr>
      <w:rPr>
        <w:rFonts w:ascii="Courier New" w:hAnsi="Courier New" w:cs="Courier New" w:hint="default"/>
      </w:rPr>
    </w:lvl>
    <w:lvl w:ilvl="5" w:tplc="71E0F834">
      <w:start w:val="1"/>
      <w:numFmt w:val="bullet"/>
      <w:lvlText w:val=""/>
      <w:lvlJc w:val="left"/>
      <w:pPr>
        <w:ind w:left="4320" w:hanging="360"/>
      </w:pPr>
      <w:rPr>
        <w:rFonts w:ascii="Wingdings" w:hAnsi="Wingdings" w:hint="default"/>
      </w:rPr>
    </w:lvl>
    <w:lvl w:ilvl="6" w:tplc="81AAC8D0">
      <w:start w:val="1"/>
      <w:numFmt w:val="bullet"/>
      <w:lvlText w:val=""/>
      <w:lvlJc w:val="left"/>
      <w:pPr>
        <w:ind w:left="5040" w:hanging="360"/>
      </w:pPr>
      <w:rPr>
        <w:rFonts w:ascii="Symbol" w:hAnsi="Symbol" w:hint="default"/>
      </w:rPr>
    </w:lvl>
    <w:lvl w:ilvl="7" w:tplc="7D14D640">
      <w:start w:val="1"/>
      <w:numFmt w:val="bullet"/>
      <w:lvlText w:val="o"/>
      <w:lvlJc w:val="left"/>
      <w:pPr>
        <w:ind w:left="5760" w:hanging="360"/>
      </w:pPr>
      <w:rPr>
        <w:rFonts w:ascii="Courier New" w:hAnsi="Courier New" w:cs="Courier New" w:hint="default"/>
      </w:rPr>
    </w:lvl>
    <w:lvl w:ilvl="8" w:tplc="CCB48C90">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E6B6C"/>
    <w:multiLevelType w:val="hybridMultilevel"/>
    <w:tmpl w:val="8EC0D1E4"/>
    <w:lvl w:ilvl="0" w:tplc="BEEA883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315D7B"/>
    <w:multiLevelType w:val="hybridMultilevel"/>
    <w:tmpl w:val="1012E00A"/>
    <w:lvl w:ilvl="0" w:tplc="8A5EDB28">
      <w:start w:val="1"/>
      <w:numFmt w:val="bullet"/>
      <w:lvlText w:val="•"/>
      <w:lvlJc w:val="left"/>
      <w:pPr>
        <w:tabs>
          <w:tab w:val="num" w:pos="720"/>
        </w:tabs>
        <w:ind w:left="720" w:hanging="360"/>
      </w:pPr>
      <w:rPr>
        <w:rFonts w:ascii="Arial" w:hAnsi="Arial" w:hint="default"/>
      </w:rPr>
    </w:lvl>
    <w:lvl w:ilvl="1" w:tplc="38F0C670" w:tentative="1">
      <w:start w:val="1"/>
      <w:numFmt w:val="bullet"/>
      <w:lvlText w:val="•"/>
      <w:lvlJc w:val="left"/>
      <w:pPr>
        <w:tabs>
          <w:tab w:val="num" w:pos="1440"/>
        </w:tabs>
        <w:ind w:left="1440" w:hanging="360"/>
      </w:pPr>
      <w:rPr>
        <w:rFonts w:ascii="Arial" w:hAnsi="Arial" w:hint="default"/>
      </w:rPr>
    </w:lvl>
    <w:lvl w:ilvl="2" w:tplc="490CAAF0" w:tentative="1">
      <w:start w:val="1"/>
      <w:numFmt w:val="bullet"/>
      <w:lvlText w:val="•"/>
      <w:lvlJc w:val="left"/>
      <w:pPr>
        <w:tabs>
          <w:tab w:val="num" w:pos="2160"/>
        </w:tabs>
        <w:ind w:left="2160" w:hanging="360"/>
      </w:pPr>
      <w:rPr>
        <w:rFonts w:ascii="Arial" w:hAnsi="Arial" w:hint="default"/>
      </w:rPr>
    </w:lvl>
    <w:lvl w:ilvl="3" w:tplc="485C56A8" w:tentative="1">
      <w:start w:val="1"/>
      <w:numFmt w:val="bullet"/>
      <w:lvlText w:val="•"/>
      <w:lvlJc w:val="left"/>
      <w:pPr>
        <w:tabs>
          <w:tab w:val="num" w:pos="2880"/>
        </w:tabs>
        <w:ind w:left="2880" w:hanging="360"/>
      </w:pPr>
      <w:rPr>
        <w:rFonts w:ascii="Arial" w:hAnsi="Arial" w:hint="default"/>
      </w:rPr>
    </w:lvl>
    <w:lvl w:ilvl="4" w:tplc="E2B6193C" w:tentative="1">
      <w:start w:val="1"/>
      <w:numFmt w:val="bullet"/>
      <w:lvlText w:val="•"/>
      <w:lvlJc w:val="left"/>
      <w:pPr>
        <w:tabs>
          <w:tab w:val="num" w:pos="3600"/>
        </w:tabs>
        <w:ind w:left="3600" w:hanging="360"/>
      </w:pPr>
      <w:rPr>
        <w:rFonts w:ascii="Arial" w:hAnsi="Arial" w:hint="default"/>
      </w:rPr>
    </w:lvl>
    <w:lvl w:ilvl="5" w:tplc="8530E3E8" w:tentative="1">
      <w:start w:val="1"/>
      <w:numFmt w:val="bullet"/>
      <w:lvlText w:val="•"/>
      <w:lvlJc w:val="left"/>
      <w:pPr>
        <w:tabs>
          <w:tab w:val="num" w:pos="4320"/>
        </w:tabs>
        <w:ind w:left="4320" w:hanging="360"/>
      </w:pPr>
      <w:rPr>
        <w:rFonts w:ascii="Arial" w:hAnsi="Arial" w:hint="default"/>
      </w:rPr>
    </w:lvl>
    <w:lvl w:ilvl="6" w:tplc="01B61212" w:tentative="1">
      <w:start w:val="1"/>
      <w:numFmt w:val="bullet"/>
      <w:lvlText w:val="•"/>
      <w:lvlJc w:val="left"/>
      <w:pPr>
        <w:tabs>
          <w:tab w:val="num" w:pos="5040"/>
        </w:tabs>
        <w:ind w:left="5040" w:hanging="360"/>
      </w:pPr>
      <w:rPr>
        <w:rFonts w:ascii="Arial" w:hAnsi="Arial" w:hint="default"/>
      </w:rPr>
    </w:lvl>
    <w:lvl w:ilvl="7" w:tplc="AFC23556" w:tentative="1">
      <w:start w:val="1"/>
      <w:numFmt w:val="bullet"/>
      <w:lvlText w:val="•"/>
      <w:lvlJc w:val="left"/>
      <w:pPr>
        <w:tabs>
          <w:tab w:val="num" w:pos="5760"/>
        </w:tabs>
        <w:ind w:left="5760" w:hanging="360"/>
      </w:pPr>
      <w:rPr>
        <w:rFonts w:ascii="Arial" w:hAnsi="Arial" w:hint="default"/>
      </w:rPr>
    </w:lvl>
    <w:lvl w:ilvl="8" w:tplc="97E2554E"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19"/>
  </w:num>
  <w:num w:numId="14">
    <w:abstractNumId w:val="28"/>
  </w:num>
  <w:num w:numId="15">
    <w:abstractNumId w:val="29"/>
  </w:num>
  <w:num w:numId="16">
    <w:abstractNumId w:val="15"/>
  </w:num>
  <w:num w:numId="17">
    <w:abstractNumId w:val="21"/>
  </w:num>
  <w:num w:numId="18">
    <w:abstractNumId w:val="17"/>
  </w:num>
  <w:num w:numId="19">
    <w:abstractNumId w:val="23"/>
  </w:num>
  <w:num w:numId="20">
    <w:abstractNumId w:val="20"/>
  </w:num>
  <w:num w:numId="21">
    <w:abstractNumId w:val="30"/>
  </w:num>
  <w:num w:numId="22">
    <w:abstractNumId w:val="13"/>
  </w:num>
  <w:num w:numId="23">
    <w:abstractNumId w:val="31"/>
  </w:num>
  <w:num w:numId="24">
    <w:abstractNumId w:val="16"/>
  </w:num>
  <w:num w:numId="25">
    <w:abstractNumId w:val="12"/>
  </w:num>
  <w:num w:numId="26">
    <w:abstractNumId w:val="24"/>
  </w:num>
  <w:num w:numId="27">
    <w:abstractNumId w:val="25"/>
  </w:num>
  <w:num w:numId="28">
    <w:abstractNumId w:val="27"/>
  </w:num>
  <w:num w:numId="29">
    <w:abstractNumId w:val="11"/>
  </w:num>
  <w:num w:numId="30">
    <w:abstractNumId w:val="22"/>
  </w:num>
  <w:num w:numId="31">
    <w:abstractNumId w:val="11"/>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367"/>
    <w:rsid w:val="000010FA"/>
    <w:rsid w:val="0000240D"/>
    <w:rsid w:val="00012498"/>
    <w:rsid w:val="00013339"/>
    <w:rsid w:val="00014D7C"/>
    <w:rsid w:val="000160EB"/>
    <w:rsid w:val="00017D95"/>
    <w:rsid w:val="000235D5"/>
    <w:rsid w:val="0003013A"/>
    <w:rsid w:val="0003086B"/>
    <w:rsid w:val="00032146"/>
    <w:rsid w:val="00042C2F"/>
    <w:rsid w:val="0004360A"/>
    <w:rsid w:val="00054411"/>
    <w:rsid w:val="00060601"/>
    <w:rsid w:val="00064715"/>
    <w:rsid w:val="00065D7D"/>
    <w:rsid w:val="000675BF"/>
    <w:rsid w:val="0007286C"/>
    <w:rsid w:val="00072D5A"/>
    <w:rsid w:val="00074A78"/>
    <w:rsid w:val="00080399"/>
    <w:rsid w:val="00097853"/>
    <w:rsid w:val="000A47D4"/>
    <w:rsid w:val="000A56A6"/>
    <w:rsid w:val="000A61AC"/>
    <w:rsid w:val="000B3F48"/>
    <w:rsid w:val="000B65A1"/>
    <w:rsid w:val="000C6AA7"/>
    <w:rsid w:val="000D72A5"/>
    <w:rsid w:val="000D7805"/>
    <w:rsid w:val="000E4DA8"/>
    <w:rsid w:val="000F0F0C"/>
    <w:rsid w:val="000F1DCB"/>
    <w:rsid w:val="000F2734"/>
    <w:rsid w:val="00100DFE"/>
    <w:rsid w:val="00104243"/>
    <w:rsid w:val="00105E9F"/>
    <w:rsid w:val="00122369"/>
    <w:rsid w:val="00122AA5"/>
    <w:rsid w:val="001306E0"/>
    <w:rsid w:val="00130885"/>
    <w:rsid w:val="00131E59"/>
    <w:rsid w:val="00133DBE"/>
    <w:rsid w:val="00145EF0"/>
    <w:rsid w:val="00147EFA"/>
    <w:rsid w:val="0015161D"/>
    <w:rsid w:val="001532D7"/>
    <w:rsid w:val="001549B8"/>
    <w:rsid w:val="00162775"/>
    <w:rsid w:val="00172524"/>
    <w:rsid w:val="00176461"/>
    <w:rsid w:val="001830B0"/>
    <w:rsid w:val="00184567"/>
    <w:rsid w:val="00186686"/>
    <w:rsid w:val="001902BD"/>
    <w:rsid w:val="001978A4"/>
    <w:rsid w:val="001A2638"/>
    <w:rsid w:val="001A7279"/>
    <w:rsid w:val="001D06A8"/>
    <w:rsid w:val="001E0803"/>
    <w:rsid w:val="001E39A1"/>
    <w:rsid w:val="001F0046"/>
    <w:rsid w:val="00201090"/>
    <w:rsid w:val="00202398"/>
    <w:rsid w:val="00204751"/>
    <w:rsid w:val="002078DC"/>
    <w:rsid w:val="00212FB5"/>
    <w:rsid w:val="002136D7"/>
    <w:rsid w:val="00220A03"/>
    <w:rsid w:val="0022129C"/>
    <w:rsid w:val="00230B3C"/>
    <w:rsid w:val="00234D13"/>
    <w:rsid w:val="002428E1"/>
    <w:rsid w:val="00247A86"/>
    <w:rsid w:val="0025455E"/>
    <w:rsid w:val="00265BA5"/>
    <w:rsid w:val="00274D59"/>
    <w:rsid w:val="00274ECF"/>
    <w:rsid w:val="00291443"/>
    <w:rsid w:val="00291C48"/>
    <w:rsid w:val="00294FCF"/>
    <w:rsid w:val="002962C2"/>
    <w:rsid w:val="002A31FA"/>
    <w:rsid w:val="002A42C6"/>
    <w:rsid w:val="002A4A96"/>
    <w:rsid w:val="002A6EF0"/>
    <w:rsid w:val="002B0854"/>
    <w:rsid w:val="002B2F2B"/>
    <w:rsid w:val="002C2D0A"/>
    <w:rsid w:val="002D1B0A"/>
    <w:rsid w:val="002D6917"/>
    <w:rsid w:val="002E3BED"/>
    <w:rsid w:val="002F2AA1"/>
    <w:rsid w:val="002F3227"/>
    <w:rsid w:val="00305507"/>
    <w:rsid w:val="003073B4"/>
    <w:rsid w:val="00312720"/>
    <w:rsid w:val="00315E91"/>
    <w:rsid w:val="003223DE"/>
    <w:rsid w:val="00324ADC"/>
    <w:rsid w:val="00331FF1"/>
    <w:rsid w:val="003418E7"/>
    <w:rsid w:val="003440E7"/>
    <w:rsid w:val="00347AA4"/>
    <w:rsid w:val="00351A65"/>
    <w:rsid w:val="0035211B"/>
    <w:rsid w:val="00356C6E"/>
    <w:rsid w:val="0036194E"/>
    <w:rsid w:val="00362B41"/>
    <w:rsid w:val="0037076E"/>
    <w:rsid w:val="00371AED"/>
    <w:rsid w:val="003867A3"/>
    <w:rsid w:val="003950FB"/>
    <w:rsid w:val="00395ED3"/>
    <w:rsid w:val="00396707"/>
    <w:rsid w:val="003967DD"/>
    <w:rsid w:val="003A237D"/>
    <w:rsid w:val="003A356B"/>
    <w:rsid w:val="003A44C5"/>
    <w:rsid w:val="003A49B1"/>
    <w:rsid w:val="003B10A5"/>
    <w:rsid w:val="003B3F3A"/>
    <w:rsid w:val="003C0943"/>
    <w:rsid w:val="003D4FB6"/>
    <w:rsid w:val="003D551E"/>
    <w:rsid w:val="003E3DAD"/>
    <w:rsid w:val="003E553F"/>
    <w:rsid w:val="003E6BCE"/>
    <w:rsid w:val="003E75CE"/>
    <w:rsid w:val="003F1809"/>
    <w:rsid w:val="00401AB2"/>
    <w:rsid w:val="0041550F"/>
    <w:rsid w:val="00415595"/>
    <w:rsid w:val="00415741"/>
    <w:rsid w:val="004238EA"/>
    <w:rsid w:val="00424F24"/>
    <w:rsid w:val="00432E45"/>
    <w:rsid w:val="00435F99"/>
    <w:rsid w:val="00443D52"/>
    <w:rsid w:val="00445D4E"/>
    <w:rsid w:val="00455163"/>
    <w:rsid w:val="0045645C"/>
    <w:rsid w:val="00466871"/>
    <w:rsid w:val="00466E05"/>
    <w:rsid w:val="00495C53"/>
    <w:rsid w:val="00497FFE"/>
    <w:rsid w:val="004A0337"/>
    <w:rsid w:val="004A0AD2"/>
    <w:rsid w:val="004A284D"/>
    <w:rsid w:val="004A3294"/>
    <w:rsid w:val="004A7177"/>
    <w:rsid w:val="004B2ED6"/>
    <w:rsid w:val="004B4080"/>
    <w:rsid w:val="004B6C3D"/>
    <w:rsid w:val="004C2045"/>
    <w:rsid w:val="004D03BB"/>
    <w:rsid w:val="004D1699"/>
    <w:rsid w:val="004D6CF1"/>
    <w:rsid w:val="004E55D8"/>
    <w:rsid w:val="004E5B95"/>
    <w:rsid w:val="004F3295"/>
    <w:rsid w:val="004F3697"/>
    <w:rsid w:val="004F48E3"/>
    <w:rsid w:val="004F49E2"/>
    <w:rsid w:val="0050194B"/>
    <w:rsid w:val="00506DC1"/>
    <w:rsid w:val="005136BC"/>
    <w:rsid w:val="0053714D"/>
    <w:rsid w:val="00537A24"/>
    <w:rsid w:val="00540920"/>
    <w:rsid w:val="00543204"/>
    <w:rsid w:val="00543324"/>
    <w:rsid w:val="005444D2"/>
    <w:rsid w:val="00544AB3"/>
    <w:rsid w:val="00545A99"/>
    <w:rsid w:val="005520BD"/>
    <w:rsid w:val="00555E38"/>
    <w:rsid w:val="005561D4"/>
    <w:rsid w:val="00563F99"/>
    <w:rsid w:val="005728DC"/>
    <w:rsid w:val="005762F4"/>
    <w:rsid w:val="00581FDF"/>
    <w:rsid w:val="00583B9D"/>
    <w:rsid w:val="00584366"/>
    <w:rsid w:val="0059502D"/>
    <w:rsid w:val="00597D1A"/>
    <w:rsid w:val="005A632B"/>
    <w:rsid w:val="005C17A9"/>
    <w:rsid w:val="005D0FF4"/>
    <w:rsid w:val="005D4D35"/>
    <w:rsid w:val="005D6A4B"/>
    <w:rsid w:val="005E2FF2"/>
    <w:rsid w:val="005E79D2"/>
    <w:rsid w:val="005F310E"/>
    <w:rsid w:val="005F35CC"/>
    <w:rsid w:val="005F45D1"/>
    <w:rsid w:val="00607481"/>
    <w:rsid w:val="006119AF"/>
    <w:rsid w:val="00611ECE"/>
    <w:rsid w:val="00620DE9"/>
    <w:rsid w:val="00623287"/>
    <w:rsid w:val="00624A55"/>
    <w:rsid w:val="0063636D"/>
    <w:rsid w:val="006450FF"/>
    <w:rsid w:val="00655D0A"/>
    <w:rsid w:val="00664A95"/>
    <w:rsid w:val="00664C91"/>
    <w:rsid w:val="006711F3"/>
    <w:rsid w:val="00673C75"/>
    <w:rsid w:val="006759EB"/>
    <w:rsid w:val="00676F18"/>
    <w:rsid w:val="00681758"/>
    <w:rsid w:val="006827E1"/>
    <w:rsid w:val="006828B2"/>
    <w:rsid w:val="00691B83"/>
    <w:rsid w:val="00694141"/>
    <w:rsid w:val="00694385"/>
    <w:rsid w:val="006A03A0"/>
    <w:rsid w:val="006A15DB"/>
    <w:rsid w:val="006A25AC"/>
    <w:rsid w:val="006A7F80"/>
    <w:rsid w:val="006B25E5"/>
    <w:rsid w:val="006B48A0"/>
    <w:rsid w:val="006B5CD9"/>
    <w:rsid w:val="006B7C10"/>
    <w:rsid w:val="006C2621"/>
    <w:rsid w:val="006C576C"/>
    <w:rsid w:val="006C7C81"/>
    <w:rsid w:val="006D1012"/>
    <w:rsid w:val="006E1557"/>
    <w:rsid w:val="006E2E76"/>
    <w:rsid w:val="006E71E0"/>
    <w:rsid w:val="006F0556"/>
    <w:rsid w:val="006F5B6D"/>
    <w:rsid w:val="006F645B"/>
    <w:rsid w:val="00701A6A"/>
    <w:rsid w:val="0071231C"/>
    <w:rsid w:val="00714D08"/>
    <w:rsid w:val="0071583F"/>
    <w:rsid w:val="00720C84"/>
    <w:rsid w:val="007248FD"/>
    <w:rsid w:val="00725DC5"/>
    <w:rsid w:val="00727F17"/>
    <w:rsid w:val="00732664"/>
    <w:rsid w:val="00755436"/>
    <w:rsid w:val="00762BBD"/>
    <w:rsid w:val="00766463"/>
    <w:rsid w:val="00785063"/>
    <w:rsid w:val="00785925"/>
    <w:rsid w:val="00786D06"/>
    <w:rsid w:val="00790B73"/>
    <w:rsid w:val="00793F21"/>
    <w:rsid w:val="007979D3"/>
    <w:rsid w:val="007A6334"/>
    <w:rsid w:val="007A7F7A"/>
    <w:rsid w:val="007B556E"/>
    <w:rsid w:val="007C3401"/>
    <w:rsid w:val="007C7D1D"/>
    <w:rsid w:val="007D3E38"/>
    <w:rsid w:val="007D44B2"/>
    <w:rsid w:val="007D4D2C"/>
    <w:rsid w:val="007E54B7"/>
    <w:rsid w:val="007E6A48"/>
    <w:rsid w:val="00800F80"/>
    <w:rsid w:val="00802224"/>
    <w:rsid w:val="00804D5A"/>
    <w:rsid w:val="00806ECF"/>
    <w:rsid w:val="00811327"/>
    <w:rsid w:val="00825556"/>
    <w:rsid w:val="0083081B"/>
    <w:rsid w:val="008362BB"/>
    <w:rsid w:val="0083720B"/>
    <w:rsid w:val="00841E33"/>
    <w:rsid w:val="00842D27"/>
    <w:rsid w:val="008450CE"/>
    <w:rsid w:val="008464D4"/>
    <w:rsid w:val="00856D6E"/>
    <w:rsid w:val="008576C6"/>
    <w:rsid w:val="008674CE"/>
    <w:rsid w:val="008746F7"/>
    <w:rsid w:val="00877059"/>
    <w:rsid w:val="00877D85"/>
    <w:rsid w:val="008802CA"/>
    <w:rsid w:val="0088330A"/>
    <w:rsid w:val="00891800"/>
    <w:rsid w:val="008928C8"/>
    <w:rsid w:val="008937A6"/>
    <w:rsid w:val="00895EC3"/>
    <w:rsid w:val="008A29B6"/>
    <w:rsid w:val="008A2A51"/>
    <w:rsid w:val="008A3C22"/>
    <w:rsid w:val="008A6CF7"/>
    <w:rsid w:val="008B0F65"/>
    <w:rsid w:val="008B1737"/>
    <w:rsid w:val="008C2373"/>
    <w:rsid w:val="008C3B42"/>
    <w:rsid w:val="008C4258"/>
    <w:rsid w:val="008D4065"/>
    <w:rsid w:val="008D6BDE"/>
    <w:rsid w:val="008E0F27"/>
    <w:rsid w:val="008E1CD6"/>
    <w:rsid w:val="008E49FD"/>
    <w:rsid w:val="00911D0E"/>
    <w:rsid w:val="0091326E"/>
    <w:rsid w:val="00913D45"/>
    <w:rsid w:val="00913E65"/>
    <w:rsid w:val="00920A2F"/>
    <w:rsid w:val="00921B59"/>
    <w:rsid w:val="00926A30"/>
    <w:rsid w:val="009330E6"/>
    <w:rsid w:val="0093629D"/>
    <w:rsid w:val="0094760E"/>
    <w:rsid w:val="009608CC"/>
    <w:rsid w:val="0096190F"/>
    <w:rsid w:val="00962201"/>
    <w:rsid w:val="009623A2"/>
    <w:rsid w:val="009647B0"/>
    <w:rsid w:val="0096739C"/>
    <w:rsid w:val="00967CB9"/>
    <w:rsid w:val="00970EA5"/>
    <w:rsid w:val="0098278C"/>
    <w:rsid w:val="00982EB4"/>
    <w:rsid w:val="00985DC7"/>
    <w:rsid w:val="009863EF"/>
    <w:rsid w:val="0099381E"/>
    <w:rsid w:val="009A7375"/>
    <w:rsid w:val="009B4FB6"/>
    <w:rsid w:val="009C0A30"/>
    <w:rsid w:val="009C73C8"/>
    <w:rsid w:val="009D03D1"/>
    <w:rsid w:val="009D31E2"/>
    <w:rsid w:val="009D34AD"/>
    <w:rsid w:val="009E50D0"/>
    <w:rsid w:val="009F0264"/>
    <w:rsid w:val="009F0FA7"/>
    <w:rsid w:val="009F63D8"/>
    <w:rsid w:val="00A11E64"/>
    <w:rsid w:val="00A12E5F"/>
    <w:rsid w:val="00A136B7"/>
    <w:rsid w:val="00A17CEE"/>
    <w:rsid w:val="00A31926"/>
    <w:rsid w:val="00A3192A"/>
    <w:rsid w:val="00A32125"/>
    <w:rsid w:val="00A32D97"/>
    <w:rsid w:val="00A37B89"/>
    <w:rsid w:val="00A42D8E"/>
    <w:rsid w:val="00A42F31"/>
    <w:rsid w:val="00A45104"/>
    <w:rsid w:val="00A45B9E"/>
    <w:rsid w:val="00A559BB"/>
    <w:rsid w:val="00A72F49"/>
    <w:rsid w:val="00A83D37"/>
    <w:rsid w:val="00AA1BD6"/>
    <w:rsid w:val="00AA2290"/>
    <w:rsid w:val="00AB3596"/>
    <w:rsid w:val="00AB7D8B"/>
    <w:rsid w:val="00AC0684"/>
    <w:rsid w:val="00AC2C00"/>
    <w:rsid w:val="00AC5999"/>
    <w:rsid w:val="00AC5F7D"/>
    <w:rsid w:val="00AD364A"/>
    <w:rsid w:val="00AD3AEF"/>
    <w:rsid w:val="00AD477A"/>
    <w:rsid w:val="00AD723F"/>
    <w:rsid w:val="00AE05E5"/>
    <w:rsid w:val="00AE37EE"/>
    <w:rsid w:val="00AE4E3C"/>
    <w:rsid w:val="00AE5EC7"/>
    <w:rsid w:val="00AF2B1B"/>
    <w:rsid w:val="00AF2E0F"/>
    <w:rsid w:val="00AF342C"/>
    <w:rsid w:val="00AF5659"/>
    <w:rsid w:val="00B014E0"/>
    <w:rsid w:val="00B17D42"/>
    <w:rsid w:val="00B24E1B"/>
    <w:rsid w:val="00B306E1"/>
    <w:rsid w:val="00B32BEC"/>
    <w:rsid w:val="00B418BA"/>
    <w:rsid w:val="00B421BD"/>
    <w:rsid w:val="00B424F8"/>
    <w:rsid w:val="00B42A1B"/>
    <w:rsid w:val="00B445BD"/>
    <w:rsid w:val="00B51DD7"/>
    <w:rsid w:val="00B62311"/>
    <w:rsid w:val="00B652D1"/>
    <w:rsid w:val="00B66DB3"/>
    <w:rsid w:val="00B70BC3"/>
    <w:rsid w:val="00B71A12"/>
    <w:rsid w:val="00B765D8"/>
    <w:rsid w:val="00B76695"/>
    <w:rsid w:val="00B8120E"/>
    <w:rsid w:val="00B853B8"/>
    <w:rsid w:val="00B9497C"/>
    <w:rsid w:val="00B955B0"/>
    <w:rsid w:val="00B95B6A"/>
    <w:rsid w:val="00B9680F"/>
    <w:rsid w:val="00BB61DC"/>
    <w:rsid w:val="00BC0B3E"/>
    <w:rsid w:val="00BC24D5"/>
    <w:rsid w:val="00BC3EB9"/>
    <w:rsid w:val="00BC6491"/>
    <w:rsid w:val="00BD23D8"/>
    <w:rsid w:val="00BD25E7"/>
    <w:rsid w:val="00BD7EDF"/>
    <w:rsid w:val="00BE0560"/>
    <w:rsid w:val="00BE16D6"/>
    <w:rsid w:val="00BE2F2E"/>
    <w:rsid w:val="00BE72A0"/>
    <w:rsid w:val="00BF6810"/>
    <w:rsid w:val="00BF687D"/>
    <w:rsid w:val="00C070C3"/>
    <w:rsid w:val="00C1350E"/>
    <w:rsid w:val="00C13C07"/>
    <w:rsid w:val="00C14FB6"/>
    <w:rsid w:val="00C1705E"/>
    <w:rsid w:val="00C22AC2"/>
    <w:rsid w:val="00C22B48"/>
    <w:rsid w:val="00C23828"/>
    <w:rsid w:val="00C23F0E"/>
    <w:rsid w:val="00C25E8B"/>
    <w:rsid w:val="00C266AF"/>
    <w:rsid w:val="00C30D27"/>
    <w:rsid w:val="00C40C81"/>
    <w:rsid w:val="00C417F7"/>
    <w:rsid w:val="00C42CBF"/>
    <w:rsid w:val="00C46DCA"/>
    <w:rsid w:val="00C55249"/>
    <w:rsid w:val="00C6054D"/>
    <w:rsid w:val="00C63749"/>
    <w:rsid w:val="00C71D99"/>
    <w:rsid w:val="00C7415D"/>
    <w:rsid w:val="00C841E7"/>
    <w:rsid w:val="00C850A9"/>
    <w:rsid w:val="00C85DFE"/>
    <w:rsid w:val="00C86726"/>
    <w:rsid w:val="00C87F1C"/>
    <w:rsid w:val="00C9280E"/>
    <w:rsid w:val="00C951B6"/>
    <w:rsid w:val="00C95AA3"/>
    <w:rsid w:val="00CA114D"/>
    <w:rsid w:val="00CA3141"/>
    <w:rsid w:val="00CB1473"/>
    <w:rsid w:val="00CB2F0A"/>
    <w:rsid w:val="00CB32C2"/>
    <w:rsid w:val="00CB7C4F"/>
    <w:rsid w:val="00CC1BBF"/>
    <w:rsid w:val="00CC2450"/>
    <w:rsid w:val="00CC2755"/>
    <w:rsid w:val="00CC4C6E"/>
    <w:rsid w:val="00CD0AD5"/>
    <w:rsid w:val="00CD67D7"/>
    <w:rsid w:val="00CD7600"/>
    <w:rsid w:val="00CE5A4B"/>
    <w:rsid w:val="00CE5B4E"/>
    <w:rsid w:val="00CF0571"/>
    <w:rsid w:val="00CF06AB"/>
    <w:rsid w:val="00D03364"/>
    <w:rsid w:val="00D131FD"/>
    <w:rsid w:val="00D13A1B"/>
    <w:rsid w:val="00D16609"/>
    <w:rsid w:val="00D20BD6"/>
    <w:rsid w:val="00D25C64"/>
    <w:rsid w:val="00D26EEA"/>
    <w:rsid w:val="00D31F4E"/>
    <w:rsid w:val="00D34C71"/>
    <w:rsid w:val="00D4363E"/>
    <w:rsid w:val="00D62002"/>
    <w:rsid w:val="00D70EAE"/>
    <w:rsid w:val="00D76B98"/>
    <w:rsid w:val="00D80A8B"/>
    <w:rsid w:val="00D81887"/>
    <w:rsid w:val="00D84274"/>
    <w:rsid w:val="00D855FC"/>
    <w:rsid w:val="00D87550"/>
    <w:rsid w:val="00D9051D"/>
    <w:rsid w:val="00D92B6C"/>
    <w:rsid w:val="00D935D3"/>
    <w:rsid w:val="00D95642"/>
    <w:rsid w:val="00D9700C"/>
    <w:rsid w:val="00DA6100"/>
    <w:rsid w:val="00DB5513"/>
    <w:rsid w:val="00DC0D21"/>
    <w:rsid w:val="00DC3F4F"/>
    <w:rsid w:val="00DC425A"/>
    <w:rsid w:val="00DD427D"/>
    <w:rsid w:val="00DD4424"/>
    <w:rsid w:val="00DD6E5B"/>
    <w:rsid w:val="00DD6EA3"/>
    <w:rsid w:val="00DE460C"/>
    <w:rsid w:val="00DE54B1"/>
    <w:rsid w:val="00DE64A7"/>
    <w:rsid w:val="00DF17B1"/>
    <w:rsid w:val="00DF1AF0"/>
    <w:rsid w:val="00DF1DFA"/>
    <w:rsid w:val="00DF392F"/>
    <w:rsid w:val="00E001AF"/>
    <w:rsid w:val="00E04711"/>
    <w:rsid w:val="00E061EF"/>
    <w:rsid w:val="00E07A01"/>
    <w:rsid w:val="00E169B8"/>
    <w:rsid w:val="00E17C1B"/>
    <w:rsid w:val="00E21313"/>
    <w:rsid w:val="00E2383D"/>
    <w:rsid w:val="00E33E8D"/>
    <w:rsid w:val="00E34815"/>
    <w:rsid w:val="00E413AC"/>
    <w:rsid w:val="00E53D32"/>
    <w:rsid w:val="00E63A67"/>
    <w:rsid w:val="00E65597"/>
    <w:rsid w:val="00E70C19"/>
    <w:rsid w:val="00E713D7"/>
    <w:rsid w:val="00E80520"/>
    <w:rsid w:val="00E81824"/>
    <w:rsid w:val="00E9074C"/>
    <w:rsid w:val="00EA19ED"/>
    <w:rsid w:val="00EB1B81"/>
    <w:rsid w:val="00EB5612"/>
    <w:rsid w:val="00EC152D"/>
    <w:rsid w:val="00EC6E91"/>
    <w:rsid w:val="00ED2D63"/>
    <w:rsid w:val="00ED5281"/>
    <w:rsid w:val="00ED5801"/>
    <w:rsid w:val="00ED5B55"/>
    <w:rsid w:val="00EF76D3"/>
    <w:rsid w:val="00F034E3"/>
    <w:rsid w:val="00F111E1"/>
    <w:rsid w:val="00F15D54"/>
    <w:rsid w:val="00F2246D"/>
    <w:rsid w:val="00F27922"/>
    <w:rsid w:val="00F335E5"/>
    <w:rsid w:val="00F336FA"/>
    <w:rsid w:val="00F40D2C"/>
    <w:rsid w:val="00F46C02"/>
    <w:rsid w:val="00F51187"/>
    <w:rsid w:val="00F53165"/>
    <w:rsid w:val="00F54855"/>
    <w:rsid w:val="00F61901"/>
    <w:rsid w:val="00F61BD3"/>
    <w:rsid w:val="00F64CBF"/>
    <w:rsid w:val="00F67A46"/>
    <w:rsid w:val="00F70F81"/>
    <w:rsid w:val="00F71D43"/>
    <w:rsid w:val="00F728D2"/>
    <w:rsid w:val="00F73A98"/>
    <w:rsid w:val="00F7793D"/>
    <w:rsid w:val="00F83A7F"/>
    <w:rsid w:val="00F8585A"/>
    <w:rsid w:val="00F87D85"/>
    <w:rsid w:val="00F952C4"/>
    <w:rsid w:val="00FA00A5"/>
    <w:rsid w:val="00FA43E7"/>
    <w:rsid w:val="00FA7D9D"/>
    <w:rsid w:val="00FB1175"/>
    <w:rsid w:val="00FB2311"/>
    <w:rsid w:val="00FB6E6A"/>
    <w:rsid w:val="00FD0B7A"/>
    <w:rsid w:val="00FD18CF"/>
    <w:rsid w:val="00FD3C93"/>
    <w:rsid w:val="00FD45C8"/>
    <w:rsid w:val="00FD5AE0"/>
    <w:rsid w:val="00FE0993"/>
    <w:rsid w:val="00FE17D1"/>
    <w:rsid w:val="00FF5C9A"/>
    <w:rsid w:val="00FF6E92"/>
    <w:rsid w:val="02C73036"/>
    <w:rsid w:val="081AC175"/>
    <w:rsid w:val="0D80F912"/>
    <w:rsid w:val="1BA28741"/>
    <w:rsid w:val="2E63B80E"/>
    <w:rsid w:val="34D67738"/>
    <w:rsid w:val="354C8AD9"/>
    <w:rsid w:val="37475372"/>
    <w:rsid w:val="5C79F2D3"/>
    <w:rsid w:val="5D7865C8"/>
    <w:rsid w:val="71C57296"/>
    <w:rsid w:val="7F643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CFFB4F24-79F2-4A46-9ED7-013EE304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5"/>
      </w:numPr>
      <w:ind w:left="284" w:hanging="284"/>
    </w:pPr>
    <w:rPr>
      <w:lang w:val="en-AU"/>
    </w:rPr>
  </w:style>
  <w:style w:type="paragraph" w:customStyle="1" w:styleId="Bullet2">
    <w:name w:val="Bullet 2"/>
    <w:basedOn w:val="Bullet1"/>
    <w:qFormat/>
    <w:rsid w:val="002E3BED"/>
    <w:pPr>
      <w:numPr>
        <w:numId w:val="13"/>
      </w:numPr>
    </w:pPr>
  </w:style>
  <w:style w:type="paragraph" w:customStyle="1" w:styleId="Numberlist">
    <w:name w:val="Number list"/>
    <w:basedOn w:val="Normal"/>
    <w:next w:val="Normal"/>
    <w:qFormat/>
    <w:rsid w:val="008B1737"/>
    <w:pPr>
      <w:numPr>
        <w:numId w:val="18"/>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6"/>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paragraph" w:styleId="ListParagraph">
    <w:name w:val="List Paragraph"/>
    <w:basedOn w:val="Normal"/>
    <w:uiPriority w:val="34"/>
    <w:qFormat/>
    <w:rsid w:val="000B3F48"/>
    <w:pPr>
      <w:spacing w:after="160" w:line="259" w:lineRule="auto"/>
      <w:ind w:left="720"/>
      <w:contextualSpacing/>
    </w:pPr>
    <w:rPr>
      <w:szCs w:val="22"/>
      <w:lang w:val="en-AU"/>
    </w:rPr>
  </w:style>
  <w:style w:type="table" w:styleId="GridTable2-Accent1">
    <w:name w:val="Grid Table 2 Accent 1"/>
    <w:basedOn w:val="TableNormal"/>
    <w:uiPriority w:val="47"/>
    <w:rsid w:val="000B3F48"/>
    <w:rPr>
      <w:sz w:val="22"/>
      <w:szCs w:val="22"/>
      <w:lang w:val="en-AU"/>
    </w:rPr>
    <w:tblPr>
      <w:tblStyleRowBandSize w:val="1"/>
      <w:tblStyleColBandSize w:val="1"/>
      <w:tblBorders>
        <w:top w:val="single" w:sz="2" w:space="0" w:color="3190FF" w:themeColor="accent1" w:themeTint="99"/>
        <w:bottom w:val="single" w:sz="2" w:space="0" w:color="3190FF" w:themeColor="accent1" w:themeTint="99"/>
        <w:insideH w:val="single" w:sz="2" w:space="0" w:color="3190FF" w:themeColor="accent1" w:themeTint="99"/>
        <w:insideV w:val="single" w:sz="2" w:space="0" w:color="3190FF" w:themeColor="accent1" w:themeTint="99"/>
      </w:tblBorders>
    </w:tblPr>
    <w:tblStylePr w:type="firstRow">
      <w:rPr>
        <w:b/>
        <w:bCs/>
      </w:rPr>
      <w:tblPr/>
      <w:tcPr>
        <w:tcBorders>
          <w:top w:val="nil"/>
          <w:bottom w:val="single" w:sz="12" w:space="0" w:color="3190FF" w:themeColor="accent1" w:themeTint="99"/>
          <w:insideH w:val="nil"/>
          <w:insideV w:val="nil"/>
        </w:tcBorders>
        <w:shd w:val="clear" w:color="auto" w:fill="FFFFFF" w:themeFill="background1"/>
      </w:tcPr>
    </w:tblStylePr>
    <w:tblStylePr w:type="lastRow">
      <w:rPr>
        <w:b/>
        <w:bCs/>
      </w:rPr>
      <w:tblPr/>
      <w:tcPr>
        <w:tcBorders>
          <w:top w:val="double" w:sz="2" w:space="0" w:color="319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AFF" w:themeFill="accent1" w:themeFillTint="33"/>
      </w:tcPr>
    </w:tblStylePr>
    <w:tblStylePr w:type="band1Horz">
      <w:tblPr/>
      <w:tcPr>
        <w:shd w:val="clear" w:color="auto" w:fill="BADAFF" w:themeFill="accent1" w:themeFillTint="33"/>
      </w:tcPr>
    </w:tblStylePr>
  </w:style>
  <w:style w:type="table" w:styleId="GridTable2">
    <w:name w:val="Grid Table 2"/>
    <w:basedOn w:val="TableNormal"/>
    <w:uiPriority w:val="47"/>
    <w:rsid w:val="000B3F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8802CA"/>
    <w:pPr>
      <w:autoSpaceDE w:val="0"/>
      <w:autoSpaceDN w:val="0"/>
      <w:adjustRightInd w:val="0"/>
    </w:pPr>
    <w:rPr>
      <w:rFonts w:ascii="Arial" w:hAnsi="Arial" w:cs="Arial"/>
      <w:color w:val="000000"/>
      <w:lang w:val="en-AU"/>
    </w:rPr>
  </w:style>
  <w:style w:type="character" w:styleId="FootnoteReference">
    <w:name w:val="footnote reference"/>
    <w:basedOn w:val="DefaultParagraphFont"/>
    <w:uiPriority w:val="99"/>
    <w:semiHidden/>
    <w:unhideWhenUsed/>
    <w:rsid w:val="00B424F8"/>
    <w:rPr>
      <w:vertAlign w:val="superscript"/>
    </w:rPr>
  </w:style>
  <w:style w:type="paragraph" w:customStyle="1" w:styleId="EndNoteBibliography">
    <w:name w:val="EndNote Bibliography"/>
    <w:basedOn w:val="Normal"/>
    <w:link w:val="EndNoteBibliographyChar"/>
    <w:rsid w:val="0071583F"/>
    <w:pPr>
      <w:spacing w:before="120" w:after="0"/>
      <w:ind w:firstLine="737"/>
    </w:pPr>
    <w:rPr>
      <w:rFonts w:ascii="Calibri" w:eastAsia="Times New Roman" w:hAnsi="Calibri" w:cs="Calibri"/>
      <w:sz w:val="24"/>
      <w:lang w:val="en-US" w:eastAsia="en-GB"/>
    </w:rPr>
  </w:style>
  <w:style w:type="character" w:customStyle="1" w:styleId="EndNoteBibliographyChar">
    <w:name w:val="EndNote Bibliography Char"/>
    <w:basedOn w:val="DefaultParagraphFont"/>
    <w:link w:val="EndNoteBibliography"/>
    <w:rsid w:val="0071583F"/>
    <w:rPr>
      <w:rFonts w:ascii="Calibri" w:eastAsia="Times New Roman" w:hAnsi="Calibri" w:cs="Calibri"/>
      <w:lang w:val="en-US" w:eastAsia="en-GB"/>
    </w:rPr>
  </w:style>
  <w:style w:type="character" w:styleId="CommentReference">
    <w:name w:val="annotation reference"/>
    <w:basedOn w:val="DefaultParagraphFont"/>
    <w:uiPriority w:val="99"/>
    <w:semiHidden/>
    <w:unhideWhenUsed/>
    <w:rsid w:val="00A3192A"/>
    <w:rPr>
      <w:sz w:val="16"/>
      <w:szCs w:val="16"/>
    </w:rPr>
  </w:style>
  <w:style w:type="paragraph" w:styleId="Bibliography">
    <w:name w:val="Bibliography"/>
    <w:basedOn w:val="Normal"/>
    <w:next w:val="Normal"/>
    <w:uiPriority w:val="37"/>
    <w:unhideWhenUsed/>
    <w:rsid w:val="00D20BD6"/>
  </w:style>
  <w:style w:type="paragraph" w:styleId="CommentText">
    <w:name w:val="annotation text"/>
    <w:basedOn w:val="Normal"/>
    <w:link w:val="CommentTextChar"/>
    <w:uiPriority w:val="99"/>
    <w:semiHidden/>
    <w:unhideWhenUsed/>
    <w:rsid w:val="00A72F49"/>
    <w:rPr>
      <w:sz w:val="20"/>
      <w:szCs w:val="20"/>
    </w:rPr>
  </w:style>
  <w:style w:type="character" w:customStyle="1" w:styleId="CommentTextChar">
    <w:name w:val="Comment Text Char"/>
    <w:basedOn w:val="DefaultParagraphFont"/>
    <w:link w:val="CommentText"/>
    <w:uiPriority w:val="99"/>
    <w:semiHidden/>
    <w:rsid w:val="00A72F49"/>
    <w:rPr>
      <w:sz w:val="20"/>
      <w:szCs w:val="20"/>
    </w:rPr>
  </w:style>
  <w:style w:type="paragraph" w:styleId="CommentSubject">
    <w:name w:val="annotation subject"/>
    <w:basedOn w:val="CommentText"/>
    <w:next w:val="CommentText"/>
    <w:link w:val="CommentSubjectChar"/>
    <w:uiPriority w:val="99"/>
    <w:semiHidden/>
    <w:unhideWhenUsed/>
    <w:rsid w:val="00A72F49"/>
    <w:rPr>
      <w:b/>
      <w:bCs/>
    </w:rPr>
  </w:style>
  <w:style w:type="character" w:customStyle="1" w:styleId="CommentSubjectChar">
    <w:name w:val="Comment Subject Char"/>
    <w:basedOn w:val="CommentTextChar"/>
    <w:link w:val="CommentSubject"/>
    <w:uiPriority w:val="99"/>
    <w:semiHidden/>
    <w:rsid w:val="00A72F49"/>
    <w:rPr>
      <w:b/>
      <w:bCs/>
      <w:sz w:val="20"/>
      <w:szCs w:val="20"/>
    </w:rPr>
  </w:style>
  <w:style w:type="paragraph" w:styleId="BalloonText">
    <w:name w:val="Balloon Text"/>
    <w:basedOn w:val="Normal"/>
    <w:link w:val="BalloonTextChar"/>
    <w:uiPriority w:val="99"/>
    <w:semiHidden/>
    <w:unhideWhenUsed/>
    <w:rsid w:val="00A72F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F49"/>
    <w:rPr>
      <w:rFonts w:ascii="Segoe UI" w:hAnsi="Segoe UI" w:cs="Segoe UI"/>
      <w:sz w:val="18"/>
      <w:szCs w:val="18"/>
    </w:rPr>
  </w:style>
  <w:style w:type="character" w:styleId="UnresolvedMention">
    <w:name w:val="Unresolved Mention"/>
    <w:basedOn w:val="DefaultParagraphFont"/>
    <w:uiPriority w:val="99"/>
    <w:rsid w:val="008D4065"/>
    <w:rPr>
      <w:color w:val="605E5C"/>
      <w:shd w:val="clear" w:color="auto" w:fill="E1DFDD"/>
    </w:rPr>
  </w:style>
  <w:style w:type="character" w:styleId="Mention">
    <w:name w:val="Mention"/>
    <w:basedOn w:val="DefaultParagraphFont"/>
    <w:uiPriority w:val="99"/>
    <w:rsid w:val="006B7C10"/>
    <w:rPr>
      <w:color w:val="2B579A"/>
      <w:shd w:val="clear" w:color="auto" w:fill="E1DFDD"/>
    </w:rPr>
  </w:style>
  <w:style w:type="character" w:styleId="FollowedHyperlink">
    <w:name w:val="FollowedHyperlink"/>
    <w:basedOn w:val="DefaultParagraphFont"/>
    <w:uiPriority w:val="99"/>
    <w:semiHidden/>
    <w:unhideWhenUsed/>
    <w:rsid w:val="0003086B"/>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6468">
      <w:bodyDiv w:val="1"/>
      <w:marLeft w:val="0"/>
      <w:marRight w:val="0"/>
      <w:marTop w:val="0"/>
      <w:marBottom w:val="0"/>
      <w:divBdr>
        <w:top w:val="none" w:sz="0" w:space="0" w:color="auto"/>
        <w:left w:val="none" w:sz="0" w:space="0" w:color="auto"/>
        <w:bottom w:val="none" w:sz="0" w:space="0" w:color="auto"/>
        <w:right w:val="none" w:sz="0" w:space="0" w:color="auto"/>
      </w:divBdr>
    </w:div>
    <w:div w:id="104886270">
      <w:bodyDiv w:val="1"/>
      <w:marLeft w:val="0"/>
      <w:marRight w:val="0"/>
      <w:marTop w:val="0"/>
      <w:marBottom w:val="0"/>
      <w:divBdr>
        <w:top w:val="none" w:sz="0" w:space="0" w:color="auto"/>
        <w:left w:val="none" w:sz="0" w:space="0" w:color="auto"/>
        <w:bottom w:val="none" w:sz="0" w:space="0" w:color="auto"/>
        <w:right w:val="none" w:sz="0" w:space="0" w:color="auto"/>
      </w:divBdr>
    </w:div>
    <w:div w:id="126899018">
      <w:bodyDiv w:val="1"/>
      <w:marLeft w:val="0"/>
      <w:marRight w:val="0"/>
      <w:marTop w:val="0"/>
      <w:marBottom w:val="0"/>
      <w:divBdr>
        <w:top w:val="none" w:sz="0" w:space="0" w:color="auto"/>
        <w:left w:val="none" w:sz="0" w:space="0" w:color="auto"/>
        <w:bottom w:val="none" w:sz="0" w:space="0" w:color="auto"/>
        <w:right w:val="none" w:sz="0" w:space="0" w:color="auto"/>
      </w:divBdr>
    </w:div>
    <w:div w:id="134034785">
      <w:bodyDiv w:val="1"/>
      <w:marLeft w:val="0"/>
      <w:marRight w:val="0"/>
      <w:marTop w:val="0"/>
      <w:marBottom w:val="0"/>
      <w:divBdr>
        <w:top w:val="none" w:sz="0" w:space="0" w:color="auto"/>
        <w:left w:val="none" w:sz="0" w:space="0" w:color="auto"/>
        <w:bottom w:val="none" w:sz="0" w:space="0" w:color="auto"/>
        <w:right w:val="none" w:sz="0" w:space="0" w:color="auto"/>
      </w:divBdr>
    </w:div>
    <w:div w:id="144133240">
      <w:bodyDiv w:val="1"/>
      <w:marLeft w:val="0"/>
      <w:marRight w:val="0"/>
      <w:marTop w:val="0"/>
      <w:marBottom w:val="0"/>
      <w:divBdr>
        <w:top w:val="none" w:sz="0" w:space="0" w:color="auto"/>
        <w:left w:val="none" w:sz="0" w:space="0" w:color="auto"/>
        <w:bottom w:val="none" w:sz="0" w:space="0" w:color="auto"/>
        <w:right w:val="none" w:sz="0" w:space="0" w:color="auto"/>
      </w:divBdr>
      <w:divsChild>
        <w:div w:id="581763491">
          <w:marLeft w:val="144"/>
          <w:marRight w:val="0"/>
          <w:marTop w:val="0"/>
          <w:marBottom w:val="90"/>
          <w:divBdr>
            <w:top w:val="none" w:sz="0" w:space="0" w:color="auto"/>
            <w:left w:val="none" w:sz="0" w:space="0" w:color="auto"/>
            <w:bottom w:val="none" w:sz="0" w:space="0" w:color="auto"/>
            <w:right w:val="none" w:sz="0" w:space="0" w:color="auto"/>
          </w:divBdr>
        </w:div>
        <w:div w:id="833686609">
          <w:marLeft w:val="144"/>
          <w:marRight w:val="0"/>
          <w:marTop w:val="0"/>
          <w:marBottom w:val="90"/>
          <w:divBdr>
            <w:top w:val="none" w:sz="0" w:space="0" w:color="auto"/>
            <w:left w:val="none" w:sz="0" w:space="0" w:color="auto"/>
            <w:bottom w:val="none" w:sz="0" w:space="0" w:color="auto"/>
            <w:right w:val="none" w:sz="0" w:space="0" w:color="auto"/>
          </w:divBdr>
        </w:div>
        <w:div w:id="2127431604">
          <w:marLeft w:val="144"/>
          <w:marRight w:val="0"/>
          <w:marTop w:val="0"/>
          <w:marBottom w:val="90"/>
          <w:divBdr>
            <w:top w:val="none" w:sz="0" w:space="0" w:color="auto"/>
            <w:left w:val="none" w:sz="0" w:space="0" w:color="auto"/>
            <w:bottom w:val="none" w:sz="0" w:space="0" w:color="auto"/>
            <w:right w:val="none" w:sz="0" w:space="0" w:color="auto"/>
          </w:divBdr>
        </w:div>
      </w:divsChild>
    </w:div>
    <w:div w:id="168832599">
      <w:bodyDiv w:val="1"/>
      <w:marLeft w:val="0"/>
      <w:marRight w:val="0"/>
      <w:marTop w:val="0"/>
      <w:marBottom w:val="0"/>
      <w:divBdr>
        <w:top w:val="none" w:sz="0" w:space="0" w:color="auto"/>
        <w:left w:val="none" w:sz="0" w:space="0" w:color="auto"/>
        <w:bottom w:val="none" w:sz="0" w:space="0" w:color="auto"/>
        <w:right w:val="none" w:sz="0" w:space="0" w:color="auto"/>
      </w:divBdr>
    </w:div>
    <w:div w:id="239950198">
      <w:bodyDiv w:val="1"/>
      <w:marLeft w:val="0"/>
      <w:marRight w:val="0"/>
      <w:marTop w:val="0"/>
      <w:marBottom w:val="0"/>
      <w:divBdr>
        <w:top w:val="none" w:sz="0" w:space="0" w:color="auto"/>
        <w:left w:val="none" w:sz="0" w:space="0" w:color="auto"/>
        <w:bottom w:val="none" w:sz="0" w:space="0" w:color="auto"/>
        <w:right w:val="none" w:sz="0" w:space="0" w:color="auto"/>
      </w:divBdr>
    </w:div>
    <w:div w:id="330375135">
      <w:bodyDiv w:val="1"/>
      <w:marLeft w:val="0"/>
      <w:marRight w:val="0"/>
      <w:marTop w:val="0"/>
      <w:marBottom w:val="0"/>
      <w:divBdr>
        <w:top w:val="none" w:sz="0" w:space="0" w:color="auto"/>
        <w:left w:val="none" w:sz="0" w:space="0" w:color="auto"/>
        <w:bottom w:val="none" w:sz="0" w:space="0" w:color="auto"/>
        <w:right w:val="none" w:sz="0" w:space="0" w:color="auto"/>
      </w:divBdr>
    </w:div>
    <w:div w:id="392120888">
      <w:bodyDiv w:val="1"/>
      <w:marLeft w:val="0"/>
      <w:marRight w:val="0"/>
      <w:marTop w:val="0"/>
      <w:marBottom w:val="0"/>
      <w:divBdr>
        <w:top w:val="none" w:sz="0" w:space="0" w:color="auto"/>
        <w:left w:val="none" w:sz="0" w:space="0" w:color="auto"/>
        <w:bottom w:val="none" w:sz="0" w:space="0" w:color="auto"/>
        <w:right w:val="none" w:sz="0" w:space="0" w:color="auto"/>
      </w:divBdr>
    </w:div>
    <w:div w:id="394007385">
      <w:bodyDiv w:val="1"/>
      <w:marLeft w:val="0"/>
      <w:marRight w:val="0"/>
      <w:marTop w:val="0"/>
      <w:marBottom w:val="0"/>
      <w:divBdr>
        <w:top w:val="none" w:sz="0" w:space="0" w:color="auto"/>
        <w:left w:val="none" w:sz="0" w:space="0" w:color="auto"/>
        <w:bottom w:val="none" w:sz="0" w:space="0" w:color="auto"/>
        <w:right w:val="none" w:sz="0" w:space="0" w:color="auto"/>
      </w:divBdr>
    </w:div>
    <w:div w:id="472408043">
      <w:bodyDiv w:val="1"/>
      <w:marLeft w:val="0"/>
      <w:marRight w:val="0"/>
      <w:marTop w:val="0"/>
      <w:marBottom w:val="0"/>
      <w:divBdr>
        <w:top w:val="none" w:sz="0" w:space="0" w:color="auto"/>
        <w:left w:val="none" w:sz="0" w:space="0" w:color="auto"/>
        <w:bottom w:val="none" w:sz="0" w:space="0" w:color="auto"/>
        <w:right w:val="none" w:sz="0" w:space="0" w:color="auto"/>
      </w:divBdr>
    </w:div>
    <w:div w:id="525211734">
      <w:bodyDiv w:val="1"/>
      <w:marLeft w:val="0"/>
      <w:marRight w:val="0"/>
      <w:marTop w:val="0"/>
      <w:marBottom w:val="0"/>
      <w:divBdr>
        <w:top w:val="none" w:sz="0" w:space="0" w:color="auto"/>
        <w:left w:val="none" w:sz="0" w:space="0" w:color="auto"/>
        <w:bottom w:val="none" w:sz="0" w:space="0" w:color="auto"/>
        <w:right w:val="none" w:sz="0" w:space="0" w:color="auto"/>
      </w:divBdr>
    </w:div>
    <w:div w:id="721447818">
      <w:bodyDiv w:val="1"/>
      <w:marLeft w:val="0"/>
      <w:marRight w:val="0"/>
      <w:marTop w:val="0"/>
      <w:marBottom w:val="0"/>
      <w:divBdr>
        <w:top w:val="none" w:sz="0" w:space="0" w:color="auto"/>
        <w:left w:val="none" w:sz="0" w:space="0" w:color="auto"/>
        <w:bottom w:val="none" w:sz="0" w:space="0" w:color="auto"/>
        <w:right w:val="none" w:sz="0" w:space="0" w:color="auto"/>
      </w:divBdr>
    </w:div>
    <w:div w:id="732503918">
      <w:bodyDiv w:val="1"/>
      <w:marLeft w:val="0"/>
      <w:marRight w:val="0"/>
      <w:marTop w:val="0"/>
      <w:marBottom w:val="0"/>
      <w:divBdr>
        <w:top w:val="none" w:sz="0" w:space="0" w:color="auto"/>
        <w:left w:val="none" w:sz="0" w:space="0" w:color="auto"/>
        <w:bottom w:val="none" w:sz="0" w:space="0" w:color="auto"/>
        <w:right w:val="none" w:sz="0" w:space="0" w:color="auto"/>
      </w:divBdr>
    </w:div>
    <w:div w:id="768812996">
      <w:bodyDiv w:val="1"/>
      <w:marLeft w:val="0"/>
      <w:marRight w:val="0"/>
      <w:marTop w:val="0"/>
      <w:marBottom w:val="0"/>
      <w:divBdr>
        <w:top w:val="none" w:sz="0" w:space="0" w:color="auto"/>
        <w:left w:val="none" w:sz="0" w:space="0" w:color="auto"/>
        <w:bottom w:val="none" w:sz="0" w:space="0" w:color="auto"/>
        <w:right w:val="none" w:sz="0" w:space="0" w:color="auto"/>
      </w:divBdr>
    </w:div>
    <w:div w:id="789855459">
      <w:bodyDiv w:val="1"/>
      <w:marLeft w:val="0"/>
      <w:marRight w:val="0"/>
      <w:marTop w:val="0"/>
      <w:marBottom w:val="0"/>
      <w:divBdr>
        <w:top w:val="none" w:sz="0" w:space="0" w:color="auto"/>
        <w:left w:val="none" w:sz="0" w:space="0" w:color="auto"/>
        <w:bottom w:val="none" w:sz="0" w:space="0" w:color="auto"/>
        <w:right w:val="none" w:sz="0" w:space="0" w:color="auto"/>
      </w:divBdr>
    </w:div>
    <w:div w:id="1030112335">
      <w:bodyDiv w:val="1"/>
      <w:marLeft w:val="0"/>
      <w:marRight w:val="0"/>
      <w:marTop w:val="0"/>
      <w:marBottom w:val="0"/>
      <w:divBdr>
        <w:top w:val="none" w:sz="0" w:space="0" w:color="auto"/>
        <w:left w:val="none" w:sz="0" w:space="0" w:color="auto"/>
        <w:bottom w:val="none" w:sz="0" w:space="0" w:color="auto"/>
        <w:right w:val="none" w:sz="0" w:space="0" w:color="auto"/>
      </w:divBdr>
    </w:div>
    <w:div w:id="1140805901">
      <w:bodyDiv w:val="1"/>
      <w:marLeft w:val="0"/>
      <w:marRight w:val="0"/>
      <w:marTop w:val="0"/>
      <w:marBottom w:val="0"/>
      <w:divBdr>
        <w:top w:val="none" w:sz="0" w:space="0" w:color="auto"/>
        <w:left w:val="none" w:sz="0" w:space="0" w:color="auto"/>
        <w:bottom w:val="none" w:sz="0" w:space="0" w:color="auto"/>
        <w:right w:val="none" w:sz="0" w:space="0" w:color="auto"/>
      </w:divBdr>
    </w:div>
    <w:div w:id="1228422116">
      <w:bodyDiv w:val="1"/>
      <w:marLeft w:val="0"/>
      <w:marRight w:val="0"/>
      <w:marTop w:val="0"/>
      <w:marBottom w:val="0"/>
      <w:divBdr>
        <w:top w:val="none" w:sz="0" w:space="0" w:color="auto"/>
        <w:left w:val="none" w:sz="0" w:space="0" w:color="auto"/>
        <w:bottom w:val="none" w:sz="0" w:space="0" w:color="auto"/>
        <w:right w:val="none" w:sz="0" w:space="0" w:color="auto"/>
      </w:divBdr>
    </w:div>
    <w:div w:id="1297568069">
      <w:bodyDiv w:val="1"/>
      <w:marLeft w:val="0"/>
      <w:marRight w:val="0"/>
      <w:marTop w:val="0"/>
      <w:marBottom w:val="0"/>
      <w:divBdr>
        <w:top w:val="none" w:sz="0" w:space="0" w:color="auto"/>
        <w:left w:val="none" w:sz="0" w:space="0" w:color="auto"/>
        <w:bottom w:val="none" w:sz="0" w:space="0" w:color="auto"/>
        <w:right w:val="none" w:sz="0" w:space="0" w:color="auto"/>
      </w:divBdr>
    </w:div>
    <w:div w:id="1356884827">
      <w:bodyDiv w:val="1"/>
      <w:marLeft w:val="0"/>
      <w:marRight w:val="0"/>
      <w:marTop w:val="0"/>
      <w:marBottom w:val="0"/>
      <w:divBdr>
        <w:top w:val="none" w:sz="0" w:space="0" w:color="auto"/>
        <w:left w:val="none" w:sz="0" w:space="0" w:color="auto"/>
        <w:bottom w:val="none" w:sz="0" w:space="0" w:color="auto"/>
        <w:right w:val="none" w:sz="0" w:space="0" w:color="auto"/>
      </w:divBdr>
    </w:div>
    <w:div w:id="1388261397">
      <w:bodyDiv w:val="1"/>
      <w:marLeft w:val="0"/>
      <w:marRight w:val="0"/>
      <w:marTop w:val="0"/>
      <w:marBottom w:val="0"/>
      <w:divBdr>
        <w:top w:val="none" w:sz="0" w:space="0" w:color="auto"/>
        <w:left w:val="none" w:sz="0" w:space="0" w:color="auto"/>
        <w:bottom w:val="none" w:sz="0" w:space="0" w:color="auto"/>
        <w:right w:val="none" w:sz="0" w:space="0" w:color="auto"/>
      </w:divBdr>
    </w:div>
    <w:div w:id="1448348696">
      <w:bodyDiv w:val="1"/>
      <w:marLeft w:val="0"/>
      <w:marRight w:val="0"/>
      <w:marTop w:val="0"/>
      <w:marBottom w:val="0"/>
      <w:divBdr>
        <w:top w:val="none" w:sz="0" w:space="0" w:color="auto"/>
        <w:left w:val="none" w:sz="0" w:space="0" w:color="auto"/>
        <w:bottom w:val="none" w:sz="0" w:space="0" w:color="auto"/>
        <w:right w:val="none" w:sz="0" w:space="0" w:color="auto"/>
      </w:divBdr>
    </w:div>
    <w:div w:id="1579559891">
      <w:bodyDiv w:val="1"/>
      <w:marLeft w:val="0"/>
      <w:marRight w:val="0"/>
      <w:marTop w:val="0"/>
      <w:marBottom w:val="0"/>
      <w:divBdr>
        <w:top w:val="none" w:sz="0" w:space="0" w:color="auto"/>
        <w:left w:val="none" w:sz="0" w:space="0" w:color="auto"/>
        <w:bottom w:val="none" w:sz="0" w:space="0" w:color="auto"/>
        <w:right w:val="none" w:sz="0" w:space="0" w:color="auto"/>
      </w:divBdr>
    </w:div>
    <w:div w:id="1623876418">
      <w:bodyDiv w:val="1"/>
      <w:marLeft w:val="0"/>
      <w:marRight w:val="0"/>
      <w:marTop w:val="0"/>
      <w:marBottom w:val="0"/>
      <w:divBdr>
        <w:top w:val="none" w:sz="0" w:space="0" w:color="auto"/>
        <w:left w:val="none" w:sz="0" w:space="0" w:color="auto"/>
        <w:bottom w:val="none" w:sz="0" w:space="0" w:color="auto"/>
        <w:right w:val="none" w:sz="0" w:space="0" w:color="auto"/>
      </w:divBdr>
    </w:div>
    <w:div w:id="1649477842">
      <w:bodyDiv w:val="1"/>
      <w:marLeft w:val="0"/>
      <w:marRight w:val="0"/>
      <w:marTop w:val="0"/>
      <w:marBottom w:val="0"/>
      <w:divBdr>
        <w:top w:val="none" w:sz="0" w:space="0" w:color="auto"/>
        <w:left w:val="none" w:sz="0" w:space="0" w:color="auto"/>
        <w:bottom w:val="none" w:sz="0" w:space="0" w:color="auto"/>
        <w:right w:val="none" w:sz="0" w:space="0" w:color="auto"/>
      </w:divBdr>
    </w:div>
    <w:div w:id="1749574141">
      <w:bodyDiv w:val="1"/>
      <w:marLeft w:val="0"/>
      <w:marRight w:val="0"/>
      <w:marTop w:val="0"/>
      <w:marBottom w:val="0"/>
      <w:divBdr>
        <w:top w:val="none" w:sz="0" w:space="0" w:color="auto"/>
        <w:left w:val="none" w:sz="0" w:space="0" w:color="auto"/>
        <w:bottom w:val="none" w:sz="0" w:space="0" w:color="auto"/>
        <w:right w:val="none" w:sz="0" w:space="0" w:color="auto"/>
      </w:divBdr>
    </w:div>
    <w:div w:id="1770470157">
      <w:bodyDiv w:val="1"/>
      <w:marLeft w:val="0"/>
      <w:marRight w:val="0"/>
      <w:marTop w:val="0"/>
      <w:marBottom w:val="0"/>
      <w:divBdr>
        <w:top w:val="none" w:sz="0" w:space="0" w:color="auto"/>
        <w:left w:val="none" w:sz="0" w:space="0" w:color="auto"/>
        <w:bottom w:val="none" w:sz="0" w:space="0" w:color="auto"/>
        <w:right w:val="none" w:sz="0" w:space="0" w:color="auto"/>
      </w:divBdr>
    </w:div>
    <w:div w:id="1953241427">
      <w:bodyDiv w:val="1"/>
      <w:marLeft w:val="0"/>
      <w:marRight w:val="0"/>
      <w:marTop w:val="0"/>
      <w:marBottom w:val="0"/>
      <w:divBdr>
        <w:top w:val="none" w:sz="0" w:space="0" w:color="auto"/>
        <w:left w:val="none" w:sz="0" w:space="0" w:color="auto"/>
        <w:bottom w:val="none" w:sz="0" w:space="0" w:color="auto"/>
        <w:right w:val="none" w:sz="0" w:space="0" w:color="auto"/>
      </w:divBdr>
      <w:divsChild>
        <w:div w:id="647517837">
          <w:marLeft w:val="144"/>
          <w:marRight w:val="0"/>
          <w:marTop w:val="0"/>
          <w:marBottom w:val="90"/>
          <w:divBdr>
            <w:top w:val="none" w:sz="0" w:space="0" w:color="auto"/>
            <w:left w:val="none" w:sz="0" w:space="0" w:color="auto"/>
            <w:bottom w:val="none" w:sz="0" w:space="0" w:color="auto"/>
            <w:right w:val="none" w:sz="0" w:space="0" w:color="auto"/>
          </w:divBdr>
        </w:div>
      </w:divsChild>
    </w:div>
    <w:div w:id="2092895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se.education.vic.gov.au/Resource/LandingPage?ObjectId=bbecda77-6ec5-4070-bf1f-556ea7abbb50" TargetMode="External"/><Relationship Id="rId18" Type="http://schemas.openxmlformats.org/officeDocument/2006/relationships/hyperlink" Target="http://www.education.vic.gov.au/Documents/school/principals/management/IRU-SSkit-SisSchFindings.pdf" TargetMode="External"/><Relationship Id="rId26" Type="http://schemas.openxmlformats.org/officeDocument/2006/relationships/hyperlink" Target="https://researchers.mq.edu.au/en/publications/independent-evaluation-of-the-national-community-hubs-program" TargetMode="External"/><Relationship Id="rId39" Type="http://schemas.openxmlformats.org/officeDocument/2006/relationships/theme" Target="theme/theme1.xml"/><Relationship Id="rId21" Type="http://schemas.openxmlformats.org/officeDocument/2006/relationships/hyperlink" Target="https://educationendowmentfoundation.org.uk/covid-19-resources/guide-to-supporting-schools-plannin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use.education.vic.gov.au/Resource/LandingPage?ObjectId=c5c29a97-ee32-44b7-99af-700fc35820f9" TargetMode="External"/><Relationship Id="rId17" Type="http://schemas.openxmlformats.org/officeDocument/2006/relationships/hyperlink" Target="http://nla.gov.au/nla.arc-158409-20160517-0329-www.cese.nsw.gov.au/images/stories/PDF/HighValueAddReport_Oct2015.pdf" TargetMode="External"/><Relationship Id="rId25" Type="http://schemas.openxmlformats.org/officeDocument/2006/relationships/hyperlink" Target="https://oaktrust.library.tamu.edu/bitstream/handle/1969.1/2710/etd-tamu-2004B-SPSY-lewis.pdf?sequence=1&amp;isAllowed=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acy.org.au/documents/item/647" TargetMode="External"/><Relationship Id="rId20" Type="http://schemas.openxmlformats.org/officeDocument/2006/relationships/hyperlink" Target="https://educationendowmentfoundation.org.uk/evidence-summaries/teaching-learning-toolkit/parental-engagement/" TargetMode="External"/><Relationship Id="rId29" Type="http://schemas.openxmlformats.org/officeDocument/2006/relationships/hyperlink" Target="https://www.rch.org.au/uploadedFiles/Main/Content/ccch/Schools_as_Community_Hubs_Lit_Re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se.education.vic.gov.au/Resource/LandingPage?ObjectId=49625460-96e0-4b5d-a6df-c575048571e7&amp;SearchScope=Teacher" TargetMode="External"/><Relationship Id="rId24" Type="http://schemas.openxmlformats.org/officeDocument/2006/relationships/hyperlink" Target="https://www.melbourneinstitute.com/downloads/working_paper_series/wp2013n17.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igitalcommons.acu.edu/etd/112/" TargetMode="External"/><Relationship Id="rId23" Type="http://schemas.openxmlformats.org/officeDocument/2006/relationships/hyperlink" Target="https://evidenceforlearning.org.au/guidance-reports/putting-evidence-to-work-a-schools-guide-to-implementation/" TargetMode="External"/><Relationship Id="rId28" Type="http://schemas.openxmlformats.org/officeDocument/2006/relationships/hyperlink" Target="https://resources.corwin.com/sites/default/files/9_3-measure_of_partnerships.pdf"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ese.gov.au/uncategorised/resources/through-growth-achievement-report-review-achieve-educational-excellence-australian-schools" TargetMode="External"/><Relationship Id="rId31" Type="http://schemas.openxmlformats.org/officeDocument/2006/relationships/hyperlink" Target="https://www.aracy.org.au/publications-resources/command/download_file/id/167/filename/What_is_the_best_modern_evidence_to_guide_building_a_communit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se.education.vic.gov.au/Resource/LandingPage?ObjectId=5db26238-357c-4524-ac10-bdccc103c6e2" TargetMode="External"/><Relationship Id="rId22" Type="http://schemas.openxmlformats.org/officeDocument/2006/relationships/hyperlink" Target="http://www.familyschool.org.au/files/3313/7955/2295/parental-engagement-in-learning-and-schooling.pdf" TargetMode="External"/><Relationship Id="rId27" Type="http://schemas.openxmlformats.org/officeDocument/2006/relationships/hyperlink" Target="https://citeseerx.ist.psu.edu/viewdoc/download?doi=10.1.1.502.8515&amp;rep=rep1&amp;type=pdf" TargetMode="External"/><Relationship Id="rId30" Type="http://schemas.openxmlformats.org/officeDocument/2006/relationships/hyperlink" Target="http://www.schoolcommunitynetwork.org/downloads/FACEHandbook.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Community engagement in learning evidence base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She19</b:Tag>
    <b:SourceType>JournalArticle</b:SourceType>
    <b:Guid>{25314A97-CEB2-471E-9823-E8988DCFCAC3}</b:Guid>
    <b:Title>A Meta-Analysis of Family-School Interventions and Children’s Social-Emotional Functioning: Moderators and Components of Efficacy</b:Title>
    <b:JournalName>Review of Educational Research</b:JournalName>
    <b:Year>2019</b:Year>
    <b:Pages>296-332</b:Pages>
    <b:Author>
      <b:Author>
        <b:NameList>
          <b:Person>
            <b:Last>Sheridan</b:Last>
            <b:First>S</b:First>
          </b:Person>
          <b:Person>
            <b:Last>Smith</b:Last>
            <b:First>T</b:First>
          </b:Person>
          <b:Person>
            <b:Last>Moorman</b:Last>
            <b:First>E</b:First>
          </b:Person>
        </b:NameList>
      </b:Author>
    </b:Author>
    <b:Volume>89</b:Volume>
    <b:Issue>2</b:Issue>
    <b:RefOrder>1</b:RefOrder>
  </b:Source>
  <b:Source>
    <b:Tag>Gol19</b:Tag>
    <b:SourceType>JournalArticle</b:SourceType>
    <b:Guid>{7C206FC0-45AE-414E-941F-80831AADDD36}</b:Guid>
    <b:Author>
      <b:Author>
        <b:NameList>
          <b:Person>
            <b:Last>Goldberg</b:Last>
            <b:First>Jochem</b:First>
          </b:Person>
          <b:Person>
            <b:Last>Sklad</b:Last>
            <b:First>Marcin</b:First>
          </b:Person>
          <b:Person>
            <b:Last>Elfrink</b:Last>
            <b:First>Teuntje</b:First>
          </b:Person>
          <b:Person>
            <b:Last>Schreurs</b:Last>
            <b:First>Karlein</b:First>
          </b:Person>
          <b:Person>
            <b:Last>Bohlmeijer</b:Last>
            <b:First>Ernst</b:First>
          </b:Person>
          <b:Person>
            <b:Last>Clarke</b:Last>
            <b:First>Aleisha</b:First>
          </b:Person>
        </b:NameList>
      </b:Author>
    </b:Author>
    <b:Title>Effectiveness of interventions adopting a whole school</b:Title>
    <b:JournalName>European Journal of Psychology of Education</b:JournalName>
    <b:Year>2019</b:Year>
    <b:Pages>755-782</b:Pages>
    <b:RefOrder>2</b:RefOrder>
  </b:Source>
  <b:Source>
    <b:Tag>Att11</b:Tag>
    <b:SourceType>JournalArticle</b:SourceType>
    <b:Guid>{12F0F988-235E-415B-B6C2-32DE4D597382}</b:Guid>
    <b:Title>The experience of community engagement for individuals: a rapid review of evidence</b:Title>
    <b:JournalName>Health and social care in the community</b:JournalName>
    <b:Year>2011</b:Year>
    <b:Pages>250-260</b:Pages>
    <b:Author>
      <b:Author>
        <b:NameList>
          <b:Person>
            <b:Last>Attree</b:Last>
            <b:First>P</b:First>
          </b:Person>
        </b:NameList>
      </b:Author>
    </b:Author>
    <b:Volume>19</b:Volume>
    <b:Issue>3</b:Issue>
    <b:RefOrder>3</b:RefOrder>
  </b:Source>
</b:Sources>
</file>

<file path=customXml/itemProps1.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2.xml><?xml version="1.0" encoding="utf-8"?>
<ds:datastoreItem xmlns:ds="http://schemas.openxmlformats.org/officeDocument/2006/customXml" ds:itemID="{9913B85D-EEA0-4127-A63D-4DECABE0FCEC}"/>
</file>

<file path=customXml/itemProps3.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6B71E4-B63F-4123-A803-F2C89D37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3569</Words>
  <Characters>20347</Characters>
  <Application>Microsoft Office Word</Application>
  <DocSecurity>0</DocSecurity>
  <Lines>169</Lines>
  <Paragraphs>47</Paragraphs>
  <ScaleCrop>false</ScaleCrop>
  <Company/>
  <LinksUpToDate>false</LinksUpToDate>
  <CharactersWithSpaces>23869</CharactersWithSpaces>
  <SharedDoc>false</SharedDoc>
  <HLinks>
    <vt:vector size="12" baseType="variant">
      <vt:variant>
        <vt:i4>2818103</vt:i4>
      </vt:variant>
      <vt:variant>
        <vt:i4>3</vt:i4>
      </vt:variant>
      <vt:variant>
        <vt:i4>0</vt:i4>
      </vt:variant>
      <vt:variant>
        <vt:i4>5</vt:i4>
      </vt:variant>
      <vt:variant>
        <vt:lpwstr>https://evidenceforlearning.org.au/guidance-reports/putting-evidence-to-work-a-schools-guide-to-implementation/</vt:lpwstr>
      </vt:variant>
      <vt:variant>
        <vt:lpwstr/>
      </vt:variant>
      <vt:variant>
        <vt:i4>5963863</vt:i4>
      </vt:variant>
      <vt:variant>
        <vt:i4>0</vt:i4>
      </vt:variant>
      <vt:variant>
        <vt:i4>0</vt:i4>
      </vt:variant>
      <vt:variant>
        <vt:i4>5</vt:i4>
      </vt:variant>
      <vt:variant>
        <vt:lpwstr>https://educationendowmentfoundation.org.uk/covid-19-resources/guide-to-supporting-schools-planning/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Elizabeth Forrest</cp:lastModifiedBy>
  <cp:revision>385</cp:revision>
  <dcterms:created xsi:type="dcterms:W3CDTF">2020-07-29T21:30:00Z</dcterms:created>
  <dcterms:modified xsi:type="dcterms:W3CDTF">2021-01-07T06:33:00Z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