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FDDE6" w14:textId="40B5097F" w:rsidR="0058201F" w:rsidRPr="00280DA2" w:rsidRDefault="0058201F" w:rsidP="00D76C12">
      <w:pPr>
        <w:spacing w:after="80"/>
        <w:rPr>
          <w:color w:val="525252" w:themeColor="accent3" w:themeShade="80"/>
          <w:spacing w:val="10"/>
          <w:sz w:val="24"/>
        </w:rPr>
      </w:pPr>
      <w:r w:rsidRPr="00280DA2">
        <w:rPr>
          <w:color w:val="525252" w:themeColor="accent3" w:themeShade="80"/>
          <w:spacing w:val="10"/>
          <w:sz w:val="24"/>
        </w:rPr>
        <w:t xml:space="preserve">The Department has a range of guidance and </w:t>
      </w:r>
      <w:r w:rsidR="00174117" w:rsidRPr="00280DA2">
        <w:rPr>
          <w:color w:val="525252" w:themeColor="accent3" w:themeShade="80"/>
          <w:spacing w:val="10"/>
          <w:sz w:val="24"/>
        </w:rPr>
        <w:t>resources</w:t>
      </w:r>
      <w:r w:rsidRPr="00280DA2">
        <w:rPr>
          <w:color w:val="525252" w:themeColor="accent3" w:themeShade="80"/>
          <w:spacing w:val="10"/>
          <w:sz w:val="24"/>
        </w:rPr>
        <w:t xml:space="preserve"> to promote </w:t>
      </w:r>
      <w:r w:rsidR="00174117" w:rsidRPr="00280DA2">
        <w:rPr>
          <w:color w:val="525252" w:themeColor="accent3" w:themeShade="80"/>
          <w:spacing w:val="10"/>
          <w:sz w:val="24"/>
        </w:rPr>
        <w:t xml:space="preserve">schools’ </w:t>
      </w:r>
      <w:r w:rsidRPr="00280DA2">
        <w:rPr>
          <w:color w:val="525252" w:themeColor="accent3" w:themeShade="80"/>
          <w:spacing w:val="10"/>
          <w:sz w:val="24"/>
        </w:rPr>
        <w:t>support for students with disability</w:t>
      </w:r>
      <w:r w:rsidR="00746267" w:rsidRPr="00280DA2">
        <w:rPr>
          <w:color w:val="525252" w:themeColor="accent3" w:themeShade="80"/>
          <w:spacing w:val="10"/>
          <w:sz w:val="24"/>
        </w:rPr>
        <w:t>.</w:t>
      </w:r>
    </w:p>
    <w:p w14:paraId="1704BD3A" w14:textId="24CBB81A" w:rsidR="00174117" w:rsidRPr="00280DA2" w:rsidRDefault="00746267" w:rsidP="00D76C12">
      <w:pPr>
        <w:spacing w:after="80"/>
        <w:rPr>
          <w:color w:val="525252" w:themeColor="accent3" w:themeShade="80"/>
          <w:spacing w:val="10"/>
          <w:sz w:val="24"/>
        </w:rPr>
      </w:pPr>
      <w:r w:rsidRPr="00280DA2">
        <w:rPr>
          <w:color w:val="525252" w:themeColor="accent3" w:themeShade="80"/>
          <w:spacing w:val="10"/>
          <w:sz w:val="24"/>
        </w:rPr>
        <w:t xml:space="preserve">A focus for Term 4 will be </w:t>
      </w:r>
      <w:r w:rsidR="00174117" w:rsidRPr="00280DA2">
        <w:rPr>
          <w:color w:val="525252" w:themeColor="accent3" w:themeShade="80"/>
          <w:spacing w:val="10"/>
          <w:sz w:val="24"/>
        </w:rPr>
        <w:t xml:space="preserve">ensuring educational, wellbeing and engagement supports are in place, so </w:t>
      </w:r>
      <w:r w:rsidR="00D65DCA">
        <w:rPr>
          <w:color w:val="525252" w:themeColor="accent3" w:themeShade="80"/>
          <w:spacing w:val="10"/>
          <w:sz w:val="24"/>
        </w:rPr>
        <w:t>that</w:t>
      </w:r>
      <w:r w:rsidR="006B1C64" w:rsidRPr="00280DA2">
        <w:rPr>
          <w:color w:val="525252" w:themeColor="accent3" w:themeShade="80"/>
          <w:spacing w:val="10"/>
          <w:sz w:val="24"/>
        </w:rPr>
        <w:t xml:space="preserve"> </w:t>
      </w:r>
      <w:r w:rsidR="00174117" w:rsidRPr="00280DA2">
        <w:rPr>
          <w:color w:val="525252" w:themeColor="accent3" w:themeShade="80"/>
          <w:spacing w:val="10"/>
          <w:sz w:val="24"/>
        </w:rPr>
        <w:t xml:space="preserve">students are connected with learning and engaged in a positive transition into 2021.   </w:t>
      </w:r>
    </w:p>
    <w:p w14:paraId="406F2692" w14:textId="3986EC46" w:rsidR="0058201F" w:rsidRPr="00280DA2" w:rsidRDefault="00C96C88" w:rsidP="00D76C12">
      <w:pPr>
        <w:pStyle w:val="Heading1"/>
        <w:spacing w:before="240"/>
        <w:rPr>
          <w:rFonts w:asciiTheme="minorHAnsi" w:hAnsiTheme="minorHAnsi" w:cstheme="minorHAnsi"/>
          <w:b/>
          <w:color w:val="9900CC"/>
          <w:u w:color="9900CC"/>
        </w:rPr>
      </w:pPr>
      <w:r w:rsidRPr="00280DA2">
        <w:rPr>
          <w:rFonts w:asciiTheme="minorHAnsi" w:hAnsiTheme="minorHAnsi" w:cstheme="minorHAnsi"/>
          <w:b/>
          <w:color w:val="9900CC"/>
          <w:u w:color="9900CC"/>
        </w:rPr>
        <w:t>Key activities to coordinate support</w:t>
      </w:r>
    </w:p>
    <w:p w14:paraId="10C286DB" w14:textId="53AE3CE0" w:rsidR="00D247A3" w:rsidRDefault="00D247A3" w:rsidP="00D76C12">
      <w:r>
        <w:t>P</w:t>
      </w:r>
      <w:r w:rsidRPr="00D247A3">
        <w:t>ersonalised student-based approach</w:t>
      </w:r>
      <w:r>
        <w:t>es</w:t>
      </w:r>
      <w:r w:rsidRPr="00D247A3">
        <w:t xml:space="preserve"> ensure that appropriate educational supports are</w:t>
      </w:r>
      <w:r>
        <w:t xml:space="preserve"> being provided</w:t>
      </w:r>
      <w:r w:rsidRPr="00D247A3">
        <w:t xml:space="preserve">. </w:t>
      </w:r>
      <w:r w:rsidR="006B1C64">
        <w:t xml:space="preserve"> </w:t>
      </w:r>
      <w:r>
        <w:t>Some students</w:t>
      </w:r>
      <w:r w:rsidRPr="00C96C88">
        <w:t xml:space="preserve"> may require additional or different strategies at this time.</w:t>
      </w:r>
      <w:r>
        <w:t xml:space="preserve"> </w:t>
      </w:r>
    </w:p>
    <w:p w14:paraId="169EBF15" w14:textId="7F956F54" w:rsidR="0058201F" w:rsidRPr="00C96C88" w:rsidRDefault="006B1C64" w:rsidP="00D76C12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Bidi"/>
        </w:rPr>
      </w:pPr>
      <w:r>
        <w:t>Use the</w:t>
      </w:r>
      <w:r w:rsidR="00C96C88" w:rsidRPr="00C96C88">
        <w:t xml:space="preserve"> </w:t>
      </w:r>
      <w:hyperlink r:id="rId11" w:history="1">
        <w:r w:rsidR="00C96C88" w:rsidRPr="00C96C88">
          <w:rPr>
            <w:rStyle w:val="Hyperlink"/>
          </w:rPr>
          <w:t>Student</w:t>
        </w:r>
        <w:r w:rsidR="00C96C88" w:rsidRPr="00C96C88">
          <w:rPr>
            <w:rStyle w:val="Hyperlink"/>
            <w:rFonts w:asciiTheme="minorHAnsi" w:hAnsiTheme="minorHAnsi" w:cstheme="minorBidi"/>
            <w:lang w:val="en-GB"/>
          </w:rPr>
          <w:t xml:space="preserve"> Support Group (SSG)</w:t>
        </w:r>
      </w:hyperlink>
      <w:r w:rsidR="00C96C88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 xml:space="preserve">to work with families </w:t>
      </w:r>
      <w:r w:rsidR="00C96C88" w:rsidRPr="00C96C88">
        <w:t>to identify and plan responses for areas of concern and need</w:t>
      </w:r>
      <w:r w:rsidR="00D247A3">
        <w:t xml:space="preserve">. </w:t>
      </w:r>
    </w:p>
    <w:p w14:paraId="59FDD647" w14:textId="68BDA979" w:rsidR="00C96C88" w:rsidRPr="00C96C88" w:rsidRDefault="00C96C88" w:rsidP="00D76C12">
      <w:pPr>
        <w:pStyle w:val="ListParagraph"/>
        <w:numPr>
          <w:ilvl w:val="0"/>
          <w:numId w:val="23"/>
        </w:numPr>
        <w:spacing w:after="120"/>
      </w:pPr>
      <w:r w:rsidRPr="00C96C88">
        <w:t xml:space="preserve">Update </w:t>
      </w:r>
      <w:hyperlink r:id="rId12" w:history="1">
        <w:r w:rsidRPr="00174117">
          <w:rPr>
            <w:rStyle w:val="Hyperlink"/>
          </w:rPr>
          <w:t>Individual Education Plans</w:t>
        </w:r>
      </w:hyperlink>
      <w:r w:rsidRPr="00C96C88">
        <w:t xml:space="preserve"> to reflect any changed context for students’ learning.</w:t>
      </w:r>
    </w:p>
    <w:p w14:paraId="5DF4BE2F" w14:textId="28E29F13" w:rsidR="00C96C88" w:rsidRDefault="00D247A3" w:rsidP="00D76C12">
      <w:pPr>
        <w:pStyle w:val="ListParagraph"/>
        <w:numPr>
          <w:ilvl w:val="0"/>
          <w:numId w:val="23"/>
        </w:numPr>
        <w:spacing w:after="120"/>
      </w:pPr>
      <w:r w:rsidRPr="00D247A3">
        <w:t xml:space="preserve">To support alternative meeting arrangements, </w:t>
      </w:r>
      <w:r>
        <w:t>see</w:t>
      </w:r>
      <w:r w:rsidRPr="00D247A3">
        <w:t> </w:t>
      </w:r>
      <w:hyperlink r:id="rId13" w:history="1">
        <w:r w:rsidRPr="00D247A3">
          <w:rPr>
            <w:rStyle w:val="Hyperlink"/>
          </w:rPr>
          <w:t>S</w:t>
        </w:r>
        <w:r w:rsidR="00280DA2">
          <w:rPr>
            <w:rStyle w:val="Hyperlink"/>
          </w:rPr>
          <w:t>SG</w:t>
        </w:r>
        <w:r w:rsidRPr="00D247A3">
          <w:rPr>
            <w:rStyle w:val="Hyperlink"/>
          </w:rPr>
          <w:t xml:space="preserve"> meeting via video or teleconferencing</w:t>
        </w:r>
      </w:hyperlink>
      <w:r w:rsidRPr="00D247A3">
        <w:t>.</w:t>
      </w:r>
    </w:p>
    <w:p w14:paraId="4AC1B250" w14:textId="7D5A4862" w:rsidR="006D1672" w:rsidRPr="00280DA2" w:rsidRDefault="006D1672" w:rsidP="00D76C12">
      <w:pPr>
        <w:pStyle w:val="Heading1"/>
        <w:spacing w:before="240"/>
        <w:rPr>
          <w:rFonts w:asciiTheme="minorHAnsi" w:hAnsiTheme="minorHAnsi" w:cstheme="minorHAnsi"/>
          <w:b/>
          <w:color w:val="9900CC"/>
          <w:u w:color="9900CC"/>
        </w:rPr>
      </w:pPr>
      <w:r w:rsidRPr="00280DA2">
        <w:rPr>
          <w:rFonts w:asciiTheme="minorHAnsi" w:hAnsiTheme="minorHAnsi" w:cstheme="minorHAnsi"/>
          <w:b/>
          <w:color w:val="9900CC"/>
          <w:u w:color="9900CC"/>
        </w:rPr>
        <w:t>Curriculum</w:t>
      </w:r>
      <w:r w:rsidR="0065416C" w:rsidRPr="00280DA2">
        <w:rPr>
          <w:rFonts w:asciiTheme="minorHAnsi" w:hAnsiTheme="minorHAnsi" w:cstheme="minorHAnsi"/>
          <w:b/>
          <w:color w:val="9900CC"/>
          <w:u w:color="9900CC"/>
        </w:rPr>
        <w:t xml:space="preserve"> and planning</w:t>
      </w:r>
      <w:r w:rsidRPr="00280DA2">
        <w:rPr>
          <w:rFonts w:asciiTheme="minorHAnsi" w:hAnsiTheme="minorHAnsi" w:cstheme="minorHAnsi"/>
          <w:b/>
          <w:color w:val="9900CC"/>
          <w:u w:color="9900CC"/>
        </w:rPr>
        <w:t xml:space="preserve"> resources</w:t>
      </w:r>
    </w:p>
    <w:p w14:paraId="77CB4057" w14:textId="20FF4DD9" w:rsidR="0065416C" w:rsidRPr="0065416C" w:rsidRDefault="0065416C" w:rsidP="00D76C12">
      <w:r w:rsidRPr="0065416C">
        <w:t xml:space="preserve">Ensure </w:t>
      </w:r>
      <w:r w:rsidR="00D76C12">
        <w:t>educational</w:t>
      </w:r>
      <w:r w:rsidRPr="0065416C">
        <w:t xml:space="preserve"> programs contain adjustments to accommodate</w:t>
      </w:r>
      <w:r>
        <w:t xml:space="preserve"> each </w:t>
      </w:r>
      <w:r w:rsidRPr="0065416C">
        <w:t xml:space="preserve">student's learning, support and engagement needs. </w:t>
      </w:r>
    </w:p>
    <w:p w14:paraId="1958EFCF" w14:textId="2BE3DCE0" w:rsidR="006B1C64" w:rsidRDefault="00E02792" w:rsidP="00D76C12">
      <w:pPr>
        <w:pStyle w:val="ListParagraph"/>
        <w:numPr>
          <w:ilvl w:val="0"/>
          <w:numId w:val="23"/>
        </w:numPr>
        <w:spacing w:after="120"/>
      </w:pPr>
      <w:hyperlink r:id="rId14" w:history="1">
        <w:r w:rsidR="006B1C64" w:rsidRPr="006B1C64">
          <w:rPr>
            <w:rStyle w:val="Hyperlink"/>
          </w:rPr>
          <w:t>Inclusion Support FUSE page</w:t>
        </w:r>
      </w:hyperlink>
      <w:r w:rsidR="006B1C64">
        <w:t xml:space="preserve"> contains resources that can be used by </w:t>
      </w:r>
      <w:r w:rsidR="00314F90">
        <w:t xml:space="preserve">with </w:t>
      </w:r>
      <w:r w:rsidR="006B1C64" w:rsidRPr="006B1C64">
        <w:t xml:space="preserve">examples of effective teaching and learning in schools as well as extending learning to the home environment.  </w:t>
      </w:r>
    </w:p>
    <w:p w14:paraId="0D46A097" w14:textId="5F9D411C" w:rsidR="006B1C64" w:rsidRPr="006B1C64" w:rsidRDefault="00E02792" w:rsidP="00D76C12">
      <w:pPr>
        <w:pStyle w:val="ListParagraph"/>
        <w:numPr>
          <w:ilvl w:val="0"/>
          <w:numId w:val="23"/>
        </w:numPr>
        <w:spacing w:after="120"/>
      </w:pPr>
      <w:hyperlink r:id="rId15" w:history="1">
        <w:r w:rsidR="006B1C64" w:rsidRPr="006B1C64">
          <w:rPr>
            <w:rStyle w:val="Hyperlink"/>
          </w:rPr>
          <w:t>AllPlay Learn</w:t>
        </w:r>
      </w:hyperlink>
      <w:r w:rsidR="006B1C64" w:rsidRPr="006B1C64">
        <w:t xml:space="preserve"> helps to create inclusive education environments through practical online information, courses and resources for teachers, as well as resources for parents, children and the community. </w:t>
      </w:r>
    </w:p>
    <w:p w14:paraId="460C00D7" w14:textId="77777777" w:rsidR="00A85FC7" w:rsidRPr="00280DA2" w:rsidRDefault="00A85FC7" w:rsidP="00A85FC7">
      <w:pPr>
        <w:pStyle w:val="Heading1"/>
        <w:spacing w:before="240"/>
        <w:rPr>
          <w:rFonts w:asciiTheme="minorHAnsi" w:hAnsiTheme="minorHAnsi" w:cstheme="minorHAnsi"/>
          <w:b/>
          <w:color w:val="9900CC"/>
          <w:u w:color="9900CC"/>
        </w:rPr>
      </w:pPr>
      <w:r w:rsidRPr="00280DA2">
        <w:rPr>
          <w:rFonts w:asciiTheme="minorHAnsi" w:hAnsiTheme="minorHAnsi" w:cstheme="minorHAnsi"/>
          <w:b/>
          <w:color w:val="9900CC"/>
          <w:u w:color="9900CC"/>
        </w:rPr>
        <w:t>Professional learning and development</w:t>
      </w:r>
    </w:p>
    <w:p w14:paraId="558919A9" w14:textId="77777777" w:rsidR="00A85FC7" w:rsidRPr="0065416C" w:rsidRDefault="00E02792" w:rsidP="00A85FC7">
      <w:hyperlink r:id="rId16" w:history="1">
        <w:r w:rsidR="00A85FC7" w:rsidRPr="0065416C">
          <w:rPr>
            <w:rFonts w:ascii="Calibri" w:hAnsi="Calibri" w:cs="Calibri"/>
            <w:color w:val="0063A5"/>
            <w:w w:val="105"/>
            <w:u w:val="single" w:color="0063A5"/>
            <w:lang w:val="en-AU"/>
          </w:rPr>
          <w:t>Inclusive</w:t>
        </w:r>
      </w:hyperlink>
      <w:r w:rsidR="00A85FC7" w:rsidRPr="0065416C">
        <w:rPr>
          <w:rFonts w:ascii="Calibri" w:hAnsi="Calibri" w:cs="Calibri"/>
          <w:color w:val="0063A5"/>
          <w:w w:val="105"/>
          <w:u w:val="single" w:color="0063A5"/>
          <w:lang w:val="en-AU"/>
        </w:rPr>
        <w:t xml:space="preserve"> Classrooms</w:t>
      </w:r>
      <w:r w:rsidR="00A85FC7" w:rsidRPr="0065416C">
        <w:t xml:space="preserve"> offers ten-week courses to school staff on understanding, assessing and supporting students with disability. Includes digital and face-to-face learning. </w:t>
      </w:r>
    </w:p>
    <w:p w14:paraId="6B98F556" w14:textId="2ED7B0CE" w:rsidR="00314F90" w:rsidRDefault="00E02792" w:rsidP="00A85FC7">
      <w:hyperlink r:id="rId17" w:history="1">
        <w:r w:rsidR="00A85FC7" w:rsidRPr="0065416C">
          <w:rPr>
            <w:rFonts w:ascii="Calibri" w:hAnsi="Calibri" w:cs="Calibri"/>
            <w:color w:val="0063A5"/>
            <w:w w:val="105"/>
            <w:u w:val="single" w:color="0063A5"/>
            <w:lang w:val="en-AU"/>
          </w:rPr>
          <w:t>Behaviour Support</w:t>
        </w:r>
      </w:hyperlink>
      <w:r w:rsidR="00A85FC7" w:rsidRPr="0065416C">
        <w:t xml:space="preserve"> offers a range of free online courses for educators to complete independently at their own pace.</w:t>
      </w:r>
      <w:r w:rsidR="00314F90">
        <w:t xml:space="preserve"> </w:t>
      </w:r>
    </w:p>
    <w:p w14:paraId="07AA5545" w14:textId="48CB4EB9" w:rsidR="00A85FC7" w:rsidRPr="0065416C" w:rsidRDefault="00E02792" w:rsidP="00314F90">
      <w:pPr>
        <w:pStyle w:val="ListParagraph"/>
        <w:numPr>
          <w:ilvl w:val="0"/>
          <w:numId w:val="23"/>
        </w:numPr>
        <w:spacing w:after="120"/>
      </w:pPr>
      <w:hyperlink r:id="rId18" w:history="1">
        <w:r w:rsidR="00314F90" w:rsidRPr="00314F90">
          <w:rPr>
            <w:rStyle w:val="Hyperlink"/>
          </w:rPr>
          <w:t>Resources</w:t>
        </w:r>
      </w:hyperlink>
      <w:r w:rsidR="00314F90">
        <w:t xml:space="preserve"> are available t</w:t>
      </w:r>
      <w:r w:rsidR="00314F90" w:rsidRPr="00314F90">
        <w:rPr>
          <w:rFonts w:asciiTheme="minorHAnsi" w:hAnsiTheme="minorHAnsi" w:cstheme="minorBidi"/>
          <w:szCs w:val="24"/>
          <w:lang w:val="en-GB"/>
        </w:rPr>
        <w:t>o support safe, healthy and hygiene behaviours.</w:t>
      </w:r>
      <w:r w:rsidR="00314F90">
        <w:t xml:space="preserve"> </w:t>
      </w:r>
    </w:p>
    <w:p w14:paraId="645C5387" w14:textId="77777777" w:rsidR="0065416C" w:rsidRPr="00280DA2" w:rsidRDefault="0065416C" w:rsidP="00D76C12">
      <w:pPr>
        <w:pStyle w:val="Heading1"/>
        <w:spacing w:before="240"/>
        <w:rPr>
          <w:rFonts w:asciiTheme="minorHAnsi" w:hAnsiTheme="minorHAnsi" w:cstheme="minorHAnsi"/>
          <w:b/>
          <w:color w:val="9900CC"/>
          <w:u w:color="9900CC"/>
        </w:rPr>
      </w:pPr>
      <w:r w:rsidRPr="00280DA2">
        <w:rPr>
          <w:rFonts w:asciiTheme="minorHAnsi" w:hAnsiTheme="minorHAnsi" w:cstheme="minorHAnsi"/>
          <w:b/>
          <w:color w:val="9900CC"/>
          <w:u w:color="9900CC"/>
        </w:rPr>
        <w:t>Accessing support for students</w:t>
      </w:r>
    </w:p>
    <w:p w14:paraId="44FD4480" w14:textId="16DC7C9F" w:rsidR="0065416C" w:rsidRPr="00746267" w:rsidRDefault="0065416C" w:rsidP="00D76C12">
      <w:pPr>
        <w:rPr>
          <w:szCs w:val="22"/>
        </w:rPr>
      </w:pPr>
      <w:r w:rsidRPr="00C96C88">
        <w:rPr>
          <w:szCs w:val="22"/>
        </w:rPr>
        <w:t>Schools</w:t>
      </w:r>
      <w:r w:rsidRPr="00746267">
        <w:rPr>
          <w:szCs w:val="22"/>
        </w:rPr>
        <w:t xml:space="preserve"> will continue to have access to a Health and Wellbeing Key Contact for the 2020 school year. </w:t>
      </w:r>
    </w:p>
    <w:p w14:paraId="4339AFE7" w14:textId="77777777" w:rsidR="0065416C" w:rsidRPr="00C96C88" w:rsidRDefault="0065416C" w:rsidP="00D76C12">
      <w:pPr>
        <w:pStyle w:val="ListParagraph"/>
        <w:numPr>
          <w:ilvl w:val="0"/>
          <w:numId w:val="23"/>
        </w:numPr>
        <w:spacing w:after="120"/>
        <w:rPr>
          <w:szCs w:val="24"/>
        </w:rPr>
      </w:pPr>
      <w:r w:rsidRPr="00C96C88">
        <w:rPr>
          <w:color w:val="0063A5"/>
          <w:w w:val="105"/>
          <w:szCs w:val="24"/>
          <w:u w:val="single" w:color="0063A5"/>
        </w:rPr>
        <w:t xml:space="preserve">Students at Risk Planning </w:t>
      </w:r>
      <w:r w:rsidRPr="00C96C88">
        <w:rPr>
          <w:color w:val="0063A5"/>
          <w:spacing w:val="-5"/>
          <w:w w:val="105"/>
          <w:szCs w:val="24"/>
          <w:u w:val="single" w:color="0063A5"/>
        </w:rPr>
        <w:t>Tool</w:t>
      </w:r>
      <w:r w:rsidRPr="00C96C88">
        <w:rPr>
          <w:color w:val="0063A5"/>
          <w:spacing w:val="-5"/>
          <w:w w:val="105"/>
          <w:szCs w:val="24"/>
        </w:rPr>
        <w:t xml:space="preserve"> </w:t>
      </w:r>
      <w:r w:rsidRPr="006B1C64">
        <w:rPr>
          <w:rFonts w:asciiTheme="minorHAnsi" w:hAnsiTheme="minorHAnsi" w:cstheme="minorBidi"/>
        </w:rPr>
        <w:t>can assist schools to identify students who may be vulnerable and require support to maintain engagement and connection with education.</w:t>
      </w:r>
    </w:p>
    <w:p w14:paraId="171DFCC0" w14:textId="23A5A72C" w:rsidR="0065416C" w:rsidRPr="00746267" w:rsidRDefault="0065416C" w:rsidP="00D76C12">
      <w:pPr>
        <w:rPr>
          <w:szCs w:val="22"/>
        </w:rPr>
      </w:pPr>
      <w:r w:rsidRPr="00746267">
        <w:rPr>
          <w:szCs w:val="22"/>
        </w:rPr>
        <w:t xml:space="preserve">Schools are able to access support for students through </w:t>
      </w:r>
      <w:hyperlink r:id="rId19">
        <w:r w:rsidRPr="00746267">
          <w:rPr>
            <w:rFonts w:ascii="Calibri" w:hAnsi="Calibri" w:cs="Calibri"/>
            <w:color w:val="0063A5"/>
            <w:w w:val="105"/>
            <w:u w:val="single" w:color="0063A5"/>
            <w:lang w:val="en-AU"/>
          </w:rPr>
          <w:t>Student Support Services</w:t>
        </w:r>
      </w:hyperlink>
      <w:r w:rsidRPr="00746267">
        <w:rPr>
          <w:szCs w:val="22"/>
        </w:rPr>
        <w:t>.</w:t>
      </w:r>
    </w:p>
    <w:p w14:paraId="34244BC3" w14:textId="7133C16F" w:rsidR="0065416C" w:rsidRPr="0058201F" w:rsidRDefault="00E02792" w:rsidP="00BE0611">
      <w:hyperlink r:id="rId20" w:anchor="/app/news/detail/4211/" w:history="1">
        <w:r w:rsidR="0065416C" w:rsidRPr="0065416C">
          <w:rPr>
            <w:rStyle w:val="Hyperlink"/>
          </w:rPr>
          <w:t>Support student mental health and wellbeing</w:t>
        </w:r>
      </w:hyperlink>
      <w:r w:rsidR="0065416C">
        <w:t xml:space="preserve"> with resources </w:t>
      </w:r>
      <w:r w:rsidR="0065416C" w:rsidRPr="0065416C">
        <w:t>available for schools, students, parents and carers</w:t>
      </w:r>
      <w:r w:rsidR="0065416C">
        <w:t>.</w:t>
      </w:r>
    </w:p>
    <w:p w14:paraId="3E9A6C22" w14:textId="785C4A2A" w:rsidR="006D1672" w:rsidRPr="00280DA2" w:rsidRDefault="0058201F" w:rsidP="00D76C12">
      <w:pPr>
        <w:pStyle w:val="Heading1"/>
        <w:spacing w:before="240"/>
        <w:rPr>
          <w:rFonts w:asciiTheme="minorHAnsi" w:hAnsiTheme="minorHAnsi" w:cstheme="minorHAnsi"/>
          <w:b/>
          <w:color w:val="9900CC"/>
          <w:u w:color="9900CC"/>
        </w:rPr>
      </w:pPr>
      <w:r w:rsidRPr="00280DA2">
        <w:rPr>
          <w:rFonts w:asciiTheme="minorHAnsi" w:hAnsiTheme="minorHAnsi" w:cstheme="minorHAnsi"/>
          <w:b/>
          <w:color w:val="9900CC"/>
          <w:u w:color="9900CC"/>
        </w:rPr>
        <w:t>Program for Students with Disabilities</w:t>
      </w:r>
      <w:r w:rsidR="004B1F2D" w:rsidRPr="00280DA2">
        <w:rPr>
          <w:rFonts w:asciiTheme="minorHAnsi" w:hAnsiTheme="minorHAnsi" w:cstheme="minorHAnsi"/>
          <w:b/>
          <w:color w:val="9900CC"/>
          <w:u w:color="9900CC"/>
        </w:rPr>
        <w:t xml:space="preserve"> (PSD)</w:t>
      </w:r>
    </w:p>
    <w:p w14:paraId="0937CA18" w14:textId="5C3A26DE" w:rsidR="00746267" w:rsidRDefault="00746267" w:rsidP="00D76C12">
      <w:pPr>
        <w:rPr>
          <w:szCs w:val="18"/>
        </w:rPr>
      </w:pPr>
      <w:r>
        <w:t xml:space="preserve">Schools are reminded to </w:t>
      </w:r>
      <w:hyperlink r:id="rId21" w:anchor="/app/news/detail/4214/" w:history="1">
        <w:r w:rsidRPr="004B1F2D">
          <w:rPr>
            <w:rStyle w:val="Hyperlink"/>
          </w:rPr>
          <w:t>submit PSD applications</w:t>
        </w:r>
      </w:hyperlink>
      <w:r>
        <w:t xml:space="preserve"> as soon as possible </w:t>
      </w:r>
      <w:r w:rsidR="004B1F2D">
        <w:t>for</w:t>
      </w:r>
      <w:r w:rsidR="004B1F2D" w:rsidRPr="004B1F2D">
        <w:t xml:space="preserve"> student enrolment, support and transition planning</w:t>
      </w:r>
      <w:r w:rsidR="004B1F2D">
        <w:t>.</w:t>
      </w:r>
      <w:r>
        <w:t xml:space="preserve"> This includes:</w:t>
      </w:r>
    </w:p>
    <w:p w14:paraId="3C50C1E7" w14:textId="77777777" w:rsidR="00746267" w:rsidRDefault="00746267" w:rsidP="00D76C12">
      <w:pPr>
        <w:pStyle w:val="ListParagraph"/>
        <w:numPr>
          <w:ilvl w:val="0"/>
          <w:numId w:val="23"/>
        </w:numPr>
        <w:spacing w:after="120"/>
      </w:pPr>
      <w:r>
        <w:t xml:space="preserve">New applications for students currently enrolled and not supported by the PSD </w:t>
      </w:r>
    </w:p>
    <w:p w14:paraId="012B9AD2" w14:textId="77777777" w:rsidR="00746267" w:rsidRDefault="00746267" w:rsidP="00D76C12">
      <w:pPr>
        <w:pStyle w:val="ListParagraph"/>
        <w:numPr>
          <w:ilvl w:val="0"/>
          <w:numId w:val="23"/>
        </w:numPr>
        <w:spacing w:after="120"/>
      </w:pPr>
      <w:r>
        <w:t>Year 6-7 and short-term reviews required to confirm students’ PSD eligibility for 2021; and</w:t>
      </w:r>
    </w:p>
    <w:p w14:paraId="00DF21AA" w14:textId="77777777" w:rsidR="00746267" w:rsidRDefault="00746267" w:rsidP="00D76C12">
      <w:pPr>
        <w:pStyle w:val="ListParagraph"/>
        <w:numPr>
          <w:ilvl w:val="0"/>
          <w:numId w:val="23"/>
        </w:numPr>
        <w:spacing w:after="120"/>
      </w:pPr>
      <w:r>
        <w:t xml:space="preserve">New applications for new students commencing school in 2021 (i.e. Preps beginning in 2021 and transfers from other systems). </w:t>
      </w:r>
    </w:p>
    <w:p w14:paraId="55D75257" w14:textId="231C7794" w:rsidR="001D1027" w:rsidRDefault="001D1027" w:rsidP="00D76C12">
      <w:pPr>
        <w:pStyle w:val="Heading1"/>
        <w:spacing w:before="240"/>
        <w:rPr>
          <w:rFonts w:asciiTheme="minorHAnsi" w:hAnsiTheme="minorHAnsi" w:cstheme="minorHAnsi"/>
          <w:b/>
          <w:color w:val="9900CC"/>
          <w:u w:color="9900CC"/>
        </w:rPr>
      </w:pPr>
      <w:r>
        <w:rPr>
          <w:rFonts w:asciiTheme="minorHAnsi" w:hAnsiTheme="minorHAnsi" w:cstheme="minorHAnsi"/>
          <w:b/>
          <w:color w:val="9900CC"/>
          <w:u w:color="9900CC"/>
        </w:rPr>
        <w:t>Students with complex health needs</w:t>
      </w:r>
    </w:p>
    <w:p w14:paraId="29E000C3" w14:textId="48392493" w:rsidR="00B00004" w:rsidRDefault="00B00004" w:rsidP="00731BAB">
      <w:r>
        <w:t>It is recommended that parents/carers of students with complex medical needs seek advice from the student’s medical practitioner to support decision-making about whether on-site education is suitable.</w:t>
      </w:r>
    </w:p>
    <w:p w14:paraId="0F5DB9BF" w14:textId="605EF4FC" w:rsidR="00A34ED8" w:rsidRDefault="009B13CB" w:rsidP="00A34ED8">
      <w:pPr>
        <w:autoSpaceDE w:val="0"/>
        <w:autoSpaceDN w:val="0"/>
        <w:spacing w:after="0"/>
        <w:rPr>
          <w:rFonts w:cstheme="minorHAnsi"/>
          <w:color w:val="000000"/>
          <w:szCs w:val="22"/>
          <w:lang w:eastAsia="en-AU"/>
        </w:rPr>
      </w:pPr>
      <w:r>
        <w:rPr>
          <w:rFonts w:cstheme="minorHAnsi"/>
          <w:color w:val="000000"/>
          <w:szCs w:val="22"/>
          <w:lang w:eastAsia="en-AU"/>
        </w:rPr>
        <w:t>E</w:t>
      </w:r>
      <w:r w:rsidR="00A34ED8" w:rsidRPr="009F2BAF">
        <w:rPr>
          <w:rFonts w:cstheme="minorHAnsi"/>
          <w:color w:val="000000"/>
          <w:szCs w:val="22"/>
          <w:lang w:eastAsia="en-AU"/>
        </w:rPr>
        <w:t xml:space="preserve">nsure students with medical needs have an up to date </w:t>
      </w:r>
      <w:hyperlink r:id="rId22" w:history="1">
        <w:r w:rsidR="00A34ED8" w:rsidRPr="009F2BAF">
          <w:rPr>
            <w:rStyle w:val="Hyperlink"/>
            <w:rFonts w:cstheme="minorHAnsi"/>
            <w:szCs w:val="22"/>
            <w:lang w:eastAsia="en-AU"/>
          </w:rPr>
          <w:t>Student Health</w:t>
        </w:r>
      </w:hyperlink>
      <w:r w:rsidR="00A34ED8">
        <w:rPr>
          <w:rStyle w:val="Hyperlink"/>
          <w:rFonts w:cstheme="minorHAnsi"/>
          <w:szCs w:val="22"/>
          <w:lang w:eastAsia="en-AU"/>
        </w:rPr>
        <w:t xml:space="preserve"> </w:t>
      </w:r>
      <w:hyperlink r:id="rId23" w:history="1">
        <w:r w:rsidR="00A34ED8" w:rsidRPr="009F2BAF">
          <w:rPr>
            <w:rStyle w:val="Hyperlink"/>
            <w:rFonts w:cstheme="minorHAnsi"/>
            <w:szCs w:val="22"/>
            <w:lang w:eastAsia="en-AU"/>
          </w:rPr>
          <w:t>Support Plan</w:t>
        </w:r>
      </w:hyperlink>
      <w:r w:rsidR="00A34ED8" w:rsidRPr="009F2BAF">
        <w:rPr>
          <w:rFonts w:cstheme="minorHAnsi"/>
          <w:color w:val="0094D7"/>
          <w:szCs w:val="22"/>
          <w:lang w:eastAsia="en-AU"/>
        </w:rPr>
        <w:t xml:space="preserve"> </w:t>
      </w:r>
      <w:r w:rsidR="00A34ED8" w:rsidRPr="009F2BAF">
        <w:rPr>
          <w:rFonts w:cstheme="minorHAnsi"/>
          <w:color w:val="000000"/>
          <w:szCs w:val="22"/>
          <w:lang w:eastAsia="en-AU"/>
        </w:rPr>
        <w:t>and accompanying condition specific health management plan based on</w:t>
      </w:r>
      <w:r w:rsidR="00A34ED8">
        <w:rPr>
          <w:rFonts w:cstheme="minorHAnsi"/>
          <w:color w:val="000000"/>
          <w:szCs w:val="22"/>
          <w:lang w:eastAsia="en-AU"/>
        </w:rPr>
        <w:t xml:space="preserve"> </w:t>
      </w:r>
      <w:r w:rsidR="00A34ED8" w:rsidRPr="009F2BAF">
        <w:rPr>
          <w:rFonts w:cstheme="minorHAnsi"/>
          <w:color w:val="000000"/>
          <w:szCs w:val="22"/>
          <w:lang w:eastAsia="en-AU"/>
        </w:rPr>
        <w:t>medical advice from the student’s medical/health practitioner</w:t>
      </w:r>
      <w:r w:rsidR="00A34ED8">
        <w:rPr>
          <w:rFonts w:cstheme="minorHAnsi"/>
          <w:color w:val="000000"/>
          <w:szCs w:val="22"/>
          <w:lang w:eastAsia="en-AU"/>
        </w:rPr>
        <w:t xml:space="preserve"> and </w:t>
      </w:r>
      <w:r w:rsidR="00A34ED8" w:rsidRPr="009F2BAF">
        <w:rPr>
          <w:rFonts w:cstheme="minorHAnsi"/>
          <w:color w:val="000000"/>
          <w:szCs w:val="22"/>
          <w:lang w:eastAsia="en-AU"/>
        </w:rPr>
        <w:t>consultation with the student and parents/guardians</w:t>
      </w:r>
      <w:r w:rsidR="00A34ED8">
        <w:rPr>
          <w:rFonts w:cstheme="minorHAnsi"/>
          <w:color w:val="000000"/>
          <w:szCs w:val="22"/>
          <w:lang w:eastAsia="en-AU"/>
        </w:rPr>
        <w:t xml:space="preserve">. </w:t>
      </w:r>
    </w:p>
    <w:p w14:paraId="162436C5" w14:textId="5EFC0161" w:rsidR="001D1027" w:rsidRDefault="00DB7A58" w:rsidP="00D76C12">
      <w:pPr>
        <w:pStyle w:val="Heading1"/>
        <w:spacing w:before="240"/>
        <w:rPr>
          <w:rFonts w:asciiTheme="minorHAnsi" w:hAnsiTheme="minorHAnsi" w:cstheme="minorHAnsi"/>
          <w:b/>
          <w:color w:val="9900CC"/>
          <w:u w:color="9900CC"/>
        </w:rPr>
      </w:pPr>
      <w:r>
        <w:rPr>
          <w:rFonts w:asciiTheme="minorHAnsi" w:hAnsiTheme="minorHAnsi" w:cstheme="minorHAnsi"/>
          <w:b/>
          <w:color w:val="9900CC"/>
          <w:u w:color="9900CC"/>
        </w:rPr>
        <w:t>Health and safety actions</w:t>
      </w:r>
    </w:p>
    <w:p w14:paraId="0AAF74E8" w14:textId="77777777" w:rsidR="00DB7A58" w:rsidRPr="0067008A" w:rsidRDefault="00DB7A58" w:rsidP="00DB7A58">
      <w:pPr>
        <w:spacing w:before="120"/>
        <w:rPr>
          <w:rFonts w:cs="Calibri Light"/>
          <w:szCs w:val="22"/>
          <w:lang w:val="en-AU"/>
        </w:rPr>
      </w:pPr>
      <w:r w:rsidRPr="0067008A">
        <w:rPr>
          <w:rFonts w:cs="Calibri Light"/>
        </w:rPr>
        <w:t xml:space="preserve">For steps that schools can take to ensure safe teaching and learning environments for staff and students, see: </w:t>
      </w:r>
      <w:hyperlink r:id="rId24" w:history="1">
        <w:r w:rsidRPr="0067008A">
          <w:rPr>
            <w:rStyle w:val="Hyperlink"/>
            <w:rFonts w:cs="Calibri Light"/>
            <w:lang w:val="en-US"/>
          </w:rPr>
          <w:t>Health and safety advice for all Victorian schools</w:t>
        </w:r>
      </w:hyperlink>
      <w:r w:rsidRPr="0067008A">
        <w:rPr>
          <w:rFonts w:cs="Calibri Light"/>
        </w:rPr>
        <w:t>.</w:t>
      </w:r>
    </w:p>
    <w:p w14:paraId="66D0A585" w14:textId="1E6B40B5" w:rsidR="0067008A" w:rsidRPr="0067008A" w:rsidRDefault="0067008A" w:rsidP="0067008A">
      <w:pPr>
        <w:spacing w:before="120"/>
      </w:pPr>
      <w:r w:rsidRPr="0067008A">
        <w:t xml:space="preserve">School staff should refer to </w:t>
      </w:r>
      <w:hyperlink r:id="rId25" w:history="1">
        <w:r w:rsidRPr="0067008A">
          <w:rPr>
            <w:rStyle w:val="Hyperlink"/>
          </w:rPr>
          <w:t>guidance for the use of personal protective equipment (PPE) in education</w:t>
        </w:r>
      </w:hyperlink>
      <w:r w:rsidRPr="0067008A">
        <w:t xml:space="preserve"> to determine when additional PPE is required and for information on the correct and safe use of PPE.</w:t>
      </w:r>
    </w:p>
    <w:p w14:paraId="4AC4A9A2" w14:textId="77777777" w:rsidR="00314F90" w:rsidRDefault="00314F90" w:rsidP="00D76C12">
      <w:pPr>
        <w:pStyle w:val="Heading1"/>
        <w:spacing w:before="240"/>
        <w:rPr>
          <w:rFonts w:asciiTheme="minorHAnsi" w:hAnsiTheme="minorHAnsi" w:cstheme="minorHAnsi"/>
          <w:b/>
          <w:color w:val="9900CC"/>
          <w:u w:color="9900CC"/>
        </w:rPr>
      </w:pPr>
      <w:r>
        <w:rPr>
          <w:rFonts w:asciiTheme="minorHAnsi" w:hAnsiTheme="minorHAnsi" w:cstheme="minorHAnsi"/>
          <w:b/>
          <w:color w:val="9900CC"/>
          <w:u w:color="9900CC"/>
        </w:rPr>
        <w:br w:type="page"/>
      </w:r>
    </w:p>
    <w:p w14:paraId="59180D1B" w14:textId="18D1FC31" w:rsidR="006D1672" w:rsidRPr="00280DA2" w:rsidRDefault="00171151" w:rsidP="00D76C12">
      <w:pPr>
        <w:pStyle w:val="Heading1"/>
        <w:spacing w:before="240"/>
        <w:rPr>
          <w:rFonts w:asciiTheme="minorHAnsi" w:hAnsiTheme="minorHAnsi" w:cstheme="minorHAnsi"/>
          <w:b/>
          <w:color w:val="9900CC"/>
          <w:u w:color="9900CC"/>
        </w:rPr>
      </w:pPr>
      <w:r w:rsidRPr="00280DA2">
        <w:rPr>
          <w:rFonts w:asciiTheme="minorHAnsi" w:hAnsiTheme="minorHAnsi" w:cstheme="minorHAnsi"/>
          <w:b/>
          <w:color w:val="9900CC"/>
          <w:u w:color="9900CC"/>
        </w:rPr>
        <w:lastRenderedPageBreak/>
        <w:t xml:space="preserve">Transition </w:t>
      </w:r>
    </w:p>
    <w:p w14:paraId="58E35B15" w14:textId="77777777" w:rsidR="00F106E2" w:rsidRPr="00280DA2" w:rsidRDefault="00F106E2" w:rsidP="00D76C12">
      <w:pPr>
        <w:pStyle w:val="Heading1"/>
        <w:spacing w:before="0"/>
        <w:rPr>
          <w:rFonts w:asciiTheme="minorHAnsi" w:hAnsiTheme="minorHAnsi" w:cstheme="minorHAnsi"/>
          <w:b/>
          <w:color w:val="525252" w:themeColor="accent3" w:themeShade="80"/>
          <w:u w:color="9933FF"/>
        </w:rPr>
      </w:pPr>
      <w:r w:rsidRPr="00280DA2">
        <w:rPr>
          <w:rFonts w:asciiTheme="minorHAnsi" w:hAnsiTheme="minorHAnsi" w:cstheme="minorHAnsi"/>
          <w:b/>
          <w:color w:val="525252" w:themeColor="accent3" w:themeShade="80"/>
          <w:u w:val="none" w:color="9933FF"/>
        </w:rPr>
        <w:t>Requests to repeat a year level</w:t>
      </w:r>
    </w:p>
    <w:p w14:paraId="5E768533" w14:textId="142F863F" w:rsidR="00D76C12" w:rsidRDefault="00E02792" w:rsidP="00D76C12">
      <w:hyperlink r:id="rId26" w:history="1">
        <w:r w:rsidR="00F106E2" w:rsidRPr="001A152A">
          <w:rPr>
            <w:rStyle w:val="Hyperlink"/>
          </w:rPr>
          <w:t>Repeating a year level policy</w:t>
        </w:r>
      </w:hyperlink>
      <w:r w:rsidR="00F106E2">
        <w:t xml:space="preserve"> is aimed at ensuring students move through schooling with their peers. </w:t>
      </w:r>
    </w:p>
    <w:p w14:paraId="58D8EA82" w14:textId="6D8D3D53" w:rsidR="00F106E2" w:rsidRPr="00D76C12" w:rsidRDefault="00E02792" w:rsidP="00D76C12">
      <w:pPr>
        <w:pStyle w:val="ListParagraph"/>
        <w:numPr>
          <w:ilvl w:val="0"/>
          <w:numId w:val="39"/>
        </w:numPr>
        <w:spacing w:after="120"/>
        <w:ind w:left="357" w:hanging="357"/>
        <w:rPr>
          <w:szCs w:val="18"/>
        </w:rPr>
      </w:pPr>
      <w:hyperlink r:id="rId27" w:history="1">
        <w:r w:rsidR="00F106E2" w:rsidRPr="00F106E2">
          <w:rPr>
            <w:rStyle w:val="Hyperlink"/>
            <w:lang w:val="en-GB"/>
          </w:rPr>
          <w:t>Resources</w:t>
        </w:r>
      </w:hyperlink>
      <w:r w:rsidR="00F106E2">
        <w:t xml:space="preserve"> outline the </w:t>
      </w:r>
      <w:r w:rsidR="00F106E2" w:rsidRPr="00F106E2">
        <w:rPr>
          <w:lang w:val="en-GB"/>
        </w:rPr>
        <w:t xml:space="preserve">evidence </w:t>
      </w:r>
      <w:r w:rsidR="00F106E2">
        <w:t>and support principals to have conversations with families.</w:t>
      </w:r>
    </w:p>
    <w:p w14:paraId="678FD5F4" w14:textId="2AFA07C7" w:rsidR="00746267" w:rsidRPr="00280DA2" w:rsidRDefault="00746267" w:rsidP="00D76C12">
      <w:pPr>
        <w:pStyle w:val="Heading1"/>
        <w:spacing w:before="0"/>
        <w:rPr>
          <w:rFonts w:asciiTheme="minorHAnsi" w:hAnsiTheme="minorHAnsi" w:cstheme="minorHAnsi"/>
          <w:b/>
          <w:color w:val="525252" w:themeColor="accent3" w:themeShade="80"/>
          <w:u w:val="none" w:color="9933FF"/>
        </w:rPr>
      </w:pPr>
      <w:r w:rsidRPr="00280DA2">
        <w:rPr>
          <w:rFonts w:asciiTheme="minorHAnsi" w:hAnsiTheme="minorHAnsi" w:cstheme="minorHAnsi"/>
          <w:b/>
          <w:color w:val="525252" w:themeColor="accent3" w:themeShade="80"/>
          <w:u w:val="none" w:color="9933FF"/>
        </w:rPr>
        <w:t>Starting school</w:t>
      </w:r>
    </w:p>
    <w:p w14:paraId="798EE897" w14:textId="77777777" w:rsidR="004B1F2D" w:rsidRDefault="00746267" w:rsidP="00D76C12">
      <w:pPr>
        <w:rPr>
          <w:lang w:val="en-AU"/>
        </w:rPr>
      </w:pPr>
      <w:r>
        <w:rPr>
          <w:lang w:val="en-AU"/>
        </w:rPr>
        <w:t xml:space="preserve">No matter what experiences children have had in their kindergarten year, they will have developed a range of skills and abilities that form the basis for further learning. </w:t>
      </w:r>
    </w:p>
    <w:p w14:paraId="4C402308" w14:textId="35B46BFC" w:rsidR="00746267" w:rsidRPr="004B1F2D" w:rsidRDefault="00E02792" w:rsidP="00D76C12">
      <w:pPr>
        <w:pStyle w:val="ListParagraph"/>
        <w:numPr>
          <w:ilvl w:val="0"/>
          <w:numId w:val="34"/>
        </w:numPr>
        <w:spacing w:after="120"/>
        <w:ind w:left="357" w:hanging="357"/>
      </w:pPr>
      <w:hyperlink r:id="rId28" w:history="1">
        <w:r w:rsidR="004B1F2D" w:rsidRPr="004B1F2D">
          <w:rPr>
            <w:rStyle w:val="Hyperlink"/>
          </w:rPr>
          <w:t>Adjustments to Transition Factsheet</w:t>
        </w:r>
      </w:hyperlink>
      <w:r w:rsidR="004B1F2D">
        <w:t xml:space="preserve"> contains o</w:t>
      </w:r>
      <w:r w:rsidR="00746267" w:rsidRPr="004B1F2D">
        <w:t xml:space="preserve">perational guidance on supporting children to make a positive start to school. </w:t>
      </w:r>
    </w:p>
    <w:p w14:paraId="19751640" w14:textId="34F87F44" w:rsidR="00746267" w:rsidRPr="00280DA2" w:rsidRDefault="004B1F2D" w:rsidP="00D76C12">
      <w:pPr>
        <w:pStyle w:val="Heading1"/>
        <w:spacing w:before="0"/>
        <w:rPr>
          <w:rFonts w:asciiTheme="minorHAnsi" w:hAnsiTheme="minorHAnsi" w:cstheme="minorHAnsi"/>
          <w:b/>
          <w:color w:val="525252" w:themeColor="accent3" w:themeShade="80"/>
          <w:u w:val="none" w:color="9933FF"/>
        </w:rPr>
      </w:pPr>
      <w:r w:rsidRPr="00280DA2">
        <w:rPr>
          <w:rFonts w:asciiTheme="minorHAnsi" w:hAnsiTheme="minorHAnsi" w:cstheme="minorHAnsi"/>
          <w:b/>
          <w:color w:val="525252" w:themeColor="accent3" w:themeShade="80"/>
          <w:u w:val="none" w:color="9933FF"/>
        </w:rPr>
        <w:t>Moving to secondary school</w:t>
      </w:r>
    </w:p>
    <w:p w14:paraId="452F1675" w14:textId="4ACC6DA3" w:rsidR="004B1F2D" w:rsidRDefault="004B1F2D" w:rsidP="00D76C12">
      <w:r>
        <w:t xml:space="preserve">Schools will support </w:t>
      </w:r>
      <w:r w:rsidR="00746267">
        <w:t xml:space="preserve">students to finish their final year strong and with the confidence to progress to the next year level in 2021. </w:t>
      </w:r>
    </w:p>
    <w:p w14:paraId="7EF737E6" w14:textId="13CB92BF" w:rsidR="00746267" w:rsidRPr="004B1F2D" w:rsidRDefault="00746267" w:rsidP="00D76C12">
      <w:pPr>
        <w:pStyle w:val="ListParagraph"/>
        <w:numPr>
          <w:ilvl w:val="0"/>
          <w:numId w:val="34"/>
        </w:numPr>
        <w:spacing w:after="120"/>
        <w:ind w:left="357" w:hanging="357"/>
        <w:rPr>
          <w:lang w:val="en-US"/>
        </w:rPr>
      </w:pPr>
      <w:r>
        <w:t xml:space="preserve">Take the time to celebrate with students, and complete final year rituals, such as </w:t>
      </w:r>
      <w:hyperlink r:id="rId29" w:history="1">
        <w:r>
          <w:rPr>
            <w:rStyle w:val="Hyperlink"/>
          </w:rPr>
          <w:t>adapted and innovative graduation ceremonies</w:t>
        </w:r>
      </w:hyperlink>
      <w:r>
        <w:t>.</w:t>
      </w:r>
    </w:p>
    <w:p w14:paraId="07DB7EC6" w14:textId="4D80BC1A" w:rsidR="004B1F2D" w:rsidRDefault="00E02792" w:rsidP="00D76C12">
      <w:pPr>
        <w:numPr>
          <w:ilvl w:val="0"/>
          <w:numId w:val="34"/>
        </w:numPr>
        <w:spacing w:line="240" w:lineRule="atLeast"/>
        <w:rPr>
          <w:lang w:val="en-AU"/>
        </w:rPr>
      </w:pPr>
      <w:hyperlink r:id="rId30" w:history="1">
        <w:r w:rsidR="004B1F2D">
          <w:rPr>
            <w:rStyle w:val="Hyperlink"/>
            <w:lang w:val="en-AU"/>
          </w:rPr>
          <w:t>Transition to secondary school for students with a disability</w:t>
        </w:r>
      </w:hyperlink>
      <w:r w:rsidR="004B1F2D">
        <w:t xml:space="preserve"> </w:t>
      </w:r>
      <w:r w:rsidR="00A0125F">
        <w:t xml:space="preserve">contains advice and resources to support a successful transition. </w:t>
      </w:r>
    </w:p>
    <w:p w14:paraId="44C965BC" w14:textId="01E9B7A5" w:rsidR="00746267" w:rsidRDefault="007B02FC" w:rsidP="00D76C12">
      <w:pPr>
        <w:rPr>
          <w:lang w:val="en-US"/>
        </w:rPr>
      </w:pPr>
      <w:r>
        <w:t>S</w:t>
      </w:r>
      <w:r w:rsidR="00746267">
        <w:t>ubmit PSD Year 6–7 Review applications, if required.</w:t>
      </w:r>
    </w:p>
    <w:p w14:paraId="17086796" w14:textId="7A3F38E9" w:rsidR="00746267" w:rsidRPr="00280DA2" w:rsidRDefault="00746267" w:rsidP="00D76C12">
      <w:pPr>
        <w:pStyle w:val="Heading1"/>
        <w:spacing w:before="0"/>
        <w:rPr>
          <w:rFonts w:asciiTheme="minorHAnsi" w:hAnsiTheme="minorHAnsi" w:cstheme="minorHAnsi"/>
          <w:b/>
          <w:color w:val="525252" w:themeColor="accent3" w:themeShade="80"/>
          <w:u w:color="9933FF"/>
        </w:rPr>
      </w:pPr>
      <w:r w:rsidRPr="00280DA2">
        <w:rPr>
          <w:rFonts w:asciiTheme="minorHAnsi" w:hAnsiTheme="minorHAnsi" w:cstheme="minorHAnsi"/>
          <w:b/>
          <w:color w:val="525252" w:themeColor="accent3" w:themeShade="80"/>
          <w:u w:val="none" w:color="9933FF"/>
        </w:rPr>
        <w:t>School leavers</w:t>
      </w:r>
    </w:p>
    <w:p w14:paraId="1228853C" w14:textId="77777777" w:rsidR="001A152A" w:rsidRDefault="001A152A" w:rsidP="00D76C12">
      <w:r>
        <w:t xml:space="preserve">Schools have implemented opportunities to consolidate learning and educational experiences, which will support students’ transition to post-secondary destinations. </w:t>
      </w:r>
    </w:p>
    <w:p w14:paraId="393374CA" w14:textId="6D128793" w:rsidR="00746267" w:rsidRDefault="00746267" w:rsidP="00A934D3">
      <w:pPr>
        <w:pStyle w:val="ListParagraph"/>
        <w:numPr>
          <w:ilvl w:val="0"/>
          <w:numId w:val="34"/>
        </w:numPr>
        <w:spacing w:after="120"/>
        <w:ind w:left="357" w:hanging="357"/>
        <w:rPr>
          <w:b/>
          <w:szCs w:val="18"/>
          <w:lang w:val="en-GB"/>
        </w:rPr>
      </w:pPr>
      <w:r>
        <w:rPr>
          <w:lang w:val="en-GB"/>
        </w:rPr>
        <w:t xml:space="preserve">As a general rule, </w:t>
      </w:r>
      <w:r w:rsidR="001A152A">
        <w:rPr>
          <w:lang w:val="en-GB"/>
        </w:rPr>
        <w:t xml:space="preserve">students </w:t>
      </w:r>
      <w:r w:rsidR="001A152A">
        <w:t>should be</w:t>
      </w:r>
      <w:r>
        <w:rPr>
          <w:lang w:val="en-GB"/>
        </w:rPr>
        <w:t xml:space="preserve"> progress</w:t>
      </w:r>
      <w:r w:rsidR="001A152A">
        <w:t>ed</w:t>
      </w:r>
      <w:r>
        <w:rPr>
          <w:lang w:val="en-GB"/>
        </w:rPr>
        <w:t xml:space="preserve"> to their post-school setting in 2021. </w:t>
      </w:r>
    </w:p>
    <w:p w14:paraId="06143DC2" w14:textId="7C6F68B4" w:rsidR="00746267" w:rsidRDefault="00F106E2" w:rsidP="00A934D3">
      <w:pPr>
        <w:pStyle w:val="ListParagraph"/>
        <w:numPr>
          <w:ilvl w:val="0"/>
          <w:numId w:val="34"/>
        </w:numPr>
        <w:spacing w:after="120"/>
        <w:ind w:left="357" w:hanging="357"/>
        <w:rPr>
          <w:b/>
          <w:lang w:val="en-GB"/>
        </w:rPr>
      </w:pPr>
      <w:r>
        <w:t xml:space="preserve">Support </w:t>
      </w:r>
      <w:r w:rsidR="00746267">
        <w:rPr>
          <w:lang w:val="en-GB"/>
        </w:rPr>
        <w:t xml:space="preserve">students’ readiness for life after school through conducting </w:t>
      </w:r>
      <w:hyperlink r:id="rId31" w:history="1">
        <w:r w:rsidR="00746267">
          <w:rPr>
            <w:rStyle w:val="Hyperlink"/>
            <w:lang w:val="en-GB"/>
          </w:rPr>
          <w:t>S</w:t>
        </w:r>
        <w:r>
          <w:rPr>
            <w:rStyle w:val="Hyperlink"/>
          </w:rPr>
          <w:t xml:space="preserve">SG </w:t>
        </w:r>
        <w:r w:rsidR="00810206">
          <w:rPr>
            <w:rStyle w:val="Hyperlink"/>
          </w:rPr>
          <w:t>m</w:t>
        </w:r>
        <w:r>
          <w:rPr>
            <w:rStyle w:val="Hyperlink"/>
          </w:rPr>
          <w:t>eetings</w:t>
        </w:r>
      </w:hyperlink>
      <w:r w:rsidR="00746267">
        <w:rPr>
          <w:lang w:val="en-GB"/>
        </w:rPr>
        <w:t xml:space="preserve">, making adjustments in </w:t>
      </w:r>
      <w:hyperlink r:id="rId32" w:history="1">
        <w:r w:rsidR="00746267">
          <w:rPr>
            <w:rStyle w:val="Hyperlink"/>
            <w:lang w:val="en-GB"/>
          </w:rPr>
          <w:t>I</w:t>
        </w:r>
        <w:r>
          <w:rPr>
            <w:rStyle w:val="Hyperlink"/>
          </w:rPr>
          <w:t>EP</w:t>
        </w:r>
        <w:r w:rsidR="00746267">
          <w:rPr>
            <w:rStyle w:val="Hyperlink"/>
            <w:lang w:val="en-GB"/>
          </w:rPr>
          <w:t>s</w:t>
        </w:r>
      </w:hyperlink>
      <w:r w:rsidR="00746267">
        <w:rPr>
          <w:lang w:val="en-GB"/>
        </w:rPr>
        <w:t>, reviewing career aspirations and post-school plans, and facilitating transition.</w:t>
      </w:r>
    </w:p>
    <w:p w14:paraId="0593D885" w14:textId="1F68F605" w:rsidR="00F106E2" w:rsidRPr="00F106E2" w:rsidRDefault="00746267" w:rsidP="00D76C12">
      <w:pPr>
        <w:tabs>
          <w:tab w:val="num" w:pos="1440"/>
        </w:tabs>
        <w:rPr>
          <w:szCs w:val="22"/>
          <w:lang w:val="en-AU"/>
        </w:rPr>
      </w:pPr>
      <w:r w:rsidRPr="00746267">
        <w:rPr>
          <w:szCs w:val="22"/>
        </w:rPr>
        <w:t xml:space="preserve">The </w:t>
      </w:r>
      <w:r w:rsidR="00F106E2">
        <w:rPr>
          <w:szCs w:val="22"/>
        </w:rPr>
        <w:t>National Disability Insurance Scheme (</w:t>
      </w:r>
      <w:r w:rsidRPr="00746267">
        <w:rPr>
          <w:szCs w:val="22"/>
        </w:rPr>
        <w:t>NDIS</w:t>
      </w:r>
      <w:r w:rsidR="00F106E2">
        <w:rPr>
          <w:szCs w:val="22"/>
        </w:rPr>
        <w:t>)</w:t>
      </w:r>
      <w:r w:rsidRPr="00746267">
        <w:rPr>
          <w:szCs w:val="22"/>
        </w:rPr>
        <w:t xml:space="preserve"> funds a range of post school supports to help young people with disability move from school into employment or other options. </w:t>
      </w:r>
      <w:r w:rsidR="00F106E2">
        <w:rPr>
          <w:szCs w:val="22"/>
        </w:rPr>
        <w:t xml:space="preserve">For information, see the </w:t>
      </w:r>
      <w:hyperlink r:id="rId33" w:history="1">
        <w:r w:rsidR="00F106E2" w:rsidRPr="00F106E2">
          <w:rPr>
            <w:rStyle w:val="Hyperlink"/>
            <w:szCs w:val="22"/>
          </w:rPr>
          <w:t>Leaving School</w:t>
        </w:r>
      </w:hyperlink>
      <w:r w:rsidR="00F106E2" w:rsidRPr="00F106E2">
        <w:rPr>
          <w:szCs w:val="22"/>
        </w:rPr>
        <w:t xml:space="preserve"> page of the NDIS website. </w:t>
      </w:r>
    </w:p>
    <w:p w14:paraId="1FEE7217" w14:textId="7AE7F35B" w:rsidR="00F106E2" w:rsidRPr="00280DA2" w:rsidRDefault="000F6B69" w:rsidP="00D76C12">
      <w:pPr>
        <w:pStyle w:val="Heading1"/>
        <w:spacing w:before="240"/>
        <w:rPr>
          <w:rFonts w:asciiTheme="minorHAnsi" w:hAnsiTheme="minorHAnsi" w:cstheme="minorHAnsi"/>
          <w:b/>
          <w:color w:val="9900CC"/>
          <w:u w:color="9900CC"/>
        </w:rPr>
      </w:pPr>
      <w:r>
        <w:rPr>
          <w:rFonts w:asciiTheme="minorHAnsi" w:hAnsiTheme="minorHAnsi" w:cstheme="minorHAnsi"/>
          <w:b/>
          <w:color w:val="9900CC"/>
          <w:u w:color="9900CC"/>
        </w:rPr>
        <w:br w:type="column"/>
      </w:r>
      <w:r w:rsidR="00F106E2" w:rsidRPr="00280DA2">
        <w:rPr>
          <w:rFonts w:asciiTheme="minorHAnsi" w:hAnsiTheme="minorHAnsi" w:cstheme="minorHAnsi"/>
          <w:b/>
          <w:color w:val="9900CC"/>
          <w:u w:color="9900CC"/>
        </w:rPr>
        <w:t>National Disability Insurance Scheme (</w:t>
      </w:r>
      <w:r w:rsidR="00F106E2" w:rsidRPr="00746267">
        <w:rPr>
          <w:rFonts w:asciiTheme="minorHAnsi" w:hAnsiTheme="minorHAnsi" w:cstheme="minorHAnsi"/>
          <w:b/>
          <w:color w:val="9900CC"/>
          <w:u w:color="9900CC"/>
        </w:rPr>
        <w:t>NDIS</w:t>
      </w:r>
      <w:r w:rsidR="00F106E2" w:rsidRPr="00280DA2">
        <w:rPr>
          <w:rFonts w:asciiTheme="minorHAnsi" w:hAnsiTheme="minorHAnsi" w:cstheme="minorHAnsi"/>
          <w:b/>
          <w:color w:val="9900CC"/>
          <w:u w:color="9900CC"/>
        </w:rPr>
        <w:t>)</w:t>
      </w:r>
    </w:p>
    <w:p w14:paraId="35C21A9B" w14:textId="77777777" w:rsidR="0032348C" w:rsidRDefault="00E02792" w:rsidP="0032348C">
      <w:hyperlink r:id="rId34" w:history="1">
        <w:r w:rsidR="0032348C" w:rsidRPr="00D76C12">
          <w:rPr>
            <w:rStyle w:val="Hyperlink"/>
          </w:rPr>
          <w:t>Advice for Victoria</w:t>
        </w:r>
      </w:hyperlink>
      <w:r w:rsidR="0032348C">
        <w:t xml:space="preserve"> contains NDIS information for participants including what support is available.  </w:t>
      </w:r>
    </w:p>
    <w:p w14:paraId="728374C3" w14:textId="77777777" w:rsidR="0032348C" w:rsidRPr="0032348C" w:rsidRDefault="0032348C" w:rsidP="0032348C">
      <w:pPr>
        <w:rPr>
          <w:color w:val="1F4E79"/>
        </w:rPr>
      </w:pPr>
      <w:r>
        <w:t xml:space="preserve">Parents and carers can access </w:t>
      </w:r>
      <w:hyperlink r:id="rId35" w:history="1">
        <w:r w:rsidRPr="00D76C12">
          <w:rPr>
            <w:rStyle w:val="Hyperlink"/>
          </w:rPr>
          <w:t>NDIS frequently asked questions</w:t>
        </w:r>
      </w:hyperlink>
      <w:r>
        <w:t xml:space="preserve"> for</w:t>
      </w:r>
      <w:r w:rsidRPr="00D76C12">
        <w:t xml:space="preserve"> parents and carers of children.</w:t>
      </w:r>
      <w:r>
        <w:t xml:space="preserve"> </w:t>
      </w:r>
    </w:p>
    <w:p w14:paraId="38234F7B" w14:textId="77777777" w:rsidR="0032348C" w:rsidRDefault="0032348C" w:rsidP="0032348C">
      <w:pPr>
        <w:rPr>
          <w:lang w:eastAsia="en-AU"/>
        </w:rPr>
      </w:pPr>
      <w:r>
        <w:t xml:space="preserve">NDIA has produced </w:t>
      </w:r>
      <w:hyperlink r:id="rId36" w:anchor="victoria-information-for-families-and-carers-of-school-aged-ndis-participants" w:history="1">
        <w:r>
          <w:rPr>
            <w:rStyle w:val="Hyperlink"/>
          </w:rPr>
          <w:t>i</w:t>
        </w:r>
        <w:r w:rsidRPr="007B02FC">
          <w:rPr>
            <w:rStyle w:val="Hyperlink"/>
          </w:rPr>
          <w:t>nformation for Victorian families and carers of school aged NDIS participants</w:t>
        </w:r>
      </w:hyperlink>
      <w:r w:rsidRPr="007B02FC">
        <w:t>.</w:t>
      </w:r>
      <w:r>
        <w:t xml:space="preserve"> </w:t>
      </w:r>
    </w:p>
    <w:p w14:paraId="26A8ECDA" w14:textId="446EF332" w:rsidR="008718AA" w:rsidRPr="00EB32F7" w:rsidRDefault="008718AA" w:rsidP="00EB32F7">
      <w:pPr>
        <w:sectPr w:rsidR="008718AA" w:rsidRPr="00EB32F7" w:rsidSect="00314F90">
          <w:headerReference w:type="default" r:id="rId37"/>
          <w:footerReference w:type="even" r:id="rId38"/>
          <w:footerReference w:type="default" r:id="rId39"/>
          <w:headerReference w:type="first" r:id="rId40"/>
          <w:pgSz w:w="11900" w:h="16840"/>
          <w:pgMar w:top="2127" w:right="851" w:bottom="709" w:left="851" w:header="709" w:footer="709" w:gutter="0"/>
          <w:cols w:num="2" w:space="276"/>
          <w:titlePg/>
          <w:docGrid w:linePitch="360"/>
        </w:sectPr>
      </w:pPr>
      <w:r>
        <w:t xml:space="preserve">Schools can contact the </w:t>
      </w:r>
      <w:r w:rsidRPr="008718AA">
        <w:rPr>
          <w:rStyle w:val="Hyperlink"/>
        </w:rPr>
        <w:t xml:space="preserve">NDIA </w:t>
      </w:r>
      <w:hyperlink r:id="rId41" w:history="1">
        <w:r w:rsidRPr="000F6B69">
          <w:rPr>
            <w:rStyle w:val="Hyperlink"/>
          </w:rPr>
          <w:t>Local Area Coordinator</w:t>
        </w:r>
      </w:hyperlink>
      <w:r>
        <w:t xml:space="preserve"> in their area for local information about the NDIS.</w:t>
      </w:r>
      <w:bookmarkStart w:id="0" w:name="_GoBack"/>
      <w:bookmarkEnd w:id="0"/>
    </w:p>
    <w:p w14:paraId="6C253EFD" w14:textId="1443E4DC" w:rsidR="00E933A5" w:rsidRDefault="00E933A5" w:rsidP="00F06D45">
      <w:pPr>
        <w:spacing w:after="160" w:line="259" w:lineRule="auto"/>
        <w:rPr>
          <w:rFonts w:ascii="Arial" w:hAnsi="Arial" w:cs="Arial"/>
          <w:color w:val="333333"/>
          <w:sz w:val="16"/>
          <w:szCs w:val="16"/>
        </w:rPr>
      </w:pPr>
    </w:p>
    <w:sectPr w:rsidR="00E933A5" w:rsidSect="00374A0C">
      <w:headerReference w:type="first" r:id="rId42"/>
      <w:pgSz w:w="11900" w:h="16840"/>
      <w:pgMar w:top="2127" w:right="851" w:bottom="567" w:left="851" w:header="709" w:footer="709" w:gutter="0"/>
      <w:cols w:num="2" w:space="2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29724" w14:textId="77777777" w:rsidR="00E02792" w:rsidRDefault="00E02792">
      <w:pPr>
        <w:spacing w:after="0"/>
      </w:pPr>
      <w:r>
        <w:separator/>
      </w:r>
    </w:p>
  </w:endnote>
  <w:endnote w:type="continuationSeparator" w:id="0">
    <w:p w14:paraId="108DC715" w14:textId="77777777" w:rsidR="00E02792" w:rsidRDefault="00E027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E595A" w14:textId="77777777" w:rsidR="009D3E62" w:rsidRDefault="00CE7286" w:rsidP="003E7A4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86BA38" w14:textId="77777777" w:rsidR="009D3E62" w:rsidRDefault="00E02792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57302" w14:textId="1CE0BF7E" w:rsidR="009D3E62" w:rsidRDefault="00CE7286" w:rsidP="00AC48CB">
    <w:pPr>
      <w:pStyle w:val="Footer"/>
      <w:framePr w:wrap="none" w:vAnchor="text" w:hAnchor="margin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72C0">
      <w:rPr>
        <w:rStyle w:val="PageNumber"/>
        <w:noProof/>
      </w:rPr>
      <w:t>4</w:t>
    </w:r>
    <w:r>
      <w:rPr>
        <w:rStyle w:val="PageNumber"/>
      </w:rPr>
      <w:fldChar w:fldCharType="end"/>
    </w:r>
  </w:p>
  <w:p w14:paraId="782A0504" w14:textId="77777777" w:rsidR="009D3E62" w:rsidRDefault="00E02792" w:rsidP="00C72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F925C" w14:textId="77777777" w:rsidR="00E02792" w:rsidRDefault="00E02792">
      <w:pPr>
        <w:spacing w:after="0"/>
      </w:pPr>
      <w:r>
        <w:separator/>
      </w:r>
    </w:p>
  </w:footnote>
  <w:footnote w:type="continuationSeparator" w:id="0">
    <w:p w14:paraId="56EE0A05" w14:textId="77777777" w:rsidR="00E02792" w:rsidRDefault="00E027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B374" w14:textId="2241FB24" w:rsidR="00A0125F" w:rsidRDefault="00A0125F">
    <w:pPr>
      <w:pStyle w:val="Header"/>
    </w:pPr>
    <w:r w:rsidRPr="00A0125F"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60600EFC" wp14:editId="04658C6D">
          <wp:simplePos x="0" y="0"/>
          <wp:positionH relativeFrom="page">
            <wp:posOffset>-12065</wp:posOffset>
          </wp:positionH>
          <wp:positionV relativeFrom="margin">
            <wp:posOffset>-1339215</wp:posOffset>
          </wp:positionV>
          <wp:extent cx="7555865" cy="10691495"/>
          <wp:effectExtent l="0" t="0" r="6985" b="0"/>
          <wp:wrapNone/>
          <wp:docPr id="3" name="Picture 3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125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39A45A" wp14:editId="0BC70251">
              <wp:simplePos x="0" y="0"/>
              <wp:positionH relativeFrom="column">
                <wp:posOffset>2244725</wp:posOffset>
              </wp:positionH>
              <wp:positionV relativeFrom="paragraph">
                <wp:posOffset>-191135</wp:posOffset>
              </wp:positionV>
              <wp:extent cx="4391025" cy="58102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F5382B" w14:textId="77777777" w:rsidR="00A0125F" w:rsidRPr="006D1672" w:rsidRDefault="00A0125F" w:rsidP="00A0125F">
                          <w:pPr>
                            <w:spacing w:after="0"/>
                            <w:rPr>
                              <w:b/>
                              <w:bCs/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</w:pPr>
                          <w:r w:rsidRPr="006D1672">
                            <w:rPr>
                              <w:b/>
                              <w:bCs/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>Quick guide to supporting students with disability</w:t>
                          </w:r>
                        </w:p>
                        <w:p w14:paraId="4E7874EE" w14:textId="14227E7C" w:rsidR="00A0125F" w:rsidRPr="006D1672" w:rsidRDefault="00A0125F" w:rsidP="00A0125F">
                          <w:pPr>
                            <w:spacing w:after="0"/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</w:pPr>
                          <w:r w:rsidRPr="006D1672"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>Resources for teachers and school</w:t>
                          </w:r>
                          <w:r w:rsidR="00030E22"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 xml:space="preserve"> </w:t>
                          </w:r>
                          <w:r w:rsidRPr="006D1672"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>s</w:t>
                          </w:r>
                          <w:r w:rsidR="00030E22"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>taff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9A45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76.75pt;margin-top:-15.05pt;width:345.75pt;height:4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" filled="f" stroked="f" strokeweight=".5pt">
              <v:textbox>
                <w:txbxContent>
                  <w:p w14:paraId="04F5382B" w14:textId="77777777" w:rsidR="00A0125F" w:rsidRPr="006D1672" w:rsidRDefault="00A0125F" w:rsidP="00A0125F">
                    <w:pPr>
                      <w:spacing w:after="0"/>
                      <w:rPr>
                        <w:b/>
                        <w:bCs/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</w:pPr>
                    <w:r w:rsidRPr="006D1672">
                      <w:rPr>
                        <w:b/>
                        <w:bCs/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>Quick guide to supporting students with disability</w:t>
                    </w:r>
                  </w:p>
                  <w:p w14:paraId="4E7874EE" w14:textId="14227E7C" w:rsidR="00A0125F" w:rsidRPr="006D1672" w:rsidRDefault="00A0125F" w:rsidP="00A0125F">
                    <w:pPr>
                      <w:spacing w:after="0"/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</w:pPr>
                    <w:r w:rsidRPr="006D1672"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>Resources for teachers and school</w:t>
                    </w:r>
                    <w:r w:rsidR="00030E22"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 xml:space="preserve"> </w:t>
                    </w:r>
                    <w:r w:rsidRPr="006D1672"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>s</w:t>
                    </w:r>
                    <w:r w:rsidR="00030E22"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>taff</w:t>
                    </w:r>
                  </w:p>
                </w:txbxContent>
              </v:textbox>
            </v:shape>
          </w:pict>
        </mc:Fallback>
      </mc:AlternateContent>
    </w:r>
    <w:r w:rsidR="00030E2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9894" w14:textId="4ECC6124" w:rsidR="009D3E62" w:rsidRDefault="006D167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34B53556" wp14:editId="485C7671">
          <wp:simplePos x="0" y="0"/>
          <wp:positionH relativeFrom="page">
            <wp:posOffset>-6350</wp:posOffset>
          </wp:positionH>
          <wp:positionV relativeFrom="margin">
            <wp:posOffset>-1332230</wp:posOffset>
          </wp:positionV>
          <wp:extent cx="7555865" cy="10691495"/>
          <wp:effectExtent l="0" t="0" r="6985" b="0"/>
          <wp:wrapNone/>
          <wp:docPr id="4" name="Picture 4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EA7B8" wp14:editId="1E38AA7D">
              <wp:simplePos x="0" y="0"/>
              <wp:positionH relativeFrom="column">
                <wp:posOffset>2250440</wp:posOffset>
              </wp:positionH>
              <wp:positionV relativeFrom="paragraph">
                <wp:posOffset>-184150</wp:posOffset>
              </wp:positionV>
              <wp:extent cx="4391025" cy="58102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E448C4" w14:textId="093A6677" w:rsidR="006D1672" w:rsidRPr="006D1672" w:rsidRDefault="006D1672" w:rsidP="006D1672">
                          <w:pPr>
                            <w:spacing w:after="0"/>
                            <w:rPr>
                              <w:b/>
                              <w:bCs/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</w:pPr>
                          <w:r w:rsidRPr="006D1672">
                            <w:rPr>
                              <w:b/>
                              <w:bCs/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>Quick guide to supporting students with disability</w:t>
                          </w:r>
                        </w:p>
                        <w:p w14:paraId="213B2632" w14:textId="1F20E5B4" w:rsidR="006D1672" w:rsidRPr="006D1672" w:rsidRDefault="006D1672" w:rsidP="006D1672">
                          <w:pPr>
                            <w:spacing w:after="0"/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</w:pPr>
                          <w:r w:rsidRPr="006D1672"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>Resources for teachers and school</w:t>
                          </w:r>
                          <w:r w:rsidR="00B6564A"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 xml:space="preserve"> staff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EA7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77.2pt;margin-top:-14.5pt;width:345.75pt;height:4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" filled="f" stroked="f" strokeweight=".5pt">
              <v:textbox>
                <w:txbxContent>
                  <w:p w14:paraId="6EE448C4" w14:textId="093A6677" w:rsidR="006D1672" w:rsidRPr="006D1672" w:rsidRDefault="006D1672" w:rsidP="006D1672">
                    <w:pPr>
                      <w:spacing w:after="0"/>
                      <w:rPr>
                        <w:b/>
                        <w:bCs/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</w:pPr>
                    <w:r w:rsidRPr="006D1672">
                      <w:rPr>
                        <w:b/>
                        <w:bCs/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>Quick guide to supporting students with disability</w:t>
                    </w:r>
                  </w:p>
                  <w:p w14:paraId="213B2632" w14:textId="1F20E5B4" w:rsidR="006D1672" w:rsidRPr="006D1672" w:rsidRDefault="006D1672" w:rsidP="006D1672">
                    <w:pPr>
                      <w:spacing w:after="0"/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</w:pPr>
                    <w:r w:rsidRPr="006D1672"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>Resources for teachers and school</w:t>
                    </w:r>
                    <w:r w:rsidR="00B6564A"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 xml:space="preserve"> staff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C4CC2" w14:textId="77777777" w:rsidR="001D1027" w:rsidRDefault="001D102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52595896" wp14:editId="48A84F7A">
          <wp:simplePos x="0" y="0"/>
          <wp:positionH relativeFrom="page">
            <wp:posOffset>-6350</wp:posOffset>
          </wp:positionH>
          <wp:positionV relativeFrom="margin">
            <wp:posOffset>-1332230</wp:posOffset>
          </wp:positionV>
          <wp:extent cx="7555865" cy="10691495"/>
          <wp:effectExtent l="0" t="0" r="6985" b="0"/>
          <wp:wrapNone/>
          <wp:docPr id="2" name="Picture 2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FDE51E" wp14:editId="564B9C05">
              <wp:simplePos x="0" y="0"/>
              <wp:positionH relativeFrom="column">
                <wp:posOffset>2250440</wp:posOffset>
              </wp:positionH>
              <wp:positionV relativeFrom="paragraph">
                <wp:posOffset>-184150</wp:posOffset>
              </wp:positionV>
              <wp:extent cx="4391025" cy="581025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1025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B3AFF2" w14:textId="77777777" w:rsidR="001D1027" w:rsidRPr="006D1672" w:rsidRDefault="001D1027" w:rsidP="006D1672">
                          <w:pPr>
                            <w:spacing w:after="0"/>
                            <w:rPr>
                              <w:b/>
                              <w:bCs/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</w:pPr>
                          <w:r w:rsidRPr="006D1672">
                            <w:rPr>
                              <w:b/>
                              <w:bCs/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>Quick guide to supporting students with disability</w:t>
                          </w:r>
                        </w:p>
                        <w:p w14:paraId="4571B134" w14:textId="0D03A662" w:rsidR="001D1027" w:rsidRPr="006D1672" w:rsidRDefault="001D1027" w:rsidP="006D1672">
                          <w:pPr>
                            <w:spacing w:after="0"/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</w:pPr>
                          <w:r w:rsidRPr="006D1672"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 xml:space="preserve">Resources for </w:t>
                          </w:r>
                          <w:r>
                            <w:rPr>
                              <w:color w:val="FFFFFF" w:themeColor="background1"/>
                              <w:w w:val="105"/>
                              <w:sz w:val="28"/>
                              <w:szCs w:val="32"/>
                              <w:lang w:val="en-US"/>
                            </w:rPr>
                            <w:t>parents and carers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DE51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177.2pt;margin-top:-14.5pt;width:345.75pt;height:4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" filled="f" stroked="f" strokeweight=".5pt">
              <v:textbox>
                <w:txbxContent>
                  <w:p w14:paraId="61B3AFF2" w14:textId="77777777" w:rsidR="001D1027" w:rsidRPr="006D1672" w:rsidRDefault="001D1027" w:rsidP="006D1672">
                    <w:pPr>
                      <w:spacing w:after="0"/>
                      <w:rPr>
                        <w:b/>
                        <w:bCs/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</w:pPr>
                    <w:r w:rsidRPr="006D1672">
                      <w:rPr>
                        <w:b/>
                        <w:bCs/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>Quick guide to supporting students with disability</w:t>
                    </w:r>
                  </w:p>
                  <w:p w14:paraId="4571B134" w14:textId="0D03A662" w:rsidR="001D1027" w:rsidRPr="006D1672" w:rsidRDefault="001D1027" w:rsidP="006D1672">
                    <w:pPr>
                      <w:spacing w:after="0"/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</w:pPr>
                    <w:r w:rsidRPr="006D1672"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 xml:space="preserve">Resources for </w:t>
                    </w:r>
                    <w:r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 xml:space="preserve">parents and </w:t>
                    </w:r>
                    <w:proofErr w:type="spellStart"/>
                    <w:r>
                      <w:rPr>
                        <w:color w:val="FFFFFF" w:themeColor="background1"/>
                        <w:w w:val="105"/>
                        <w:sz w:val="28"/>
                        <w:szCs w:val="32"/>
                        <w:lang w:val="en-US"/>
                      </w:rPr>
                      <w:t>carers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75BDF"/>
    <w:multiLevelType w:val="hybridMultilevel"/>
    <w:tmpl w:val="871496A2"/>
    <w:lvl w:ilvl="0" w:tplc="0518AA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06217"/>
    <w:multiLevelType w:val="hybridMultilevel"/>
    <w:tmpl w:val="CB54CEA0"/>
    <w:lvl w:ilvl="0" w:tplc="51B85E8A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732EC5"/>
    <w:multiLevelType w:val="hybridMultilevel"/>
    <w:tmpl w:val="09FAF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69F2"/>
    <w:multiLevelType w:val="hybridMultilevel"/>
    <w:tmpl w:val="013CC4B6"/>
    <w:lvl w:ilvl="0" w:tplc="19BA4906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C4E98"/>
    <w:multiLevelType w:val="hybridMultilevel"/>
    <w:tmpl w:val="E80803C4"/>
    <w:lvl w:ilvl="0" w:tplc="51B85E8A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35581"/>
    <w:multiLevelType w:val="hybridMultilevel"/>
    <w:tmpl w:val="F976B7D2"/>
    <w:lvl w:ilvl="0" w:tplc="51B85E8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E6957"/>
    <w:multiLevelType w:val="hybridMultilevel"/>
    <w:tmpl w:val="137E1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89D7C"/>
    <w:multiLevelType w:val="hybridMultilevel"/>
    <w:tmpl w:val="7FA9B6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7801FC"/>
    <w:multiLevelType w:val="hybridMultilevel"/>
    <w:tmpl w:val="C9F0AF3C"/>
    <w:lvl w:ilvl="0" w:tplc="01C2E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C357D"/>
    <w:multiLevelType w:val="hybridMultilevel"/>
    <w:tmpl w:val="71D2058A"/>
    <w:lvl w:ilvl="0" w:tplc="C82CE0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4C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2609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84B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468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229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4EE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EEA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60A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7473CC3"/>
    <w:multiLevelType w:val="hybridMultilevel"/>
    <w:tmpl w:val="E0909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C7DB7"/>
    <w:multiLevelType w:val="hybridMultilevel"/>
    <w:tmpl w:val="5406C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14C0B"/>
    <w:multiLevelType w:val="hybridMultilevel"/>
    <w:tmpl w:val="1408EB64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643DF"/>
    <w:multiLevelType w:val="hybridMultilevel"/>
    <w:tmpl w:val="080E3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B04B82"/>
    <w:multiLevelType w:val="hybridMultilevel"/>
    <w:tmpl w:val="DC4C077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9540B1"/>
    <w:multiLevelType w:val="hybridMultilevel"/>
    <w:tmpl w:val="26C47854"/>
    <w:lvl w:ilvl="0" w:tplc="9B9C30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4D07A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DA49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0B43E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BF0B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E636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B4AD6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EBCC0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4652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2D304059"/>
    <w:multiLevelType w:val="hybridMultilevel"/>
    <w:tmpl w:val="9C7603BE"/>
    <w:lvl w:ilvl="0" w:tplc="03ECD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299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2ED6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E6D9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4680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403A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300C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D4DD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8B72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FC73360"/>
    <w:multiLevelType w:val="hybridMultilevel"/>
    <w:tmpl w:val="3B163C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1D78C0"/>
    <w:multiLevelType w:val="hybridMultilevel"/>
    <w:tmpl w:val="BF281CB6"/>
    <w:lvl w:ilvl="0" w:tplc="F6F85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209C2"/>
    <w:multiLevelType w:val="hybridMultilevel"/>
    <w:tmpl w:val="0178C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5F1996"/>
    <w:multiLevelType w:val="hybridMultilevel"/>
    <w:tmpl w:val="AEB62D00"/>
    <w:lvl w:ilvl="0" w:tplc="A0F0A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FAAC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8E93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FC7D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AFB8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5CA31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4BF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76EC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DC1CA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1673D73"/>
    <w:multiLevelType w:val="hybridMultilevel"/>
    <w:tmpl w:val="5A6EB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E65F2"/>
    <w:multiLevelType w:val="hybridMultilevel"/>
    <w:tmpl w:val="867CEBCC"/>
    <w:lvl w:ilvl="0" w:tplc="B8726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382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76F92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BE3F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26E70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36A9E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52BB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24957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B4B5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D811754"/>
    <w:multiLevelType w:val="hybridMultilevel"/>
    <w:tmpl w:val="DF346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02271"/>
    <w:multiLevelType w:val="hybridMultilevel"/>
    <w:tmpl w:val="4A787596"/>
    <w:lvl w:ilvl="0" w:tplc="73C01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sz w:val="1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3137D"/>
    <w:multiLevelType w:val="hybridMultilevel"/>
    <w:tmpl w:val="C0BCA446"/>
    <w:lvl w:ilvl="0" w:tplc="BE5A21CC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7" w15:restartNumberingAfterBreak="0">
    <w:nsid w:val="55A25F40"/>
    <w:multiLevelType w:val="multilevel"/>
    <w:tmpl w:val="CD66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B97166"/>
    <w:multiLevelType w:val="hybridMultilevel"/>
    <w:tmpl w:val="5DCEFD48"/>
    <w:lvl w:ilvl="0" w:tplc="51B85E8A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814C22"/>
    <w:multiLevelType w:val="hybridMultilevel"/>
    <w:tmpl w:val="0E0C557A"/>
    <w:lvl w:ilvl="0" w:tplc="A5D69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E851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04E4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467E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407F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EC266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47E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EAB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0912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2FF2AB4"/>
    <w:multiLevelType w:val="hybridMultilevel"/>
    <w:tmpl w:val="CE7C2584"/>
    <w:lvl w:ilvl="0" w:tplc="51B85E8A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C86370"/>
    <w:multiLevelType w:val="hybridMultilevel"/>
    <w:tmpl w:val="2A92A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80A72"/>
    <w:multiLevelType w:val="hybridMultilevel"/>
    <w:tmpl w:val="BF72F43C"/>
    <w:lvl w:ilvl="0" w:tplc="51B85E8A">
      <w:numFmt w:val="bullet"/>
      <w:lvlText w:val="•"/>
      <w:lvlJc w:val="left"/>
      <w:pPr>
        <w:ind w:left="717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69692D8C"/>
    <w:multiLevelType w:val="hybridMultilevel"/>
    <w:tmpl w:val="273A2DEC"/>
    <w:lvl w:ilvl="0" w:tplc="02D2A2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68F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6C03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1ACE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604AE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C24C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0829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E73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BC1B0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B2A08EF"/>
    <w:multiLevelType w:val="hybridMultilevel"/>
    <w:tmpl w:val="B46AF168"/>
    <w:lvl w:ilvl="0" w:tplc="D73A6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84D4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A4C29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AE92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92FF0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669F1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600B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BCBC2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EEC89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33E6913"/>
    <w:multiLevelType w:val="hybridMultilevel"/>
    <w:tmpl w:val="AF7CD6CA"/>
    <w:lvl w:ilvl="0" w:tplc="BFC0A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2619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008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1459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AAF2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5E361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035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41E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F826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96557E9"/>
    <w:multiLevelType w:val="hybridMultilevel"/>
    <w:tmpl w:val="C05C2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865879"/>
    <w:multiLevelType w:val="hybridMultilevel"/>
    <w:tmpl w:val="B76ADD2E"/>
    <w:lvl w:ilvl="0" w:tplc="40BE39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335611"/>
    <w:multiLevelType w:val="hybridMultilevel"/>
    <w:tmpl w:val="FBC68B98"/>
    <w:lvl w:ilvl="0" w:tplc="B2108838">
      <w:numFmt w:val="bullet"/>
      <w:lvlText w:val="•"/>
      <w:lvlJc w:val="left"/>
      <w:pPr>
        <w:ind w:left="360" w:hanging="360"/>
      </w:pPr>
      <w:rPr>
        <w:rFonts w:hint="default"/>
        <w:color w:val="auto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7C4A0E"/>
    <w:multiLevelType w:val="hybridMultilevel"/>
    <w:tmpl w:val="A0FE9A5E"/>
    <w:lvl w:ilvl="0" w:tplc="51B85E8A">
      <w:numFmt w:val="bullet"/>
      <w:lvlText w:val="•"/>
      <w:lvlJc w:val="left"/>
      <w:pPr>
        <w:ind w:left="36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DD0655"/>
    <w:multiLevelType w:val="hybridMultilevel"/>
    <w:tmpl w:val="33BACD04"/>
    <w:lvl w:ilvl="0" w:tplc="96E44018">
      <w:numFmt w:val="bullet"/>
      <w:lvlText w:val="•"/>
      <w:lvlJc w:val="left"/>
      <w:pPr>
        <w:ind w:left="393" w:hanging="284"/>
      </w:pPr>
      <w:rPr>
        <w:rFonts w:ascii="Lucida Sans" w:eastAsia="Lucida Sans" w:hAnsi="Lucida Sans" w:cs="Lucida Sans" w:hint="default"/>
        <w:w w:val="62"/>
        <w:sz w:val="20"/>
        <w:szCs w:val="20"/>
        <w:lang w:val="en-US" w:eastAsia="en-US" w:bidi="ar-SA"/>
      </w:rPr>
    </w:lvl>
    <w:lvl w:ilvl="1" w:tplc="51B85E8A">
      <w:numFmt w:val="bullet"/>
      <w:lvlText w:val="•"/>
      <w:lvlJc w:val="left"/>
      <w:pPr>
        <w:ind w:left="869" w:hanging="284"/>
      </w:pPr>
      <w:rPr>
        <w:rFonts w:hint="default"/>
        <w:lang w:val="en-US" w:eastAsia="en-US" w:bidi="ar-SA"/>
      </w:rPr>
    </w:lvl>
    <w:lvl w:ilvl="2" w:tplc="43E87182">
      <w:numFmt w:val="bullet"/>
      <w:lvlText w:val="•"/>
      <w:lvlJc w:val="left"/>
      <w:pPr>
        <w:ind w:left="1338" w:hanging="284"/>
      </w:pPr>
      <w:rPr>
        <w:rFonts w:hint="default"/>
        <w:lang w:val="en-US" w:eastAsia="en-US" w:bidi="ar-SA"/>
      </w:rPr>
    </w:lvl>
    <w:lvl w:ilvl="3" w:tplc="1228E98A">
      <w:numFmt w:val="bullet"/>
      <w:lvlText w:val="•"/>
      <w:lvlJc w:val="left"/>
      <w:pPr>
        <w:ind w:left="1808" w:hanging="284"/>
      </w:pPr>
      <w:rPr>
        <w:rFonts w:hint="default"/>
        <w:lang w:val="en-US" w:eastAsia="en-US" w:bidi="ar-SA"/>
      </w:rPr>
    </w:lvl>
    <w:lvl w:ilvl="4" w:tplc="D37AA41A">
      <w:numFmt w:val="bullet"/>
      <w:lvlText w:val="•"/>
      <w:lvlJc w:val="left"/>
      <w:pPr>
        <w:ind w:left="2277" w:hanging="284"/>
      </w:pPr>
      <w:rPr>
        <w:rFonts w:hint="default"/>
        <w:lang w:val="en-US" w:eastAsia="en-US" w:bidi="ar-SA"/>
      </w:rPr>
    </w:lvl>
    <w:lvl w:ilvl="5" w:tplc="2C96C286">
      <w:numFmt w:val="bullet"/>
      <w:lvlText w:val="•"/>
      <w:lvlJc w:val="left"/>
      <w:pPr>
        <w:ind w:left="2746" w:hanging="284"/>
      </w:pPr>
      <w:rPr>
        <w:rFonts w:hint="default"/>
        <w:lang w:val="en-US" w:eastAsia="en-US" w:bidi="ar-SA"/>
      </w:rPr>
    </w:lvl>
    <w:lvl w:ilvl="6" w:tplc="4662A670">
      <w:numFmt w:val="bullet"/>
      <w:lvlText w:val="•"/>
      <w:lvlJc w:val="left"/>
      <w:pPr>
        <w:ind w:left="3216" w:hanging="284"/>
      </w:pPr>
      <w:rPr>
        <w:rFonts w:hint="default"/>
        <w:lang w:val="en-US" w:eastAsia="en-US" w:bidi="ar-SA"/>
      </w:rPr>
    </w:lvl>
    <w:lvl w:ilvl="7" w:tplc="A06E4098">
      <w:numFmt w:val="bullet"/>
      <w:lvlText w:val="•"/>
      <w:lvlJc w:val="left"/>
      <w:pPr>
        <w:ind w:left="3685" w:hanging="284"/>
      </w:pPr>
      <w:rPr>
        <w:rFonts w:hint="default"/>
        <w:lang w:val="en-US" w:eastAsia="en-US" w:bidi="ar-SA"/>
      </w:rPr>
    </w:lvl>
    <w:lvl w:ilvl="8" w:tplc="9CDE668E">
      <w:numFmt w:val="bullet"/>
      <w:lvlText w:val="•"/>
      <w:lvlJc w:val="left"/>
      <w:pPr>
        <w:ind w:left="4154" w:hanging="284"/>
      </w:pPr>
      <w:rPr>
        <w:rFonts w:hint="default"/>
        <w:lang w:val="en-US" w:eastAsia="en-US" w:bidi="ar-SA"/>
      </w:rPr>
    </w:lvl>
  </w:abstractNum>
  <w:abstractNum w:abstractNumId="41" w15:restartNumberingAfterBreak="0">
    <w:nsid w:val="7F3B5BD0"/>
    <w:multiLevelType w:val="hybridMultilevel"/>
    <w:tmpl w:val="FC166276"/>
    <w:lvl w:ilvl="0" w:tplc="B1DCC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E256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23C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9E0F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F0586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2294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6AC3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AB9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06180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36"/>
  </w:num>
  <w:num w:numId="5">
    <w:abstractNumId w:val="0"/>
  </w:num>
  <w:num w:numId="6">
    <w:abstractNumId w:val="14"/>
  </w:num>
  <w:num w:numId="7">
    <w:abstractNumId w:val="15"/>
  </w:num>
  <w:num w:numId="8">
    <w:abstractNumId w:val="22"/>
  </w:num>
  <w:num w:numId="9">
    <w:abstractNumId w:val="8"/>
  </w:num>
  <w:num w:numId="10">
    <w:abstractNumId w:val="20"/>
  </w:num>
  <w:num w:numId="11">
    <w:abstractNumId w:val="11"/>
  </w:num>
  <w:num w:numId="12">
    <w:abstractNumId w:val="27"/>
  </w:num>
  <w:num w:numId="13">
    <w:abstractNumId w:val="1"/>
  </w:num>
  <w:num w:numId="14">
    <w:abstractNumId w:val="35"/>
  </w:num>
  <w:num w:numId="15">
    <w:abstractNumId w:val="29"/>
  </w:num>
  <w:num w:numId="16">
    <w:abstractNumId w:val="17"/>
  </w:num>
  <w:num w:numId="17">
    <w:abstractNumId w:val="33"/>
  </w:num>
  <w:num w:numId="18">
    <w:abstractNumId w:val="23"/>
  </w:num>
  <w:num w:numId="19">
    <w:abstractNumId w:val="21"/>
  </w:num>
  <w:num w:numId="20">
    <w:abstractNumId w:val="41"/>
  </w:num>
  <w:num w:numId="21">
    <w:abstractNumId w:val="34"/>
  </w:num>
  <w:num w:numId="22">
    <w:abstractNumId w:val="31"/>
  </w:num>
  <w:num w:numId="23">
    <w:abstractNumId w:val="38"/>
  </w:num>
  <w:num w:numId="24">
    <w:abstractNumId w:val="40"/>
  </w:num>
  <w:num w:numId="25">
    <w:abstractNumId w:val="13"/>
  </w:num>
  <w:num w:numId="26">
    <w:abstractNumId w:val="24"/>
  </w:num>
  <w:num w:numId="27">
    <w:abstractNumId w:val="7"/>
  </w:num>
  <w:num w:numId="28">
    <w:abstractNumId w:val="12"/>
  </w:num>
  <w:num w:numId="29">
    <w:abstractNumId w:val="37"/>
  </w:num>
  <w:num w:numId="30">
    <w:abstractNumId w:val="9"/>
  </w:num>
  <w:num w:numId="31">
    <w:abstractNumId w:val="30"/>
  </w:num>
  <w:num w:numId="32">
    <w:abstractNumId w:val="25"/>
  </w:num>
  <w:num w:numId="33">
    <w:abstractNumId w:val="26"/>
  </w:num>
  <w:num w:numId="34">
    <w:abstractNumId w:val="39"/>
  </w:num>
  <w:num w:numId="35">
    <w:abstractNumId w:val="28"/>
  </w:num>
  <w:num w:numId="36">
    <w:abstractNumId w:val="32"/>
  </w:num>
  <w:num w:numId="37">
    <w:abstractNumId w:val="16"/>
  </w:num>
  <w:num w:numId="38">
    <w:abstractNumId w:val="10"/>
  </w:num>
  <w:num w:numId="39">
    <w:abstractNumId w:val="2"/>
  </w:num>
  <w:num w:numId="40">
    <w:abstractNumId w:val="4"/>
  </w:num>
  <w:num w:numId="41">
    <w:abstractNumId w:val="5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86"/>
    <w:rsid w:val="00021A50"/>
    <w:rsid w:val="000233EB"/>
    <w:rsid w:val="0002511A"/>
    <w:rsid w:val="00030E22"/>
    <w:rsid w:val="00037859"/>
    <w:rsid w:val="00040A09"/>
    <w:rsid w:val="00043AFA"/>
    <w:rsid w:val="0006586C"/>
    <w:rsid w:val="00071BED"/>
    <w:rsid w:val="00074E9B"/>
    <w:rsid w:val="0008772B"/>
    <w:rsid w:val="00094788"/>
    <w:rsid w:val="000A1CDB"/>
    <w:rsid w:val="000A7DD0"/>
    <w:rsid w:val="000B38B7"/>
    <w:rsid w:val="000B6CB6"/>
    <w:rsid w:val="000B7C82"/>
    <w:rsid w:val="000C28AC"/>
    <w:rsid w:val="000C2A96"/>
    <w:rsid w:val="000C6823"/>
    <w:rsid w:val="000D0D50"/>
    <w:rsid w:val="000D1C5A"/>
    <w:rsid w:val="000E1DE4"/>
    <w:rsid w:val="000E5CE7"/>
    <w:rsid w:val="000F11F2"/>
    <w:rsid w:val="000F4199"/>
    <w:rsid w:val="000F5A4E"/>
    <w:rsid w:val="000F6B69"/>
    <w:rsid w:val="00125DAA"/>
    <w:rsid w:val="00131E03"/>
    <w:rsid w:val="00132B84"/>
    <w:rsid w:val="0015131A"/>
    <w:rsid w:val="00157D12"/>
    <w:rsid w:val="00162981"/>
    <w:rsid w:val="00165A42"/>
    <w:rsid w:val="00170260"/>
    <w:rsid w:val="00171151"/>
    <w:rsid w:val="001724A3"/>
    <w:rsid w:val="00174117"/>
    <w:rsid w:val="001833B2"/>
    <w:rsid w:val="00183DD7"/>
    <w:rsid w:val="00184EAC"/>
    <w:rsid w:val="00197A52"/>
    <w:rsid w:val="001A152A"/>
    <w:rsid w:val="001A4793"/>
    <w:rsid w:val="001B43D6"/>
    <w:rsid w:val="001B5B34"/>
    <w:rsid w:val="001B6835"/>
    <w:rsid w:val="001C3259"/>
    <w:rsid w:val="001C6775"/>
    <w:rsid w:val="001C720F"/>
    <w:rsid w:val="001D05B1"/>
    <w:rsid w:val="001D1027"/>
    <w:rsid w:val="001D3931"/>
    <w:rsid w:val="001D6A30"/>
    <w:rsid w:val="001E01E8"/>
    <w:rsid w:val="001E32FE"/>
    <w:rsid w:val="001E6CB1"/>
    <w:rsid w:val="001F4697"/>
    <w:rsid w:val="001F7BA9"/>
    <w:rsid w:val="001F7E65"/>
    <w:rsid w:val="00202C3B"/>
    <w:rsid w:val="0021164B"/>
    <w:rsid w:val="00212048"/>
    <w:rsid w:val="00217395"/>
    <w:rsid w:val="00235BA1"/>
    <w:rsid w:val="0023704C"/>
    <w:rsid w:val="00240527"/>
    <w:rsid w:val="00246E39"/>
    <w:rsid w:val="00254C01"/>
    <w:rsid w:val="002573BF"/>
    <w:rsid w:val="002604E8"/>
    <w:rsid w:val="00261AB4"/>
    <w:rsid w:val="00270612"/>
    <w:rsid w:val="00273824"/>
    <w:rsid w:val="002762AD"/>
    <w:rsid w:val="00276A24"/>
    <w:rsid w:val="00280DA2"/>
    <w:rsid w:val="00285E55"/>
    <w:rsid w:val="00287B0A"/>
    <w:rsid w:val="00293AE1"/>
    <w:rsid w:val="00295326"/>
    <w:rsid w:val="00295EE3"/>
    <w:rsid w:val="0029608C"/>
    <w:rsid w:val="002B182F"/>
    <w:rsid w:val="002C00C4"/>
    <w:rsid w:val="002C5435"/>
    <w:rsid w:val="002D6AFD"/>
    <w:rsid w:val="002E75BB"/>
    <w:rsid w:val="002F58C0"/>
    <w:rsid w:val="002F5CAE"/>
    <w:rsid w:val="003010D1"/>
    <w:rsid w:val="00303D57"/>
    <w:rsid w:val="003061B1"/>
    <w:rsid w:val="00311549"/>
    <w:rsid w:val="00314F90"/>
    <w:rsid w:val="0032348C"/>
    <w:rsid w:val="0032389A"/>
    <w:rsid w:val="003274E0"/>
    <w:rsid w:val="0034152E"/>
    <w:rsid w:val="003415AB"/>
    <w:rsid w:val="00344B7F"/>
    <w:rsid w:val="003540D5"/>
    <w:rsid w:val="00357679"/>
    <w:rsid w:val="00360DBB"/>
    <w:rsid w:val="00365956"/>
    <w:rsid w:val="0036666C"/>
    <w:rsid w:val="00372382"/>
    <w:rsid w:val="00373010"/>
    <w:rsid w:val="00374A0C"/>
    <w:rsid w:val="0038378B"/>
    <w:rsid w:val="00392D5B"/>
    <w:rsid w:val="00393F28"/>
    <w:rsid w:val="003955B3"/>
    <w:rsid w:val="00397419"/>
    <w:rsid w:val="00397C49"/>
    <w:rsid w:val="003A77ED"/>
    <w:rsid w:val="003B5AA4"/>
    <w:rsid w:val="003C18E3"/>
    <w:rsid w:val="003C29CF"/>
    <w:rsid w:val="003C4276"/>
    <w:rsid w:val="003D1D72"/>
    <w:rsid w:val="003D1F58"/>
    <w:rsid w:val="003D7A36"/>
    <w:rsid w:val="003E7B31"/>
    <w:rsid w:val="003F06A2"/>
    <w:rsid w:val="00403676"/>
    <w:rsid w:val="0041230C"/>
    <w:rsid w:val="00421A4E"/>
    <w:rsid w:val="004238FC"/>
    <w:rsid w:val="00426A61"/>
    <w:rsid w:val="00437671"/>
    <w:rsid w:val="00451241"/>
    <w:rsid w:val="004658C0"/>
    <w:rsid w:val="00475DDF"/>
    <w:rsid w:val="004774D9"/>
    <w:rsid w:val="00480A27"/>
    <w:rsid w:val="00487468"/>
    <w:rsid w:val="00491794"/>
    <w:rsid w:val="00492A9D"/>
    <w:rsid w:val="0049605E"/>
    <w:rsid w:val="004A6940"/>
    <w:rsid w:val="004B0C82"/>
    <w:rsid w:val="004B171B"/>
    <w:rsid w:val="004B1F2D"/>
    <w:rsid w:val="004B48AC"/>
    <w:rsid w:val="004C1D6A"/>
    <w:rsid w:val="004C3AC6"/>
    <w:rsid w:val="004C7E11"/>
    <w:rsid w:val="004D54FE"/>
    <w:rsid w:val="004E6C53"/>
    <w:rsid w:val="004E6C7C"/>
    <w:rsid w:val="004F51B1"/>
    <w:rsid w:val="00505C10"/>
    <w:rsid w:val="00506FA6"/>
    <w:rsid w:val="005128CE"/>
    <w:rsid w:val="00514EBA"/>
    <w:rsid w:val="005151AC"/>
    <w:rsid w:val="0051739A"/>
    <w:rsid w:val="0052770C"/>
    <w:rsid w:val="005443AA"/>
    <w:rsid w:val="005478F1"/>
    <w:rsid w:val="00550D5A"/>
    <w:rsid w:val="00555799"/>
    <w:rsid w:val="0055587C"/>
    <w:rsid w:val="00555B5E"/>
    <w:rsid w:val="00563442"/>
    <w:rsid w:val="0057133F"/>
    <w:rsid w:val="005765FF"/>
    <w:rsid w:val="0058201F"/>
    <w:rsid w:val="00582544"/>
    <w:rsid w:val="00583FE5"/>
    <w:rsid w:val="005846E1"/>
    <w:rsid w:val="00591961"/>
    <w:rsid w:val="005B25FA"/>
    <w:rsid w:val="005B2D90"/>
    <w:rsid w:val="005B5CCD"/>
    <w:rsid w:val="005C5AAD"/>
    <w:rsid w:val="005E596F"/>
    <w:rsid w:val="005F2795"/>
    <w:rsid w:val="005F633B"/>
    <w:rsid w:val="00603D25"/>
    <w:rsid w:val="00606923"/>
    <w:rsid w:val="0063104A"/>
    <w:rsid w:val="00637677"/>
    <w:rsid w:val="00643501"/>
    <w:rsid w:val="00647A22"/>
    <w:rsid w:val="0065416C"/>
    <w:rsid w:val="006613B6"/>
    <w:rsid w:val="00667177"/>
    <w:rsid w:val="0067008A"/>
    <w:rsid w:val="006702BD"/>
    <w:rsid w:val="00675CE3"/>
    <w:rsid w:val="00680396"/>
    <w:rsid w:val="00683664"/>
    <w:rsid w:val="00683879"/>
    <w:rsid w:val="00687A59"/>
    <w:rsid w:val="00692AB2"/>
    <w:rsid w:val="006955BF"/>
    <w:rsid w:val="006B1C64"/>
    <w:rsid w:val="006B2614"/>
    <w:rsid w:val="006B5186"/>
    <w:rsid w:val="006B750F"/>
    <w:rsid w:val="006C02C1"/>
    <w:rsid w:val="006C621C"/>
    <w:rsid w:val="006C7C41"/>
    <w:rsid w:val="006C7C8D"/>
    <w:rsid w:val="006D1672"/>
    <w:rsid w:val="006D4E09"/>
    <w:rsid w:val="006D60AC"/>
    <w:rsid w:val="006E01DD"/>
    <w:rsid w:val="006E2390"/>
    <w:rsid w:val="006F0ED6"/>
    <w:rsid w:val="00706B44"/>
    <w:rsid w:val="0073096A"/>
    <w:rsid w:val="00731BAB"/>
    <w:rsid w:val="00732FD7"/>
    <w:rsid w:val="007456B6"/>
    <w:rsid w:val="00745B18"/>
    <w:rsid w:val="00746267"/>
    <w:rsid w:val="007468E6"/>
    <w:rsid w:val="00746C3E"/>
    <w:rsid w:val="00761929"/>
    <w:rsid w:val="00762A35"/>
    <w:rsid w:val="00770F7C"/>
    <w:rsid w:val="0077643A"/>
    <w:rsid w:val="007816B3"/>
    <w:rsid w:val="00782B32"/>
    <w:rsid w:val="00792854"/>
    <w:rsid w:val="00797DB5"/>
    <w:rsid w:val="007B02EC"/>
    <w:rsid w:val="007B02FC"/>
    <w:rsid w:val="007C07CE"/>
    <w:rsid w:val="007C0F2A"/>
    <w:rsid w:val="007C1215"/>
    <w:rsid w:val="007C1648"/>
    <w:rsid w:val="007C4289"/>
    <w:rsid w:val="007C4F4B"/>
    <w:rsid w:val="007C5368"/>
    <w:rsid w:val="007C6391"/>
    <w:rsid w:val="007D0491"/>
    <w:rsid w:val="007F3CC4"/>
    <w:rsid w:val="007F4904"/>
    <w:rsid w:val="007F6734"/>
    <w:rsid w:val="0080072A"/>
    <w:rsid w:val="008008B5"/>
    <w:rsid w:val="00805A9D"/>
    <w:rsid w:val="00805B38"/>
    <w:rsid w:val="00807A24"/>
    <w:rsid w:val="00810206"/>
    <w:rsid w:val="00814E41"/>
    <w:rsid w:val="00822045"/>
    <w:rsid w:val="00823933"/>
    <w:rsid w:val="0083186F"/>
    <w:rsid w:val="00845367"/>
    <w:rsid w:val="008516C3"/>
    <w:rsid w:val="008718AA"/>
    <w:rsid w:val="00873801"/>
    <w:rsid w:val="00875CFA"/>
    <w:rsid w:val="00880020"/>
    <w:rsid w:val="0088028A"/>
    <w:rsid w:val="00883516"/>
    <w:rsid w:val="00885ABD"/>
    <w:rsid w:val="008870F9"/>
    <w:rsid w:val="00891151"/>
    <w:rsid w:val="00894936"/>
    <w:rsid w:val="008A4F87"/>
    <w:rsid w:val="008A65F9"/>
    <w:rsid w:val="008A7B78"/>
    <w:rsid w:val="008B3DBF"/>
    <w:rsid w:val="008C79BF"/>
    <w:rsid w:val="008D0A6F"/>
    <w:rsid w:val="008D42B6"/>
    <w:rsid w:val="008D6F84"/>
    <w:rsid w:val="008E5A8B"/>
    <w:rsid w:val="008E62CB"/>
    <w:rsid w:val="008F1E89"/>
    <w:rsid w:val="008F500E"/>
    <w:rsid w:val="009028BF"/>
    <w:rsid w:val="009324A4"/>
    <w:rsid w:val="00936F50"/>
    <w:rsid w:val="00944889"/>
    <w:rsid w:val="0095201E"/>
    <w:rsid w:val="00954E42"/>
    <w:rsid w:val="00956400"/>
    <w:rsid w:val="00960907"/>
    <w:rsid w:val="0096470A"/>
    <w:rsid w:val="009713CA"/>
    <w:rsid w:val="00974AF5"/>
    <w:rsid w:val="009766C9"/>
    <w:rsid w:val="00990E68"/>
    <w:rsid w:val="00994E44"/>
    <w:rsid w:val="00996907"/>
    <w:rsid w:val="009A2988"/>
    <w:rsid w:val="009A72C0"/>
    <w:rsid w:val="009B1383"/>
    <w:rsid w:val="009B13CB"/>
    <w:rsid w:val="009B1FE0"/>
    <w:rsid w:val="009B64C4"/>
    <w:rsid w:val="009C329B"/>
    <w:rsid w:val="009C35CA"/>
    <w:rsid w:val="009D08D5"/>
    <w:rsid w:val="009D7337"/>
    <w:rsid w:val="009E0AA7"/>
    <w:rsid w:val="009E48E6"/>
    <w:rsid w:val="009E54E6"/>
    <w:rsid w:val="009F3C87"/>
    <w:rsid w:val="009F46CE"/>
    <w:rsid w:val="00A0125F"/>
    <w:rsid w:val="00A11EF4"/>
    <w:rsid w:val="00A12751"/>
    <w:rsid w:val="00A12813"/>
    <w:rsid w:val="00A14CCE"/>
    <w:rsid w:val="00A14D60"/>
    <w:rsid w:val="00A2392B"/>
    <w:rsid w:val="00A244B4"/>
    <w:rsid w:val="00A3145A"/>
    <w:rsid w:val="00A34ED8"/>
    <w:rsid w:val="00A62AB5"/>
    <w:rsid w:val="00A6441F"/>
    <w:rsid w:val="00A70D20"/>
    <w:rsid w:val="00A85FC7"/>
    <w:rsid w:val="00A86805"/>
    <w:rsid w:val="00A934A5"/>
    <w:rsid w:val="00A934D3"/>
    <w:rsid w:val="00A954AA"/>
    <w:rsid w:val="00AA3C5B"/>
    <w:rsid w:val="00AB01B3"/>
    <w:rsid w:val="00AB1475"/>
    <w:rsid w:val="00AC0117"/>
    <w:rsid w:val="00AC1A10"/>
    <w:rsid w:val="00AC1A66"/>
    <w:rsid w:val="00AC4829"/>
    <w:rsid w:val="00AD0079"/>
    <w:rsid w:val="00AD595C"/>
    <w:rsid w:val="00AE0BF0"/>
    <w:rsid w:val="00AF1ECD"/>
    <w:rsid w:val="00AF29CD"/>
    <w:rsid w:val="00AF2AD5"/>
    <w:rsid w:val="00AF5CA3"/>
    <w:rsid w:val="00B00004"/>
    <w:rsid w:val="00B00295"/>
    <w:rsid w:val="00B018A4"/>
    <w:rsid w:val="00B05598"/>
    <w:rsid w:val="00B173A1"/>
    <w:rsid w:val="00B317BA"/>
    <w:rsid w:val="00B31EDB"/>
    <w:rsid w:val="00B37548"/>
    <w:rsid w:val="00B4469A"/>
    <w:rsid w:val="00B50C11"/>
    <w:rsid w:val="00B52CB8"/>
    <w:rsid w:val="00B6148F"/>
    <w:rsid w:val="00B64279"/>
    <w:rsid w:val="00B6564A"/>
    <w:rsid w:val="00B72246"/>
    <w:rsid w:val="00B82353"/>
    <w:rsid w:val="00B83C88"/>
    <w:rsid w:val="00B83D4F"/>
    <w:rsid w:val="00B927D6"/>
    <w:rsid w:val="00B957B3"/>
    <w:rsid w:val="00B9644B"/>
    <w:rsid w:val="00BA0381"/>
    <w:rsid w:val="00BA57A9"/>
    <w:rsid w:val="00BB75E8"/>
    <w:rsid w:val="00BC6591"/>
    <w:rsid w:val="00BD7B5B"/>
    <w:rsid w:val="00BE0611"/>
    <w:rsid w:val="00BF2D3D"/>
    <w:rsid w:val="00BF4E1A"/>
    <w:rsid w:val="00BF7478"/>
    <w:rsid w:val="00BF79C5"/>
    <w:rsid w:val="00C01C1A"/>
    <w:rsid w:val="00C11EE6"/>
    <w:rsid w:val="00C134FC"/>
    <w:rsid w:val="00C15AD3"/>
    <w:rsid w:val="00C30A14"/>
    <w:rsid w:val="00C33E64"/>
    <w:rsid w:val="00C41C26"/>
    <w:rsid w:val="00C439DB"/>
    <w:rsid w:val="00C45F4F"/>
    <w:rsid w:val="00C46786"/>
    <w:rsid w:val="00C47DAA"/>
    <w:rsid w:val="00C50758"/>
    <w:rsid w:val="00C61D0D"/>
    <w:rsid w:val="00C72085"/>
    <w:rsid w:val="00C8707A"/>
    <w:rsid w:val="00C91679"/>
    <w:rsid w:val="00C96C88"/>
    <w:rsid w:val="00CA1139"/>
    <w:rsid w:val="00CA6E71"/>
    <w:rsid w:val="00CB1AE8"/>
    <w:rsid w:val="00CB2A64"/>
    <w:rsid w:val="00CB72B2"/>
    <w:rsid w:val="00CD445F"/>
    <w:rsid w:val="00CE5FB7"/>
    <w:rsid w:val="00CE7286"/>
    <w:rsid w:val="00CF3EA2"/>
    <w:rsid w:val="00CF5952"/>
    <w:rsid w:val="00D00DCD"/>
    <w:rsid w:val="00D1412C"/>
    <w:rsid w:val="00D247A3"/>
    <w:rsid w:val="00D2799A"/>
    <w:rsid w:val="00D3491D"/>
    <w:rsid w:val="00D40269"/>
    <w:rsid w:val="00D4585E"/>
    <w:rsid w:val="00D55A54"/>
    <w:rsid w:val="00D65DCA"/>
    <w:rsid w:val="00D7536F"/>
    <w:rsid w:val="00D76C12"/>
    <w:rsid w:val="00D90BFF"/>
    <w:rsid w:val="00D93B75"/>
    <w:rsid w:val="00D96886"/>
    <w:rsid w:val="00DA2B57"/>
    <w:rsid w:val="00DB352E"/>
    <w:rsid w:val="00DB6813"/>
    <w:rsid w:val="00DB7A58"/>
    <w:rsid w:val="00DB7E6B"/>
    <w:rsid w:val="00DC0DA4"/>
    <w:rsid w:val="00DD1CB4"/>
    <w:rsid w:val="00DD423E"/>
    <w:rsid w:val="00DD47C2"/>
    <w:rsid w:val="00DD76F6"/>
    <w:rsid w:val="00DD7904"/>
    <w:rsid w:val="00DE145A"/>
    <w:rsid w:val="00DE4D44"/>
    <w:rsid w:val="00DE5087"/>
    <w:rsid w:val="00DE56D5"/>
    <w:rsid w:val="00DF0927"/>
    <w:rsid w:val="00E02792"/>
    <w:rsid w:val="00E1364E"/>
    <w:rsid w:val="00E24B84"/>
    <w:rsid w:val="00E25837"/>
    <w:rsid w:val="00E311D6"/>
    <w:rsid w:val="00E32F57"/>
    <w:rsid w:val="00E33C05"/>
    <w:rsid w:val="00E43017"/>
    <w:rsid w:val="00E5083C"/>
    <w:rsid w:val="00E52148"/>
    <w:rsid w:val="00E53D60"/>
    <w:rsid w:val="00E569FD"/>
    <w:rsid w:val="00E61B7B"/>
    <w:rsid w:val="00E6427F"/>
    <w:rsid w:val="00E71A96"/>
    <w:rsid w:val="00E72589"/>
    <w:rsid w:val="00E8025F"/>
    <w:rsid w:val="00E81D0E"/>
    <w:rsid w:val="00E86B66"/>
    <w:rsid w:val="00E923E2"/>
    <w:rsid w:val="00E92A6B"/>
    <w:rsid w:val="00E933A5"/>
    <w:rsid w:val="00E94BDD"/>
    <w:rsid w:val="00E95EF8"/>
    <w:rsid w:val="00EA6AF7"/>
    <w:rsid w:val="00EB1A9B"/>
    <w:rsid w:val="00EB32F7"/>
    <w:rsid w:val="00EB34FA"/>
    <w:rsid w:val="00EC02FB"/>
    <w:rsid w:val="00EC4365"/>
    <w:rsid w:val="00EC65A8"/>
    <w:rsid w:val="00EE61BC"/>
    <w:rsid w:val="00EE71F8"/>
    <w:rsid w:val="00F02F46"/>
    <w:rsid w:val="00F04816"/>
    <w:rsid w:val="00F05E2F"/>
    <w:rsid w:val="00F06D45"/>
    <w:rsid w:val="00F106E2"/>
    <w:rsid w:val="00F2059D"/>
    <w:rsid w:val="00F20949"/>
    <w:rsid w:val="00F21F44"/>
    <w:rsid w:val="00F25E5A"/>
    <w:rsid w:val="00F2657E"/>
    <w:rsid w:val="00F32027"/>
    <w:rsid w:val="00F42472"/>
    <w:rsid w:val="00F53346"/>
    <w:rsid w:val="00F54F3A"/>
    <w:rsid w:val="00F562E6"/>
    <w:rsid w:val="00F73644"/>
    <w:rsid w:val="00FA4C0A"/>
    <w:rsid w:val="00FB02B1"/>
    <w:rsid w:val="00FB3244"/>
    <w:rsid w:val="00FC2F4E"/>
    <w:rsid w:val="00FD0B6A"/>
    <w:rsid w:val="00FD6678"/>
    <w:rsid w:val="00FE51B5"/>
    <w:rsid w:val="00FF04A6"/>
    <w:rsid w:val="00FF1536"/>
    <w:rsid w:val="00FF43C7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246A3"/>
  <w15:chartTrackingRefBased/>
  <w15:docId w15:val="{70948AA5-426F-4967-A1F6-74A146F0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286"/>
    <w:pPr>
      <w:spacing w:after="120" w:line="240" w:lineRule="auto"/>
    </w:pPr>
    <w:rPr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D76C12"/>
    <w:pPr>
      <w:widowControl w:val="0"/>
      <w:autoSpaceDE w:val="0"/>
      <w:autoSpaceDN w:val="0"/>
      <w:spacing w:before="120"/>
      <w:outlineLvl w:val="0"/>
    </w:pPr>
    <w:rPr>
      <w:rFonts w:ascii="Lucida Sans" w:eastAsia="Lucida Sans" w:hAnsi="Lucida Sans" w:cs="Lucida Sans"/>
      <w:szCs w:val="22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2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286"/>
    <w:rPr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72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86"/>
    <w:rPr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CE7286"/>
  </w:style>
  <w:style w:type="character" w:styleId="Hyperlink">
    <w:name w:val="Hyperlink"/>
    <w:basedOn w:val="DefaultParagraphFont"/>
    <w:uiPriority w:val="99"/>
    <w:unhideWhenUsed/>
    <w:rsid w:val="00DB352E"/>
    <w:rPr>
      <w:color w:val="0563C1" w:themeColor="hyperlink"/>
      <w:u w:val="single"/>
    </w:rPr>
  </w:style>
  <w:style w:type="paragraph" w:styleId="ListParagraph">
    <w:name w:val="List Paragraph"/>
    <w:aliases w:val="List Paragraph1,List Paragraph11,Heading 4 for contents"/>
    <w:basedOn w:val="Normal"/>
    <w:link w:val="ListParagraphChar"/>
    <w:uiPriority w:val="1"/>
    <w:qFormat/>
    <w:rsid w:val="00DB352E"/>
    <w:pPr>
      <w:spacing w:after="0"/>
      <w:ind w:left="720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31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1A"/>
    <w:rPr>
      <w:rFonts w:ascii="Segoe UI" w:hAnsi="Segoe UI" w:cs="Segoe UI"/>
      <w:sz w:val="18"/>
      <w:szCs w:val="18"/>
      <w:lang w:val="en-GB"/>
    </w:rPr>
  </w:style>
  <w:style w:type="paragraph" w:customStyle="1" w:styleId="mld-paragraph">
    <w:name w:val="mld-paragraph"/>
    <w:basedOn w:val="Normal"/>
    <w:rsid w:val="00C46786"/>
    <w:pPr>
      <w:spacing w:before="100" w:beforeAutospacing="1" w:after="100" w:afterAutospacing="1"/>
    </w:pPr>
    <w:rPr>
      <w:rFonts w:ascii="Calibri" w:hAnsi="Calibri" w:cs="Calibri"/>
      <w:szCs w:val="22"/>
      <w:lang w:val="en-AU" w:eastAsia="en-AU"/>
    </w:rPr>
  </w:style>
  <w:style w:type="paragraph" w:customStyle="1" w:styleId="Default">
    <w:name w:val="Default"/>
    <w:rsid w:val="004B17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171B"/>
    <w:pPr>
      <w:spacing w:before="100" w:beforeAutospacing="1" w:after="100" w:afterAutospacing="1"/>
    </w:pPr>
    <w:rPr>
      <w:rFonts w:ascii="Calibri" w:hAnsi="Calibri" w:cs="Calibri"/>
      <w:szCs w:val="22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45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5B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B1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B18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CB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8FC"/>
    <w:rPr>
      <w:color w:val="605E5C"/>
      <w:shd w:val="clear" w:color="auto" w:fill="E1DFDD"/>
    </w:rPr>
  </w:style>
  <w:style w:type="paragraph" w:customStyle="1" w:styleId="mld-heading2">
    <w:name w:val="mld-heading2"/>
    <w:basedOn w:val="Normal"/>
    <w:rsid w:val="007468E6"/>
    <w:pPr>
      <w:spacing w:before="100" w:beforeAutospacing="1" w:after="100" w:afterAutospacing="1"/>
    </w:pPr>
    <w:rPr>
      <w:rFonts w:ascii="Calibri" w:hAnsi="Calibri" w:cs="Calibri"/>
      <w:szCs w:val="22"/>
      <w:lang w:val="en-AU" w:eastAsia="en-AU"/>
    </w:rPr>
  </w:style>
  <w:style w:type="character" w:styleId="Strong">
    <w:name w:val="Strong"/>
    <w:basedOn w:val="DefaultParagraphFont"/>
    <w:uiPriority w:val="22"/>
    <w:qFormat/>
    <w:rsid w:val="007468E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6C12"/>
    <w:rPr>
      <w:rFonts w:ascii="Lucida Sans" w:eastAsia="Lucida Sans" w:hAnsi="Lucida Sans" w:cs="Lucida Sans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96C88"/>
    <w:pPr>
      <w:widowControl w:val="0"/>
      <w:autoSpaceDE w:val="0"/>
      <w:autoSpaceDN w:val="0"/>
      <w:spacing w:before="61" w:after="0"/>
      <w:ind w:left="393" w:hanging="284"/>
    </w:pPr>
    <w:rPr>
      <w:rFonts w:ascii="Lucida Sans" w:eastAsia="Lucida Sans" w:hAnsi="Lucida Sans" w:cs="Lucida Sans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96C88"/>
    <w:rPr>
      <w:rFonts w:ascii="Lucida Sans" w:eastAsia="Lucida Sans" w:hAnsi="Lucida Sans" w:cs="Lucida Sans"/>
      <w:sz w:val="20"/>
      <w:szCs w:val="20"/>
      <w:lang w:val="en-US"/>
    </w:rPr>
  </w:style>
  <w:style w:type="character" w:customStyle="1" w:styleId="ListParagraphChar">
    <w:name w:val="List Paragraph Char"/>
    <w:aliases w:val="List Paragraph1 Char,List Paragraph11 Char,Heading 4 for contents Char"/>
    <w:link w:val="ListParagraph"/>
    <w:uiPriority w:val="34"/>
    <w:locked/>
    <w:rsid w:val="006B1C64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65416C"/>
    <w:rPr>
      <w:color w:val="954F72" w:themeColor="followedHyperlink"/>
      <w:u w:val="single"/>
    </w:rPr>
  </w:style>
  <w:style w:type="paragraph" w:customStyle="1" w:styleId="Bullet1">
    <w:name w:val="Bullet 1"/>
    <w:basedOn w:val="Normal"/>
    <w:next w:val="Normal"/>
    <w:qFormat/>
    <w:rsid w:val="0067008A"/>
    <w:pPr>
      <w:numPr>
        <w:numId w:val="40"/>
      </w:numPr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14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4640">
          <w:marLeft w:val="547"/>
          <w:marRight w:val="173"/>
          <w:marTop w:val="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760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491">
          <w:marLeft w:val="54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22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gate.eduweb.vic.gov.au/sites/i/Shared%20Documents/video-teleconferencing%20quick%20guide.docx?Web=1" TargetMode="External"/><Relationship Id="rId18" Type="http://schemas.openxmlformats.org/officeDocument/2006/relationships/hyperlink" Target="https://www2.education.vic.gov.au/pal/behaviour-students/resources" TargetMode="External"/><Relationship Id="rId26" Type="http://schemas.openxmlformats.org/officeDocument/2006/relationships/hyperlink" Target="https://www2.education.vic.gov.au/pal/repeating-year-level/policy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edugate.eduweb.vic.gov.au/sites/i/Pages/school.aspx" TargetMode="External"/><Relationship Id="rId34" Type="http://schemas.openxmlformats.org/officeDocument/2006/relationships/hyperlink" Target="https://www.ndis.gov.au/coronavirus/advice-victoria" TargetMode="External"/><Relationship Id="rId42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eafeducation.vic.edu.au/inclusive-classrooms" TargetMode="External"/><Relationship Id="rId20" Type="http://schemas.openxmlformats.org/officeDocument/2006/relationships/hyperlink" Target="https://edugate.eduweb.vic.gov.au/sites/i/Pages/school.aspx" TargetMode="External"/><Relationship Id="rId29" Type="http://schemas.openxmlformats.org/officeDocument/2006/relationships/hyperlink" Target="https://www.bendigoadvertiser.com.au/story/6903677/giving-school-leavers-a-rite-of-passage-the-covid-safe-way/" TargetMode="External"/><Relationship Id="rId41" Type="http://schemas.openxmlformats.org/officeDocument/2006/relationships/hyperlink" Target="https://www.ndis.gov.au/about-us/locations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school/teachers/learningneeds/Pages/student-support-groups.aspx" TargetMode="External"/><Relationship Id="rId24" Type="http://schemas.openxmlformats.org/officeDocument/2006/relationships/hyperlink" Target="https://www.education.vic.gov.au/school/Pages/healthadvice.aspx" TargetMode="External"/><Relationship Id="rId32" Type="http://schemas.openxmlformats.org/officeDocument/2006/relationships/hyperlink" Target="https://www2.education.vic.gov.au/pal/individual-education-plans-ieps/policy" TargetMode="External"/><Relationship Id="rId37" Type="http://schemas.openxmlformats.org/officeDocument/2006/relationships/header" Target="header1.xml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allplaylearn.org.au/" TargetMode="External"/><Relationship Id="rId23" Type="http://schemas.openxmlformats.org/officeDocument/2006/relationships/hyperlink" Target="https://www.education.vic.gov.au/Documents/school/principals/health/studenthealthsupport.doc" TargetMode="External"/><Relationship Id="rId28" Type="http://schemas.openxmlformats.org/officeDocument/2006/relationships/hyperlink" Target="http://www.education.vic.gov.au/Documents/about/department/covid-19/adjustments-to-transition-to-school-factsheet.docx" TargetMode="External"/><Relationship Id="rId36" Type="http://schemas.openxmlformats.org/officeDocument/2006/relationships/hyperlink" Target="https://www.ndis.gov.au/coronavirus/information-pack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2.education.vic.gov.au/pal/student-support-services/policy" TargetMode="External"/><Relationship Id="rId31" Type="http://schemas.openxmlformats.org/officeDocument/2006/relationships/hyperlink" Target="https://www2.education.vic.gov.au/pal/student-support-groups/policy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se.education.vic.gov.au/Pages/inclusion-support" TargetMode="External"/><Relationship Id="rId22" Type="http://schemas.openxmlformats.org/officeDocument/2006/relationships/hyperlink" Target="https://www.education.vic.gov.au/Documents/school/principals/health/studenthealthsupport.doc" TargetMode="External"/><Relationship Id="rId27" Type="http://schemas.openxmlformats.org/officeDocument/2006/relationships/hyperlink" Target="https://www2.education.vic.gov.au/pal/repeating-year-level/resources" TargetMode="External"/><Relationship Id="rId30" Type="http://schemas.openxmlformats.org/officeDocument/2006/relationships/hyperlink" Target="https://www2.education.vic.gov.au/pal/transition-year-6-7/guidance/transitioning-secondary-schools-students-disability" TargetMode="External"/><Relationship Id="rId35" Type="http://schemas.openxmlformats.org/officeDocument/2006/relationships/hyperlink" Target="https://www.ndis.gov.au/coronavirus/participants-coronavirus-covid-19/parents-and-carers-children-remote-learning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2.education.vic.gov.au/pal/individual-education-plans-ieps/policy" TargetMode="External"/><Relationship Id="rId17" Type="http://schemas.openxmlformats.org/officeDocument/2006/relationships/hyperlink" Target="http://detbehavioursupport.vic.edu.au/" TargetMode="External"/><Relationship Id="rId25" Type="http://schemas.openxmlformats.org/officeDocument/2006/relationships/hyperlink" Target="https://edugate.eduweb.vic.gov.au/sites/i/_layouts/15/WopiFrame.aspx?sourcedoc=/sites/i/Shared%20Documents/Guidance-for-the-use-of-PPE-in-education-settings.docx&amp;action=default" TargetMode="External"/><Relationship Id="rId33" Type="http://schemas.openxmlformats.org/officeDocument/2006/relationships/hyperlink" Target="https://www.ndis.gov.au/participants/finding-keeping-and-changing-jobs/leaving-school" TargetMode="External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attendance-recording-advice-term-3-specialist-regional-schools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93E3D-3A70-4558-86CA-53945D881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6487DE-9E43-4197-8182-FEA09198D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1A7FD-069D-44E5-B4C0-C64153AD09FF}"/>
</file>

<file path=customXml/itemProps4.xml><?xml version="1.0" encoding="utf-8"?>
<ds:datastoreItem xmlns:ds="http://schemas.openxmlformats.org/officeDocument/2006/customXml" ds:itemID="{9948D65F-F594-4EBE-94C1-BA515C90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attendance-recording-advice-term-3-specialist-regional-schools</vt:lpstr>
    </vt:vector>
  </TitlesOfParts>
  <Company>DET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attendance-recording-advice-term-3-specialist-regional-schools</dc:title>
  <dc:subject/>
  <dc:creator>Maher, Deborah D</dc:creator>
  <cp:keywords/>
  <dc:description/>
  <cp:lastModifiedBy>Emily French</cp:lastModifiedBy>
  <cp:revision>4</cp:revision>
  <dcterms:created xsi:type="dcterms:W3CDTF">2020-10-08T10:04:00Z</dcterms:created>
  <dcterms:modified xsi:type="dcterms:W3CDTF">2020-10-08T10:09:00Z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5;#3.3.3 Small Scale Contracts|14311b87-44d0-4e8a-a2b0-da446149ade7</vt:lpwstr>
  </property>
  <property fmtid="{D5CDD505-2E9C-101B-9397-08002B2CF9AE}" pid="4" name="DET_EDRMS_SecClass">
    <vt:lpwstr/>
  </property>
  <property fmtid="{D5CDD505-2E9C-101B-9397-08002B2CF9AE}" pid="5" name="DET_EDRMS_BusUnit">
    <vt:lpwstr>109;#ECSEG - Wellbeing Health and Engagement|f03ec9a9-3702-4c2e-a92e-9412875c5b5a</vt:lpwstr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{24974aca-80c5-4740-998b-90e87f335302}</vt:lpwstr>
  </property>
  <property fmtid="{D5CDD505-2E9C-101B-9397-08002B2CF9AE}" pid="8" name="RecordPoint_ActiveItemUniqueId">
    <vt:lpwstr>{7284051e-5edc-4af6-86b9-0b9d392f4b4b}</vt:lpwstr>
  </property>
  <property fmtid="{D5CDD505-2E9C-101B-9397-08002B2CF9AE}" pid="9" name="RecordPoint_ActiveItemWebId">
    <vt:lpwstr>{e0950a65-9c9d-45b8-a42c-b35c0d524b87}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R20200964535</vt:lpwstr>
  </property>
  <property fmtid="{D5CDD505-2E9C-101B-9397-08002B2CF9AE}" pid="12" name="RecordPoint_SubmissionCompleted">
    <vt:lpwstr>2020-09-24T11:57:45.2514487+10:00</vt:lpwstr>
  </property>
  <property fmtid="{D5CDD505-2E9C-101B-9397-08002B2CF9AE}" pid="13" name="RecordPoint_SubmissionDate">
    <vt:lpwstr/>
  </property>
  <property fmtid="{D5CDD505-2E9C-101B-9397-08002B2CF9AE}" pid="14" name="RecordPoint_RecordFormat">
    <vt:lpwstr/>
  </property>
  <property fmtid="{D5CDD505-2E9C-101B-9397-08002B2CF9AE}" pid="15" name="RecordPoint_ActiveItemMoved">
    <vt:lpwstr/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