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7062C48D" w:rsidR="00624A55" w:rsidRPr="00624A55" w:rsidRDefault="00122B8C" w:rsidP="00624A55">
      <w:pPr>
        <w:pStyle w:val="Heading1"/>
        <w:rPr>
          <w:lang w:val="en-AU"/>
        </w:rPr>
      </w:pPr>
      <w:r>
        <w:rPr>
          <w:lang w:val="en-AU"/>
        </w:rPr>
        <w:t>Educational Needs Analysis quality guidelines – for providers</w:t>
      </w:r>
    </w:p>
    <w:p w14:paraId="7E2237A5" w14:textId="2FE69451" w:rsidR="00122B8C" w:rsidRPr="004B428E" w:rsidRDefault="00122B8C" w:rsidP="00122B8C">
      <w:pPr>
        <w:pStyle w:val="Intro"/>
        <w:rPr>
          <w:color w:val="auto"/>
        </w:rPr>
      </w:pPr>
      <w:proofErr w:type="gramStart"/>
      <w:r w:rsidRPr="004B428E">
        <w:rPr>
          <w:color w:val="auto"/>
        </w:rPr>
        <w:t>These guidelines have been developed by the Department of Education and Training (‘the Department’) to support Providers undertaking Educational Needs Analysis (ENA) on behalf of the Department</w:t>
      </w:r>
      <w:proofErr w:type="gramEnd"/>
      <w:r w:rsidRPr="004B428E">
        <w:rPr>
          <w:color w:val="auto"/>
        </w:rPr>
        <w:t>. This includes ENAs for young people living in Residential Care who are not enrolled or attending school, as well as children and young people in other types of care who are enrolled and attending school, but have not yet received an ENA.</w:t>
      </w:r>
    </w:p>
    <w:p w14:paraId="01BDB61F" w14:textId="4E402CC2" w:rsidR="00122B8C" w:rsidRPr="004B428E" w:rsidRDefault="00122B8C" w:rsidP="00122B8C">
      <w:pPr>
        <w:pStyle w:val="Intro"/>
        <w:rPr>
          <w:color w:val="auto"/>
        </w:rPr>
      </w:pPr>
      <w:r w:rsidRPr="004B428E">
        <w:rPr>
          <w:color w:val="auto"/>
        </w:rPr>
        <w:t xml:space="preserve">This document outlines principles and expectations regarding the ENA process for disengaged young people in residential care and other forms of </w:t>
      </w:r>
      <w:r w:rsidR="005C2EBB" w:rsidRPr="004B428E">
        <w:rPr>
          <w:color w:val="auto"/>
        </w:rPr>
        <w:t xml:space="preserve">statutory </w:t>
      </w:r>
      <w:r w:rsidRPr="004B428E">
        <w:rPr>
          <w:color w:val="auto"/>
        </w:rPr>
        <w:t>out-of-home care</w:t>
      </w:r>
      <w:r w:rsidR="005C2EBB" w:rsidRPr="004B428E">
        <w:rPr>
          <w:color w:val="auto"/>
        </w:rPr>
        <w:t xml:space="preserve"> (OOHC)</w:t>
      </w:r>
      <w:r w:rsidRPr="004B428E">
        <w:rPr>
          <w:color w:val="auto"/>
        </w:rPr>
        <w:t xml:space="preserve">, to ensure consistency and quality in all ENAs undertaken across the state. </w:t>
      </w:r>
    </w:p>
    <w:p w14:paraId="20D420B3" w14:textId="53B1BFC3" w:rsidR="00122B8C" w:rsidRPr="00122B8C" w:rsidRDefault="00122B8C" w:rsidP="00122B8C">
      <w:pPr>
        <w:pStyle w:val="ListParagraph"/>
        <w:numPr>
          <w:ilvl w:val="0"/>
          <w:numId w:val="20"/>
        </w:numPr>
        <w:rPr>
          <w:rFonts w:asciiTheme="majorHAnsi" w:hAnsiTheme="majorHAnsi" w:cstheme="majorBidi"/>
          <w:b/>
          <w:caps/>
          <w:color w:val="AF272F" w:themeColor="accent1"/>
          <w:sz w:val="26"/>
          <w:szCs w:val="26"/>
          <w:lang w:val="en-AU"/>
        </w:rPr>
      </w:pPr>
      <w:r w:rsidRPr="00122B8C">
        <w:rPr>
          <w:rFonts w:asciiTheme="majorHAnsi" w:hAnsiTheme="majorHAnsi" w:cstheme="majorBidi"/>
          <w:b/>
          <w:caps/>
          <w:color w:val="AF272F" w:themeColor="accent1"/>
          <w:sz w:val="26"/>
          <w:szCs w:val="26"/>
          <w:lang w:val="en-AU"/>
        </w:rPr>
        <w:t xml:space="preserve">Purpose and principles </w:t>
      </w:r>
    </w:p>
    <w:p w14:paraId="58371F97" w14:textId="77777777" w:rsidR="00122B8C" w:rsidRPr="00122B8C" w:rsidRDefault="00122B8C" w:rsidP="00122B8C">
      <w:pPr>
        <w:numPr>
          <w:ilvl w:val="0"/>
          <w:numId w:val="18"/>
        </w:numPr>
        <w:rPr>
          <w:lang w:val="en-AU"/>
        </w:rPr>
      </w:pPr>
      <w:r w:rsidRPr="00122B8C">
        <w:rPr>
          <w:lang w:val="en-AU"/>
        </w:rPr>
        <w:t xml:space="preserve">The ENA aims to support identification of the student’s individual learning needs and inform their Individual Education Plan (IEP). </w:t>
      </w:r>
    </w:p>
    <w:p w14:paraId="55C3C197" w14:textId="77777777" w:rsidR="00122B8C" w:rsidRPr="00122B8C" w:rsidRDefault="00122B8C" w:rsidP="00122B8C">
      <w:pPr>
        <w:numPr>
          <w:ilvl w:val="0"/>
          <w:numId w:val="18"/>
        </w:numPr>
        <w:rPr>
          <w:lang w:val="en-AU"/>
        </w:rPr>
      </w:pPr>
      <w:r w:rsidRPr="00122B8C">
        <w:rPr>
          <w:lang w:val="en-AU"/>
        </w:rPr>
        <w:t>The tone and language of the ENA should be appropriate for end user (e.g. schools, other practitioners, residential care workers), as determined by the ENA recommendations. It should provide a narrative of the child’s history and issues with clear actions and pathways for referral and further support.</w:t>
      </w:r>
    </w:p>
    <w:p w14:paraId="51E6A09C" w14:textId="77777777" w:rsidR="00122B8C" w:rsidRPr="00122B8C" w:rsidRDefault="00122B8C" w:rsidP="00122B8C">
      <w:pPr>
        <w:numPr>
          <w:ilvl w:val="0"/>
          <w:numId w:val="18"/>
        </w:numPr>
        <w:rPr>
          <w:lang w:val="en-AU"/>
        </w:rPr>
      </w:pPr>
      <w:r w:rsidRPr="00122B8C">
        <w:rPr>
          <w:lang w:val="en-AU"/>
        </w:rPr>
        <w:t>An effective ENA is trauma-informed</w:t>
      </w:r>
      <w:r w:rsidRPr="00122B8C">
        <w:rPr>
          <w:vertAlign w:val="superscript"/>
          <w:lang w:val="en-AU"/>
        </w:rPr>
        <w:footnoteReference w:id="1"/>
      </w:r>
      <w:r w:rsidRPr="00122B8C">
        <w:rPr>
          <w:lang w:val="en-AU"/>
        </w:rPr>
        <w:t xml:space="preserve"> and takes a holistic view of the child or young person across their physical, social, emotional, educational, and psychological development.</w:t>
      </w:r>
    </w:p>
    <w:p w14:paraId="17AC69F3" w14:textId="77777777" w:rsidR="00122B8C" w:rsidRPr="00122B8C" w:rsidRDefault="00122B8C" w:rsidP="00122B8C">
      <w:pPr>
        <w:numPr>
          <w:ilvl w:val="0"/>
          <w:numId w:val="18"/>
        </w:numPr>
        <w:rPr>
          <w:lang w:val="en-AU"/>
        </w:rPr>
      </w:pPr>
      <w:r w:rsidRPr="00122B8C">
        <w:rPr>
          <w:lang w:val="en-AU"/>
        </w:rPr>
        <w:t xml:space="preserve">The </w:t>
      </w:r>
      <w:proofErr w:type="gramStart"/>
      <w:r w:rsidRPr="00122B8C">
        <w:rPr>
          <w:lang w:val="en-AU"/>
        </w:rPr>
        <w:t>ENA is also informed by the linguistic and cultural background of the student, and the student’s own views and readiness to participate in the process (where appropriate)</w:t>
      </w:r>
      <w:proofErr w:type="gramEnd"/>
      <w:r w:rsidRPr="00122B8C">
        <w:rPr>
          <w:lang w:val="en-AU"/>
        </w:rPr>
        <w:t>.</w:t>
      </w:r>
    </w:p>
    <w:p w14:paraId="4C694A9F" w14:textId="77777777" w:rsidR="00122B8C" w:rsidRPr="00122B8C" w:rsidRDefault="00122B8C" w:rsidP="00122B8C">
      <w:pPr>
        <w:numPr>
          <w:ilvl w:val="0"/>
          <w:numId w:val="18"/>
        </w:numPr>
        <w:rPr>
          <w:lang w:val="en-AU"/>
        </w:rPr>
      </w:pPr>
      <w:r w:rsidRPr="00122B8C">
        <w:rPr>
          <w:lang w:val="en-AU"/>
        </w:rPr>
        <w:t xml:space="preserve">The process considers the broader context in which the student lives and learns (e.g. school, home, care environment), the conditions and the people in the student’s life and how these </w:t>
      </w:r>
      <w:proofErr w:type="gramStart"/>
      <w:r w:rsidRPr="00122B8C">
        <w:rPr>
          <w:lang w:val="en-AU"/>
        </w:rPr>
        <w:t>impact on</w:t>
      </w:r>
      <w:proofErr w:type="gramEnd"/>
      <w:r w:rsidRPr="00122B8C">
        <w:rPr>
          <w:lang w:val="en-AU"/>
        </w:rPr>
        <w:t xml:space="preserve"> the student’s development and progress.</w:t>
      </w:r>
    </w:p>
    <w:p w14:paraId="7E608A34" w14:textId="77777777" w:rsidR="00122B8C" w:rsidRPr="00122B8C" w:rsidRDefault="00122B8C" w:rsidP="00122B8C">
      <w:pPr>
        <w:numPr>
          <w:ilvl w:val="0"/>
          <w:numId w:val="18"/>
        </w:numPr>
        <w:rPr>
          <w:lang w:val="en-AU"/>
        </w:rPr>
      </w:pPr>
      <w:r w:rsidRPr="00122B8C">
        <w:rPr>
          <w:lang w:val="en-AU"/>
        </w:rPr>
        <w:t>The ENA language should be strengths-based and constructive, rather than simply labelling the difficulty.</w:t>
      </w:r>
    </w:p>
    <w:p w14:paraId="58A2E1ED" w14:textId="5E4FAE9D" w:rsidR="00122B8C" w:rsidRPr="00122B8C" w:rsidRDefault="00122B8C" w:rsidP="00122B8C">
      <w:pPr>
        <w:pStyle w:val="Heading2"/>
        <w:numPr>
          <w:ilvl w:val="0"/>
          <w:numId w:val="20"/>
        </w:numPr>
        <w:rPr>
          <w:lang w:val="en-AU"/>
        </w:rPr>
      </w:pPr>
      <w:r w:rsidRPr="00122B8C">
        <w:rPr>
          <w:lang w:val="en-AU"/>
        </w:rPr>
        <w:t>ENA report</w:t>
      </w:r>
    </w:p>
    <w:p w14:paraId="7BC236CF" w14:textId="77777777" w:rsidR="00122B8C" w:rsidRPr="00122B8C" w:rsidRDefault="00122B8C" w:rsidP="00122B8C">
      <w:pPr>
        <w:rPr>
          <w:lang w:val="en-AU"/>
        </w:rPr>
      </w:pPr>
      <w:r w:rsidRPr="00122B8C">
        <w:rPr>
          <w:lang w:val="en-AU"/>
        </w:rPr>
        <w:t xml:space="preserve">Providers may use whichever templates they prefer for the final ENA report. The final ENA report must however include the following sections as outlined in Appendix F of the new </w:t>
      </w:r>
      <w:hyperlink r:id="rId12" w:history="1">
        <w:r w:rsidRPr="00122B8C">
          <w:rPr>
            <w:rStyle w:val="Hyperlink"/>
            <w:i/>
            <w:lang w:val="en-AU"/>
          </w:rPr>
          <w:t>ENA Guidelines</w:t>
        </w:r>
      </w:hyperlink>
      <w:r w:rsidRPr="00122B8C">
        <w:rPr>
          <w:vertAlign w:val="superscript"/>
          <w:lang w:val="en-AU"/>
        </w:rPr>
        <w:footnoteReference w:id="2"/>
      </w:r>
      <w:r w:rsidRPr="00122B8C">
        <w:rPr>
          <w:i/>
          <w:lang w:val="en-AU"/>
        </w:rPr>
        <w:t xml:space="preserve"> </w:t>
      </w:r>
      <w:r w:rsidRPr="00122B8C">
        <w:rPr>
          <w:lang w:val="en-AU"/>
        </w:rPr>
        <w:t>launched by DET in August 2018:</w:t>
      </w:r>
    </w:p>
    <w:p w14:paraId="64BD8AC0" w14:textId="77777777" w:rsidR="00122B8C" w:rsidRPr="00122B8C" w:rsidRDefault="00122B8C" w:rsidP="00122B8C">
      <w:pPr>
        <w:numPr>
          <w:ilvl w:val="0"/>
          <w:numId w:val="19"/>
        </w:numPr>
        <w:spacing w:after="0"/>
        <w:rPr>
          <w:lang w:val="en-AU"/>
        </w:rPr>
      </w:pPr>
      <w:r w:rsidRPr="00122B8C">
        <w:rPr>
          <w:lang w:val="en-AU"/>
        </w:rPr>
        <w:t>Background information</w:t>
      </w:r>
    </w:p>
    <w:p w14:paraId="5680C2C9" w14:textId="77777777" w:rsidR="00122B8C" w:rsidRPr="00122B8C" w:rsidRDefault="00122B8C" w:rsidP="00122B8C">
      <w:pPr>
        <w:numPr>
          <w:ilvl w:val="1"/>
          <w:numId w:val="19"/>
        </w:numPr>
        <w:spacing w:after="0"/>
        <w:rPr>
          <w:lang w:val="en-AU"/>
        </w:rPr>
      </w:pPr>
      <w:r w:rsidRPr="00122B8C">
        <w:rPr>
          <w:lang w:val="en-AU"/>
        </w:rPr>
        <w:t>Student details</w:t>
      </w:r>
    </w:p>
    <w:p w14:paraId="24BD8D76" w14:textId="77777777" w:rsidR="00122B8C" w:rsidRPr="00122B8C" w:rsidRDefault="00122B8C" w:rsidP="00122B8C">
      <w:pPr>
        <w:numPr>
          <w:ilvl w:val="1"/>
          <w:numId w:val="19"/>
        </w:numPr>
        <w:spacing w:after="0"/>
        <w:rPr>
          <w:lang w:val="en-AU"/>
        </w:rPr>
      </w:pPr>
      <w:r w:rsidRPr="00122B8C">
        <w:rPr>
          <w:lang w:val="en-AU"/>
        </w:rPr>
        <w:t>Cultural Identity (as relevant)</w:t>
      </w:r>
    </w:p>
    <w:p w14:paraId="16E8A5B0" w14:textId="77777777" w:rsidR="00122B8C" w:rsidRPr="00122B8C" w:rsidRDefault="00122B8C" w:rsidP="00122B8C">
      <w:pPr>
        <w:numPr>
          <w:ilvl w:val="1"/>
          <w:numId w:val="19"/>
        </w:numPr>
        <w:spacing w:after="0"/>
        <w:rPr>
          <w:lang w:val="en-AU"/>
        </w:rPr>
      </w:pPr>
      <w:r w:rsidRPr="00122B8C">
        <w:rPr>
          <w:lang w:val="en-AU"/>
        </w:rPr>
        <w:t>Care History</w:t>
      </w:r>
    </w:p>
    <w:p w14:paraId="7628FECA" w14:textId="77777777" w:rsidR="00122B8C" w:rsidRPr="00122B8C" w:rsidRDefault="00122B8C" w:rsidP="00122B8C">
      <w:pPr>
        <w:numPr>
          <w:ilvl w:val="1"/>
          <w:numId w:val="19"/>
        </w:numPr>
        <w:spacing w:after="0"/>
        <w:rPr>
          <w:lang w:val="en-AU"/>
        </w:rPr>
      </w:pPr>
      <w:r w:rsidRPr="00122B8C">
        <w:rPr>
          <w:lang w:val="en-AU"/>
        </w:rPr>
        <w:t>School History</w:t>
      </w:r>
    </w:p>
    <w:p w14:paraId="1DC391E2" w14:textId="77777777" w:rsidR="00122B8C" w:rsidRPr="00122B8C" w:rsidRDefault="00122B8C" w:rsidP="00122B8C">
      <w:pPr>
        <w:numPr>
          <w:ilvl w:val="1"/>
          <w:numId w:val="19"/>
        </w:numPr>
        <w:spacing w:after="0"/>
        <w:rPr>
          <w:lang w:val="en-AU"/>
        </w:rPr>
      </w:pPr>
      <w:r w:rsidRPr="00122B8C">
        <w:rPr>
          <w:lang w:val="en-AU"/>
        </w:rPr>
        <w:t>Medical and health (developmental milestones, relevant medical history, diagnoses etc.)</w:t>
      </w:r>
    </w:p>
    <w:p w14:paraId="72C0405F" w14:textId="77777777" w:rsidR="00122B8C" w:rsidRPr="00122B8C" w:rsidRDefault="00122B8C" w:rsidP="00122B8C">
      <w:pPr>
        <w:numPr>
          <w:ilvl w:val="1"/>
          <w:numId w:val="19"/>
        </w:numPr>
        <w:spacing w:after="0"/>
        <w:rPr>
          <w:lang w:val="en-AU"/>
        </w:rPr>
      </w:pPr>
      <w:r w:rsidRPr="00122B8C">
        <w:rPr>
          <w:lang w:val="en-AU"/>
        </w:rPr>
        <w:t xml:space="preserve">Social, emotional and behavioural (trusted adult relationships, peer relationships, emotional development </w:t>
      </w:r>
      <w:proofErr w:type="gramStart"/>
      <w:r w:rsidRPr="00122B8C">
        <w:rPr>
          <w:lang w:val="en-AU"/>
        </w:rPr>
        <w:t>and regulation etc</w:t>
      </w:r>
      <w:proofErr w:type="gramEnd"/>
      <w:r w:rsidRPr="00122B8C">
        <w:rPr>
          <w:lang w:val="en-AU"/>
        </w:rPr>
        <w:t>.)</w:t>
      </w:r>
    </w:p>
    <w:p w14:paraId="54728255" w14:textId="77777777" w:rsidR="00122B8C" w:rsidRPr="00122B8C" w:rsidRDefault="00122B8C" w:rsidP="00122B8C">
      <w:pPr>
        <w:numPr>
          <w:ilvl w:val="1"/>
          <w:numId w:val="19"/>
        </w:numPr>
        <w:spacing w:after="0"/>
        <w:rPr>
          <w:lang w:val="en-AU"/>
        </w:rPr>
      </w:pPr>
      <w:r w:rsidRPr="00122B8C">
        <w:rPr>
          <w:lang w:val="en-AU"/>
        </w:rPr>
        <w:lastRenderedPageBreak/>
        <w:t>Allied Health (cognitive, academic/learning ability, language, motor skills etc.)</w:t>
      </w:r>
    </w:p>
    <w:p w14:paraId="47FEE09A" w14:textId="77777777" w:rsidR="00122B8C" w:rsidRPr="00122B8C" w:rsidRDefault="00122B8C" w:rsidP="00122B8C">
      <w:pPr>
        <w:numPr>
          <w:ilvl w:val="1"/>
          <w:numId w:val="19"/>
        </w:numPr>
        <w:spacing w:after="0"/>
        <w:rPr>
          <w:lang w:val="en-AU"/>
        </w:rPr>
      </w:pPr>
      <w:r w:rsidRPr="00122B8C">
        <w:rPr>
          <w:lang w:val="en-AU"/>
        </w:rPr>
        <w:t>Educational (skills and strengths, school-based assessments, teacher reports, career aspirations etc.)</w:t>
      </w:r>
    </w:p>
    <w:p w14:paraId="17FB591A" w14:textId="77777777" w:rsidR="00122B8C" w:rsidRPr="00122B8C" w:rsidRDefault="00122B8C" w:rsidP="001866E5">
      <w:pPr>
        <w:numPr>
          <w:ilvl w:val="0"/>
          <w:numId w:val="19"/>
        </w:numPr>
        <w:spacing w:before="120" w:after="0"/>
        <w:ind w:left="714" w:hanging="357"/>
        <w:rPr>
          <w:lang w:val="en-AU"/>
        </w:rPr>
      </w:pPr>
      <w:r w:rsidRPr="00122B8C">
        <w:rPr>
          <w:lang w:val="en-AU"/>
        </w:rPr>
        <w:t>Review and Analysis</w:t>
      </w:r>
    </w:p>
    <w:p w14:paraId="2095F62A" w14:textId="77777777" w:rsidR="00122B8C" w:rsidRPr="00122B8C" w:rsidRDefault="00122B8C" w:rsidP="001866E5">
      <w:pPr>
        <w:numPr>
          <w:ilvl w:val="0"/>
          <w:numId w:val="19"/>
        </w:numPr>
        <w:spacing w:before="120" w:after="0"/>
        <w:ind w:left="714" w:hanging="357"/>
        <w:rPr>
          <w:lang w:val="en-AU"/>
        </w:rPr>
      </w:pPr>
      <w:r w:rsidRPr="00122B8C">
        <w:rPr>
          <w:lang w:val="en-AU"/>
        </w:rPr>
        <w:t>Recommendations</w:t>
      </w:r>
    </w:p>
    <w:p w14:paraId="34117A2E" w14:textId="77777777" w:rsidR="00122B8C" w:rsidRPr="00122B8C" w:rsidRDefault="00122B8C" w:rsidP="00122B8C">
      <w:pPr>
        <w:numPr>
          <w:ilvl w:val="1"/>
          <w:numId w:val="19"/>
        </w:numPr>
        <w:spacing w:after="0"/>
        <w:rPr>
          <w:lang w:val="en-AU"/>
        </w:rPr>
      </w:pPr>
      <w:r w:rsidRPr="00122B8C">
        <w:rPr>
          <w:lang w:val="en-AU"/>
        </w:rPr>
        <w:t>General care and wellbeing</w:t>
      </w:r>
    </w:p>
    <w:p w14:paraId="1D891725" w14:textId="77777777" w:rsidR="00122B8C" w:rsidRPr="00122B8C" w:rsidRDefault="00122B8C" w:rsidP="00122B8C">
      <w:pPr>
        <w:numPr>
          <w:ilvl w:val="1"/>
          <w:numId w:val="19"/>
        </w:numPr>
        <w:spacing w:after="0"/>
        <w:rPr>
          <w:lang w:val="en-AU"/>
        </w:rPr>
      </w:pPr>
      <w:r w:rsidRPr="00122B8C">
        <w:rPr>
          <w:lang w:val="en-AU"/>
        </w:rPr>
        <w:t>Educational/learning</w:t>
      </w:r>
    </w:p>
    <w:p w14:paraId="7D4E08A7" w14:textId="504295B8" w:rsidR="00122B8C" w:rsidRPr="00D20DEB" w:rsidRDefault="00122B8C" w:rsidP="00D20DEB">
      <w:pPr>
        <w:numPr>
          <w:ilvl w:val="1"/>
          <w:numId w:val="19"/>
        </w:numPr>
        <w:rPr>
          <w:lang w:val="en-AU"/>
        </w:rPr>
      </w:pPr>
      <w:r w:rsidRPr="00122B8C">
        <w:rPr>
          <w:lang w:val="en-AU"/>
        </w:rPr>
        <w:t>Social, emotional and behavioural</w:t>
      </w:r>
    </w:p>
    <w:p w14:paraId="3A120AF6" w14:textId="00822E01" w:rsidR="00122B8C" w:rsidRPr="00122B8C" w:rsidRDefault="00122B8C" w:rsidP="00122B8C">
      <w:pPr>
        <w:pStyle w:val="Heading2"/>
        <w:numPr>
          <w:ilvl w:val="0"/>
          <w:numId w:val="20"/>
        </w:numPr>
        <w:rPr>
          <w:lang w:val="en-AU"/>
        </w:rPr>
      </w:pPr>
      <w:r w:rsidRPr="00122B8C">
        <w:rPr>
          <w:lang w:val="en-AU"/>
        </w:rPr>
        <w:t>Role of Provider</w:t>
      </w:r>
    </w:p>
    <w:p w14:paraId="613B4832" w14:textId="77777777" w:rsidR="00122B8C" w:rsidRPr="00122B8C" w:rsidRDefault="00122B8C" w:rsidP="00122B8C">
      <w:pPr>
        <w:rPr>
          <w:lang w:val="en-AU"/>
        </w:rPr>
      </w:pPr>
      <w:r w:rsidRPr="00122B8C">
        <w:rPr>
          <w:lang w:val="en-AU"/>
        </w:rPr>
        <w:t xml:space="preserve">The Provider must undertake an ENA in a way consistent with the new </w:t>
      </w:r>
      <w:hyperlink r:id="rId13" w:history="1">
        <w:r w:rsidRPr="00122B8C">
          <w:rPr>
            <w:rStyle w:val="Hyperlink"/>
            <w:i/>
            <w:lang w:val="en-AU"/>
          </w:rPr>
          <w:t>ENA Guidelines</w:t>
        </w:r>
      </w:hyperlink>
      <w:r w:rsidRPr="00122B8C">
        <w:rPr>
          <w:lang w:val="en-AU"/>
        </w:rPr>
        <w:t xml:space="preserve">. In particular, it </w:t>
      </w:r>
      <w:proofErr w:type="gramStart"/>
      <w:r w:rsidRPr="00122B8C">
        <w:rPr>
          <w:lang w:val="en-AU"/>
        </w:rPr>
        <w:t>is expected</w:t>
      </w:r>
      <w:proofErr w:type="gramEnd"/>
      <w:r w:rsidRPr="00122B8C">
        <w:rPr>
          <w:lang w:val="en-AU"/>
        </w:rPr>
        <w:t xml:space="preserve"> that for students who are enrolled in school, the Provider will attend the first Student Support Group (SSG) to discuss the ENA process, and return to a second SSG to present the findings of the ENA report once completed.</w:t>
      </w:r>
    </w:p>
    <w:p w14:paraId="60AD00CD" w14:textId="6A24E5D4" w:rsidR="00624A55" w:rsidRDefault="00122B8C" w:rsidP="00122B8C">
      <w:pPr>
        <w:rPr>
          <w:lang w:val="en-AU"/>
        </w:rPr>
      </w:pPr>
      <w:r w:rsidRPr="00122B8C">
        <w:rPr>
          <w:lang w:val="en-AU"/>
        </w:rPr>
        <w:t xml:space="preserve">The role of the Provider </w:t>
      </w:r>
      <w:r w:rsidR="001866E5">
        <w:rPr>
          <w:lang w:val="en-AU"/>
        </w:rPr>
        <w:t xml:space="preserve">for different </w:t>
      </w:r>
      <w:r w:rsidRPr="00122B8C">
        <w:rPr>
          <w:lang w:val="en-AU"/>
        </w:rPr>
        <w:t xml:space="preserve">cohorts of children and young people </w:t>
      </w:r>
      <w:r w:rsidR="001866E5">
        <w:rPr>
          <w:lang w:val="en-AU"/>
        </w:rPr>
        <w:t>in OOHC is as follows:</w:t>
      </w:r>
    </w:p>
    <w:p w14:paraId="233478CD" w14:textId="77777777" w:rsidR="00122B8C" w:rsidRDefault="00122B8C" w:rsidP="00122B8C">
      <w:pPr>
        <w:rPr>
          <w:b/>
          <w:lang w:val="en-AU"/>
        </w:rPr>
        <w:sectPr w:rsidR="00122B8C" w:rsidSect="001866E5">
          <w:headerReference w:type="default" r:id="rId14"/>
          <w:footerReference w:type="even" r:id="rId15"/>
          <w:footerReference w:type="default" r:id="rId16"/>
          <w:pgSz w:w="11900" w:h="16840"/>
          <w:pgMar w:top="1701" w:right="1134" w:bottom="1531" w:left="1134" w:header="709" w:footer="709" w:gutter="0"/>
          <w:cols w:space="708"/>
          <w:docGrid w:linePitch="360"/>
        </w:sectPr>
      </w:pPr>
    </w:p>
    <w:p w14:paraId="1B884BD7" w14:textId="3A7E487E" w:rsidR="00122B8C" w:rsidRPr="00122B8C" w:rsidRDefault="00122B8C" w:rsidP="00122B8C">
      <w:pPr>
        <w:rPr>
          <w:b/>
          <w:lang w:val="en-AU"/>
        </w:rPr>
      </w:pPr>
      <w:r w:rsidRPr="00122B8C">
        <w:rPr>
          <w:b/>
          <w:lang w:val="en-AU"/>
        </w:rPr>
        <w:t>Residential care and not enrolled/attending</w:t>
      </w:r>
    </w:p>
    <w:p w14:paraId="56D244A8" w14:textId="3F3E0A4F" w:rsidR="00122B8C" w:rsidRPr="00122B8C" w:rsidRDefault="00122B8C" w:rsidP="00122B8C">
      <w:pPr>
        <w:numPr>
          <w:ilvl w:val="0"/>
          <w:numId w:val="21"/>
        </w:numPr>
        <w:ind w:left="360"/>
        <w:rPr>
          <w:lang w:val="en-US"/>
        </w:rPr>
      </w:pPr>
      <w:r w:rsidRPr="00122B8C">
        <w:rPr>
          <w:lang w:val="en-US"/>
        </w:rPr>
        <w:t>DHHS Health Education Assessment Coordinator (HEAC) identifies young person requiring ENA and contacts LOOKOUT team to confirm LOOKOUT endorses the provider.</w:t>
      </w:r>
    </w:p>
    <w:p w14:paraId="5BA0BACB" w14:textId="65DCA670" w:rsidR="00122B8C" w:rsidRPr="00122B8C" w:rsidRDefault="00122B8C" w:rsidP="00122B8C">
      <w:pPr>
        <w:numPr>
          <w:ilvl w:val="0"/>
          <w:numId w:val="21"/>
        </w:numPr>
        <w:ind w:left="360"/>
        <w:rPr>
          <w:lang w:val="en-AU"/>
        </w:rPr>
      </w:pPr>
      <w:r w:rsidRPr="00122B8C">
        <w:rPr>
          <w:b/>
          <w:lang w:val="en-US"/>
        </w:rPr>
        <w:t>Provider</w:t>
      </w:r>
      <w:r w:rsidRPr="00122B8C">
        <w:rPr>
          <w:lang w:val="en-US"/>
        </w:rPr>
        <w:t xml:space="preserve"> </w:t>
      </w:r>
      <w:proofErr w:type="gramStart"/>
      <w:r w:rsidRPr="00122B8C">
        <w:rPr>
          <w:lang w:val="en-US"/>
        </w:rPr>
        <w:t>is contacted</w:t>
      </w:r>
      <w:proofErr w:type="gramEnd"/>
      <w:r w:rsidRPr="00122B8C">
        <w:rPr>
          <w:lang w:val="en-US"/>
        </w:rPr>
        <w:t xml:space="preserve"> by HEAC to undertake the ENA. A quote </w:t>
      </w:r>
      <w:proofErr w:type="gramStart"/>
      <w:r w:rsidRPr="00122B8C">
        <w:rPr>
          <w:lang w:val="en-US"/>
        </w:rPr>
        <w:t>is provided</w:t>
      </w:r>
      <w:proofErr w:type="gramEnd"/>
      <w:r w:rsidRPr="00122B8C">
        <w:rPr>
          <w:lang w:val="en-US"/>
        </w:rPr>
        <w:t xml:space="preserve"> to HEAC and LOOKOUT team </w:t>
      </w:r>
      <w:r w:rsidRPr="00122B8C">
        <w:rPr>
          <w:b/>
          <w:lang w:val="en-US"/>
        </w:rPr>
        <w:t xml:space="preserve">prior to commencement. </w:t>
      </w:r>
      <w:r w:rsidRPr="00122B8C">
        <w:rPr>
          <w:lang w:val="en-US"/>
        </w:rPr>
        <w:t>HEAC and</w:t>
      </w:r>
      <w:r w:rsidRPr="00122B8C">
        <w:rPr>
          <w:b/>
          <w:lang w:val="en-US"/>
        </w:rPr>
        <w:t xml:space="preserve"> </w:t>
      </w:r>
      <w:r w:rsidRPr="00122B8C">
        <w:rPr>
          <w:lang w:val="en-US"/>
        </w:rPr>
        <w:t>LOOKOUT endorse the quote.</w:t>
      </w:r>
    </w:p>
    <w:p w14:paraId="402AEED0" w14:textId="25BE8D30" w:rsidR="00122B8C" w:rsidRPr="00122B8C" w:rsidRDefault="00122B8C" w:rsidP="00122B8C">
      <w:pPr>
        <w:numPr>
          <w:ilvl w:val="0"/>
          <w:numId w:val="21"/>
        </w:numPr>
        <w:ind w:left="360"/>
        <w:rPr>
          <w:lang w:val="en-AU"/>
        </w:rPr>
      </w:pPr>
      <w:r w:rsidRPr="00122B8C">
        <w:rPr>
          <w:lang w:val="en-US"/>
        </w:rPr>
        <w:t xml:space="preserve">HEAC coordinates the Case Manager/Care Team, LOOKOUT and/or school to provide relevant information to </w:t>
      </w:r>
      <w:r w:rsidRPr="00122B8C">
        <w:rPr>
          <w:b/>
          <w:lang w:val="en-US"/>
        </w:rPr>
        <w:t>Provider.</w:t>
      </w:r>
    </w:p>
    <w:p w14:paraId="4A187F13" w14:textId="77777777" w:rsidR="00122B8C" w:rsidRPr="00122B8C" w:rsidRDefault="00122B8C" w:rsidP="00122B8C">
      <w:pPr>
        <w:numPr>
          <w:ilvl w:val="0"/>
          <w:numId w:val="21"/>
        </w:numPr>
        <w:ind w:left="360"/>
        <w:rPr>
          <w:lang w:val="en-AU"/>
        </w:rPr>
      </w:pPr>
      <w:r w:rsidRPr="00122B8C">
        <w:rPr>
          <w:b/>
          <w:lang w:val="en-US"/>
        </w:rPr>
        <w:t>Provider</w:t>
      </w:r>
      <w:r w:rsidRPr="00122B8C">
        <w:rPr>
          <w:lang w:val="en-US"/>
        </w:rPr>
        <w:t xml:space="preserve"> reviews information and undertakes ENA. Draft report given to HEAC and LOOKOUT for Quality Assurance prior to report being </w:t>
      </w:r>
      <w:proofErr w:type="spellStart"/>
      <w:r w:rsidRPr="00122B8C">
        <w:rPr>
          <w:lang w:val="en-US"/>
        </w:rPr>
        <w:t>finalised</w:t>
      </w:r>
      <w:proofErr w:type="spellEnd"/>
      <w:r w:rsidRPr="00122B8C">
        <w:rPr>
          <w:lang w:val="en-US"/>
        </w:rPr>
        <w:t>.</w:t>
      </w:r>
    </w:p>
    <w:p w14:paraId="28CFC9C1" w14:textId="77777777" w:rsidR="00122B8C" w:rsidRPr="00122B8C" w:rsidRDefault="00122B8C" w:rsidP="00122B8C">
      <w:pPr>
        <w:numPr>
          <w:ilvl w:val="0"/>
          <w:numId w:val="21"/>
        </w:numPr>
        <w:ind w:left="360"/>
        <w:rPr>
          <w:lang w:val="en-AU"/>
        </w:rPr>
      </w:pPr>
      <w:r w:rsidRPr="00122B8C">
        <w:rPr>
          <w:lang w:val="en-US"/>
        </w:rPr>
        <w:t xml:space="preserve">HEAC and/or </w:t>
      </w:r>
      <w:r w:rsidRPr="00122B8C">
        <w:rPr>
          <w:b/>
          <w:lang w:val="en-US"/>
        </w:rPr>
        <w:t>Provider</w:t>
      </w:r>
      <w:r w:rsidRPr="00122B8C">
        <w:rPr>
          <w:lang w:val="en-US"/>
        </w:rPr>
        <w:t xml:space="preserve"> (where required) participates in Care Team meeting to discuss recommendations and any additional assessments.</w:t>
      </w:r>
    </w:p>
    <w:p w14:paraId="467BC063" w14:textId="77777777" w:rsidR="00122B8C" w:rsidRPr="00122B8C" w:rsidRDefault="00122B8C" w:rsidP="00122B8C">
      <w:pPr>
        <w:numPr>
          <w:ilvl w:val="0"/>
          <w:numId w:val="21"/>
        </w:numPr>
        <w:ind w:left="360"/>
        <w:rPr>
          <w:lang w:val="en-AU"/>
        </w:rPr>
      </w:pPr>
      <w:r w:rsidRPr="00122B8C">
        <w:rPr>
          <w:lang w:val="en-US"/>
        </w:rPr>
        <w:t>Care Team determine and arrange external referrals and interventions where required.</w:t>
      </w:r>
    </w:p>
    <w:p w14:paraId="1490768D" w14:textId="77777777" w:rsidR="00122B8C" w:rsidRPr="00122B8C" w:rsidRDefault="00122B8C" w:rsidP="00122B8C">
      <w:pPr>
        <w:numPr>
          <w:ilvl w:val="0"/>
          <w:numId w:val="21"/>
        </w:numPr>
        <w:ind w:left="360"/>
        <w:rPr>
          <w:lang w:val="en-AU"/>
        </w:rPr>
      </w:pPr>
      <w:r w:rsidRPr="00122B8C">
        <w:rPr>
          <w:lang w:val="en-US"/>
        </w:rPr>
        <w:t xml:space="preserve">ENA report </w:t>
      </w:r>
      <w:proofErr w:type="spellStart"/>
      <w:r w:rsidRPr="00122B8C">
        <w:rPr>
          <w:lang w:val="en-US"/>
        </w:rPr>
        <w:t>finalised</w:t>
      </w:r>
      <w:proofErr w:type="spellEnd"/>
      <w:r w:rsidRPr="00122B8C">
        <w:rPr>
          <w:lang w:val="en-US"/>
        </w:rPr>
        <w:t xml:space="preserve"> by</w:t>
      </w:r>
      <w:r w:rsidRPr="00122B8C">
        <w:rPr>
          <w:b/>
          <w:lang w:val="en-US"/>
        </w:rPr>
        <w:t xml:space="preserve"> Provider. </w:t>
      </w:r>
      <w:r w:rsidRPr="00122B8C">
        <w:rPr>
          <w:lang w:val="en-US"/>
        </w:rPr>
        <w:t>HEAC ensures ENA sent to Case Manager, school and LOOKOUT team. LOOKOUT must endorse the report prior to payment.</w:t>
      </w:r>
    </w:p>
    <w:p w14:paraId="1F6A3F06" w14:textId="752D8DEA" w:rsidR="001866E5" w:rsidRPr="001866E5" w:rsidRDefault="00122B8C" w:rsidP="00122B8C">
      <w:pPr>
        <w:numPr>
          <w:ilvl w:val="0"/>
          <w:numId w:val="21"/>
        </w:numPr>
        <w:ind w:left="360"/>
        <w:rPr>
          <w:lang w:val="en-AU"/>
        </w:rPr>
      </w:pPr>
      <w:r w:rsidRPr="00122B8C">
        <w:rPr>
          <w:b/>
          <w:lang w:val="en-US"/>
        </w:rPr>
        <w:t>Provider</w:t>
      </w:r>
      <w:r w:rsidRPr="00122B8C">
        <w:rPr>
          <w:b/>
          <w:i/>
          <w:lang w:val="en-US"/>
        </w:rPr>
        <w:t xml:space="preserve"> </w:t>
      </w:r>
      <w:r w:rsidRPr="00122B8C">
        <w:rPr>
          <w:lang w:val="en-US"/>
        </w:rPr>
        <w:t>sends invoice to LOOKOUT Centre Senior Administrative Officer for payment.</w:t>
      </w:r>
    </w:p>
    <w:p w14:paraId="0BF68CE0" w14:textId="4C815B35" w:rsidR="00122B8C" w:rsidRPr="00122B8C" w:rsidRDefault="00122B8C" w:rsidP="00122B8C">
      <w:pPr>
        <w:rPr>
          <w:lang w:val="en-AU"/>
        </w:rPr>
      </w:pPr>
      <w:r w:rsidRPr="00122B8C">
        <w:rPr>
          <w:b/>
          <w:lang w:val="en-AU"/>
        </w:rPr>
        <w:t>Other care types, enrolled in school and requiring an ENA</w:t>
      </w:r>
    </w:p>
    <w:p w14:paraId="0C872F17" w14:textId="728FA87A" w:rsidR="00122B8C" w:rsidRPr="00122B8C" w:rsidRDefault="00122B8C" w:rsidP="001866E5">
      <w:pPr>
        <w:numPr>
          <w:ilvl w:val="0"/>
          <w:numId w:val="24"/>
        </w:numPr>
        <w:rPr>
          <w:lang w:val="en-US"/>
        </w:rPr>
      </w:pPr>
      <w:r w:rsidRPr="00122B8C">
        <w:rPr>
          <w:b/>
          <w:lang w:val="en-US"/>
        </w:rPr>
        <w:t>Provider</w:t>
      </w:r>
      <w:r w:rsidRPr="00122B8C">
        <w:rPr>
          <w:lang w:val="en-US"/>
        </w:rPr>
        <w:t xml:space="preserve"> </w:t>
      </w:r>
      <w:proofErr w:type="gramStart"/>
      <w:r w:rsidRPr="00122B8C">
        <w:rPr>
          <w:lang w:val="en-US"/>
        </w:rPr>
        <w:t>is contracted</w:t>
      </w:r>
      <w:proofErr w:type="gramEnd"/>
      <w:r w:rsidRPr="00122B8C">
        <w:rPr>
          <w:lang w:val="en-US"/>
        </w:rPr>
        <w:t xml:space="preserve"> to undertake an ENA for a priority student (by LOOKOUT and/or SSS Managers) and quotation for service provided to LOOKOUT team.</w:t>
      </w:r>
    </w:p>
    <w:p w14:paraId="3926444C" w14:textId="79959DDC" w:rsidR="00122B8C" w:rsidRPr="00122B8C" w:rsidRDefault="00122B8C" w:rsidP="001866E5">
      <w:pPr>
        <w:numPr>
          <w:ilvl w:val="0"/>
          <w:numId w:val="24"/>
        </w:numPr>
        <w:rPr>
          <w:lang w:val="en-AU"/>
        </w:rPr>
      </w:pPr>
      <w:r w:rsidRPr="00122B8C">
        <w:rPr>
          <w:lang w:val="en-US"/>
        </w:rPr>
        <w:t xml:space="preserve">School collects information and gives this </w:t>
      </w:r>
      <w:r w:rsidRPr="00122B8C">
        <w:rPr>
          <w:b/>
          <w:bCs/>
          <w:lang w:val="en-US"/>
        </w:rPr>
        <w:t xml:space="preserve">to Provider </w:t>
      </w:r>
      <w:r w:rsidRPr="00122B8C">
        <w:rPr>
          <w:lang w:val="en-US"/>
        </w:rPr>
        <w:t>at least two weeks prior to ENA SSG.</w:t>
      </w:r>
    </w:p>
    <w:p w14:paraId="0C16E144" w14:textId="030B6A72" w:rsidR="00122B8C" w:rsidRPr="00122B8C" w:rsidRDefault="00122B8C" w:rsidP="001866E5">
      <w:pPr>
        <w:numPr>
          <w:ilvl w:val="0"/>
          <w:numId w:val="24"/>
        </w:numPr>
        <w:rPr>
          <w:lang w:val="en-AU"/>
        </w:rPr>
      </w:pPr>
      <w:r w:rsidRPr="00122B8C">
        <w:rPr>
          <w:lang w:val="en-US"/>
        </w:rPr>
        <w:t xml:space="preserve">DHHS or agency provide relevant information to school and </w:t>
      </w:r>
      <w:r w:rsidRPr="00122B8C">
        <w:rPr>
          <w:b/>
          <w:lang w:val="en-US"/>
        </w:rPr>
        <w:t>Provider</w:t>
      </w:r>
      <w:r w:rsidRPr="00122B8C">
        <w:rPr>
          <w:lang w:val="en-US"/>
        </w:rPr>
        <w:t xml:space="preserve"> at least two weeks prior to ENA SSG.</w:t>
      </w:r>
    </w:p>
    <w:p w14:paraId="64CCB662" w14:textId="77777777" w:rsidR="00122B8C" w:rsidRPr="00122B8C" w:rsidRDefault="00122B8C" w:rsidP="001866E5">
      <w:pPr>
        <w:numPr>
          <w:ilvl w:val="0"/>
          <w:numId w:val="24"/>
        </w:numPr>
        <w:rPr>
          <w:lang w:val="en-AU"/>
        </w:rPr>
      </w:pPr>
      <w:r w:rsidRPr="00122B8C">
        <w:rPr>
          <w:b/>
          <w:lang w:val="en-US"/>
        </w:rPr>
        <w:t>Provider</w:t>
      </w:r>
      <w:r w:rsidRPr="00122B8C">
        <w:rPr>
          <w:lang w:val="en-US"/>
        </w:rPr>
        <w:t xml:space="preserve"> collects information and reviews documents.</w:t>
      </w:r>
    </w:p>
    <w:p w14:paraId="1C7DAEC9" w14:textId="372280CD" w:rsidR="00122B8C" w:rsidRPr="00122B8C" w:rsidRDefault="00122B8C" w:rsidP="001866E5">
      <w:pPr>
        <w:numPr>
          <w:ilvl w:val="0"/>
          <w:numId w:val="24"/>
        </w:numPr>
        <w:rPr>
          <w:lang w:val="en-AU"/>
        </w:rPr>
      </w:pPr>
      <w:r w:rsidRPr="00122B8C">
        <w:rPr>
          <w:lang w:val="en-US"/>
        </w:rPr>
        <w:t xml:space="preserve">ENA SSG - </w:t>
      </w:r>
      <w:r w:rsidRPr="00122B8C">
        <w:rPr>
          <w:b/>
          <w:lang w:val="en-US"/>
        </w:rPr>
        <w:t>Provider</w:t>
      </w:r>
      <w:r w:rsidRPr="00122B8C">
        <w:rPr>
          <w:lang w:val="en-US"/>
        </w:rPr>
        <w:t xml:space="preserve"> attends to discuss information and determine further interventions required.</w:t>
      </w:r>
    </w:p>
    <w:p w14:paraId="1CA71F0D" w14:textId="77777777" w:rsidR="00122B8C" w:rsidRPr="00122B8C" w:rsidRDefault="00122B8C" w:rsidP="001866E5">
      <w:pPr>
        <w:numPr>
          <w:ilvl w:val="0"/>
          <w:numId w:val="24"/>
        </w:numPr>
        <w:rPr>
          <w:lang w:val="en-AU"/>
        </w:rPr>
      </w:pPr>
      <w:r w:rsidRPr="00122B8C">
        <w:rPr>
          <w:b/>
          <w:lang w:val="en-US"/>
        </w:rPr>
        <w:t xml:space="preserve">Provider </w:t>
      </w:r>
      <w:r w:rsidRPr="00122B8C">
        <w:rPr>
          <w:lang w:val="en-US"/>
        </w:rPr>
        <w:t>undertakes interventions and external referrals where required.</w:t>
      </w:r>
    </w:p>
    <w:p w14:paraId="525EFAE1" w14:textId="6578402C" w:rsidR="00122B8C" w:rsidRPr="00122B8C" w:rsidRDefault="00122B8C" w:rsidP="001866E5">
      <w:pPr>
        <w:numPr>
          <w:ilvl w:val="0"/>
          <w:numId w:val="24"/>
        </w:numPr>
        <w:rPr>
          <w:lang w:val="en-AU"/>
        </w:rPr>
      </w:pPr>
      <w:r w:rsidRPr="00122B8C">
        <w:rPr>
          <w:b/>
          <w:lang w:val="en-US"/>
        </w:rPr>
        <w:t>Provider</w:t>
      </w:r>
      <w:r w:rsidRPr="00122B8C">
        <w:rPr>
          <w:lang w:val="en-US"/>
        </w:rPr>
        <w:t xml:space="preserve"> </w:t>
      </w:r>
      <w:proofErr w:type="spellStart"/>
      <w:r w:rsidRPr="00122B8C">
        <w:rPr>
          <w:lang w:val="en-US"/>
        </w:rPr>
        <w:t>finalises</w:t>
      </w:r>
      <w:proofErr w:type="spellEnd"/>
      <w:r w:rsidRPr="00122B8C">
        <w:rPr>
          <w:lang w:val="en-US"/>
        </w:rPr>
        <w:t xml:space="preserve"> ENA report and attends SSG to discuss recommendations. Copy of ENA given to school, SSS and DHHS.</w:t>
      </w:r>
    </w:p>
    <w:p w14:paraId="20CB7CAE" w14:textId="06C638BC" w:rsidR="00122B8C" w:rsidRPr="00122B8C" w:rsidRDefault="00122B8C" w:rsidP="001866E5">
      <w:pPr>
        <w:numPr>
          <w:ilvl w:val="0"/>
          <w:numId w:val="24"/>
        </w:numPr>
        <w:rPr>
          <w:lang w:val="en-AU"/>
        </w:rPr>
      </w:pPr>
      <w:r w:rsidRPr="00122B8C">
        <w:rPr>
          <w:b/>
          <w:lang w:val="en-US"/>
        </w:rPr>
        <w:t>Provider</w:t>
      </w:r>
      <w:r w:rsidRPr="00122B8C">
        <w:rPr>
          <w:b/>
          <w:i/>
          <w:lang w:val="en-US"/>
        </w:rPr>
        <w:t xml:space="preserve"> </w:t>
      </w:r>
      <w:r w:rsidRPr="00122B8C">
        <w:rPr>
          <w:lang w:val="en-US"/>
        </w:rPr>
        <w:t>sends invoice to LOOKOUT Centre Senior Administrative Officer for payment.</w:t>
      </w:r>
    </w:p>
    <w:p w14:paraId="597A3B35" w14:textId="64F7E776" w:rsidR="00122B8C" w:rsidRDefault="00122B8C" w:rsidP="001866E5">
      <w:pPr>
        <w:pStyle w:val="Heading2"/>
        <w:rPr>
          <w:lang w:val="en-AU"/>
        </w:rPr>
      </w:pPr>
    </w:p>
    <w:p w14:paraId="22AA37CE" w14:textId="6069982F" w:rsidR="001866E5" w:rsidRDefault="001866E5" w:rsidP="001866E5">
      <w:pPr>
        <w:rPr>
          <w:lang w:val="en-AU"/>
        </w:rPr>
      </w:pPr>
    </w:p>
    <w:p w14:paraId="4E0024A1" w14:textId="08A7E5E4" w:rsidR="001866E5" w:rsidRDefault="001866E5" w:rsidP="001866E5">
      <w:pPr>
        <w:rPr>
          <w:lang w:val="en-AU"/>
        </w:rPr>
      </w:pPr>
    </w:p>
    <w:p w14:paraId="2C2B05CA" w14:textId="5161AE3D" w:rsidR="001866E5" w:rsidRPr="001866E5" w:rsidRDefault="001866E5" w:rsidP="001866E5">
      <w:pPr>
        <w:rPr>
          <w:lang w:val="en-AU"/>
        </w:rPr>
        <w:sectPr w:rsidR="001866E5" w:rsidRPr="001866E5" w:rsidSect="00122B8C">
          <w:type w:val="continuous"/>
          <w:pgSz w:w="11900" w:h="16840"/>
          <w:pgMar w:top="2155" w:right="1134" w:bottom="1701" w:left="1134" w:header="709" w:footer="709" w:gutter="0"/>
          <w:cols w:num="2" w:space="276"/>
          <w:docGrid w:linePitch="360"/>
        </w:sectPr>
      </w:pPr>
    </w:p>
    <w:p w14:paraId="1E65ADE1" w14:textId="00F27927" w:rsidR="00122B8C" w:rsidRPr="00122B8C" w:rsidRDefault="00122B8C" w:rsidP="00122B8C">
      <w:pPr>
        <w:pStyle w:val="Heading2"/>
        <w:numPr>
          <w:ilvl w:val="0"/>
          <w:numId w:val="20"/>
        </w:numPr>
        <w:rPr>
          <w:lang w:val="en-AU"/>
        </w:rPr>
      </w:pPr>
      <w:r w:rsidRPr="00122B8C">
        <w:rPr>
          <w:lang w:val="en-AU"/>
        </w:rPr>
        <w:lastRenderedPageBreak/>
        <w:t>Provider engagement and invoicing process</w:t>
      </w:r>
    </w:p>
    <w:p w14:paraId="3DCC5AFE" w14:textId="77777777" w:rsidR="00122B8C" w:rsidRPr="00122B8C" w:rsidRDefault="00122B8C" w:rsidP="00122B8C">
      <w:pPr>
        <w:rPr>
          <w:lang w:val="en-AU"/>
        </w:rPr>
      </w:pPr>
      <w:r w:rsidRPr="00122B8C">
        <w:rPr>
          <w:lang w:val="en-AU"/>
        </w:rPr>
        <w:t xml:space="preserve">DET’s procurement policy requires a written quotation to be </w:t>
      </w:r>
      <w:proofErr w:type="gramStart"/>
      <w:r w:rsidRPr="00122B8C">
        <w:rPr>
          <w:lang w:val="en-AU"/>
        </w:rPr>
        <w:t>provided</w:t>
      </w:r>
      <w:proofErr w:type="gramEnd"/>
      <w:r w:rsidRPr="00122B8C">
        <w:rPr>
          <w:lang w:val="en-AU"/>
        </w:rPr>
        <w:t xml:space="preserve"> to DET and approved by a DET financial delegate in </w:t>
      </w:r>
      <w:proofErr w:type="spellStart"/>
      <w:r w:rsidRPr="00122B8C">
        <w:rPr>
          <w:lang w:val="en-AU"/>
        </w:rPr>
        <w:t>Ariba</w:t>
      </w:r>
      <w:proofErr w:type="spellEnd"/>
      <w:r w:rsidRPr="00122B8C">
        <w:rPr>
          <w:lang w:val="en-AU"/>
        </w:rPr>
        <w:t xml:space="preserve"> (financial system) before the service is undertaken and an invoice raised. </w:t>
      </w:r>
    </w:p>
    <w:p w14:paraId="63CB9C56" w14:textId="77777777" w:rsidR="00122B8C" w:rsidRPr="00122B8C" w:rsidRDefault="00122B8C" w:rsidP="00122B8C">
      <w:pPr>
        <w:rPr>
          <w:lang w:val="en-US"/>
        </w:rPr>
      </w:pPr>
      <w:r w:rsidRPr="00122B8C">
        <w:rPr>
          <w:lang w:val="en-AU"/>
        </w:rPr>
        <w:t>The steps for invoicing are as follows:</w:t>
      </w:r>
    </w:p>
    <w:p w14:paraId="153975D2" w14:textId="77777777" w:rsidR="00122B8C" w:rsidRPr="00122B8C" w:rsidRDefault="00122B8C" w:rsidP="00122B8C">
      <w:pPr>
        <w:numPr>
          <w:ilvl w:val="0"/>
          <w:numId w:val="23"/>
        </w:numPr>
        <w:rPr>
          <w:lang w:val="en-US"/>
        </w:rPr>
      </w:pPr>
      <w:r w:rsidRPr="00122B8C">
        <w:rPr>
          <w:lang w:val="en-AU"/>
        </w:rPr>
        <w:t>LOOKOUT,</w:t>
      </w:r>
      <w:r w:rsidRPr="00122B8C">
        <w:rPr>
          <w:lang w:val="en-US"/>
        </w:rPr>
        <w:t xml:space="preserve"> SSS Manager or HEAC requests a quote from an appropriate provider(s) using the request for quote template at the </w:t>
      </w:r>
      <w:hyperlink w:anchor="_Appendix_–_quotation" w:history="1">
        <w:r w:rsidRPr="00122B8C">
          <w:rPr>
            <w:rStyle w:val="Hyperlink"/>
            <w:lang w:val="en-US"/>
          </w:rPr>
          <w:t>appendix</w:t>
        </w:r>
      </w:hyperlink>
      <w:r w:rsidRPr="00122B8C">
        <w:rPr>
          <w:lang w:val="en-US"/>
        </w:rPr>
        <w:t xml:space="preserve"> of these guidelines. The quote </w:t>
      </w:r>
      <w:proofErr w:type="gramStart"/>
      <w:r w:rsidRPr="00122B8C">
        <w:rPr>
          <w:lang w:val="en-US"/>
        </w:rPr>
        <w:t>must be addressed</w:t>
      </w:r>
      <w:proofErr w:type="gramEnd"/>
      <w:r w:rsidRPr="00122B8C">
        <w:rPr>
          <w:lang w:val="en-US"/>
        </w:rPr>
        <w:t xml:space="preserve"> to DET.</w:t>
      </w:r>
    </w:p>
    <w:p w14:paraId="5869C650" w14:textId="13DA3672" w:rsidR="00122B8C" w:rsidRPr="00122B8C" w:rsidRDefault="00122B8C" w:rsidP="00122B8C">
      <w:pPr>
        <w:numPr>
          <w:ilvl w:val="0"/>
          <w:numId w:val="23"/>
        </w:numPr>
        <w:rPr>
          <w:lang w:val="en-AU"/>
        </w:rPr>
      </w:pPr>
      <w:r w:rsidRPr="00122B8C">
        <w:rPr>
          <w:lang w:val="en-AU"/>
        </w:rPr>
        <w:t xml:space="preserve">DET reviews the quote(s) received according to section </w:t>
      </w:r>
      <w:r w:rsidR="001866E5">
        <w:rPr>
          <w:lang w:val="en-AU"/>
        </w:rPr>
        <w:t>3</w:t>
      </w:r>
      <w:r w:rsidRPr="00122B8C">
        <w:rPr>
          <w:lang w:val="en-AU"/>
        </w:rPr>
        <w:t xml:space="preserve"> above – ‘role of Provider’ process.</w:t>
      </w:r>
    </w:p>
    <w:p w14:paraId="6CE9E0C6" w14:textId="77777777" w:rsidR="00122B8C" w:rsidRPr="00122B8C" w:rsidRDefault="00122B8C" w:rsidP="00122B8C">
      <w:pPr>
        <w:numPr>
          <w:ilvl w:val="0"/>
          <w:numId w:val="23"/>
        </w:numPr>
        <w:rPr>
          <w:lang w:val="en-AU"/>
        </w:rPr>
      </w:pPr>
      <w:r w:rsidRPr="00122B8C">
        <w:rPr>
          <w:lang w:val="en-AU"/>
        </w:rPr>
        <w:t xml:space="preserve">DET will then arrange for a Purchase Order to </w:t>
      </w:r>
      <w:proofErr w:type="gramStart"/>
      <w:r w:rsidRPr="00122B8C">
        <w:rPr>
          <w:lang w:val="en-AU"/>
        </w:rPr>
        <w:t>be raised</w:t>
      </w:r>
      <w:proofErr w:type="gramEnd"/>
      <w:r w:rsidRPr="00122B8C">
        <w:rPr>
          <w:lang w:val="en-AU"/>
        </w:rPr>
        <w:t xml:space="preserve"> in </w:t>
      </w:r>
      <w:proofErr w:type="spellStart"/>
      <w:r w:rsidRPr="00122B8C">
        <w:rPr>
          <w:lang w:val="en-AU"/>
        </w:rPr>
        <w:t>Ariba</w:t>
      </w:r>
      <w:proofErr w:type="spellEnd"/>
      <w:r w:rsidRPr="00122B8C">
        <w:rPr>
          <w:lang w:val="en-AU"/>
        </w:rPr>
        <w:t xml:space="preserve"> for processing.</w:t>
      </w:r>
    </w:p>
    <w:p w14:paraId="6360F37B" w14:textId="77777777" w:rsidR="00122B8C" w:rsidRPr="00122B8C" w:rsidRDefault="00122B8C" w:rsidP="00122B8C">
      <w:pPr>
        <w:numPr>
          <w:ilvl w:val="0"/>
          <w:numId w:val="23"/>
        </w:numPr>
        <w:rPr>
          <w:lang w:val="en-AU"/>
        </w:rPr>
      </w:pPr>
      <w:r w:rsidRPr="00122B8C">
        <w:rPr>
          <w:lang w:val="en-AU"/>
        </w:rPr>
        <w:t xml:space="preserve">After approval by the Financial Delegate in </w:t>
      </w:r>
      <w:proofErr w:type="spellStart"/>
      <w:proofErr w:type="gramStart"/>
      <w:r w:rsidRPr="00122B8C">
        <w:rPr>
          <w:lang w:val="en-AU"/>
        </w:rPr>
        <w:t>Ariba</w:t>
      </w:r>
      <w:proofErr w:type="spellEnd"/>
      <w:proofErr w:type="gramEnd"/>
      <w:r w:rsidRPr="00122B8C">
        <w:rPr>
          <w:lang w:val="en-AU"/>
        </w:rPr>
        <w:t xml:space="preserve"> a Purchase Order will be emailed to the Provider confirming the engagement.</w:t>
      </w:r>
    </w:p>
    <w:p w14:paraId="196990B9" w14:textId="77777777" w:rsidR="00122B8C" w:rsidRPr="00122B8C" w:rsidRDefault="00122B8C" w:rsidP="00122B8C">
      <w:pPr>
        <w:numPr>
          <w:ilvl w:val="0"/>
          <w:numId w:val="23"/>
        </w:numPr>
        <w:rPr>
          <w:lang w:val="en-AU"/>
        </w:rPr>
      </w:pPr>
      <w:r w:rsidRPr="00122B8C">
        <w:rPr>
          <w:lang w:val="en-US"/>
        </w:rPr>
        <w:t xml:space="preserve">On completion of one or more </w:t>
      </w:r>
      <w:proofErr w:type="gramStart"/>
      <w:r w:rsidRPr="00122B8C">
        <w:rPr>
          <w:lang w:val="en-US"/>
        </w:rPr>
        <w:t>ENAs</w:t>
      </w:r>
      <w:proofErr w:type="gramEnd"/>
      <w:r w:rsidRPr="00122B8C">
        <w:rPr>
          <w:lang w:val="en-US"/>
        </w:rPr>
        <w:t xml:space="preserve"> the Provider</w:t>
      </w:r>
      <w:r w:rsidRPr="00122B8C">
        <w:rPr>
          <w:b/>
          <w:i/>
          <w:lang w:val="en-US"/>
        </w:rPr>
        <w:t xml:space="preserve"> </w:t>
      </w:r>
      <w:r w:rsidRPr="00122B8C">
        <w:rPr>
          <w:lang w:val="en-US"/>
        </w:rPr>
        <w:t xml:space="preserve">sends invoice to relevant LOOKOUT Centre Senior Administrative Officer for payment. Invoices </w:t>
      </w:r>
      <w:proofErr w:type="gramStart"/>
      <w:r w:rsidRPr="00122B8C">
        <w:rPr>
          <w:lang w:val="en-US"/>
        </w:rPr>
        <w:t>must be addressed</w:t>
      </w:r>
      <w:proofErr w:type="gramEnd"/>
      <w:r w:rsidRPr="00122B8C">
        <w:rPr>
          <w:lang w:val="en-US"/>
        </w:rPr>
        <w:t xml:space="preserve"> to DET and should refer to the approved purchase order.</w:t>
      </w:r>
    </w:p>
    <w:p w14:paraId="01E1D749" w14:textId="77777777" w:rsidR="00122B8C" w:rsidRPr="00122B8C" w:rsidRDefault="00122B8C" w:rsidP="00122B8C">
      <w:pPr>
        <w:numPr>
          <w:ilvl w:val="0"/>
          <w:numId w:val="23"/>
        </w:numPr>
        <w:rPr>
          <w:lang w:val="en-AU"/>
        </w:rPr>
      </w:pPr>
      <w:r w:rsidRPr="00122B8C">
        <w:rPr>
          <w:lang w:val="en-AU"/>
        </w:rPr>
        <w:t>In line with the above ‘role of provider process’ the LOOKOUT Senior Administrative Officer arranges for payment (if the work has been completed as agreed).</w:t>
      </w:r>
    </w:p>
    <w:p w14:paraId="500CC956" w14:textId="3BC825F8" w:rsidR="00122B8C" w:rsidRDefault="00122B8C" w:rsidP="00122B8C">
      <w:pPr>
        <w:rPr>
          <w:lang w:val="en-US"/>
        </w:rPr>
      </w:pPr>
      <w:r w:rsidRPr="00122B8C">
        <w:rPr>
          <w:lang w:val="en-US"/>
        </w:rPr>
        <w:t xml:space="preserve">Where a provider is engaged to undertake multiple ENAs, invoices </w:t>
      </w:r>
      <w:proofErr w:type="gramStart"/>
      <w:r w:rsidRPr="00122B8C">
        <w:rPr>
          <w:lang w:val="en-US"/>
        </w:rPr>
        <w:t>may be submitted</w:t>
      </w:r>
      <w:proofErr w:type="gramEnd"/>
      <w:r w:rsidRPr="00122B8C">
        <w:rPr>
          <w:lang w:val="en-US"/>
        </w:rPr>
        <w:t xml:space="preserve"> for completed assessments and part paid against the purchase order for that provider.</w:t>
      </w:r>
    </w:p>
    <w:p w14:paraId="028138EC" w14:textId="37151625" w:rsidR="001E4859" w:rsidRPr="00122B8C" w:rsidRDefault="001E4859" w:rsidP="001E4859">
      <w:pPr>
        <w:pStyle w:val="Heading2"/>
        <w:numPr>
          <w:ilvl w:val="0"/>
          <w:numId w:val="20"/>
        </w:numPr>
        <w:rPr>
          <w:lang w:val="en-AU"/>
        </w:rPr>
      </w:pPr>
      <w:r w:rsidRPr="00122B8C">
        <w:rPr>
          <w:lang w:val="en-AU"/>
        </w:rPr>
        <w:t>LOOKOUT Centre contacts</w:t>
      </w:r>
    </w:p>
    <w:p w14:paraId="08658199" w14:textId="2F886131" w:rsidR="001E4859" w:rsidRPr="001E4859" w:rsidRDefault="001E4859" w:rsidP="00122B8C">
      <w:pPr>
        <w:rPr>
          <w:b/>
          <w:lang w:val="en-AU"/>
        </w:rPr>
      </w:pPr>
      <w:r w:rsidRPr="00122B8C">
        <w:rPr>
          <w:lang w:val="en-AU"/>
        </w:rPr>
        <w:t>Below are the LOOKOUT Centre contacts for each region. Please send all invoices to the Senior Administrative Officer for processing.</w:t>
      </w:r>
    </w:p>
    <w:tbl>
      <w:tblPr>
        <w:tblStyle w:val="TableGrid"/>
        <w:tblpPr w:leftFromText="180" w:rightFromText="180" w:vertAnchor="text" w:horzAnchor="margin" w:tblpY="159"/>
        <w:tblW w:w="9777" w:type="dxa"/>
        <w:tblBorders>
          <w:top w:val="single" w:sz="3" w:space="0" w:color="FFFFFF" w:themeColor="background1"/>
          <w:left w:val="single" w:sz="3" w:space="0" w:color="FFFFFF" w:themeColor="background1"/>
          <w:bottom w:val="single" w:sz="3" w:space="0" w:color="FFFFFF" w:themeColor="background1"/>
          <w:right w:val="single" w:sz="3" w:space="0" w:color="FFFFFF" w:themeColor="background1"/>
          <w:insideH w:val="single" w:sz="3" w:space="0" w:color="FFFFFF" w:themeColor="background1"/>
          <w:insideV w:val="single" w:sz="3" w:space="0" w:color="FFFFFF" w:themeColor="background1"/>
        </w:tblBorders>
        <w:tblCellMar>
          <w:left w:w="96" w:type="dxa"/>
          <w:right w:w="96" w:type="dxa"/>
        </w:tblCellMar>
        <w:tblLook w:val="04A0" w:firstRow="1" w:lastRow="0" w:firstColumn="1" w:lastColumn="0" w:noHBand="0" w:noVBand="1"/>
        <w:tblDescription w:val="LOOKOUT Centre contacts table"/>
      </w:tblPr>
      <w:tblGrid>
        <w:gridCol w:w="1124"/>
        <w:gridCol w:w="1545"/>
        <w:gridCol w:w="1517"/>
        <w:gridCol w:w="1508"/>
        <w:gridCol w:w="4083"/>
      </w:tblGrid>
      <w:tr w:rsidR="001E4859" w14:paraId="29F0C77C" w14:textId="77777777" w:rsidTr="009C44F6">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1130" w:type="dxa"/>
            <w:vAlign w:val="center"/>
          </w:tcPr>
          <w:p w14:paraId="2CF23449" w14:textId="77777777" w:rsidR="001E4859" w:rsidRPr="001E4859" w:rsidRDefault="001E4859" w:rsidP="001E4859">
            <w:pPr>
              <w:pStyle w:val="TableHead"/>
              <w:rPr>
                <w:rFonts w:asciiTheme="majorHAnsi" w:hAnsiTheme="majorHAnsi" w:cstheme="majorHAnsi"/>
              </w:rPr>
            </w:pPr>
            <w:bookmarkStart w:id="0" w:name="_GoBack" w:colFirst="0" w:colLast="5"/>
            <w:r w:rsidRPr="001E4859">
              <w:rPr>
                <w:rFonts w:asciiTheme="majorHAnsi" w:eastAsia="Times New Roman" w:hAnsiTheme="majorHAnsi" w:cstheme="majorHAnsi"/>
                <w:b/>
                <w:bCs/>
                <w:color w:val="FFFFFF"/>
                <w:lang w:eastAsia="en-AU"/>
              </w:rPr>
              <w:t>Region</w:t>
            </w:r>
          </w:p>
        </w:tc>
        <w:tc>
          <w:tcPr>
            <w:tcW w:w="1560" w:type="dxa"/>
            <w:vAlign w:val="center"/>
          </w:tcPr>
          <w:p w14:paraId="62CC9FAC" w14:textId="77777777" w:rsidR="001E4859" w:rsidRPr="001E4859" w:rsidRDefault="001E4859" w:rsidP="001E4859">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E4859">
              <w:rPr>
                <w:rFonts w:asciiTheme="majorHAnsi" w:eastAsia="Times New Roman" w:hAnsiTheme="majorHAnsi" w:cstheme="majorHAnsi"/>
                <w:b/>
                <w:bCs/>
                <w:color w:val="FFFFFF"/>
                <w:lang w:eastAsia="en-AU"/>
              </w:rPr>
              <w:t>Name</w:t>
            </w:r>
          </w:p>
        </w:tc>
        <w:tc>
          <w:tcPr>
            <w:tcW w:w="1559" w:type="dxa"/>
            <w:vAlign w:val="center"/>
          </w:tcPr>
          <w:p w14:paraId="5F166A71" w14:textId="77777777" w:rsidR="001E4859" w:rsidRPr="001E4859" w:rsidRDefault="001E4859" w:rsidP="001E4859">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E4859">
              <w:rPr>
                <w:rFonts w:asciiTheme="majorHAnsi" w:eastAsia="Times New Roman" w:hAnsiTheme="majorHAnsi" w:cstheme="majorHAnsi"/>
                <w:b/>
                <w:bCs/>
                <w:color w:val="FFFFFF"/>
                <w:lang w:eastAsia="en-AU"/>
              </w:rPr>
              <w:t>Role</w:t>
            </w:r>
          </w:p>
        </w:tc>
        <w:tc>
          <w:tcPr>
            <w:tcW w:w="1559" w:type="dxa"/>
            <w:vAlign w:val="center"/>
          </w:tcPr>
          <w:p w14:paraId="79FE4C89" w14:textId="3C605515" w:rsidR="001E4859" w:rsidRPr="001E4859" w:rsidRDefault="001E4859" w:rsidP="001E4859">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eastAsia="Times New Roman" w:hAnsiTheme="majorHAnsi" w:cstheme="majorHAnsi"/>
                <w:b/>
                <w:bCs/>
                <w:color w:val="FFFFFF"/>
                <w:lang w:eastAsia="en-AU"/>
              </w:rPr>
              <w:t>Phone</w:t>
            </w:r>
          </w:p>
        </w:tc>
        <w:tc>
          <w:tcPr>
            <w:tcW w:w="3969" w:type="dxa"/>
            <w:vAlign w:val="center"/>
          </w:tcPr>
          <w:p w14:paraId="2BCB1BA8" w14:textId="77777777" w:rsidR="001E4859" w:rsidRPr="001E4859" w:rsidRDefault="001E4859" w:rsidP="001E4859">
            <w:pPr>
              <w:pStyle w:val="TableHead"/>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E4859">
              <w:rPr>
                <w:rFonts w:asciiTheme="majorHAnsi" w:eastAsia="Times New Roman" w:hAnsiTheme="majorHAnsi" w:cstheme="majorHAnsi"/>
                <w:b/>
                <w:bCs/>
                <w:color w:val="FFFFFF"/>
                <w:lang w:eastAsia="en-AU"/>
              </w:rPr>
              <w:t>Email</w:t>
            </w:r>
          </w:p>
        </w:tc>
      </w:tr>
      <w:tr w:rsidR="001E4859" w14:paraId="7367FD5D" w14:textId="77777777" w:rsidTr="001E4859">
        <w:tc>
          <w:tcPr>
            <w:cnfStyle w:val="001000000000" w:firstRow="0" w:lastRow="0" w:firstColumn="1" w:lastColumn="0" w:oddVBand="0" w:evenVBand="0" w:oddHBand="0" w:evenHBand="0" w:firstRowFirstColumn="0" w:firstRowLastColumn="0" w:lastRowFirstColumn="0" w:lastRowLastColumn="0"/>
            <w:tcW w:w="1130" w:type="dxa"/>
            <w:vAlign w:val="center"/>
          </w:tcPr>
          <w:p w14:paraId="1521B684" w14:textId="77777777" w:rsidR="001E4859" w:rsidRPr="001E4859" w:rsidRDefault="001E4859" w:rsidP="001E4859">
            <w:pPr>
              <w:pStyle w:val="TableHead"/>
              <w:rPr>
                <w:rFonts w:asciiTheme="majorHAnsi" w:hAnsiTheme="majorHAnsi" w:cstheme="majorHAnsi"/>
                <w:b w:val="0"/>
                <w:color w:val="AF272F" w:themeColor="accent1"/>
              </w:rPr>
            </w:pPr>
            <w:r w:rsidRPr="001E4859">
              <w:rPr>
                <w:rFonts w:asciiTheme="majorHAnsi" w:eastAsia="Times New Roman" w:hAnsiTheme="majorHAnsi" w:cstheme="majorHAnsi"/>
                <w:b w:val="0"/>
                <w:color w:val="000000"/>
                <w:sz w:val="21"/>
                <w:szCs w:val="21"/>
                <w:lang w:eastAsia="en-AU"/>
              </w:rPr>
              <w:t>NEVR/   Eastern Division</w:t>
            </w:r>
          </w:p>
        </w:tc>
        <w:tc>
          <w:tcPr>
            <w:tcW w:w="1560" w:type="dxa"/>
            <w:vAlign w:val="center"/>
          </w:tcPr>
          <w:p w14:paraId="4963B0F5" w14:textId="77777777" w:rsidR="001E4859" w:rsidRPr="001E4859" w:rsidRDefault="001E4859" w:rsidP="001E4859">
            <w:pPr>
              <w:pStyle w:val="TableHe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AF272F" w:themeColor="accent1"/>
              </w:rPr>
            </w:pPr>
            <w:r w:rsidRPr="001E4859">
              <w:rPr>
                <w:rFonts w:asciiTheme="majorHAnsi" w:eastAsia="Times New Roman" w:hAnsiTheme="majorHAnsi" w:cstheme="majorHAnsi"/>
                <w:b w:val="0"/>
                <w:color w:val="000000"/>
                <w:sz w:val="21"/>
                <w:szCs w:val="21"/>
                <w:lang w:eastAsia="en-AU"/>
              </w:rPr>
              <w:t>David Rose</w:t>
            </w:r>
          </w:p>
        </w:tc>
        <w:tc>
          <w:tcPr>
            <w:tcW w:w="1559" w:type="dxa"/>
            <w:vAlign w:val="center"/>
          </w:tcPr>
          <w:p w14:paraId="10887A07" w14:textId="77777777" w:rsidR="001E4859" w:rsidRPr="001E4859" w:rsidRDefault="001E4859" w:rsidP="001E4859">
            <w:pPr>
              <w:pStyle w:val="TableHe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AF272F" w:themeColor="accent1"/>
              </w:rPr>
            </w:pPr>
            <w:r w:rsidRPr="001E4859">
              <w:rPr>
                <w:rFonts w:asciiTheme="majorHAnsi" w:eastAsia="Times New Roman" w:hAnsiTheme="majorHAnsi" w:cstheme="majorHAnsi"/>
                <w:b w:val="0"/>
                <w:color w:val="000000"/>
                <w:sz w:val="21"/>
                <w:szCs w:val="21"/>
                <w:lang w:eastAsia="en-AU"/>
              </w:rPr>
              <w:t>Principal</w:t>
            </w:r>
          </w:p>
        </w:tc>
        <w:tc>
          <w:tcPr>
            <w:tcW w:w="1559" w:type="dxa"/>
            <w:vAlign w:val="center"/>
          </w:tcPr>
          <w:p w14:paraId="5EBE1BE8" w14:textId="77777777" w:rsidR="001E4859" w:rsidRPr="001E4859" w:rsidRDefault="001E4859" w:rsidP="001E4859">
            <w:pPr>
              <w:pStyle w:val="TableHe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AF272F" w:themeColor="accent1"/>
              </w:rPr>
            </w:pPr>
            <w:r w:rsidRPr="001E4859">
              <w:rPr>
                <w:rFonts w:asciiTheme="majorHAnsi" w:eastAsia="Times New Roman" w:hAnsiTheme="majorHAnsi" w:cstheme="majorHAnsi"/>
                <w:b w:val="0"/>
                <w:color w:val="000000"/>
                <w:sz w:val="21"/>
                <w:szCs w:val="21"/>
                <w:lang w:eastAsia="en-AU"/>
              </w:rPr>
              <w:t>03 8392 9462</w:t>
            </w:r>
          </w:p>
        </w:tc>
        <w:tc>
          <w:tcPr>
            <w:tcW w:w="3969" w:type="dxa"/>
            <w:vAlign w:val="center"/>
          </w:tcPr>
          <w:p w14:paraId="3E418A6B" w14:textId="77777777" w:rsidR="001E4859" w:rsidRPr="001E4859" w:rsidRDefault="00E44993" w:rsidP="001E4859">
            <w:pPr>
              <w:pStyle w:val="TableHead"/>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val="0"/>
                <w:color w:val="AF272F" w:themeColor="accent1"/>
              </w:rPr>
            </w:pPr>
            <w:hyperlink r:id="rId17" w:history="1">
              <w:r w:rsidR="001E4859" w:rsidRPr="001E4859">
                <w:rPr>
                  <w:rStyle w:val="Hyperlink"/>
                  <w:rFonts w:asciiTheme="majorHAnsi" w:eastAsia="Times New Roman" w:hAnsiTheme="majorHAnsi" w:cstheme="majorHAnsi"/>
                  <w:b w:val="0"/>
                  <w:sz w:val="21"/>
                  <w:szCs w:val="21"/>
                  <w:lang w:eastAsia="en-AU"/>
                </w:rPr>
                <w:t>rose.david.j@edumail.vic.gov.au</w:t>
              </w:r>
            </w:hyperlink>
            <w:r w:rsidR="001E4859" w:rsidRPr="001E4859">
              <w:rPr>
                <w:rFonts w:asciiTheme="majorHAnsi" w:eastAsia="Times New Roman" w:hAnsiTheme="majorHAnsi" w:cstheme="majorHAnsi"/>
                <w:b w:val="0"/>
                <w:color w:val="000000"/>
                <w:sz w:val="21"/>
                <w:szCs w:val="21"/>
                <w:lang w:eastAsia="en-AU"/>
              </w:rPr>
              <w:t xml:space="preserve"> </w:t>
            </w:r>
          </w:p>
        </w:tc>
      </w:tr>
      <w:tr w:rsidR="001E4859" w14:paraId="54B83616" w14:textId="77777777" w:rsidTr="001E4859">
        <w:tc>
          <w:tcPr>
            <w:cnfStyle w:val="001000000000" w:firstRow="0" w:lastRow="0" w:firstColumn="1" w:lastColumn="0" w:oddVBand="0" w:evenVBand="0" w:oddHBand="0" w:evenHBand="0" w:firstRowFirstColumn="0" w:firstRowLastColumn="0" w:lastRowFirstColumn="0" w:lastRowLastColumn="0"/>
            <w:tcW w:w="1130" w:type="dxa"/>
            <w:vAlign w:val="center"/>
          </w:tcPr>
          <w:p w14:paraId="776FD876" w14:textId="77777777" w:rsidR="001E4859" w:rsidRPr="001E4859" w:rsidRDefault="001E4859" w:rsidP="001E4859">
            <w:pPr>
              <w:rPr>
                <w:rFonts w:asciiTheme="majorHAnsi" w:hAnsiTheme="majorHAnsi" w:cstheme="majorHAnsi"/>
                <w:lang w:val="en-AU"/>
              </w:rPr>
            </w:pPr>
            <w:r w:rsidRPr="001E4859">
              <w:rPr>
                <w:rFonts w:asciiTheme="majorHAnsi" w:eastAsia="Times New Roman" w:hAnsiTheme="majorHAnsi" w:cstheme="majorHAnsi"/>
                <w:color w:val="000000"/>
                <w:sz w:val="21"/>
                <w:szCs w:val="21"/>
                <w:lang w:eastAsia="en-AU"/>
              </w:rPr>
              <w:t>NEVR/   Eastern Division</w:t>
            </w:r>
          </w:p>
        </w:tc>
        <w:tc>
          <w:tcPr>
            <w:tcW w:w="1560" w:type="dxa"/>
            <w:vAlign w:val="center"/>
          </w:tcPr>
          <w:p w14:paraId="18D0147D"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AU"/>
              </w:rPr>
            </w:pPr>
            <w:r w:rsidRPr="001E4859">
              <w:rPr>
                <w:rFonts w:asciiTheme="majorHAnsi" w:eastAsia="Times New Roman" w:hAnsiTheme="majorHAnsi" w:cstheme="majorHAnsi"/>
                <w:color w:val="000000"/>
                <w:sz w:val="21"/>
                <w:szCs w:val="21"/>
                <w:lang w:eastAsia="en-AU"/>
              </w:rPr>
              <w:t xml:space="preserve">Angelia </w:t>
            </w:r>
            <w:proofErr w:type="spellStart"/>
            <w:r w:rsidRPr="001E4859">
              <w:rPr>
                <w:rFonts w:asciiTheme="majorHAnsi" w:eastAsia="Times New Roman" w:hAnsiTheme="majorHAnsi" w:cstheme="majorHAnsi"/>
                <w:color w:val="000000"/>
                <w:sz w:val="21"/>
                <w:szCs w:val="21"/>
                <w:lang w:eastAsia="en-AU"/>
              </w:rPr>
              <w:t>Getley</w:t>
            </w:r>
            <w:proofErr w:type="spellEnd"/>
          </w:p>
        </w:tc>
        <w:tc>
          <w:tcPr>
            <w:tcW w:w="1559" w:type="dxa"/>
            <w:vAlign w:val="center"/>
          </w:tcPr>
          <w:p w14:paraId="01AECF5D"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AU"/>
              </w:rPr>
            </w:pPr>
            <w:r w:rsidRPr="001E4859">
              <w:rPr>
                <w:rFonts w:asciiTheme="majorHAnsi" w:eastAsia="Times New Roman" w:hAnsiTheme="majorHAnsi" w:cstheme="majorHAnsi"/>
                <w:color w:val="000000"/>
                <w:sz w:val="21"/>
                <w:szCs w:val="21"/>
                <w:lang w:eastAsia="en-AU"/>
              </w:rPr>
              <w:t>Senior Admin</w:t>
            </w:r>
          </w:p>
        </w:tc>
        <w:tc>
          <w:tcPr>
            <w:tcW w:w="1559" w:type="dxa"/>
            <w:vAlign w:val="center"/>
          </w:tcPr>
          <w:p w14:paraId="2A55CEFF"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AU"/>
              </w:rPr>
            </w:pPr>
            <w:r w:rsidRPr="001E4859">
              <w:rPr>
                <w:rFonts w:asciiTheme="majorHAnsi" w:eastAsia="Times New Roman" w:hAnsiTheme="majorHAnsi" w:cstheme="majorHAnsi"/>
                <w:color w:val="000000"/>
                <w:sz w:val="21"/>
                <w:szCs w:val="21"/>
                <w:lang w:eastAsia="en-AU"/>
              </w:rPr>
              <w:t>03 7022 1168</w:t>
            </w:r>
          </w:p>
        </w:tc>
        <w:tc>
          <w:tcPr>
            <w:tcW w:w="3969" w:type="dxa"/>
            <w:vAlign w:val="center"/>
          </w:tcPr>
          <w:p w14:paraId="38F2C68F" w14:textId="77777777" w:rsidR="001E4859" w:rsidRPr="001E4859" w:rsidRDefault="00E44993" w:rsidP="001E48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AU"/>
              </w:rPr>
            </w:pPr>
            <w:hyperlink r:id="rId18" w:history="1">
              <w:r w:rsidR="001E4859" w:rsidRPr="001E4859">
                <w:rPr>
                  <w:rStyle w:val="Hyperlink"/>
                  <w:rFonts w:asciiTheme="majorHAnsi" w:eastAsia="Times New Roman" w:hAnsiTheme="majorHAnsi" w:cstheme="majorHAnsi"/>
                  <w:sz w:val="21"/>
                  <w:szCs w:val="21"/>
                  <w:lang w:eastAsia="en-AU"/>
                </w:rPr>
                <w:t>lookout.nev@edumail.vic.gov.au</w:t>
              </w:r>
            </w:hyperlink>
            <w:r w:rsidR="001E4859" w:rsidRPr="001E4859">
              <w:rPr>
                <w:rFonts w:asciiTheme="majorHAnsi" w:eastAsia="Times New Roman" w:hAnsiTheme="majorHAnsi" w:cstheme="majorHAnsi"/>
                <w:color w:val="000000"/>
                <w:sz w:val="21"/>
                <w:szCs w:val="21"/>
                <w:lang w:eastAsia="en-AU"/>
              </w:rPr>
              <w:t xml:space="preserve"> </w:t>
            </w:r>
          </w:p>
        </w:tc>
      </w:tr>
      <w:tr w:rsidR="001E4859" w14:paraId="73C96996" w14:textId="77777777" w:rsidTr="001E4859">
        <w:tc>
          <w:tcPr>
            <w:cnfStyle w:val="001000000000" w:firstRow="0" w:lastRow="0" w:firstColumn="1" w:lastColumn="0" w:oddVBand="0" w:evenVBand="0" w:oddHBand="0" w:evenHBand="0" w:firstRowFirstColumn="0" w:firstRowLastColumn="0" w:lastRowFirstColumn="0" w:lastRowLastColumn="0"/>
            <w:tcW w:w="1130" w:type="dxa"/>
            <w:shd w:val="clear" w:color="auto" w:fill="D9D9D9" w:themeFill="background1" w:themeFillShade="D9"/>
          </w:tcPr>
          <w:p w14:paraId="39FFD78A" w14:textId="77777777" w:rsidR="001E4859" w:rsidRPr="001E4859" w:rsidRDefault="001E4859" w:rsidP="001E4859">
            <w:pPr>
              <w:rPr>
                <w:rFonts w:asciiTheme="majorHAnsi" w:hAnsiTheme="majorHAnsi" w:cstheme="majorHAnsi"/>
                <w:lang w:val="en-AU"/>
              </w:rPr>
            </w:pPr>
            <w:r w:rsidRPr="001E4859">
              <w:rPr>
                <w:rFonts w:asciiTheme="majorHAnsi" w:eastAsia="Times New Roman" w:hAnsiTheme="majorHAnsi" w:cstheme="majorHAnsi"/>
                <w:color w:val="000000"/>
                <w:sz w:val="21"/>
                <w:szCs w:val="21"/>
                <w:lang w:eastAsia="en-AU"/>
              </w:rPr>
              <w:t>NWVR/ Northern Division</w:t>
            </w:r>
          </w:p>
        </w:tc>
        <w:tc>
          <w:tcPr>
            <w:tcW w:w="1560" w:type="dxa"/>
            <w:shd w:val="clear" w:color="auto" w:fill="D9D9D9" w:themeFill="background1" w:themeFillShade="D9"/>
            <w:vAlign w:val="center"/>
          </w:tcPr>
          <w:p w14:paraId="26FC920A"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AU"/>
              </w:rPr>
            </w:pPr>
            <w:proofErr w:type="spellStart"/>
            <w:r w:rsidRPr="001E4859">
              <w:rPr>
                <w:rFonts w:asciiTheme="majorHAnsi" w:eastAsia="Times New Roman" w:hAnsiTheme="majorHAnsi" w:cstheme="majorHAnsi"/>
                <w:color w:val="000000"/>
                <w:sz w:val="21"/>
                <w:szCs w:val="21"/>
                <w:lang w:eastAsia="en-AU"/>
              </w:rPr>
              <w:t>Athina</w:t>
            </w:r>
            <w:proofErr w:type="spellEnd"/>
            <w:r w:rsidRPr="001E4859">
              <w:rPr>
                <w:rFonts w:asciiTheme="majorHAnsi" w:eastAsia="Times New Roman" w:hAnsiTheme="majorHAnsi" w:cstheme="majorHAnsi"/>
                <w:color w:val="000000"/>
                <w:sz w:val="21"/>
                <w:szCs w:val="21"/>
                <w:lang w:eastAsia="en-AU"/>
              </w:rPr>
              <w:t xml:space="preserve"> </w:t>
            </w:r>
            <w:proofErr w:type="spellStart"/>
            <w:r w:rsidRPr="001E4859">
              <w:rPr>
                <w:rFonts w:asciiTheme="majorHAnsi" w:eastAsia="Times New Roman" w:hAnsiTheme="majorHAnsi" w:cstheme="majorHAnsi"/>
                <w:color w:val="000000"/>
                <w:sz w:val="21"/>
                <w:szCs w:val="21"/>
                <w:lang w:eastAsia="en-AU"/>
              </w:rPr>
              <w:t>Kourmoulaki</w:t>
            </w:r>
            <w:proofErr w:type="spellEnd"/>
          </w:p>
        </w:tc>
        <w:tc>
          <w:tcPr>
            <w:tcW w:w="1559" w:type="dxa"/>
            <w:shd w:val="clear" w:color="auto" w:fill="D9D9D9" w:themeFill="background1" w:themeFillShade="D9"/>
            <w:vAlign w:val="center"/>
          </w:tcPr>
          <w:p w14:paraId="427B595B"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AU"/>
              </w:rPr>
            </w:pPr>
            <w:r w:rsidRPr="001E4859">
              <w:rPr>
                <w:rFonts w:asciiTheme="majorHAnsi" w:eastAsia="Times New Roman" w:hAnsiTheme="majorHAnsi" w:cstheme="majorHAnsi"/>
                <w:color w:val="000000"/>
                <w:sz w:val="21"/>
                <w:szCs w:val="21"/>
                <w:lang w:eastAsia="en-AU"/>
              </w:rPr>
              <w:t>Psych</w:t>
            </w:r>
          </w:p>
        </w:tc>
        <w:tc>
          <w:tcPr>
            <w:tcW w:w="1559" w:type="dxa"/>
            <w:shd w:val="clear" w:color="auto" w:fill="D9D9D9" w:themeFill="background1" w:themeFillShade="D9"/>
            <w:vAlign w:val="center"/>
          </w:tcPr>
          <w:p w14:paraId="111FDC17"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AU"/>
              </w:rPr>
            </w:pPr>
            <w:r w:rsidRPr="001E4859">
              <w:rPr>
                <w:rFonts w:asciiTheme="majorHAnsi" w:eastAsia="Times New Roman" w:hAnsiTheme="majorHAnsi" w:cstheme="majorHAnsi"/>
                <w:color w:val="000000"/>
                <w:sz w:val="21"/>
                <w:szCs w:val="21"/>
                <w:lang w:eastAsia="en-AU"/>
              </w:rPr>
              <w:t>03 8393 4599</w:t>
            </w:r>
          </w:p>
        </w:tc>
        <w:tc>
          <w:tcPr>
            <w:tcW w:w="3969" w:type="dxa"/>
            <w:shd w:val="clear" w:color="auto" w:fill="D9D9D9" w:themeFill="background1" w:themeFillShade="D9"/>
            <w:vAlign w:val="center"/>
          </w:tcPr>
          <w:p w14:paraId="0E4B24A4" w14:textId="77777777" w:rsidR="001E4859" w:rsidRPr="001E4859" w:rsidRDefault="00E44993" w:rsidP="001E48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AU"/>
              </w:rPr>
            </w:pPr>
            <w:hyperlink r:id="rId19" w:history="1">
              <w:r w:rsidR="001E4859" w:rsidRPr="001E4859">
                <w:rPr>
                  <w:rStyle w:val="Hyperlink"/>
                  <w:rFonts w:asciiTheme="majorHAnsi" w:eastAsia="Times New Roman" w:hAnsiTheme="majorHAnsi" w:cstheme="majorHAnsi"/>
                  <w:sz w:val="21"/>
                  <w:szCs w:val="21"/>
                  <w:lang w:eastAsia="en-AU"/>
                </w:rPr>
                <w:t>kourmoulaki.athina.a@edumail.vic.gov.au</w:t>
              </w:r>
            </w:hyperlink>
            <w:r w:rsidR="001E4859" w:rsidRPr="001E4859">
              <w:rPr>
                <w:rFonts w:asciiTheme="majorHAnsi" w:eastAsia="Times New Roman" w:hAnsiTheme="majorHAnsi" w:cstheme="majorHAnsi"/>
                <w:color w:val="000000"/>
                <w:sz w:val="21"/>
                <w:szCs w:val="21"/>
                <w:lang w:eastAsia="en-AU"/>
              </w:rPr>
              <w:t xml:space="preserve"> </w:t>
            </w:r>
          </w:p>
        </w:tc>
      </w:tr>
      <w:tr w:rsidR="001E4859" w14:paraId="5077EA94" w14:textId="77777777" w:rsidTr="001E4859">
        <w:tc>
          <w:tcPr>
            <w:cnfStyle w:val="001000000000" w:firstRow="0" w:lastRow="0" w:firstColumn="1" w:lastColumn="0" w:oddVBand="0" w:evenVBand="0" w:oddHBand="0" w:evenHBand="0" w:firstRowFirstColumn="0" w:firstRowLastColumn="0" w:lastRowFirstColumn="0" w:lastRowLastColumn="0"/>
            <w:tcW w:w="1130" w:type="dxa"/>
            <w:shd w:val="clear" w:color="auto" w:fill="D9D9D9" w:themeFill="background1" w:themeFillShade="D9"/>
          </w:tcPr>
          <w:p w14:paraId="10E4A0AC" w14:textId="77777777" w:rsidR="001E4859" w:rsidRPr="001E4859" w:rsidRDefault="001E4859" w:rsidP="001E4859">
            <w:pPr>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NWVR/ Northern Division</w:t>
            </w:r>
          </w:p>
        </w:tc>
        <w:tc>
          <w:tcPr>
            <w:tcW w:w="1560" w:type="dxa"/>
            <w:shd w:val="clear" w:color="auto" w:fill="D9D9D9" w:themeFill="background1" w:themeFillShade="D9"/>
            <w:vAlign w:val="center"/>
          </w:tcPr>
          <w:p w14:paraId="2DF49FA8"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Judi Hulme</w:t>
            </w:r>
          </w:p>
        </w:tc>
        <w:tc>
          <w:tcPr>
            <w:tcW w:w="1559" w:type="dxa"/>
            <w:shd w:val="clear" w:color="auto" w:fill="D9D9D9" w:themeFill="background1" w:themeFillShade="D9"/>
            <w:vAlign w:val="center"/>
          </w:tcPr>
          <w:p w14:paraId="1C9DBA36"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Senior Admin</w:t>
            </w:r>
          </w:p>
        </w:tc>
        <w:tc>
          <w:tcPr>
            <w:tcW w:w="1559" w:type="dxa"/>
            <w:shd w:val="clear" w:color="auto" w:fill="D9D9D9" w:themeFill="background1" w:themeFillShade="D9"/>
            <w:vAlign w:val="center"/>
          </w:tcPr>
          <w:p w14:paraId="69FD7CB6"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03 5440 3120</w:t>
            </w:r>
          </w:p>
        </w:tc>
        <w:tc>
          <w:tcPr>
            <w:tcW w:w="3969" w:type="dxa"/>
            <w:shd w:val="clear" w:color="auto" w:fill="D9D9D9" w:themeFill="background1" w:themeFillShade="D9"/>
            <w:vAlign w:val="center"/>
          </w:tcPr>
          <w:p w14:paraId="3CA63CD1" w14:textId="77777777" w:rsidR="001E4859" w:rsidRPr="001E4859" w:rsidRDefault="00E44993"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lang w:eastAsia="en-AU"/>
              </w:rPr>
            </w:pPr>
            <w:hyperlink r:id="rId20" w:history="1">
              <w:r w:rsidR="001E4859" w:rsidRPr="001E4859">
                <w:rPr>
                  <w:rStyle w:val="Hyperlink"/>
                  <w:rFonts w:asciiTheme="majorHAnsi" w:eastAsia="Times New Roman" w:hAnsiTheme="majorHAnsi" w:cstheme="majorHAnsi"/>
                  <w:sz w:val="21"/>
                  <w:szCs w:val="21"/>
                  <w:lang w:eastAsia="en-AU"/>
                </w:rPr>
                <w:t>lookout.nwv@edumail.vic.gov.au</w:t>
              </w:r>
            </w:hyperlink>
          </w:p>
        </w:tc>
      </w:tr>
      <w:tr w:rsidR="001E4859" w14:paraId="24761A05" w14:textId="77777777" w:rsidTr="001E4859">
        <w:tc>
          <w:tcPr>
            <w:cnfStyle w:val="001000000000" w:firstRow="0" w:lastRow="0" w:firstColumn="1" w:lastColumn="0" w:oddVBand="0" w:evenVBand="0" w:oddHBand="0" w:evenHBand="0" w:firstRowFirstColumn="0" w:firstRowLastColumn="0" w:lastRowFirstColumn="0" w:lastRowLastColumn="0"/>
            <w:tcW w:w="1130" w:type="dxa"/>
            <w:vAlign w:val="center"/>
          </w:tcPr>
          <w:p w14:paraId="236F02A3" w14:textId="77777777" w:rsidR="001E4859" w:rsidRPr="001E4859" w:rsidRDefault="001E4859" w:rsidP="001E4859">
            <w:pPr>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SEVR/ Southern Division</w:t>
            </w:r>
          </w:p>
        </w:tc>
        <w:tc>
          <w:tcPr>
            <w:tcW w:w="1560" w:type="dxa"/>
            <w:vAlign w:val="center"/>
          </w:tcPr>
          <w:p w14:paraId="74C4FD01"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Cara Barrie</w:t>
            </w:r>
          </w:p>
        </w:tc>
        <w:tc>
          <w:tcPr>
            <w:tcW w:w="1559" w:type="dxa"/>
            <w:vAlign w:val="center"/>
          </w:tcPr>
          <w:p w14:paraId="442B0EBE"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Psych</w:t>
            </w:r>
          </w:p>
        </w:tc>
        <w:tc>
          <w:tcPr>
            <w:tcW w:w="1559" w:type="dxa"/>
            <w:vAlign w:val="center"/>
          </w:tcPr>
          <w:p w14:paraId="42E160C5" w14:textId="77777777" w:rsidR="001E4859" w:rsidRPr="001E4859" w:rsidRDefault="001E4859" w:rsidP="001E4859">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03 8765 5766</w:t>
            </w:r>
          </w:p>
          <w:p w14:paraId="5B4A45EC"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0419 354 722</w:t>
            </w:r>
          </w:p>
        </w:tc>
        <w:tc>
          <w:tcPr>
            <w:tcW w:w="3969" w:type="dxa"/>
            <w:vAlign w:val="center"/>
          </w:tcPr>
          <w:p w14:paraId="4B695F34" w14:textId="77777777" w:rsidR="001E4859" w:rsidRPr="001E4859" w:rsidRDefault="00E44993"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lang w:eastAsia="en-AU"/>
              </w:rPr>
            </w:pPr>
            <w:hyperlink r:id="rId21" w:history="1">
              <w:r w:rsidR="001E4859" w:rsidRPr="001E4859">
                <w:rPr>
                  <w:rStyle w:val="Hyperlink"/>
                  <w:rFonts w:asciiTheme="majorHAnsi" w:eastAsia="Times New Roman" w:hAnsiTheme="majorHAnsi" w:cstheme="majorHAnsi"/>
                  <w:sz w:val="21"/>
                  <w:szCs w:val="21"/>
                  <w:lang w:eastAsia="en-AU"/>
                </w:rPr>
                <w:t>Barrie.Cara.C@edumail.vic.gov.au</w:t>
              </w:r>
            </w:hyperlink>
          </w:p>
        </w:tc>
      </w:tr>
      <w:tr w:rsidR="001E4859" w14:paraId="67F6943E" w14:textId="77777777" w:rsidTr="001E4859">
        <w:tc>
          <w:tcPr>
            <w:cnfStyle w:val="001000000000" w:firstRow="0" w:lastRow="0" w:firstColumn="1" w:lastColumn="0" w:oddVBand="0" w:evenVBand="0" w:oddHBand="0" w:evenHBand="0" w:firstRowFirstColumn="0" w:firstRowLastColumn="0" w:lastRowFirstColumn="0" w:lastRowLastColumn="0"/>
            <w:tcW w:w="1130" w:type="dxa"/>
            <w:vAlign w:val="center"/>
          </w:tcPr>
          <w:p w14:paraId="61D0FA45" w14:textId="77777777" w:rsidR="001E4859" w:rsidRPr="001E4859" w:rsidRDefault="001E4859" w:rsidP="001E4859">
            <w:pPr>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lastRenderedPageBreak/>
              <w:t>SEVR/ Southern Division</w:t>
            </w:r>
          </w:p>
        </w:tc>
        <w:tc>
          <w:tcPr>
            <w:tcW w:w="1560" w:type="dxa"/>
            <w:vAlign w:val="center"/>
          </w:tcPr>
          <w:p w14:paraId="291E1BB5"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Lyn Powell</w:t>
            </w:r>
          </w:p>
        </w:tc>
        <w:tc>
          <w:tcPr>
            <w:tcW w:w="1559" w:type="dxa"/>
            <w:vAlign w:val="center"/>
          </w:tcPr>
          <w:p w14:paraId="0319C526"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Senior Admin</w:t>
            </w:r>
          </w:p>
        </w:tc>
        <w:tc>
          <w:tcPr>
            <w:tcW w:w="1559" w:type="dxa"/>
            <w:vAlign w:val="center"/>
          </w:tcPr>
          <w:p w14:paraId="0EAD06D8" w14:textId="77777777" w:rsidR="001E4859" w:rsidRPr="001E4859" w:rsidRDefault="001E4859" w:rsidP="001E4859">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03 8765 5748</w:t>
            </w:r>
          </w:p>
        </w:tc>
        <w:tc>
          <w:tcPr>
            <w:tcW w:w="3969" w:type="dxa"/>
            <w:vAlign w:val="center"/>
          </w:tcPr>
          <w:p w14:paraId="1EEC3D40" w14:textId="77777777" w:rsidR="001E4859" w:rsidRPr="001E4859" w:rsidRDefault="00E44993"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lang w:eastAsia="en-AU"/>
              </w:rPr>
            </w:pPr>
            <w:hyperlink r:id="rId22" w:history="1">
              <w:r w:rsidR="001E4859" w:rsidRPr="001E4859">
                <w:rPr>
                  <w:rStyle w:val="Hyperlink"/>
                  <w:rFonts w:asciiTheme="majorHAnsi" w:eastAsia="Times New Roman" w:hAnsiTheme="majorHAnsi" w:cstheme="majorHAnsi"/>
                  <w:sz w:val="21"/>
                  <w:szCs w:val="21"/>
                  <w:lang w:eastAsia="en-AU"/>
                </w:rPr>
                <w:t>Powell.Lynette.E@edumail.vic.gov.au</w:t>
              </w:r>
            </w:hyperlink>
          </w:p>
        </w:tc>
      </w:tr>
      <w:tr w:rsidR="001E4859" w14:paraId="150788A6" w14:textId="77777777" w:rsidTr="001E4859">
        <w:tc>
          <w:tcPr>
            <w:cnfStyle w:val="001000000000" w:firstRow="0" w:lastRow="0" w:firstColumn="1" w:lastColumn="0" w:oddVBand="0" w:evenVBand="0" w:oddHBand="0" w:evenHBand="0" w:firstRowFirstColumn="0" w:firstRowLastColumn="0" w:lastRowFirstColumn="0" w:lastRowLastColumn="0"/>
            <w:tcW w:w="1130" w:type="dxa"/>
            <w:shd w:val="clear" w:color="auto" w:fill="D9D9D9" w:themeFill="background1" w:themeFillShade="D9"/>
          </w:tcPr>
          <w:p w14:paraId="79A2001D" w14:textId="77777777" w:rsidR="001E4859" w:rsidRPr="001E4859" w:rsidRDefault="001E4859" w:rsidP="001E4859">
            <w:pPr>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SWVR/ Western Division</w:t>
            </w:r>
          </w:p>
        </w:tc>
        <w:tc>
          <w:tcPr>
            <w:tcW w:w="1560" w:type="dxa"/>
            <w:shd w:val="clear" w:color="auto" w:fill="D9D9D9" w:themeFill="background1" w:themeFillShade="D9"/>
            <w:vAlign w:val="center"/>
          </w:tcPr>
          <w:p w14:paraId="56EB4076"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Karen Trevorrow</w:t>
            </w:r>
          </w:p>
        </w:tc>
        <w:tc>
          <w:tcPr>
            <w:tcW w:w="1559" w:type="dxa"/>
            <w:shd w:val="clear" w:color="auto" w:fill="D9D9D9" w:themeFill="background1" w:themeFillShade="D9"/>
            <w:vAlign w:val="center"/>
          </w:tcPr>
          <w:p w14:paraId="1A14C650"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Psych</w:t>
            </w:r>
          </w:p>
        </w:tc>
        <w:tc>
          <w:tcPr>
            <w:tcW w:w="1559" w:type="dxa"/>
            <w:shd w:val="clear" w:color="auto" w:fill="D9D9D9" w:themeFill="background1" w:themeFillShade="D9"/>
            <w:vAlign w:val="center"/>
          </w:tcPr>
          <w:p w14:paraId="2A089D91" w14:textId="77777777" w:rsidR="001E4859" w:rsidRPr="001E4859" w:rsidRDefault="001E4859" w:rsidP="001E4859">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03 8397 0736</w:t>
            </w:r>
          </w:p>
        </w:tc>
        <w:tc>
          <w:tcPr>
            <w:tcW w:w="3969" w:type="dxa"/>
            <w:shd w:val="clear" w:color="auto" w:fill="D9D9D9" w:themeFill="background1" w:themeFillShade="D9"/>
            <w:vAlign w:val="center"/>
          </w:tcPr>
          <w:p w14:paraId="2791877D" w14:textId="77777777" w:rsidR="001E4859" w:rsidRPr="001E4859" w:rsidRDefault="00E44993"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lang w:eastAsia="en-AU"/>
              </w:rPr>
            </w:pPr>
            <w:hyperlink r:id="rId23" w:history="1">
              <w:r w:rsidR="001E4859" w:rsidRPr="001E4859">
                <w:rPr>
                  <w:rStyle w:val="Hyperlink"/>
                  <w:rFonts w:asciiTheme="majorHAnsi" w:eastAsia="Times New Roman" w:hAnsiTheme="majorHAnsi" w:cstheme="majorHAnsi"/>
                  <w:sz w:val="21"/>
                  <w:szCs w:val="21"/>
                  <w:lang w:eastAsia="en-AU"/>
                </w:rPr>
                <w:t>trevorrow.karen.l@edumail.vic.gov.au</w:t>
              </w:r>
            </w:hyperlink>
          </w:p>
        </w:tc>
      </w:tr>
      <w:tr w:rsidR="001E4859" w14:paraId="3A7D3DD8" w14:textId="77777777" w:rsidTr="001E4859">
        <w:tc>
          <w:tcPr>
            <w:cnfStyle w:val="001000000000" w:firstRow="0" w:lastRow="0" w:firstColumn="1" w:lastColumn="0" w:oddVBand="0" w:evenVBand="0" w:oddHBand="0" w:evenHBand="0" w:firstRowFirstColumn="0" w:firstRowLastColumn="0" w:lastRowFirstColumn="0" w:lastRowLastColumn="0"/>
            <w:tcW w:w="1130" w:type="dxa"/>
            <w:shd w:val="clear" w:color="auto" w:fill="D9D9D9" w:themeFill="background1" w:themeFillShade="D9"/>
          </w:tcPr>
          <w:p w14:paraId="5D1211A8" w14:textId="77777777" w:rsidR="001E4859" w:rsidRPr="001E4859" w:rsidRDefault="001E4859" w:rsidP="001E4859">
            <w:pPr>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SWVR/ Western Division</w:t>
            </w:r>
          </w:p>
        </w:tc>
        <w:tc>
          <w:tcPr>
            <w:tcW w:w="1560" w:type="dxa"/>
            <w:shd w:val="clear" w:color="auto" w:fill="D9D9D9" w:themeFill="background1" w:themeFillShade="D9"/>
            <w:vAlign w:val="center"/>
          </w:tcPr>
          <w:p w14:paraId="193C5391"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Vi Nguyen</w:t>
            </w:r>
          </w:p>
        </w:tc>
        <w:tc>
          <w:tcPr>
            <w:tcW w:w="1559" w:type="dxa"/>
            <w:shd w:val="clear" w:color="auto" w:fill="D9D9D9" w:themeFill="background1" w:themeFillShade="D9"/>
            <w:vAlign w:val="center"/>
          </w:tcPr>
          <w:p w14:paraId="3A5EACFB" w14:textId="77777777" w:rsidR="001E4859" w:rsidRPr="001E4859" w:rsidRDefault="001E4859"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Senior Admin</w:t>
            </w:r>
          </w:p>
        </w:tc>
        <w:tc>
          <w:tcPr>
            <w:tcW w:w="1559" w:type="dxa"/>
            <w:shd w:val="clear" w:color="auto" w:fill="D9D9D9" w:themeFill="background1" w:themeFillShade="D9"/>
            <w:vAlign w:val="center"/>
          </w:tcPr>
          <w:p w14:paraId="5D1EE1B6" w14:textId="77777777" w:rsidR="001E4859" w:rsidRPr="001E4859" w:rsidRDefault="001E4859" w:rsidP="001E4859">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1"/>
                <w:szCs w:val="21"/>
                <w:lang w:eastAsia="en-AU"/>
              </w:rPr>
            </w:pPr>
            <w:r w:rsidRPr="001E4859">
              <w:rPr>
                <w:rFonts w:asciiTheme="majorHAnsi" w:eastAsia="Times New Roman" w:hAnsiTheme="majorHAnsi" w:cstheme="majorHAnsi"/>
                <w:color w:val="000000"/>
                <w:sz w:val="21"/>
                <w:szCs w:val="21"/>
                <w:lang w:eastAsia="en-AU"/>
              </w:rPr>
              <w:t>03 8397 0725</w:t>
            </w:r>
          </w:p>
        </w:tc>
        <w:tc>
          <w:tcPr>
            <w:tcW w:w="3969" w:type="dxa"/>
            <w:shd w:val="clear" w:color="auto" w:fill="D9D9D9" w:themeFill="background1" w:themeFillShade="D9"/>
            <w:vAlign w:val="center"/>
          </w:tcPr>
          <w:p w14:paraId="04C5FCBB" w14:textId="6551C6AB" w:rsidR="001E4859" w:rsidRPr="001E4859" w:rsidRDefault="00E44993" w:rsidP="001E485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1"/>
                <w:szCs w:val="21"/>
                <w:lang w:eastAsia="en-AU"/>
              </w:rPr>
            </w:pPr>
            <w:hyperlink r:id="rId24" w:history="1">
              <w:r w:rsidR="001E4859" w:rsidRPr="001E4859">
                <w:rPr>
                  <w:rStyle w:val="Hyperlink"/>
                  <w:rFonts w:asciiTheme="majorHAnsi" w:eastAsia="Times New Roman" w:hAnsiTheme="majorHAnsi" w:cstheme="majorHAnsi"/>
                  <w:sz w:val="21"/>
                  <w:szCs w:val="21"/>
                  <w:lang w:eastAsia="en-AU"/>
                </w:rPr>
                <w:t>lookout.swv@edumail.vic.gov.au</w:t>
              </w:r>
            </w:hyperlink>
            <w:r w:rsidR="001E4859" w:rsidRPr="001E4859">
              <w:rPr>
                <w:rFonts w:asciiTheme="majorHAnsi" w:eastAsia="Times New Roman" w:hAnsiTheme="majorHAnsi" w:cstheme="majorHAnsi"/>
                <w:color w:val="000000"/>
                <w:sz w:val="21"/>
                <w:szCs w:val="21"/>
                <w:lang w:eastAsia="en-AU"/>
              </w:rPr>
              <w:t xml:space="preserve"> </w:t>
            </w:r>
          </w:p>
        </w:tc>
      </w:tr>
      <w:bookmarkEnd w:id="0"/>
    </w:tbl>
    <w:p w14:paraId="7584EF62" w14:textId="2BE990A8" w:rsidR="007F19FB" w:rsidRDefault="007F19FB" w:rsidP="00122B8C">
      <w:pPr>
        <w:rPr>
          <w:lang w:val="en-AU"/>
        </w:rPr>
      </w:pPr>
    </w:p>
    <w:p w14:paraId="3A5F46C3" w14:textId="77777777" w:rsidR="007F19FB" w:rsidRDefault="007F19FB">
      <w:pPr>
        <w:spacing w:after="0"/>
        <w:rPr>
          <w:lang w:val="en-AU"/>
        </w:rPr>
      </w:pPr>
      <w:r>
        <w:rPr>
          <w:lang w:val="en-AU"/>
        </w:rPr>
        <w:br w:type="page"/>
      </w:r>
    </w:p>
    <w:p w14:paraId="4710568B" w14:textId="77777777" w:rsidR="007F19FB" w:rsidRPr="007F19FB" w:rsidRDefault="007F19FB" w:rsidP="007F19FB">
      <w:pPr>
        <w:pStyle w:val="Heading2"/>
        <w:rPr>
          <w:lang w:val="en-AU"/>
        </w:rPr>
      </w:pPr>
      <w:r w:rsidRPr="007F19FB">
        <w:rPr>
          <w:lang w:val="en-AU"/>
        </w:rPr>
        <w:lastRenderedPageBreak/>
        <w:t>Appendix – quotation template</w:t>
      </w:r>
    </w:p>
    <w:p w14:paraId="58D4ED75" w14:textId="77777777" w:rsidR="007F19FB" w:rsidRPr="007F19FB" w:rsidRDefault="007F19FB" w:rsidP="007F19FB">
      <w:pPr>
        <w:spacing w:after="0"/>
        <w:rPr>
          <w:lang w:val="en-AU"/>
        </w:rPr>
      </w:pPr>
      <w:r w:rsidRPr="007F19FB">
        <w:rPr>
          <w:lang w:val="en-AU"/>
        </w:rPr>
        <w:t xml:space="preserve">To assist with quotation, the below table is to be used by providers. It sets out the inclusions for a base level ENA, as well as additional assessments that may be required </w:t>
      </w:r>
      <w:proofErr w:type="gramStart"/>
      <w:r w:rsidRPr="007F19FB">
        <w:rPr>
          <w:lang w:val="en-AU"/>
        </w:rPr>
        <w:t>as a result</w:t>
      </w:r>
      <w:proofErr w:type="gramEnd"/>
      <w:r w:rsidRPr="007F19FB">
        <w:rPr>
          <w:lang w:val="en-AU"/>
        </w:rPr>
        <w:t xml:space="preserve"> of the analysis.</w:t>
      </w:r>
    </w:p>
    <w:p w14:paraId="7BA68EF9" w14:textId="77777777" w:rsidR="007F19FB" w:rsidRPr="007F19FB" w:rsidRDefault="007F19FB" w:rsidP="007F19FB">
      <w:pPr>
        <w:spacing w:after="0"/>
        <w:rPr>
          <w:lang w:val="en-AU"/>
        </w:rPr>
      </w:pPr>
      <w:r w:rsidRPr="007F19FB">
        <w:rPr>
          <w:b/>
          <w:lang w:val="en-AU"/>
        </w:rPr>
        <w:t>Please note</w:t>
      </w:r>
      <w:r w:rsidRPr="007F19FB">
        <w:rPr>
          <w:lang w:val="en-AU"/>
        </w:rPr>
        <w:t xml:space="preserve"> this is not an exhaustive list and all additional assessments </w:t>
      </w:r>
      <w:proofErr w:type="gramStart"/>
      <w:r w:rsidRPr="007F19FB">
        <w:rPr>
          <w:lang w:val="en-AU"/>
        </w:rPr>
        <w:t>should be discussed</w:t>
      </w:r>
      <w:proofErr w:type="gramEnd"/>
      <w:r w:rsidRPr="007F19FB">
        <w:rPr>
          <w:lang w:val="en-AU"/>
        </w:rPr>
        <w:t xml:space="preserve">, where possible, with the LOOKOUT team and/or DHHS HEAC prior to undertaking. </w:t>
      </w:r>
    </w:p>
    <w:p w14:paraId="17C84D2D" w14:textId="77777777" w:rsidR="007F19FB" w:rsidRDefault="007F19FB" w:rsidP="007F19FB">
      <w:pPr>
        <w:spacing w:after="0"/>
        <w:rPr>
          <w:b/>
          <w:lang w:val="en-AU"/>
        </w:rPr>
      </w:pPr>
    </w:p>
    <w:p w14:paraId="3FC7CEC2" w14:textId="0C50EE07" w:rsidR="007F19FB" w:rsidRPr="007F19FB" w:rsidRDefault="007F19FB" w:rsidP="007F19FB">
      <w:pPr>
        <w:spacing w:after="0"/>
        <w:rPr>
          <w:b/>
          <w:lang w:val="en-AU"/>
        </w:rPr>
      </w:pPr>
      <w:r w:rsidRPr="007F19FB">
        <w:rPr>
          <w:b/>
          <w:lang w:val="en-AU"/>
        </w:rPr>
        <w:t>Provider name:</w:t>
      </w:r>
    </w:p>
    <w:p w14:paraId="6F53BC52" w14:textId="77777777" w:rsidR="007F19FB" w:rsidRPr="007F19FB" w:rsidRDefault="007F19FB" w:rsidP="007F19FB">
      <w:pPr>
        <w:spacing w:after="0"/>
        <w:rPr>
          <w:b/>
          <w:lang w:val="en-AU"/>
        </w:rPr>
      </w:pPr>
      <w:r w:rsidRPr="007F19FB">
        <w:rPr>
          <w:b/>
          <w:lang w:val="en-AU"/>
        </w:rPr>
        <w:t>ABN:</w:t>
      </w:r>
    </w:p>
    <w:p w14:paraId="7A6C7971" w14:textId="460BF454" w:rsidR="007F19FB" w:rsidRDefault="007F19FB" w:rsidP="007F19FB">
      <w:pPr>
        <w:spacing w:after="0"/>
        <w:rPr>
          <w:b/>
          <w:lang w:val="en-AU"/>
        </w:rPr>
      </w:pPr>
      <w:r w:rsidRPr="007F19FB">
        <w:rPr>
          <w:b/>
          <w:lang w:val="en-AU"/>
        </w:rPr>
        <w:t>Key contact:</w:t>
      </w:r>
    </w:p>
    <w:p w14:paraId="53A9031F" w14:textId="77777777" w:rsidR="007F19FB" w:rsidRPr="007F19FB" w:rsidRDefault="007F19FB" w:rsidP="007F19FB">
      <w:pPr>
        <w:spacing w:after="0"/>
        <w:rPr>
          <w:b/>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4"/>
        <w:gridCol w:w="4072"/>
        <w:gridCol w:w="1930"/>
      </w:tblGrid>
      <w:tr w:rsidR="007F19FB" w:rsidRPr="007F19FB" w14:paraId="699277C6" w14:textId="77777777" w:rsidTr="00BD090F">
        <w:trPr>
          <w:trHeight w:val="246"/>
        </w:trPr>
        <w:tc>
          <w:tcPr>
            <w:tcW w:w="3004" w:type="dxa"/>
            <w:tcMar>
              <w:top w:w="0" w:type="dxa"/>
              <w:left w:w="108" w:type="dxa"/>
              <w:bottom w:w="0" w:type="dxa"/>
              <w:right w:w="108" w:type="dxa"/>
            </w:tcMar>
            <w:hideMark/>
          </w:tcPr>
          <w:p w14:paraId="2E7BD45F" w14:textId="77777777" w:rsidR="007F19FB" w:rsidRPr="007F19FB" w:rsidRDefault="007F19FB" w:rsidP="007F19FB">
            <w:pPr>
              <w:spacing w:after="0"/>
              <w:rPr>
                <w:lang w:val="en-AU"/>
              </w:rPr>
            </w:pPr>
            <w:r w:rsidRPr="007F19FB">
              <w:rPr>
                <w:b/>
                <w:bCs/>
                <w:lang w:val="en-AU"/>
              </w:rPr>
              <w:t xml:space="preserve">ITEM </w:t>
            </w:r>
          </w:p>
        </w:tc>
        <w:tc>
          <w:tcPr>
            <w:tcW w:w="4072" w:type="dxa"/>
            <w:tcMar>
              <w:top w:w="0" w:type="dxa"/>
              <w:left w:w="108" w:type="dxa"/>
              <w:bottom w:w="0" w:type="dxa"/>
              <w:right w:w="108" w:type="dxa"/>
            </w:tcMar>
            <w:hideMark/>
          </w:tcPr>
          <w:p w14:paraId="5F8EFEC7" w14:textId="77777777" w:rsidR="007F19FB" w:rsidRPr="007F19FB" w:rsidRDefault="007F19FB" w:rsidP="007F19FB">
            <w:pPr>
              <w:spacing w:after="0"/>
              <w:rPr>
                <w:lang w:val="en-AU"/>
              </w:rPr>
            </w:pPr>
            <w:r w:rsidRPr="007F19FB">
              <w:rPr>
                <w:b/>
                <w:bCs/>
                <w:lang w:val="en-AU"/>
              </w:rPr>
              <w:t>INCLUSIONS</w:t>
            </w:r>
          </w:p>
        </w:tc>
        <w:tc>
          <w:tcPr>
            <w:tcW w:w="1930" w:type="dxa"/>
            <w:tcMar>
              <w:top w:w="0" w:type="dxa"/>
              <w:left w:w="108" w:type="dxa"/>
              <w:bottom w:w="0" w:type="dxa"/>
              <w:right w:w="108" w:type="dxa"/>
            </w:tcMar>
            <w:hideMark/>
          </w:tcPr>
          <w:p w14:paraId="0BD0EFF6" w14:textId="77777777" w:rsidR="007F19FB" w:rsidRPr="007F19FB" w:rsidRDefault="007F19FB" w:rsidP="007F19FB">
            <w:pPr>
              <w:spacing w:after="0"/>
              <w:rPr>
                <w:lang w:val="en-AU"/>
              </w:rPr>
            </w:pPr>
            <w:r w:rsidRPr="007F19FB">
              <w:rPr>
                <w:b/>
                <w:bCs/>
                <w:lang w:val="en-AU"/>
              </w:rPr>
              <w:t>TOTAL ITEM COST</w:t>
            </w:r>
          </w:p>
        </w:tc>
      </w:tr>
      <w:tr w:rsidR="007F19FB" w:rsidRPr="007F19FB" w14:paraId="2C8BCB9B" w14:textId="77777777" w:rsidTr="00BD090F">
        <w:tc>
          <w:tcPr>
            <w:tcW w:w="3004" w:type="dxa"/>
            <w:shd w:val="clear" w:color="auto" w:fill="F2F2F2"/>
            <w:tcMar>
              <w:top w:w="0" w:type="dxa"/>
              <w:left w:w="108" w:type="dxa"/>
              <w:bottom w:w="0" w:type="dxa"/>
              <w:right w:w="108" w:type="dxa"/>
            </w:tcMar>
            <w:hideMark/>
          </w:tcPr>
          <w:p w14:paraId="3309C4BE" w14:textId="77777777" w:rsidR="007F19FB" w:rsidRPr="007F19FB" w:rsidRDefault="007F19FB" w:rsidP="007F19FB">
            <w:pPr>
              <w:spacing w:after="0"/>
              <w:rPr>
                <w:lang w:val="en-AU"/>
              </w:rPr>
            </w:pPr>
            <w:r w:rsidRPr="007F19FB">
              <w:rPr>
                <w:b/>
                <w:bCs/>
                <w:lang w:val="en-AU"/>
              </w:rPr>
              <w:t>Base rate</w:t>
            </w:r>
          </w:p>
        </w:tc>
        <w:tc>
          <w:tcPr>
            <w:tcW w:w="4072" w:type="dxa"/>
            <w:shd w:val="clear" w:color="auto" w:fill="F2F2F2"/>
            <w:tcMar>
              <w:top w:w="0" w:type="dxa"/>
              <w:left w:w="108" w:type="dxa"/>
              <w:bottom w:w="0" w:type="dxa"/>
              <w:right w:w="108" w:type="dxa"/>
            </w:tcMar>
            <w:hideMark/>
          </w:tcPr>
          <w:p w14:paraId="18CD7063" w14:textId="77777777" w:rsidR="007F19FB" w:rsidRPr="007F19FB" w:rsidRDefault="007F19FB" w:rsidP="007F19FB">
            <w:pPr>
              <w:spacing w:after="0"/>
              <w:rPr>
                <w:lang w:val="en-AU"/>
              </w:rPr>
            </w:pPr>
            <w:r w:rsidRPr="007F19FB">
              <w:rPr>
                <w:lang w:val="en-AU"/>
              </w:rPr>
              <w:t>Review and analyse existing information</w:t>
            </w:r>
          </w:p>
          <w:p w14:paraId="1C5D44C2" w14:textId="77777777" w:rsidR="007F19FB" w:rsidRPr="007F19FB" w:rsidRDefault="007F19FB" w:rsidP="007F19FB">
            <w:pPr>
              <w:spacing w:after="0"/>
              <w:rPr>
                <w:lang w:val="en-AU"/>
              </w:rPr>
            </w:pPr>
            <w:r w:rsidRPr="007F19FB">
              <w:rPr>
                <w:lang w:val="en-AU"/>
              </w:rPr>
              <w:t>SSG 1 or Care Team meeting</w:t>
            </w:r>
          </w:p>
          <w:p w14:paraId="41238232" w14:textId="77777777" w:rsidR="007F19FB" w:rsidRPr="007F19FB" w:rsidRDefault="007F19FB" w:rsidP="007F19FB">
            <w:pPr>
              <w:spacing w:after="0"/>
              <w:rPr>
                <w:lang w:val="en-AU"/>
              </w:rPr>
            </w:pPr>
            <w:r w:rsidRPr="007F19FB">
              <w:rPr>
                <w:lang w:val="en-AU"/>
              </w:rPr>
              <w:t>SSG 2 or Care Team meeting</w:t>
            </w:r>
          </w:p>
          <w:p w14:paraId="0A468917" w14:textId="77777777" w:rsidR="007F19FB" w:rsidRPr="007F19FB" w:rsidRDefault="007F19FB" w:rsidP="007F19FB">
            <w:pPr>
              <w:spacing w:after="0"/>
              <w:rPr>
                <w:lang w:val="en-AU"/>
              </w:rPr>
            </w:pPr>
            <w:r w:rsidRPr="007F19FB">
              <w:rPr>
                <w:lang w:val="en-AU"/>
              </w:rPr>
              <w:t>ENA Report (includes report writing time, admin, phone calls and emails)</w:t>
            </w:r>
          </w:p>
          <w:p w14:paraId="4F05F16D" w14:textId="77777777" w:rsidR="007F19FB" w:rsidRPr="007F19FB" w:rsidRDefault="007F19FB" w:rsidP="007F19FB">
            <w:pPr>
              <w:spacing w:after="0"/>
              <w:rPr>
                <w:lang w:val="en-AU"/>
              </w:rPr>
            </w:pPr>
          </w:p>
          <w:p w14:paraId="320BB3AC" w14:textId="77777777" w:rsidR="007F19FB" w:rsidRPr="007F19FB" w:rsidRDefault="007F19FB" w:rsidP="007F19FB">
            <w:pPr>
              <w:spacing w:after="0"/>
              <w:rPr>
                <w:lang w:val="en-AU"/>
              </w:rPr>
            </w:pPr>
            <w:r w:rsidRPr="007F19FB">
              <w:rPr>
                <w:lang w:val="en-AU"/>
              </w:rPr>
              <w:t>No. hours (estimated)</w:t>
            </w:r>
          </w:p>
        </w:tc>
        <w:tc>
          <w:tcPr>
            <w:tcW w:w="1930" w:type="dxa"/>
            <w:shd w:val="clear" w:color="auto" w:fill="F2F2F2"/>
            <w:tcMar>
              <w:top w:w="0" w:type="dxa"/>
              <w:left w:w="108" w:type="dxa"/>
              <w:bottom w:w="0" w:type="dxa"/>
              <w:right w:w="108" w:type="dxa"/>
            </w:tcMar>
            <w:hideMark/>
          </w:tcPr>
          <w:p w14:paraId="05F8957F" w14:textId="77777777" w:rsidR="007F19FB" w:rsidRPr="007F19FB" w:rsidRDefault="007F19FB" w:rsidP="007F19FB">
            <w:pPr>
              <w:spacing w:after="0"/>
              <w:rPr>
                <w:lang w:val="en-AU"/>
              </w:rPr>
            </w:pPr>
          </w:p>
        </w:tc>
      </w:tr>
      <w:tr w:rsidR="007F19FB" w:rsidRPr="007F19FB" w14:paraId="3DFF14A4" w14:textId="77777777" w:rsidTr="00BD090F">
        <w:trPr>
          <w:trHeight w:val="75"/>
        </w:trPr>
        <w:tc>
          <w:tcPr>
            <w:tcW w:w="9006" w:type="dxa"/>
            <w:gridSpan w:val="3"/>
            <w:tcMar>
              <w:top w:w="0" w:type="dxa"/>
              <w:left w:w="108" w:type="dxa"/>
              <w:bottom w:w="0" w:type="dxa"/>
              <w:right w:w="108" w:type="dxa"/>
            </w:tcMar>
            <w:hideMark/>
          </w:tcPr>
          <w:p w14:paraId="0A0EC211" w14:textId="77777777" w:rsidR="007F19FB" w:rsidRPr="007F19FB" w:rsidRDefault="007F19FB" w:rsidP="007F19FB">
            <w:pPr>
              <w:spacing w:after="0"/>
              <w:rPr>
                <w:b/>
                <w:bCs/>
                <w:i/>
                <w:iCs/>
                <w:lang w:val="en-AU"/>
              </w:rPr>
            </w:pPr>
            <w:r w:rsidRPr="007F19FB">
              <w:rPr>
                <w:b/>
                <w:bCs/>
                <w:i/>
                <w:iCs/>
                <w:lang w:val="en-AU"/>
              </w:rPr>
              <w:t>Possible additional items (depending on need)</w:t>
            </w:r>
          </w:p>
          <w:p w14:paraId="7337C7F6" w14:textId="77777777" w:rsidR="007F19FB" w:rsidRPr="007F19FB" w:rsidRDefault="007F19FB" w:rsidP="007F19FB">
            <w:pPr>
              <w:spacing w:after="0"/>
              <w:rPr>
                <w:lang w:val="en-AU"/>
              </w:rPr>
            </w:pPr>
            <w:r w:rsidRPr="007F19FB">
              <w:rPr>
                <w:bCs/>
                <w:i/>
                <w:iCs/>
                <w:lang w:val="en-AU"/>
              </w:rPr>
              <w:t>Including assessment time, materials and software, as well as administration time (scoring and interpretation)</w:t>
            </w:r>
          </w:p>
        </w:tc>
      </w:tr>
      <w:tr w:rsidR="007F19FB" w:rsidRPr="007F19FB" w14:paraId="1263B405" w14:textId="77777777" w:rsidTr="00BD090F">
        <w:tc>
          <w:tcPr>
            <w:tcW w:w="3004" w:type="dxa"/>
            <w:shd w:val="clear" w:color="auto" w:fill="F2F2F2"/>
            <w:tcMar>
              <w:top w:w="0" w:type="dxa"/>
              <w:left w:w="108" w:type="dxa"/>
              <w:bottom w:w="0" w:type="dxa"/>
              <w:right w:w="108" w:type="dxa"/>
            </w:tcMar>
            <w:hideMark/>
          </w:tcPr>
          <w:p w14:paraId="7DC79D2F" w14:textId="77777777" w:rsidR="007F19FB" w:rsidRPr="007F19FB" w:rsidRDefault="007F19FB" w:rsidP="007F19FB">
            <w:pPr>
              <w:spacing w:after="0"/>
              <w:rPr>
                <w:lang w:val="en-AU"/>
              </w:rPr>
            </w:pPr>
            <w:r w:rsidRPr="007F19FB">
              <w:rPr>
                <w:lang w:val="en-AU"/>
              </w:rPr>
              <w:t>Cognitive/intellectual assessment</w:t>
            </w:r>
          </w:p>
        </w:tc>
        <w:tc>
          <w:tcPr>
            <w:tcW w:w="4072" w:type="dxa"/>
            <w:shd w:val="clear" w:color="auto" w:fill="F2F2F2"/>
            <w:tcMar>
              <w:top w:w="0" w:type="dxa"/>
              <w:left w:w="108" w:type="dxa"/>
              <w:bottom w:w="0" w:type="dxa"/>
              <w:right w:w="108" w:type="dxa"/>
            </w:tcMar>
            <w:hideMark/>
          </w:tcPr>
          <w:p w14:paraId="6DE60A75" w14:textId="77777777" w:rsidR="007F19FB" w:rsidRPr="007F19FB" w:rsidRDefault="007F19FB" w:rsidP="007F19FB">
            <w:pPr>
              <w:spacing w:after="0"/>
              <w:rPr>
                <w:lang w:val="en-AU"/>
              </w:rPr>
            </w:pPr>
            <w:r w:rsidRPr="007F19FB">
              <w:rPr>
                <w:lang w:val="en-AU"/>
              </w:rPr>
              <w:t>No. hours</w:t>
            </w:r>
          </w:p>
        </w:tc>
        <w:tc>
          <w:tcPr>
            <w:tcW w:w="1930" w:type="dxa"/>
            <w:shd w:val="clear" w:color="auto" w:fill="F2F2F2"/>
            <w:tcMar>
              <w:top w:w="0" w:type="dxa"/>
              <w:left w:w="108" w:type="dxa"/>
              <w:bottom w:w="0" w:type="dxa"/>
              <w:right w:w="108" w:type="dxa"/>
            </w:tcMar>
            <w:hideMark/>
          </w:tcPr>
          <w:p w14:paraId="2D2C2A68" w14:textId="77777777" w:rsidR="007F19FB" w:rsidRPr="007F19FB" w:rsidRDefault="007F19FB" w:rsidP="007F19FB">
            <w:pPr>
              <w:spacing w:after="0"/>
              <w:rPr>
                <w:lang w:val="en-AU"/>
              </w:rPr>
            </w:pPr>
          </w:p>
        </w:tc>
      </w:tr>
      <w:tr w:rsidR="007F19FB" w:rsidRPr="007F19FB" w14:paraId="7FAA3650" w14:textId="77777777" w:rsidTr="00BD090F">
        <w:tc>
          <w:tcPr>
            <w:tcW w:w="3004" w:type="dxa"/>
            <w:tcMar>
              <w:top w:w="0" w:type="dxa"/>
              <w:left w:w="108" w:type="dxa"/>
              <w:bottom w:w="0" w:type="dxa"/>
              <w:right w:w="108" w:type="dxa"/>
            </w:tcMar>
            <w:hideMark/>
          </w:tcPr>
          <w:p w14:paraId="15FDEE4C" w14:textId="77777777" w:rsidR="007F19FB" w:rsidRPr="007F19FB" w:rsidRDefault="007F19FB" w:rsidP="007F19FB">
            <w:pPr>
              <w:spacing w:after="0"/>
              <w:rPr>
                <w:lang w:val="en-AU"/>
              </w:rPr>
            </w:pPr>
            <w:r w:rsidRPr="007F19FB">
              <w:rPr>
                <w:lang w:val="en-AU"/>
              </w:rPr>
              <w:t>Academic assessment</w:t>
            </w:r>
          </w:p>
        </w:tc>
        <w:tc>
          <w:tcPr>
            <w:tcW w:w="4072" w:type="dxa"/>
            <w:tcMar>
              <w:top w:w="0" w:type="dxa"/>
              <w:left w:w="108" w:type="dxa"/>
              <w:bottom w:w="0" w:type="dxa"/>
              <w:right w:w="108" w:type="dxa"/>
            </w:tcMar>
            <w:hideMark/>
          </w:tcPr>
          <w:p w14:paraId="49ABA237" w14:textId="77777777" w:rsidR="007F19FB" w:rsidRPr="007F19FB" w:rsidRDefault="007F19FB" w:rsidP="007F19FB">
            <w:pPr>
              <w:spacing w:after="0"/>
              <w:rPr>
                <w:lang w:val="en-AU"/>
              </w:rPr>
            </w:pPr>
            <w:r w:rsidRPr="007F19FB">
              <w:rPr>
                <w:lang w:val="en-AU"/>
              </w:rPr>
              <w:t>No. hours</w:t>
            </w:r>
          </w:p>
        </w:tc>
        <w:tc>
          <w:tcPr>
            <w:tcW w:w="1930" w:type="dxa"/>
            <w:tcMar>
              <w:top w:w="0" w:type="dxa"/>
              <w:left w:w="108" w:type="dxa"/>
              <w:bottom w:w="0" w:type="dxa"/>
              <w:right w:w="108" w:type="dxa"/>
            </w:tcMar>
            <w:hideMark/>
          </w:tcPr>
          <w:p w14:paraId="587AF231" w14:textId="77777777" w:rsidR="007F19FB" w:rsidRPr="007F19FB" w:rsidRDefault="007F19FB" w:rsidP="007F19FB">
            <w:pPr>
              <w:spacing w:after="0"/>
              <w:rPr>
                <w:lang w:val="en-AU"/>
              </w:rPr>
            </w:pPr>
          </w:p>
        </w:tc>
      </w:tr>
      <w:tr w:rsidR="007F19FB" w:rsidRPr="007F19FB" w14:paraId="060C2EBC" w14:textId="77777777" w:rsidTr="00BD090F">
        <w:tc>
          <w:tcPr>
            <w:tcW w:w="3004" w:type="dxa"/>
            <w:tcMar>
              <w:top w:w="0" w:type="dxa"/>
              <w:left w:w="108" w:type="dxa"/>
              <w:bottom w:w="0" w:type="dxa"/>
              <w:right w:w="108" w:type="dxa"/>
            </w:tcMar>
            <w:hideMark/>
          </w:tcPr>
          <w:p w14:paraId="3FF28636" w14:textId="77777777" w:rsidR="007F19FB" w:rsidRPr="007F19FB" w:rsidRDefault="007F19FB" w:rsidP="007F19FB">
            <w:pPr>
              <w:spacing w:after="0"/>
              <w:rPr>
                <w:lang w:val="en-AU"/>
              </w:rPr>
            </w:pPr>
            <w:r w:rsidRPr="007F19FB">
              <w:rPr>
                <w:lang w:val="en-AU"/>
              </w:rPr>
              <w:t xml:space="preserve">Social, emotional and/or behavioural assessment </w:t>
            </w:r>
          </w:p>
        </w:tc>
        <w:tc>
          <w:tcPr>
            <w:tcW w:w="4072" w:type="dxa"/>
            <w:tcMar>
              <w:top w:w="0" w:type="dxa"/>
              <w:left w:w="108" w:type="dxa"/>
              <w:bottom w:w="0" w:type="dxa"/>
              <w:right w:w="108" w:type="dxa"/>
            </w:tcMar>
            <w:hideMark/>
          </w:tcPr>
          <w:p w14:paraId="561395DD" w14:textId="77777777" w:rsidR="007F19FB" w:rsidRPr="007F19FB" w:rsidRDefault="007F19FB" w:rsidP="007F19FB">
            <w:pPr>
              <w:spacing w:after="0"/>
              <w:rPr>
                <w:lang w:val="en-AU"/>
              </w:rPr>
            </w:pPr>
            <w:r w:rsidRPr="007F19FB">
              <w:rPr>
                <w:lang w:val="en-AU"/>
              </w:rPr>
              <w:t>No. hours</w:t>
            </w:r>
          </w:p>
        </w:tc>
        <w:tc>
          <w:tcPr>
            <w:tcW w:w="1930" w:type="dxa"/>
            <w:tcMar>
              <w:top w:w="0" w:type="dxa"/>
              <w:left w:w="108" w:type="dxa"/>
              <w:bottom w:w="0" w:type="dxa"/>
              <w:right w:w="108" w:type="dxa"/>
            </w:tcMar>
            <w:hideMark/>
          </w:tcPr>
          <w:p w14:paraId="48692DBB" w14:textId="77777777" w:rsidR="007F19FB" w:rsidRPr="007F19FB" w:rsidRDefault="007F19FB" w:rsidP="007F19FB">
            <w:pPr>
              <w:spacing w:after="0"/>
              <w:rPr>
                <w:lang w:val="en-AU"/>
              </w:rPr>
            </w:pPr>
          </w:p>
        </w:tc>
      </w:tr>
      <w:tr w:rsidR="007F19FB" w:rsidRPr="007F19FB" w14:paraId="0EB596E7" w14:textId="77777777" w:rsidTr="00BD090F">
        <w:tc>
          <w:tcPr>
            <w:tcW w:w="3004" w:type="dxa"/>
            <w:shd w:val="clear" w:color="auto" w:fill="F2F2F2"/>
            <w:tcMar>
              <w:top w:w="0" w:type="dxa"/>
              <w:left w:w="108" w:type="dxa"/>
              <w:bottom w:w="0" w:type="dxa"/>
              <w:right w:w="108" w:type="dxa"/>
            </w:tcMar>
            <w:hideMark/>
          </w:tcPr>
          <w:p w14:paraId="1C69A6EF" w14:textId="77777777" w:rsidR="007F19FB" w:rsidRPr="007F19FB" w:rsidRDefault="007F19FB" w:rsidP="007F19FB">
            <w:pPr>
              <w:spacing w:after="0"/>
              <w:rPr>
                <w:lang w:val="en-AU"/>
              </w:rPr>
            </w:pPr>
            <w:r w:rsidRPr="007F19FB">
              <w:rPr>
                <w:lang w:val="en-AU"/>
              </w:rPr>
              <w:t>Other assessments</w:t>
            </w:r>
          </w:p>
        </w:tc>
        <w:tc>
          <w:tcPr>
            <w:tcW w:w="4072" w:type="dxa"/>
            <w:shd w:val="clear" w:color="auto" w:fill="F2F2F2"/>
            <w:tcMar>
              <w:top w:w="0" w:type="dxa"/>
              <w:left w:w="108" w:type="dxa"/>
              <w:bottom w:w="0" w:type="dxa"/>
              <w:right w:w="108" w:type="dxa"/>
            </w:tcMar>
            <w:hideMark/>
          </w:tcPr>
          <w:p w14:paraId="1C35E0FD" w14:textId="77777777" w:rsidR="007F19FB" w:rsidRPr="007F19FB" w:rsidRDefault="007F19FB" w:rsidP="007F19FB">
            <w:pPr>
              <w:spacing w:after="0"/>
              <w:rPr>
                <w:lang w:val="en-AU"/>
              </w:rPr>
            </w:pPr>
            <w:r w:rsidRPr="007F19FB">
              <w:rPr>
                <w:lang w:val="en-AU"/>
              </w:rPr>
              <w:t>No. hours</w:t>
            </w:r>
          </w:p>
        </w:tc>
        <w:tc>
          <w:tcPr>
            <w:tcW w:w="1930" w:type="dxa"/>
            <w:shd w:val="clear" w:color="auto" w:fill="F2F2F2"/>
            <w:tcMar>
              <w:top w:w="0" w:type="dxa"/>
              <w:left w:w="108" w:type="dxa"/>
              <w:bottom w:w="0" w:type="dxa"/>
              <w:right w:w="108" w:type="dxa"/>
            </w:tcMar>
            <w:hideMark/>
          </w:tcPr>
          <w:p w14:paraId="5A050C4C" w14:textId="77777777" w:rsidR="007F19FB" w:rsidRPr="007F19FB" w:rsidRDefault="007F19FB" w:rsidP="007F19FB">
            <w:pPr>
              <w:spacing w:after="0"/>
              <w:rPr>
                <w:lang w:val="en-AU"/>
              </w:rPr>
            </w:pPr>
          </w:p>
        </w:tc>
      </w:tr>
      <w:tr w:rsidR="007F19FB" w:rsidRPr="007F19FB" w14:paraId="01D7400B" w14:textId="77777777" w:rsidTr="00BD090F">
        <w:tc>
          <w:tcPr>
            <w:tcW w:w="3004" w:type="dxa"/>
            <w:tcMar>
              <w:top w:w="0" w:type="dxa"/>
              <w:left w:w="108" w:type="dxa"/>
              <w:bottom w:w="0" w:type="dxa"/>
              <w:right w:w="108" w:type="dxa"/>
            </w:tcMar>
            <w:hideMark/>
          </w:tcPr>
          <w:p w14:paraId="676AE6D8" w14:textId="77777777" w:rsidR="007F19FB" w:rsidRPr="007F19FB" w:rsidRDefault="007F19FB" w:rsidP="007F19FB">
            <w:pPr>
              <w:spacing w:after="0"/>
              <w:rPr>
                <w:lang w:val="en-AU"/>
              </w:rPr>
            </w:pPr>
            <w:r w:rsidRPr="007F19FB">
              <w:rPr>
                <w:lang w:val="en-AU"/>
              </w:rPr>
              <w:t xml:space="preserve">Travel </w:t>
            </w:r>
          </w:p>
        </w:tc>
        <w:tc>
          <w:tcPr>
            <w:tcW w:w="4072" w:type="dxa"/>
            <w:tcMar>
              <w:top w:w="0" w:type="dxa"/>
              <w:left w:w="108" w:type="dxa"/>
              <w:bottom w:w="0" w:type="dxa"/>
              <w:right w:w="108" w:type="dxa"/>
            </w:tcMar>
            <w:hideMark/>
          </w:tcPr>
          <w:p w14:paraId="0B26DEE3" w14:textId="77777777" w:rsidR="007F19FB" w:rsidRPr="007F19FB" w:rsidRDefault="007F19FB" w:rsidP="007F19FB">
            <w:pPr>
              <w:spacing w:after="0"/>
              <w:rPr>
                <w:lang w:val="en-AU"/>
              </w:rPr>
            </w:pPr>
            <w:r w:rsidRPr="007F19FB">
              <w:rPr>
                <w:lang w:val="en-AU"/>
              </w:rPr>
              <w:t>No. hours</w:t>
            </w:r>
          </w:p>
        </w:tc>
        <w:tc>
          <w:tcPr>
            <w:tcW w:w="1930" w:type="dxa"/>
            <w:tcMar>
              <w:top w:w="0" w:type="dxa"/>
              <w:left w:w="108" w:type="dxa"/>
              <w:bottom w:w="0" w:type="dxa"/>
              <w:right w:w="108" w:type="dxa"/>
            </w:tcMar>
            <w:hideMark/>
          </w:tcPr>
          <w:p w14:paraId="6D416BF3" w14:textId="77777777" w:rsidR="007F19FB" w:rsidRPr="007F19FB" w:rsidRDefault="007F19FB" w:rsidP="007F19FB">
            <w:pPr>
              <w:spacing w:after="0"/>
              <w:rPr>
                <w:lang w:val="en-AU"/>
              </w:rPr>
            </w:pPr>
          </w:p>
        </w:tc>
      </w:tr>
      <w:tr w:rsidR="007F19FB" w:rsidRPr="007F19FB" w14:paraId="781C911E" w14:textId="77777777" w:rsidTr="00BD090F">
        <w:tc>
          <w:tcPr>
            <w:tcW w:w="3004" w:type="dxa"/>
            <w:shd w:val="clear" w:color="auto" w:fill="F2F2F2"/>
            <w:tcMar>
              <w:top w:w="0" w:type="dxa"/>
              <w:left w:w="108" w:type="dxa"/>
              <w:bottom w:w="0" w:type="dxa"/>
              <w:right w:w="108" w:type="dxa"/>
            </w:tcMar>
            <w:hideMark/>
          </w:tcPr>
          <w:p w14:paraId="39C095BA" w14:textId="77777777" w:rsidR="007F19FB" w:rsidRPr="007F19FB" w:rsidRDefault="007F19FB" w:rsidP="007F19FB">
            <w:pPr>
              <w:spacing w:after="0"/>
              <w:rPr>
                <w:lang w:val="en-AU"/>
              </w:rPr>
            </w:pPr>
            <w:r w:rsidRPr="007F19FB">
              <w:rPr>
                <w:lang w:val="en-AU"/>
              </w:rPr>
              <w:t>Cancellation fee (if applicable/negotiable)</w:t>
            </w:r>
          </w:p>
        </w:tc>
        <w:tc>
          <w:tcPr>
            <w:tcW w:w="4072" w:type="dxa"/>
            <w:shd w:val="clear" w:color="auto" w:fill="F2F2F2"/>
            <w:tcMar>
              <w:top w:w="0" w:type="dxa"/>
              <w:left w:w="108" w:type="dxa"/>
              <w:bottom w:w="0" w:type="dxa"/>
              <w:right w:w="108" w:type="dxa"/>
            </w:tcMar>
            <w:hideMark/>
          </w:tcPr>
          <w:p w14:paraId="2C3CCF19" w14:textId="77777777" w:rsidR="007F19FB" w:rsidRPr="007F19FB" w:rsidRDefault="007F19FB" w:rsidP="007F19FB">
            <w:pPr>
              <w:spacing w:after="0"/>
              <w:rPr>
                <w:lang w:val="en-AU"/>
              </w:rPr>
            </w:pPr>
          </w:p>
        </w:tc>
        <w:tc>
          <w:tcPr>
            <w:tcW w:w="1930" w:type="dxa"/>
            <w:shd w:val="clear" w:color="auto" w:fill="F2F2F2"/>
            <w:tcMar>
              <w:top w:w="0" w:type="dxa"/>
              <w:left w:w="108" w:type="dxa"/>
              <w:bottom w:w="0" w:type="dxa"/>
              <w:right w:w="108" w:type="dxa"/>
            </w:tcMar>
            <w:hideMark/>
          </w:tcPr>
          <w:p w14:paraId="33E1CA59" w14:textId="77777777" w:rsidR="007F19FB" w:rsidRPr="007F19FB" w:rsidRDefault="007F19FB" w:rsidP="007F19FB">
            <w:pPr>
              <w:spacing w:after="0"/>
              <w:rPr>
                <w:lang w:val="en-AU"/>
              </w:rPr>
            </w:pPr>
          </w:p>
        </w:tc>
      </w:tr>
      <w:tr w:rsidR="007F19FB" w:rsidRPr="007F19FB" w14:paraId="5D0613B2" w14:textId="77777777" w:rsidTr="00BD090F">
        <w:tc>
          <w:tcPr>
            <w:tcW w:w="7076" w:type="dxa"/>
            <w:gridSpan w:val="2"/>
            <w:shd w:val="clear" w:color="auto" w:fill="auto"/>
            <w:tcMar>
              <w:top w:w="0" w:type="dxa"/>
              <w:left w:w="108" w:type="dxa"/>
              <w:bottom w:w="0" w:type="dxa"/>
              <w:right w:w="108" w:type="dxa"/>
            </w:tcMar>
          </w:tcPr>
          <w:p w14:paraId="7AF83577" w14:textId="77777777" w:rsidR="007F19FB" w:rsidRPr="007F19FB" w:rsidRDefault="007F19FB" w:rsidP="007F19FB">
            <w:pPr>
              <w:spacing w:after="0"/>
              <w:rPr>
                <w:lang w:val="en-AU"/>
              </w:rPr>
            </w:pPr>
            <w:r w:rsidRPr="007F19FB">
              <w:rPr>
                <w:b/>
                <w:lang w:val="en-AU"/>
              </w:rPr>
              <w:t>Total cost</w:t>
            </w:r>
          </w:p>
        </w:tc>
        <w:tc>
          <w:tcPr>
            <w:tcW w:w="1930" w:type="dxa"/>
            <w:shd w:val="clear" w:color="auto" w:fill="auto"/>
            <w:tcMar>
              <w:top w:w="0" w:type="dxa"/>
              <w:left w:w="108" w:type="dxa"/>
              <w:bottom w:w="0" w:type="dxa"/>
              <w:right w:w="108" w:type="dxa"/>
            </w:tcMar>
          </w:tcPr>
          <w:p w14:paraId="1F2802F4" w14:textId="77777777" w:rsidR="007F19FB" w:rsidRPr="007F19FB" w:rsidRDefault="007F19FB" w:rsidP="007F19FB">
            <w:pPr>
              <w:spacing w:after="0"/>
              <w:rPr>
                <w:lang w:val="en-AU"/>
              </w:rPr>
            </w:pPr>
          </w:p>
        </w:tc>
      </w:tr>
      <w:tr w:rsidR="007F19FB" w:rsidRPr="007F19FB" w14:paraId="6666DC95" w14:textId="77777777" w:rsidTr="00BD090F">
        <w:tc>
          <w:tcPr>
            <w:tcW w:w="7076" w:type="dxa"/>
            <w:gridSpan w:val="2"/>
            <w:shd w:val="clear" w:color="auto" w:fill="auto"/>
            <w:tcMar>
              <w:top w:w="0" w:type="dxa"/>
              <w:left w:w="108" w:type="dxa"/>
              <w:bottom w:w="0" w:type="dxa"/>
              <w:right w:w="108" w:type="dxa"/>
            </w:tcMar>
          </w:tcPr>
          <w:p w14:paraId="4D2E7153" w14:textId="77777777" w:rsidR="007F19FB" w:rsidRPr="007F19FB" w:rsidRDefault="007F19FB" w:rsidP="007F19FB">
            <w:pPr>
              <w:spacing w:after="0"/>
              <w:rPr>
                <w:lang w:val="en-AU"/>
              </w:rPr>
            </w:pPr>
            <w:r w:rsidRPr="007F19FB">
              <w:rPr>
                <w:b/>
                <w:lang w:val="en-AU"/>
              </w:rPr>
              <w:t>GST</w:t>
            </w:r>
          </w:p>
        </w:tc>
        <w:tc>
          <w:tcPr>
            <w:tcW w:w="1930" w:type="dxa"/>
            <w:shd w:val="clear" w:color="auto" w:fill="auto"/>
            <w:tcMar>
              <w:top w:w="0" w:type="dxa"/>
              <w:left w:w="108" w:type="dxa"/>
              <w:bottom w:w="0" w:type="dxa"/>
              <w:right w:w="108" w:type="dxa"/>
            </w:tcMar>
          </w:tcPr>
          <w:p w14:paraId="09BE58F1" w14:textId="77777777" w:rsidR="007F19FB" w:rsidRPr="007F19FB" w:rsidRDefault="007F19FB" w:rsidP="007F19FB">
            <w:pPr>
              <w:spacing w:after="0"/>
              <w:rPr>
                <w:lang w:val="en-AU"/>
              </w:rPr>
            </w:pPr>
          </w:p>
        </w:tc>
      </w:tr>
      <w:tr w:rsidR="007F19FB" w:rsidRPr="007F19FB" w14:paraId="04CF65AA" w14:textId="77777777" w:rsidTr="00BD090F">
        <w:tc>
          <w:tcPr>
            <w:tcW w:w="7076" w:type="dxa"/>
            <w:gridSpan w:val="2"/>
            <w:shd w:val="clear" w:color="auto" w:fill="auto"/>
            <w:tcMar>
              <w:top w:w="0" w:type="dxa"/>
              <w:left w:w="108" w:type="dxa"/>
              <w:bottom w:w="0" w:type="dxa"/>
              <w:right w:w="108" w:type="dxa"/>
            </w:tcMar>
          </w:tcPr>
          <w:p w14:paraId="13292177" w14:textId="77777777" w:rsidR="007F19FB" w:rsidRPr="007F19FB" w:rsidRDefault="007F19FB" w:rsidP="007F19FB">
            <w:pPr>
              <w:spacing w:after="0"/>
              <w:rPr>
                <w:lang w:val="en-AU"/>
              </w:rPr>
            </w:pPr>
            <w:r w:rsidRPr="007F19FB">
              <w:rPr>
                <w:b/>
                <w:lang w:val="en-AU"/>
              </w:rPr>
              <w:t>Total including GST</w:t>
            </w:r>
          </w:p>
        </w:tc>
        <w:tc>
          <w:tcPr>
            <w:tcW w:w="1930" w:type="dxa"/>
            <w:shd w:val="clear" w:color="auto" w:fill="auto"/>
            <w:tcMar>
              <w:top w:w="0" w:type="dxa"/>
              <w:left w:w="108" w:type="dxa"/>
              <w:bottom w:w="0" w:type="dxa"/>
              <w:right w:w="108" w:type="dxa"/>
            </w:tcMar>
          </w:tcPr>
          <w:p w14:paraId="2BF583D6" w14:textId="77777777" w:rsidR="007F19FB" w:rsidRPr="007F19FB" w:rsidRDefault="007F19FB" w:rsidP="007F19FB">
            <w:pPr>
              <w:spacing w:after="0"/>
              <w:rPr>
                <w:lang w:val="en-AU"/>
              </w:rPr>
            </w:pPr>
          </w:p>
        </w:tc>
      </w:tr>
    </w:tbl>
    <w:p w14:paraId="237BD1B9" w14:textId="77777777" w:rsidR="007F19FB" w:rsidRPr="007F19FB" w:rsidRDefault="007F19FB" w:rsidP="007F19FB">
      <w:pPr>
        <w:spacing w:after="0"/>
        <w:rPr>
          <w:b/>
          <w:lang w:val="en-AU"/>
        </w:rPr>
      </w:pPr>
    </w:p>
    <w:p w14:paraId="60296B11" w14:textId="77777777" w:rsidR="007F19FB" w:rsidRPr="007F19FB" w:rsidRDefault="007F19FB" w:rsidP="007F19FB">
      <w:pPr>
        <w:spacing w:after="0"/>
        <w:rPr>
          <w:lang w:val="en-AU"/>
        </w:rPr>
      </w:pPr>
      <w:r w:rsidRPr="007F19FB">
        <w:rPr>
          <w:b/>
          <w:lang w:val="en-AU"/>
        </w:rPr>
        <w:t>Additional information (please add any additional information that relates to this quote):</w:t>
      </w:r>
    </w:p>
    <w:p w14:paraId="2FFD423E" w14:textId="77777777" w:rsidR="007F19FB" w:rsidRPr="007F19FB" w:rsidRDefault="007F19FB" w:rsidP="007F19FB">
      <w:pPr>
        <w:numPr>
          <w:ilvl w:val="0"/>
          <w:numId w:val="26"/>
        </w:numPr>
        <w:spacing w:after="0"/>
        <w:rPr>
          <w:lang w:val="en-AU"/>
        </w:rPr>
      </w:pPr>
    </w:p>
    <w:p w14:paraId="21E320EA" w14:textId="77777777" w:rsidR="007F19FB" w:rsidRPr="007F19FB" w:rsidRDefault="007F19FB" w:rsidP="007F19FB">
      <w:pPr>
        <w:spacing w:after="0"/>
        <w:rPr>
          <w:lang w:val="en-AU"/>
        </w:rPr>
      </w:pPr>
    </w:p>
    <w:p w14:paraId="0E60A012" w14:textId="77777777" w:rsidR="00122B8C" w:rsidRDefault="00122B8C" w:rsidP="00122B8C">
      <w:pPr>
        <w:rPr>
          <w:lang w:val="en-AU"/>
        </w:rPr>
      </w:pPr>
    </w:p>
    <w:sectPr w:rsidR="00122B8C" w:rsidSect="001866E5">
      <w:type w:val="continuous"/>
      <w:pgSz w:w="11900" w:h="16840"/>
      <w:pgMar w:top="215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1A975" w14:textId="77777777" w:rsidR="00E44993" w:rsidRDefault="00E44993" w:rsidP="003967DD">
      <w:pPr>
        <w:spacing w:after="0"/>
      </w:pPr>
      <w:r>
        <w:separator/>
      </w:r>
    </w:p>
  </w:endnote>
  <w:endnote w:type="continuationSeparator" w:id="0">
    <w:p w14:paraId="22361ADE" w14:textId="77777777" w:rsidR="00E44993" w:rsidRDefault="00E4499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98A7B6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C44F6">
      <w:rPr>
        <w:rStyle w:val="PageNumber"/>
        <w:noProof/>
      </w:rPr>
      <w:t>4</w:t>
    </w:r>
    <w:r>
      <w:rPr>
        <w:rStyle w:val="PageNumber"/>
      </w:rPr>
      <w:fldChar w:fldCharType="end"/>
    </w:r>
  </w:p>
  <w:p w14:paraId="0CD3DEB7" w14:textId="79E7CF06" w:rsidR="00A31926" w:rsidRDefault="008D0AB0" w:rsidP="008D0AB0">
    <w:pPr>
      <w:pStyle w:val="Footer"/>
      <w:tabs>
        <w:tab w:val="clear" w:pos="4513"/>
        <w:tab w:val="clear" w:pos="9026"/>
        <w:tab w:val="left" w:pos="1395"/>
      </w:tabs>
      <w:ind w:firstLine="360"/>
    </w:pPr>
    <w:r>
      <w:t>Version 1.1 November 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BD86" w14:textId="77777777" w:rsidR="00E44993" w:rsidRDefault="00E44993" w:rsidP="003967DD">
      <w:pPr>
        <w:spacing w:after="0"/>
      </w:pPr>
      <w:r>
        <w:separator/>
      </w:r>
    </w:p>
  </w:footnote>
  <w:footnote w:type="continuationSeparator" w:id="0">
    <w:p w14:paraId="63FDBC35" w14:textId="77777777" w:rsidR="00E44993" w:rsidRDefault="00E44993" w:rsidP="003967DD">
      <w:pPr>
        <w:spacing w:after="0"/>
      </w:pPr>
      <w:r>
        <w:continuationSeparator/>
      </w:r>
    </w:p>
  </w:footnote>
  <w:footnote w:id="1">
    <w:p w14:paraId="543C6B5C" w14:textId="77777777" w:rsidR="00122B8C" w:rsidRDefault="00122B8C" w:rsidP="00122B8C">
      <w:pPr>
        <w:pStyle w:val="FootnoteText"/>
      </w:pPr>
      <w:r>
        <w:rPr>
          <w:rStyle w:val="FootnoteReference"/>
        </w:rPr>
        <w:footnoteRef/>
      </w:r>
      <w:r>
        <w:t xml:space="preserve">Trauma informed services as those that display awareness and sensitivity to the way in which clients’ presentation and service needs can be understood in the context of their trauma history (AIFS, 2016) </w:t>
      </w:r>
      <w:hyperlink r:id="rId1" w:history="1">
        <w:r w:rsidRPr="001744DC">
          <w:rPr>
            <w:rStyle w:val="Hyperlink"/>
          </w:rPr>
          <w:t>aifs.gov.au/cfca/publications/trauma-informed-care-child-family-welfare-services/what-trauma-informed-care</w:t>
        </w:r>
      </w:hyperlink>
      <w:r>
        <w:t xml:space="preserve"> </w:t>
      </w:r>
    </w:p>
  </w:footnote>
  <w:footnote w:id="2">
    <w:p w14:paraId="2CEF8436" w14:textId="77777777" w:rsidR="00122B8C" w:rsidRDefault="00122B8C" w:rsidP="00122B8C">
      <w:pPr>
        <w:pStyle w:val="FootnoteText"/>
      </w:pPr>
      <w:r>
        <w:rPr>
          <w:rStyle w:val="FootnoteReference"/>
        </w:rPr>
        <w:footnoteRef/>
      </w:r>
      <w:r>
        <w:t xml:space="preserve"> Resources and more information on the new ENA guidelines and process can be found on the DET website at </w:t>
      </w:r>
      <w:hyperlink r:id="rId2" w:history="1">
        <w:r w:rsidRPr="004D6BA4">
          <w:rPr>
            <w:rStyle w:val="Hyperlink"/>
          </w:rPr>
          <w:t>www.education.vic.gov.au/school/teachers/health/Pages/ena.aspx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9776" behindDoc="1" locked="0" layoutInCell="1" allowOverlap="1" wp14:anchorId="064F8F26" wp14:editId="7AA360B7">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5310E"/>
    <w:multiLevelType w:val="hybridMultilevel"/>
    <w:tmpl w:val="42A2ABF2"/>
    <w:lvl w:ilvl="0" w:tplc="0C09000F">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1DC00E5"/>
    <w:multiLevelType w:val="hybridMultilevel"/>
    <w:tmpl w:val="5BF2D228"/>
    <w:lvl w:ilvl="0" w:tplc="E042FE60">
      <w:start w:val="1"/>
      <w:numFmt w:val="bullet"/>
      <w:lvlText w:val=""/>
      <w:lvlJc w:val="left"/>
      <w:pPr>
        <w:ind w:left="720" w:hanging="360"/>
      </w:pPr>
      <w:rPr>
        <w:rFonts w:ascii="Symbol" w:eastAsia="Times New Roman"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364CF"/>
    <w:multiLevelType w:val="hybridMultilevel"/>
    <w:tmpl w:val="28383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133E8B"/>
    <w:multiLevelType w:val="hybridMultilevel"/>
    <w:tmpl w:val="0024D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55DA5"/>
    <w:multiLevelType w:val="hybridMultilevel"/>
    <w:tmpl w:val="F3A00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727013"/>
    <w:multiLevelType w:val="hybridMultilevel"/>
    <w:tmpl w:val="0024DB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F7A1112"/>
    <w:multiLevelType w:val="hybridMultilevel"/>
    <w:tmpl w:val="51D4A1E0"/>
    <w:lvl w:ilvl="0" w:tplc="C89A7A8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8F03FB"/>
    <w:multiLevelType w:val="hybridMultilevel"/>
    <w:tmpl w:val="E46E0F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87747"/>
    <w:multiLevelType w:val="hybridMultilevel"/>
    <w:tmpl w:val="CC0A55A4"/>
    <w:lvl w:ilvl="0" w:tplc="027A50F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0"/>
  </w:num>
  <w:num w:numId="14">
    <w:abstractNumId w:val="24"/>
  </w:num>
  <w:num w:numId="15">
    <w:abstractNumId w:val="11"/>
  </w:num>
  <w:num w:numId="16">
    <w:abstractNumId w:val="18"/>
  </w:num>
  <w:num w:numId="17">
    <w:abstractNumId w:val="14"/>
  </w:num>
  <w:num w:numId="18">
    <w:abstractNumId w:val="23"/>
  </w:num>
  <w:num w:numId="19">
    <w:abstractNumId w:val="13"/>
  </w:num>
  <w:num w:numId="20">
    <w:abstractNumId w:val="21"/>
  </w:num>
  <w:num w:numId="21">
    <w:abstractNumId w:val="22"/>
  </w:num>
  <w:num w:numId="22">
    <w:abstractNumId w:val="25"/>
  </w:num>
  <w:num w:numId="23">
    <w:abstractNumId w:val="19"/>
  </w:num>
  <w:num w:numId="24">
    <w:abstractNumId w:val="12"/>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0B775C"/>
    <w:rsid w:val="00122369"/>
    <w:rsid w:val="00122B8C"/>
    <w:rsid w:val="001866E5"/>
    <w:rsid w:val="001D13F9"/>
    <w:rsid w:val="001E4859"/>
    <w:rsid w:val="002A4A96"/>
    <w:rsid w:val="002E3BED"/>
    <w:rsid w:val="00312720"/>
    <w:rsid w:val="0033584D"/>
    <w:rsid w:val="003967DD"/>
    <w:rsid w:val="00442CA7"/>
    <w:rsid w:val="004B2ED6"/>
    <w:rsid w:val="004B428E"/>
    <w:rsid w:val="004F6984"/>
    <w:rsid w:val="00584366"/>
    <w:rsid w:val="005A4F12"/>
    <w:rsid w:val="005C2EBB"/>
    <w:rsid w:val="00616A30"/>
    <w:rsid w:val="00624A55"/>
    <w:rsid w:val="006671CE"/>
    <w:rsid w:val="006A25AC"/>
    <w:rsid w:val="006E2B9A"/>
    <w:rsid w:val="007B556E"/>
    <w:rsid w:val="007D3E38"/>
    <w:rsid w:val="007F19FB"/>
    <w:rsid w:val="008065DA"/>
    <w:rsid w:val="008B11E2"/>
    <w:rsid w:val="008B1737"/>
    <w:rsid w:val="008D0AB0"/>
    <w:rsid w:val="009C44F6"/>
    <w:rsid w:val="00A31926"/>
    <w:rsid w:val="00AC42AE"/>
    <w:rsid w:val="00B238C5"/>
    <w:rsid w:val="00B86837"/>
    <w:rsid w:val="00D20DEB"/>
    <w:rsid w:val="00E34263"/>
    <w:rsid w:val="00E44993"/>
    <w:rsid w:val="00F0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FootnoteText">
    <w:name w:val="footnote text"/>
    <w:basedOn w:val="Normal"/>
    <w:link w:val="FootnoteTextChar"/>
    <w:uiPriority w:val="99"/>
    <w:semiHidden/>
    <w:unhideWhenUsed/>
    <w:rsid w:val="00122B8C"/>
    <w:pPr>
      <w:spacing w:after="0"/>
    </w:pPr>
    <w:rPr>
      <w:sz w:val="20"/>
      <w:szCs w:val="20"/>
      <w:lang w:val="en-AU"/>
    </w:rPr>
  </w:style>
  <w:style w:type="character" w:customStyle="1" w:styleId="FootnoteTextChar">
    <w:name w:val="Footnote Text Char"/>
    <w:basedOn w:val="DefaultParagraphFont"/>
    <w:link w:val="FootnoteText"/>
    <w:uiPriority w:val="99"/>
    <w:semiHidden/>
    <w:rsid w:val="00122B8C"/>
    <w:rPr>
      <w:sz w:val="20"/>
      <w:szCs w:val="20"/>
      <w:lang w:val="en-AU"/>
    </w:rPr>
  </w:style>
  <w:style w:type="character" w:styleId="FootnoteReference">
    <w:name w:val="footnote reference"/>
    <w:basedOn w:val="DefaultParagraphFont"/>
    <w:uiPriority w:val="99"/>
    <w:semiHidden/>
    <w:unhideWhenUsed/>
    <w:rsid w:val="00122B8C"/>
    <w:rPr>
      <w:vertAlign w:val="superscript"/>
    </w:rPr>
  </w:style>
  <w:style w:type="character" w:styleId="Hyperlink">
    <w:name w:val="Hyperlink"/>
    <w:basedOn w:val="DefaultParagraphFont"/>
    <w:uiPriority w:val="99"/>
    <w:unhideWhenUsed/>
    <w:rsid w:val="00122B8C"/>
    <w:rPr>
      <w:color w:val="004EA8" w:themeColor="hyperlink"/>
      <w:u w:val="single"/>
    </w:rPr>
  </w:style>
  <w:style w:type="paragraph" w:styleId="ListParagraph">
    <w:name w:val="List Paragraph"/>
    <w:basedOn w:val="Normal"/>
    <w:uiPriority w:val="34"/>
    <w:qFormat/>
    <w:rsid w:val="0012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health/Pages/ena.aspx" TargetMode="External"/><Relationship Id="rId18" Type="http://schemas.openxmlformats.org/officeDocument/2006/relationships/hyperlink" Target="mailto:lookout.nev@edumail.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arrie.Cara.C@edumail.vic.gov.au" TargetMode="External"/><Relationship Id="rId7" Type="http://schemas.openxmlformats.org/officeDocument/2006/relationships/styles" Target="styles.xml"/><Relationship Id="rId12" Type="http://schemas.openxmlformats.org/officeDocument/2006/relationships/hyperlink" Target="https://www.education.vic.gov.au/school/teachers/health/Pages/ena.aspx" TargetMode="External"/><Relationship Id="rId17" Type="http://schemas.openxmlformats.org/officeDocument/2006/relationships/hyperlink" Target="mailto:rose.david.j@edumail.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lookout.nwv@edumail.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ookout.swv@edumail.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trevorrow.karen.l@edumail.vic.gov.au" TargetMode="External"/><Relationship Id="rId10" Type="http://schemas.openxmlformats.org/officeDocument/2006/relationships/footnotes" Target="footnotes.xml"/><Relationship Id="rId19" Type="http://schemas.openxmlformats.org/officeDocument/2006/relationships/hyperlink" Target="mailto:kourmoulaki.athina.a@edumail.vic.gov.au" TargetMode="External"/><Relationship Id="rId22" Type="http://schemas.openxmlformats.org/officeDocument/2006/relationships/hyperlink" Target="mailto:Powell.Lynette.E@edumail.vic.gov.au" TargetMode="Externa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teachers/health/Pages/ena.aspx" TargetMode="External"/><Relationship Id="rId1" Type="http://schemas.openxmlformats.org/officeDocument/2006/relationships/hyperlink" Target="https://aifs.gov.au/cfca/publications/trauma-informed-care-child-family-welfare-services/what-trauma-informe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EDUCATIONAL NEEDS ANALYSIS QUALITY GUIDELINES – FOR PROVIDERS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E231C-D7D2-4773-B384-5C5681B46947}"/>
</file>

<file path=customXml/itemProps2.xml><?xml version="1.0" encoding="utf-8"?>
<ds:datastoreItem xmlns:ds="http://schemas.openxmlformats.org/officeDocument/2006/customXml" ds:itemID="{8C61D160-4BA9-4FC4-9F81-7E9EC8D4D100}"/>
</file>

<file path=customXml/itemProps3.xml><?xml version="1.0" encoding="utf-8"?>
<ds:datastoreItem xmlns:ds="http://schemas.openxmlformats.org/officeDocument/2006/customXml" ds:itemID="{A95BDC43-52A3-4782-AD6A-DB8B0365851C}"/>
</file>

<file path=customXml/itemProps4.xml><?xml version="1.0" encoding="utf-8"?>
<ds:datastoreItem xmlns:ds="http://schemas.openxmlformats.org/officeDocument/2006/customXml" ds:itemID="{E51E231C-D7D2-4773-B384-5C5681B46947}">
  <ds:schemaRefs>
    <ds:schemaRef ds:uri="http://schemas.microsoft.com/sharepoint/v3/contenttype/forms"/>
  </ds:schemaRefs>
</ds:datastoreItem>
</file>

<file path=customXml/itemProps5.xml><?xml version="1.0" encoding="utf-8"?>
<ds:datastoreItem xmlns:ds="http://schemas.openxmlformats.org/officeDocument/2006/customXml" ds:itemID="{D4331059-6166-45E2-B7A3-B122A3DB0A94}"/>
</file>

<file path=docProps/app.xml><?xml version="1.0" encoding="utf-8"?>
<Properties xmlns="http://schemas.openxmlformats.org/officeDocument/2006/extended-properties" xmlns:vt="http://schemas.openxmlformats.org/officeDocument/2006/docPropsVTypes">
  <Template>Normal</Template>
  <TotalTime>114</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12</cp:revision>
  <cp:lastPrinted>2018-12-06T01:49:00Z</cp:lastPrinted>
  <dcterms:created xsi:type="dcterms:W3CDTF">2018-12-05T01:55:00Z</dcterms:created>
  <dcterms:modified xsi:type="dcterms:W3CDTF">2018-12-10T00:29:00Z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ActiveItemUniqueId">
    <vt:lpwstr>{caeda82d-228b-4263-8334-4f08e6c74ea9}</vt:lpwstr>
  </property>
  <property fmtid="{D5CDD505-2E9C-101B-9397-08002B2CF9AE}" pid="5" name="RecordPoint_SubmissionCompleted">
    <vt:lpwstr>2018-12-05T15:00:52.5587557+11:00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{e0950a65-9c9d-45b8-a42c-b35c0d524b87}</vt:lpwstr>
  </property>
  <property fmtid="{D5CDD505-2E9C-101B-9397-08002B2CF9AE}" pid="10" name="RecordPoint_ActiveItemSiteId">
    <vt:lpwstr>{03dc8113-b288-4f44-a289-6e7ea0196235}</vt:lpwstr>
  </property>
  <property fmtid="{D5CDD505-2E9C-101B-9397-08002B2CF9AE}" pid="11" name="RecordPoint_ActiveItemListId">
    <vt:lpwstr>{728b64e4-9fdc-40b7-8f09-efe348ecd637}</vt:lpwstr>
  </property>
  <property fmtid="{D5CDD505-2E9C-101B-9397-08002B2CF9AE}" pid="12" name="RecordPoint_RecordNumberSubmitted">
    <vt:lpwstr>R20181690265</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