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E7506" w14:textId="49749F34" w:rsidR="00B15DBB" w:rsidRPr="00283F8D" w:rsidRDefault="00B15DBB" w:rsidP="00597ACE">
      <w:pPr>
        <w:pStyle w:val="Heading1"/>
        <w:ind w:left="-709"/>
        <w:rPr>
          <w:szCs w:val="44"/>
        </w:rPr>
      </w:pPr>
      <w:bookmarkStart w:id="0" w:name="_Toc519686399"/>
      <w:r w:rsidRPr="00283F8D">
        <w:rPr>
          <w:szCs w:val="44"/>
        </w:rPr>
        <w:t>ENA ROLES AND RESPONSIBILITIES REFERENCE GUIDE</w:t>
      </w:r>
      <w:bookmarkEnd w:id="0"/>
    </w:p>
    <w:tbl>
      <w:tblPr>
        <w:tblStyle w:val="TableGrid"/>
        <w:tblW w:w="14742" w:type="dxa"/>
        <w:tblInd w:w="-714" w:type="dxa"/>
        <w:tblLook w:val="04A0" w:firstRow="1" w:lastRow="0" w:firstColumn="1" w:lastColumn="0" w:noHBand="0" w:noVBand="1"/>
        <w:tblCaption w:val="ENA roles and responsibilities table"/>
        <w:tblDescription w:val="Reference guide of ENA roles and responsibilities in a table"/>
      </w:tblPr>
      <w:tblGrid>
        <w:gridCol w:w="14742"/>
      </w:tblGrid>
      <w:tr w:rsidR="00B15DBB" w:rsidRPr="00EB7461" w14:paraId="76F18FDA" w14:textId="77777777" w:rsidTr="00570D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2" w:type="dxa"/>
            <w:shd w:val="clear" w:color="auto" w:fill="BFBFBF" w:themeFill="background1" w:themeFillShade="BF"/>
          </w:tcPr>
          <w:p w14:paraId="407C2DB0" w14:textId="77777777" w:rsidR="00B15DBB" w:rsidRPr="00EB7461" w:rsidRDefault="00B15DBB" w:rsidP="00415F07">
            <w:pPr>
              <w:spacing w:before="60" w:after="60"/>
              <w:jc w:val="center"/>
              <w:rPr>
                <w:rFonts w:ascii="Arial" w:hAnsi="Arial" w:cs="Arial"/>
                <w:b w:val="0"/>
              </w:rPr>
            </w:pPr>
            <w:bookmarkStart w:id="1" w:name="_GoBack" w:colFirst="0" w:colLast="1"/>
            <w:r w:rsidRPr="004F1844">
              <w:rPr>
                <w:rFonts w:ascii="Arial" w:hAnsi="Arial" w:cs="Arial"/>
                <w:color w:val="auto"/>
              </w:rPr>
              <w:t>ENA ROLES AND RESPONSIBILITIES REFERENCE GUIDE</w:t>
            </w:r>
          </w:p>
        </w:tc>
      </w:tr>
      <w:bookmarkEnd w:id="1"/>
      <w:tr w:rsidR="00B15DBB" w:rsidRPr="00EB7461" w14:paraId="3DC0CEAA"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2C289303" w14:textId="77777777" w:rsidR="00B15DBB" w:rsidRPr="004F1844" w:rsidRDefault="00B15DBB" w:rsidP="00415F07">
            <w:pPr>
              <w:spacing w:before="120"/>
              <w:jc w:val="both"/>
              <w:rPr>
                <w:rFonts w:ascii="Arial" w:hAnsi="Arial" w:cs="Arial"/>
                <w:color w:val="auto"/>
              </w:rPr>
            </w:pPr>
            <w:r w:rsidRPr="004F1844">
              <w:rPr>
                <w:rFonts w:ascii="Arial" w:hAnsi="Arial" w:cs="Arial"/>
                <w:color w:val="auto"/>
              </w:rPr>
              <w:t>The ENA is a process of analysing the social, emotional, and educational needs and strengths of students in Out of Home Care (</w:t>
            </w:r>
            <w:proofErr w:type="spellStart"/>
            <w:r w:rsidRPr="004F1844">
              <w:rPr>
                <w:rFonts w:ascii="Arial" w:hAnsi="Arial" w:cs="Arial"/>
                <w:color w:val="auto"/>
              </w:rPr>
              <w:t>OoHC</w:t>
            </w:r>
            <w:proofErr w:type="spellEnd"/>
            <w:r w:rsidRPr="004F1844">
              <w:rPr>
                <w:rFonts w:ascii="Arial" w:hAnsi="Arial" w:cs="Arial"/>
                <w:color w:val="auto"/>
              </w:rPr>
              <w:t xml:space="preserve">). This process occurs over time and in consultation and collaboration with the student and carers, school staff, Department of Health and Human Services (DHHS) or contracted Community Service Organisation (CSO), Student Support Services (SSS) (Department of Education and Training), Student Services (Catholic Education Commission of Victoria) or independent school equivalent. </w:t>
            </w:r>
          </w:p>
          <w:p w14:paraId="2B9C9476" w14:textId="77777777" w:rsidR="00B15DBB" w:rsidRPr="004F1844" w:rsidRDefault="00B15DBB" w:rsidP="00415F07">
            <w:pPr>
              <w:jc w:val="both"/>
              <w:rPr>
                <w:rFonts w:ascii="Arial" w:hAnsi="Arial" w:cs="Arial"/>
                <w:b/>
                <w:color w:val="auto"/>
              </w:rPr>
            </w:pPr>
            <w:r w:rsidRPr="004F1844">
              <w:rPr>
                <w:rFonts w:ascii="Arial" w:hAnsi="Arial" w:cs="Arial"/>
                <w:color w:val="auto"/>
              </w:rPr>
              <w:t xml:space="preserve">The assessment processes employed will vary depending on the individual characteristics and contextual factors of each student. </w:t>
            </w:r>
          </w:p>
          <w:p w14:paraId="30F83973" w14:textId="77777777" w:rsidR="00B15DBB" w:rsidRPr="00711911" w:rsidRDefault="00B15DBB" w:rsidP="00415F07">
            <w:pPr>
              <w:jc w:val="both"/>
              <w:rPr>
                <w:rFonts w:ascii="Arial" w:hAnsi="Arial" w:cs="Arial"/>
                <w:color w:val="auto"/>
              </w:rPr>
            </w:pPr>
            <w:r w:rsidRPr="004F1844">
              <w:rPr>
                <w:rFonts w:ascii="Arial" w:hAnsi="Arial" w:cs="Arial"/>
                <w:color w:val="auto"/>
              </w:rPr>
              <w:t xml:space="preserve">The needs of students in </w:t>
            </w:r>
            <w:proofErr w:type="spellStart"/>
            <w:r w:rsidRPr="004F1844">
              <w:rPr>
                <w:rFonts w:ascii="Arial" w:hAnsi="Arial" w:cs="Arial"/>
                <w:color w:val="auto"/>
              </w:rPr>
              <w:t>OoHC</w:t>
            </w:r>
            <w:proofErr w:type="spellEnd"/>
            <w:r w:rsidRPr="004F1844">
              <w:rPr>
                <w:rFonts w:ascii="Arial" w:hAnsi="Arial" w:cs="Arial"/>
                <w:color w:val="auto"/>
              </w:rPr>
              <w:t xml:space="preserve"> may change significantly over time depending on their specific circumstances, therefore regular Student Support Group (SSG) meetings and on-going monitoring of needs and evaluation of interventions is required, including review of the student’s Individual Education Plan (IEP)/Personalised Learning Plan (PLP). The SSG also determines the need for further assessment/intervention as appropriate.</w:t>
            </w:r>
          </w:p>
        </w:tc>
      </w:tr>
      <w:tr w:rsidR="00B15DBB" w:rsidRPr="00EB7461" w14:paraId="2C869F07"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28C51A17" w14:textId="77777777" w:rsidR="00B15DBB" w:rsidRPr="00711911" w:rsidRDefault="00B15DBB" w:rsidP="00415F07">
            <w:pPr>
              <w:rPr>
                <w:rFonts w:ascii="Arial" w:hAnsi="Arial" w:cs="Arial"/>
                <w:b/>
                <w:color w:val="auto"/>
              </w:rPr>
            </w:pPr>
            <w:r w:rsidRPr="004F1844">
              <w:rPr>
                <w:rFonts w:ascii="Arial" w:hAnsi="Arial" w:cs="Arial"/>
                <w:b/>
                <w:color w:val="auto"/>
              </w:rPr>
              <w:t>Principal or delegate</w:t>
            </w:r>
          </w:p>
        </w:tc>
      </w:tr>
      <w:tr w:rsidR="00B15DBB" w:rsidRPr="00EB7461" w14:paraId="373BF53D"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438F8BA3"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rPr>
              <w:t>Liaise</w:t>
            </w:r>
            <w:r w:rsidR="00444E94" w:rsidRPr="004F1844">
              <w:rPr>
                <w:rFonts w:ascii="Arial" w:hAnsi="Arial" w:cs="Arial"/>
                <w:color w:val="auto"/>
              </w:rPr>
              <w:t>s</w:t>
            </w:r>
            <w:r w:rsidRPr="004F1844">
              <w:rPr>
                <w:rFonts w:ascii="Arial" w:hAnsi="Arial" w:cs="Arial"/>
                <w:color w:val="auto"/>
              </w:rPr>
              <w:t xml:space="preserve"> with the student’s previous school or early childhood setting to ensure the transfer of relevant information including the IEP/PLP or Transition Learning and Development Statement (for children entering foundation at a Victorian government school).</w:t>
            </w:r>
          </w:p>
          <w:p w14:paraId="74ECB99D"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rPr>
              <w:t>Discuss</w:t>
            </w:r>
            <w:r w:rsidR="00444E94" w:rsidRPr="004F1844">
              <w:rPr>
                <w:rFonts w:ascii="Arial" w:hAnsi="Arial" w:cs="Arial"/>
                <w:color w:val="auto"/>
              </w:rPr>
              <w:t>es</w:t>
            </w:r>
            <w:r w:rsidRPr="004F1844">
              <w:rPr>
                <w:rFonts w:ascii="Arial" w:hAnsi="Arial" w:cs="Arial"/>
                <w:color w:val="auto"/>
              </w:rPr>
              <w:t xml:space="preserve"> the student with the SSS Key Contact/Student Services or independent school equivalent, and facilitate a referral (e.g. submit the referral on the Student Online Case System (SOCS) for SSS). </w:t>
            </w:r>
          </w:p>
          <w:p w14:paraId="3899AE3A"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rPr>
              <w:t>Convene</w:t>
            </w:r>
            <w:r w:rsidR="00444E94" w:rsidRPr="004F1844">
              <w:rPr>
                <w:rFonts w:ascii="Arial" w:hAnsi="Arial" w:cs="Arial"/>
                <w:color w:val="auto"/>
              </w:rPr>
              <w:t>s</w:t>
            </w:r>
            <w:r w:rsidRPr="004F1844">
              <w:rPr>
                <w:rFonts w:ascii="Arial" w:hAnsi="Arial" w:cs="Arial"/>
                <w:color w:val="auto"/>
              </w:rPr>
              <w:t xml:space="preserve"> an SSG meeting within the first week of the student’s enrolment and/or entry into </w:t>
            </w:r>
            <w:proofErr w:type="spellStart"/>
            <w:r w:rsidRPr="004F1844">
              <w:rPr>
                <w:rFonts w:ascii="Arial" w:hAnsi="Arial" w:cs="Arial"/>
                <w:color w:val="auto"/>
              </w:rPr>
              <w:t>OoHC</w:t>
            </w:r>
            <w:proofErr w:type="spellEnd"/>
            <w:r w:rsidRPr="004F1844">
              <w:rPr>
                <w:rFonts w:ascii="Arial" w:hAnsi="Arial" w:cs="Arial"/>
                <w:color w:val="auto"/>
              </w:rPr>
              <w:t xml:space="preserve">, including the carer, DHHS/CSO and SSS or equivalent. The initial </w:t>
            </w:r>
            <w:r w:rsidRPr="004F1844">
              <w:rPr>
                <w:rFonts w:ascii="Arial" w:hAnsi="Arial" w:cs="Arial"/>
                <w:color w:val="auto"/>
                <w:lang w:val="en-US"/>
              </w:rPr>
              <w:t xml:space="preserve">SSG meeting reviews current information and determines the need for further information and/or intervention, and develops an initial IEP. </w:t>
            </w:r>
          </w:p>
          <w:p w14:paraId="7ABDBA03"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lang w:val="en-US"/>
              </w:rPr>
              <w:t xml:space="preserve">Chairs SSG meetings, records minutes and disseminates to SSG members.  </w:t>
            </w:r>
          </w:p>
          <w:p w14:paraId="5B960837"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rPr>
              <w:t>Oversees the process of information gathering and ensures school-based assessment is completed.</w:t>
            </w:r>
          </w:p>
          <w:p w14:paraId="25C5FB07" w14:textId="77777777" w:rsidR="00B15DBB" w:rsidRPr="004F1844" w:rsidRDefault="00B15DBB" w:rsidP="00415F07">
            <w:pPr>
              <w:pStyle w:val="ListParagraph"/>
              <w:numPr>
                <w:ilvl w:val="0"/>
                <w:numId w:val="21"/>
              </w:numPr>
              <w:spacing w:before="120" w:after="120" w:line="240" w:lineRule="auto"/>
              <w:jc w:val="both"/>
              <w:rPr>
                <w:rFonts w:ascii="Arial" w:hAnsi="Arial" w:cs="Arial"/>
                <w:color w:val="auto"/>
              </w:rPr>
            </w:pPr>
            <w:r w:rsidRPr="004F1844">
              <w:rPr>
                <w:rFonts w:ascii="Arial" w:hAnsi="Arial" w:cs="Arial"/>
                <w:color w:val="auto"/>
              </w:rPr>
              <w:t xml:space="preserve">Ensures that any further action is undertaken in a timely manner.  </w:t>
            </w:r>
          </w:p>
        </w:tc>
      </w:tr>
      <w:tr w:rsidR="00B15DBB" w:rsidRPr="00EB7461" w14:paraId="21E93DBA"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123BF9C2" w14:textId="77777777" w:rsidR="00B15DBB" w:rsidRPr="004F1844" w:rsidRDefault="00B15DBB" w:rsidP="00415F07">
            <w:pPr>
              <w:rPr>
                <w:rFonts w:ascii="Arial" w:hAnsi="Arial" w:cs="Arial"/>
                <w:b/>
                <w:color w:val="auto"/>
              </w:rPr>
            </w:pPr>
            <w:r w:rsidRPr="004F1844">
              <w:rPr>
                <w:rFonts w:ascii="Arial" w:hAnsi="Arial" w:cs="Arial"/>
                <w:b/>
                <w:color w:val="auto"/>
              </w:rPr>
              <w:t>The Designated Teacher</w:t>
            </w:r>
          </w:p>
        </w:tc>
      </w:tr>
      <w:tr w:rsidR="00B15DBB" w:rsidRPr="00EB7461" w14:paraId="5643CFCA"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0BF1CF88" w14:textId="77777777" w:rsidR="00B15DBB" w:rsidRPr="004F1844" w:rsidRDefault="00B15DBB" w:rsidP="00415F07">
            <w:pPr>
              <w:pStyle w:val="ListParagraph"/>
              <w:numPr>
                <w:ilvl w:val="0"/>
                <w:numId w:val="36"/>
              </w:numPr>
              <w:spacing w:after="0" w:line="240" w:lineRule="auto"/>
              <w:ind w:left="319" w:hanging="319"/>
              <w:jc w:val="both"/>
              <w:rPr>
                <w:rFonts w:ascii="Arial" w:hAnsi="Arial" w:cs="Arial"/>
                <w:color w:val="auto"/>
              </w:rPr>
            </w:pPr>
            <w:r w:rsidRPr="004F1844">
              <w:rPr>
                <w:rFonts w:ascii="Arial" w:hAnsi="Arial" w:cs="Arial"/>
                <w:color w:val="auto"/>
              </w:rPr>
              <w:t>Promotes implementation of all the elements of the Partnering Agreement.</w:t>
            </w:r>
          </w:p>
          <w:p w14:paraId="56B34868" w14:textId="77777777" w:rsidR="00B15DBB" w:rsidRPr="004F1844" w:rsidRDefault="00B15DBB" w:rsidP="00415F07">
            <w:pPr>
              <w:pStyle w:val="ListParagraph"/>
              <w:numPr>
                <w:ilvl w:val="0"/>
                <w:numId w:val="36"/>
              </w:numPr>
              <w:spacing w:after="0" w:line="240" w:lineRule="auto"/>
              <w:ind w:left="319" w:hanging="319"/>
              <w:jc w:val="both"/>
              <w:rPr>
                <w:rFonts w:ascii="Arial" w:hAnsi="Arial" w:cs="Arial"/>
                <w:color w:val="auto"/>
              </w:rPr>
            </w:pPr>
            <w:r w:rsidRPr="004F1844">
              <w:rPr>
                <w:rFonts w:ascii="Arial" w:hAnsi="Arial" w:cs="Arial"/>
                <w:color w:val="auto"/>
              </w:rPr>
              <w:t>Supports the transfer of information between schools and relevant agencies and liaises with LOOKOUT staff as necessary.</w:t>
            </w:r>
          </w:p>
          <w:p w14:paraId="36ED99DE" w14:textId="77777777" w:rsidR="00B15DBB" w:rsidRPr="004F1844" w:rsidRDefault="00B15DBB" w:rsidP="00415F07">
            <w:pPr>
              <w:pStyle w:val="ListParagraph"/>
              <w:numPr>
                <w:ilvl w:val="0"/>
                <w:numId w:val="36"/>
              </w:numPr>
              <w:spacing w:after="0" w:line="240" w:lineRule="auto"/>
              <w:ind w:left="319" w:hanging="319"/>
              <w:jc w:val="both"/>
              <w:rPr>
                <w:rFonts w:ascii="Arial" w:hAnsi="Arial" w:cs="Arial"/>
                <w:color w:val="auto"/>
              </w:rPr>
            </w:pPr>
            <w:r w:rsidRPr="004F1844">
              <w:rPr>
                <w:rFonts w:ascii="Arial" w:hAnsi="Arial" w:cs="Arial"/>
                <w:color w:val="auto"/>
              </w:rPr>
              <w:t>Enables student voice in relation to setting targets and planning interventions.</w:t>
            </w:r>
          </w:p>
          <w:p w14:paraId="5434BC8E" w14:textId="77777777" w:rsidR="00B15DBB" w:rsidRPr="004F1844" w:rsidRDefault="00B15DBB" w:rsidP="00415F07">
            <w:pPr>
              <w:pStyle w:val="ListParagraph"/>
              <w:numPr>
                <w:ilvl w:val="0"/>
                <w:numId w:val="36"/>
              </w:numPr>
              <w:spacing w:after="0" w:line="240" w:lineRule="auto"/>
              <w:ind w:left="319" w:hanging="319"/>
              <w:jc w:val="both"/>
              <w:rPr>
                <w:rFonts w:ascii="Arial" w:hAnsi="Arial" w:cs="Arial"/>
                <w:b/>
                <w:color w:val="auto"/>
              </w:rPr>
            </w:pPr>
            <w:r w:rsidRPr="004F1844">
              <w:rPr>
                <w:rFonts w:ascii="Arial" w:hAnsi="Arial" w:cs="Arial"/>
                <w:color w:val="auto"/>
              </w:rPr>
              <w:t xml:space="preserve">Ensures that an IEP is developed within the first week of enrolment/entering </w:t>
            </w:r>
            <w:proofErr w:type="spellStart"/>
            <w:r w:rsidRPr="004F1844">
              <w:rPr>
                <w:rFonts w:ascii="Arial" w:hAnsi="Arial" w:cs="Arial"/>
                <w:color w:val="auto"/>
              </w:rPr>
              <w:t>OoHC</w:t>
            </w:r>
            <w:proofErr w:type="spellEnd"/>
            <w:r w:rsidRPr="004F1844">
              <w:rPr>
                <w:rFonts w:ascii="Arial" w:hAnsi="Arial" w:cs="Arial"/>
                <w:color w:val="auto"/>
              </w:rPr>
              <w:t>, is reviewed during termly SSGs, and updated based on the outcomes of the ENA process.</w:t>
            </w:r>
          </w:p>
          <w:p w14:paraId="06326470" w14:textId="77777777" w:rsidR="00B15DBB" w:rsidRPr="004F1844" w:rsidRDefault="00B15DBB" w:rsidP="00415F07">
            <w:pPr>
              <w:pStyle w:val="ListParagraph"/>
              <w:numPr>
                <w:ilvl w:val="0"/>
                <w:numId w:val="36"/>
              </w:numPr>
              <w:spacing w:after="0" w:line="240" w:lineRule="auto"/>
              <w:ind w:left="319" w:hanging="319"/>
              <w:jc w:val="both"/>
              <w:rPr>
                <w:rFonts w:ascii="Arial" w:hAnsi="Arial" w:cs="Arial"/>
                <w:b/>
                <w:color w:val="auto"/>
              </w:rPr>
            </w:pPr>
            <w:r w:rsidRPr="004F1844">
              <w:rPr>
                <w:rFonts w:ascii="Arial" w:hAnsi="Arial" w:cs="Arial"/>
                <w:color w:val="auto"/>
              </w:rPr>
              <w:lastRenderedPageBreak/>
              <w:t xml:space="preserve">Supports implementation of the IEP, monitors the student’s progress over time and initiates reviews as appropriate. </w:t>
            </w:r>
          </w:p>
        </w:tc>
      </w:tr>
      <w:tr w:rsidR="00B15DBB" w:rsidRPr="00EB7461" w14:paraId="1BB7EE66"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02874D95" w14:textId="77777777" w:rsidR="00B15DBB" w:rsidRPr="004F1844" w:rsidRDefault="00B15DBB" w:rsidP="00415F07">
            <w:pPr>
              <w:rPr>
                <w:rFonts w:ascii="Arial" w:hAnsi="Arial" w:cs="Arial"/>
                <w:b/>
                <w:color w:val="auto"/>
              </w:rPr>
            </w:pPr>
            <w:r w:rsidRPr="004F1844">
              <w:rPr>
                <w:rFonts w:ascii="Arial" w:hAnsi="Arial" w:cs="Arial"/>
                <w:b/>
                <w:color w:val="auto"/>
              </w:rPr>
              <w:lastRenderedPageBreak/>
              <w:t>DHHS or CSO case manager</w:t>
            </w:r>
          </w:p>
        </w:tc>
      </w:tr>
      <w:tr w:rsidR="00B15DBB" w:rsidRPr="00EB7461" w14:paraId="574C3855"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7A418B68" w14:textId="77777777" w:rsidR="00B15DBB" w:rsidRPr="004F1844" w:rsidRDefault="00B15DBB" w:rsidP="00415F07">
            <w:pPr>
              <w:pStyle w:val="ListParagraph"/>
              <w:numPr>
                <w:ilvl w:val="0"/>
                <w:numId w:val="22"/>
              </w:numPr>
              <w:spacing w:before="120" w:after="120" w:line="240" w:lineRule="auto"/>
              <w:jc w:val="both"/>
              <w:rPr>
                <w:rFonts w:ascii="Arial" w:hAnsi="Arial" w:cs="Arial"/>
                <w:color w:val="auto"/>
              </w:rPr>
            </w:pPr>
            <w:r w:rsidRPr="004F1844">
              <w:rPr>
                <w:rFonts w:ascii="Arial" w:hAnsi="Arial" w:cs="Arial"/>
                <w:color w:val="auto"/>
              </w:rPr>
              <w:t xml:space="preserve">Advises the Principal in writing that the student resides in </w:t>
            </w:r>
            <w:proofErr w:type="spellStart"/>
            <w:r w:rsidRPr="004F1844">
              <w:rPr>
                <w:rFonts w:ascii="Arial" w:hAnsi="Arial" w:cs="Arial"/>
                <w:color w:val="auto"/>
              </w:rPr>
              <w:t>OoHC</w:t>
            </w:r>
            <w:proofErr w:type="spellEnd"/>
            <w:r w:rsidRPr="004F1844">
              <w:rPr>
                <w:rFonts w:ascii="Arial" w:hAnsi="Arial" w:cs="Arial"/>
                <w:color w:val="auto"/>
              </w:rPr>
              <w:t>.</w:t>
            </w:r>
          </w:p>
          <w:p w14:paraId="3F8E0925" w14:textId="77777777" w:rsidR="00B15DBB" w:rsidRPr="004F1844" w:rsidRDefault="00B15DBB" w:rsidP="00415F07">
            <w:pPr>
              <w:pStyle w:val="ListParagraph"/>
              <w:numPr>
                <w:ilvl w:val="0"/>
                <w:numId w:val="22"/>
              </w:numPr>
              <w:spacing w:before="120" w:after="120" w:line="240" w:lineRule="auto"/>
              <w:jc w:val="both"/>
              <w:rPr>
                <w:rFonts w:ascii="Arial" w:hAnsi="Arial" w:cs="Arial"/>
                <w:color w:val="auto"/>
              </w:rPr>
            </w:pPr>
            <w:r w:rsidRPr="004F1844">
              <w:rPr>
                <w:rFonts w:ascii="Arial" w:hAnsi="Arial" w:cs="Arial"/>
                <w:color w:val="auto"/>
              </w:rPr>
              <w:t>Ensures relevant and up-to-date information regarding the student’s circumstances and care arrangements is provided as soon as possible and on an on-going basis as the situation changes.</w:t>
            </w:r>
          </w:p>
          <w:p w14:paraId="4701ADBA" w14:textId="77777777" w:rsidR="00B15DBB" w:rsidRPr="004F1844" w:rsidRDefault="00B15DBB" w:rsidP="00415F07">
            <w:pPr>
              <w:pStyle w:val="ListParagraph"/>
              <w:numPr>
                <w:ilvl w:val="0"/>
                <w:numId w:val="22"/>
              </w:numPr>
              <w:spacing w:before="120" w:after="120" w:line="240" w:lineRule="auto"/>
              <w:jc w:val="both"/>
              <w:rPr>
                <w:rFonts w:ascii="Arial" w:hAnsi="Arial" w:cs="Arial"/>
                <w:color w:val="auto"/>
                <w:sz w:val="24"/>
                <w:szCs w:val="24"/>
              </w:rPr>
            </w:pPr>
            <w:r w:rsidRPr="004F1844">
              <w:rPr>
                <w:rFonts w:ascii="Arial" w:hAnsi="Arial" w:cs="Arial"/>
                <w:color w:val="auto"/>
              </w:rPr>
              <w:t>Provides a record of the schools or early childhood settings the student has previously attended</w:t>
            </w:r>
            <w:r w:rsidRPr="004F1844">
              <w:rPr>
                <w:rFonts w:ascii="Arial" w:hAnsi="Arial" w:cs="Arial"/>
                <w:color w:val="auto"/>
                <w:vertAlign w:val="superscript"/>
              </w:rPr>
              <w:t>.</w:t>
            </w:r>
          </w:p>
          <w:p w14:paraId="267297E2" w14:textId="77777777" w:rsidR="00B15DBB" w:rsidRPr="004F1844" w:rsidRDefault="00B15DBB" w:rsidP="00415F07">
            <w:pPr>
              <w:pStyle w:val="ListParagraph"/>
              <w:numPr>
                <w:ilvl w:val="0"/>
                <w:numId w:val="22"/>
              </w:numPr>
              <w:spacing w:before="120" w:after="120" w:line="240" w:lineRule="auto"/>
              <w:jc w:val="both"/>
              <w:rPr>
                <w:rFonts w:ascii="Arial" w:hAnsi="Arial" w:cs="Arial"/>
                <w:color w:val="auto"/>
              </w:rPr>
            </w:pPr>
            <w:r w:rsidRPr="004F1844">
              <w:rPr>
                <w:rFonts w:ascii="Arial" w:hAnsi="Arial" w:cs="Arial"/>
                <w:color w:val="auto"/>
              </w:rPr>
              <w:t>Provides cultural information and a Cultural Plan for Aboriginal or Torres Strait Islander students.</w:t>
            </w:r>
          </w:p>
          <w:p w14:paraId="15396E61" w14:textId="77777777" w:rsidR="00B15DBB" w:rsidRPr="004F1844" w:rsidRDefault="00B15DBB" w:rsidP="00415F07">
            <w:pPr>
              <w:pStyle w:val="ListParagraph"/>
              <w:numPr>
                <w:ilvl w:val="0"/>
                <w:numId w:val="22"/>
              </w:numPr>
              <w:spacing w:before="120" w:after="120" w:line="240" w:lineRule="auto"/>
              <w:jc w:val="both"/>
              <w:rPr>
                <w:rFonts w:ascii="Arial" w:hAnsi="Arial" w:cs="Arial"/>
                <w:color w:val="auto"/>
              </w:rPr>
            </w:pPr>
            <w:r w:rsidRPr="004F1844">
              <w:rPr>
                <w:rFonts w:ascii="Arial" w:hAnsi="Arial" w:cs="Arial"/>
                <w:color w:val="auto"/>
              </w:rPr>
              <w:t>Shares information regarding services provided to the student by external agencies and assessments that have been undertaken (as appropriate).</w:t>
            </w:r>
          </w:p>
        </w:tc>
      </w:tr>
      <w:tr w:rsidR="00B15DBB" w:rsidRPr="00EB7461" w14:paraId="5A437F5B"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2219FE74" w14:textId="77777777" w:rsidR="00B15DBB" w:rsidRPr="004F1844" w:rsidRDefault="00B15DBB" w:rsidP="00415F07">
            <w:pPr>
              <w:rPr>
                <w:rFonts w:ascii="Arial" w:hAnsi="Arial" w:cs="Arial"/>
                <w:b/>
                <w:color w:val="auto"/>
              </w:rPr>
            </w:pPr>
            <w:r w:rsidRPr="004F1844">
              <w:rPr>
                <w:rFonts w:ascii="Arial" w:hAnsi="Arial" w:cs="Arial"/>
                <w:b/>
                <w:color w:val="auto"/>
              </w:rPr>
              <w:t>The teacher</w:t>
            </w:r>
          </w:p>
        </w:tc>
      </w:tr>
      <w:tr w:rsidR="00B15DBB" w:rsidRPr="00EB7461" w14:paraId="0D97645B"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6A79B061" w14:textId="77777777" w:rsidR="00B15DBB" w:rsidRPr="004F1844" w:rsidRDefault="00B15DBB" w:rsidP="00415F07">
            <w:pPr>
              <w:pStyle w:val="ListParagraph"/>
              <w:numPr>
                <w:ilvl w:val="0"/>
                <w:numId w:val="23"/>
              </w:numPr>
              <w:spacing w:before="120" w:after="120" w:line="240" w:lineRule="auto"/>
              <w:jc w:val="both"/>
              <w:rPr>
                <w:rFonts w:ascii="Arial" w:hAnsi="Arial" w:cs="Arial"/>
                <w:color w:val="auto"/>
              </w:rPr>
            </w:pPr>
            <w:r w:rsidRPr="004F1844">
              <w:rPr>
                <w:rFonts w:ascii="Arial" w:hAnsi="Arial" w:cs="Arial"/>
                <w:color w:val="auto"/>
              </w:rPr>
              <w:t>Gathers and shares information/data regarding the student’s academic attainment.</w:t>
            </w:r>
          </w:p>
          <w:p w14:paraId="59706FC6" w14:textId="77777777" w:rsidR="00B15DBB" w:rsidRPr="004F1844" w:rsidRDefault="00B15DBB" w:rsidP="00415F07">
            <w:pPr>
              <w:pStyle w:val="ListParagraph"/>
              <w:numPr>
                <w:ilvl w:val="0"/>
                <w:numId w:val="23"/>
              </w:numPr>
              <w:spacing w:before="120" w:after="120" w:line="240" w:lineRule="auto"/>
              <w:jc w:val="both"/>
              <w:rPr>
                <w:rFonts w:ascii="Arial" w:hAnsi="Arial" w:cs="Arial"/>
                <w:color w:val="auto"/>
              </w:rPr>
            </w:pPr>
            <w:r w:rsidRPr="004F1844">
              <w:rPr>
                <w:rFonts w:ascii="Arial" w:hAnsi="Arial" w:cs="Arial"/>
                <w:color w:val="auto"/>
              </w:rPr>
              <w:t>Gathers and shares information regarding the student’s social and emotional development and wellbeing.</w:t>
            </w:r>
          </w:p>
          <w:p w14:paraId="497CE668" w14:textId="77777777" w:rsidR="00B15DBB" w:rsidRPr="004F1844" w:rsidRDefault="00B15DBB" w:rsidP="00415F07">
            <w:pPr>
              <w:pStyle w:val="ListParagraph"/>
              <w:numPr>
                <w:ilvl w:val="0"/>
                <w:numId w:val="23"/>
              </w:numPr>
              <w:spacing w:before="120" w:after="120" w:line="240" w:lineRule="auto"/>
              <w:jc w:val="both"/>
              <w:rPr>
                <w:rFonts w:ascii="Arial" w:hAnsi="Arial" w:cs="Arial"/>
                <w:color w:val="auto"/>
              </w:rPr>
            </w:pPr>
            <w:r w:rsidRPr="004F1844">
              <w:rPr>
                <w:rFonts w:ascii="Arial" w:hAnsi="Arial" w:cs="Arial"/>
                <w:color w:val="auto"/>
              </w:rPr>
              <w:t>Records and shares information regarding any behaviours of concern including type, frequency and intensity.</w:t>
            </w:r>
          </w:p>
          <w:p w14:paraId="579FF7B3" w14:textId="77777777" w:rsidR="00B15DBB" w:rsidRPr="004F1844" w:rsidRDefault="00B15DBB" w:rsidP="00415F07">
            <w:pPr>
              <w:pStyle w:val="ListParagraph"/>
              <w:numPr>
                <w:ilvl w:val="0"/>
                <w:numId w:val="23"/>
              </w:numPr>
              <w:spacing w:before="120" w:after="120" w:line="240" w:lineRule="auto"/>
              <w:jc w:val="both"/>
              <w:rPr>
                <w:rFonts w:ascii="Arial" w:hAnsi="Arial" w:cs="Arial"/>
                <w:color w:val="auto"/>
              </w:rPr>
            </w:pPr>
            <w:r w:rsidRPr="004F1844">
              <w:rPr>
                <w:rFonts w:ascii="Arial" w:hAnsi="Arial" w:cs="Arial"/>
                <w:color w:val="auto"/>
              </w:rPr>
              <w:t xml:space="preserve">Provides information regarding the interventions implemented, including their effectiveness. </w:t>
            </w:r>
          </w:p>
          <w:p w14:paraId="2EEE78A7" w14:textId="77777777" w:rsidR="00B15DBB" w:rsidRPr="004F1844" w:rsidRDefault="00B15DBB" w:rsidP="00415F07">
            <w:pPr>
              <w:pStyle w:val="ListParagraph"/>
              <w:numPr>
                <w:ilvl w:val="0"/>
                <w:numId w:val="23"/>
              </w:numPr>
              <w:spacing w:before="120" w:after="120" w:line="240" w:lineRule="auto"/>
              <w:jc w:val="both"/>
              <w:rPr>
                <w:rFonts w:ascii="Arial" w:hAnsi="Arial" w:cs="Arial"/>
                <w:color w:val="auto"/>
              </w:rPr>
            </w:pPr>
            <w:r w:rsidRPr="004F1844">
              <w:rPr>
                <w:rFonts w:ascii="Arial" w:hAnsi="Arial" w:cs="Arial"/>
                <w:color w:val="auto"/>
              </w:rPr>
              <w:t>Contributes to forming and reviewing the student’s IEP and, where necessary, Behaviour Support Plan (BSP).</w:t>
            </w:r>
          </w:p>
        </w:tc>
      </w:tr>
      <w:tr w:rsidR="00B15DBB" w:rsidRPr="00EB7461" w14:paraId="68BAE05B"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03F1A7B1" w14:textId="77777777" w:rsidR="00B15DBB" w:rsidRPr="004F1844" w:rsidRDefault="00B15DBB" w:rsidP="00415F07">
            <w:pPr>
              <w:rPr>
                <w:rFonts w:ascii="Arial" w:hAnsi="Arial" w:cs="Arial"/>
                <w:b/>
                <w:color w:val="auto"/>
              </w:rPr>
            </w:pPr>
            <w:r w:rsidRPr="004F1844">
              <w:rPr>
                <w:rFonts w:ascii="Arial" w:hAnsi="Arial" w:cs="Arial"/>
                <w:b/>
                <w:color w:val="auto"/>
              </w:rPr>
              <w:t>SSS or equivalent</w:t>
            </w:r>
          </w:p>
        </w:tc>
      </w:tr>
      <w:tr w:rsidR="00B15DBB" w:rsidRPr="00EB7461" w14:paraId="6FA90165"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643DDF98"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lang w:val="en-US"/>
              </w:rPr>
              <w:t xml:space="preserve">Participates in SSG meetings and maintains regular communication with the SSG as required (i.e. in person preferred, however phone and video conference may also be used). </w:t>
            </w:r>
          </w:p>
          <w:p w14:paraId="34B7B092"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lang w:val="en-US"/>
              </w:rPr>
              <w:t xml:space="preserve">Collates information provided by key stakeholders following the initial SSG meeting. </w:t>
            </w:r>
          </w:p>
          <w:p w14:paraId="05FDAF87"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lang w:val="en-US"/>
              </w:rPr>
              <w:t xml:space="preserve">Provides advice during the ENA SSG regarding the sufficiency of existing information to inform a comprehensive IEP/PLP, or the need for further assessment. </w:t>
            </w:r>
          </w:p>
          <w:p w14:paraId="70438364"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lang w:val="en-US"/>
              </w:rPr>
              <w:t xml:space="preserve">Provides advice regarding potential eligibility for educational programs such as the Program for Students with Disabilities (DET) or Students with Disabilities (CECV) and other appropriate referral pathways.   </w:t>
            </w:r>
          </w:p>
          <w:p w14:paraId="691479C1"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lang w:val="en-US"/>
              </w:rPr>
              <w:t xml:space="preserve">Completes the ENA Report based on information provided and current assessment, including recommendations to inform a comprehensive IEP/PLP.   </w:t>
            </w:r>
          </w:p>
          <w:p w14:paraId="518FC6A4"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rPr>
              <w:t xml:space="preserve">Locates and retrieves any existing SSS Confident Student File(s). </w:t>
            </w:r>
          </w:p>
          <w:p w14:paraId="13C46024" w14:textId="77777777" w:rsidR="00B15DBB" w:rsidRPr="004F1844" w:rsidRDefault="00B15DBB" w:rsidP="00415F07">
            <w:pPr>
              <w:pStyle w:val="ListParagraph"/>
              <w:numPr>
                <w:ilvl w:val="0"/>
                <w:numId w:val="24"/>
              </w:numPr>
              <w:spacing w:before="120" w:after="120" w:line="240" w:lineRule="auto"/>
              <w:jc w:val="both"/>
              <w:rPr>
                <w:rFonts w:ascii="Arial" w:hAnsi="Arial" w:cs="Arial"/>
                <w:color w:val="auto"/>
              </w:rPr>
            </w:pPr>
            <w:r w:rsidRPr="004F1844">
              <w:rPr>
                <w:rFonts w:ascii="Arial" w:hAnsi="Arial" w:cs="Arial"/>
                <w:color w:val="auto"/>
              </w:rPr>
              <w:t xml:space="preserve">Collaborates with the current educational setting, DHHS/CSO case manager and SSS or equivalent to share information during intersystem student transfers, in accordance with the policies of procedures of the educational system and relevant legal framework. </w:t>
            </w:r>
          </w:p>
        </w:tc>
      </w:tr>
      <w:tr w:rsidR="00B15DBB" w:rsidRPr="00EB7461" w14:paraId="4D675977" w14:textId="77777777" w:rsidTr="00711911">
        <w:tc>
          <w:tcPr>
            <w:cnfStyle w:val="001000000000" w:firstRow="0" w:lastRow="0" w:firstColumn="1" w:lastColumn="0" w:oddVBand="0" w:evenVBand="0" w:oddHBand="0" w:evenHBand="0" w:firstRowFirstColumn="0" w:firstRowLastColumn="0" w:lastRowFirstColumn="0" w:lastRowLastColumn="0"/>
            <w:tcW w:w="14742" w:type="dxa"/>
            <w:shd w:val="clear" w:color="auto" w:fill="D9D9D9" w:themeFill="background1" w:themeFillShade="D9"/>
          </w:tcPr>
          <w:p w14:paraId="41A761FF" w14:textId="77777777" w:rsidR="00B15DBB" w:rsidRPr="004F1844" w:rsidRDefault="00B15DBB" w:rsidP="00415F07">
            <w:pPr>
              <w:rPr>
                <w:rFonts w:ascii="Arial" w:hAnsi="Arial" w:cs="Arial"/>
                <w:b/>
                <w:color w:val="auto"/>
              </w:rPr>
            </w:pPr>
            <w:r w:rsidRPr="004F1844">
              <w:rPr>
                <w:rFonts w:ascii="Arial" w:hAnsi="Arial" w:cs="Arial"/>
                <w:b/>
                <w:color w:val="auto"/>
              </w:rPr>
              <w:lastRenderedPageBreak/>
              <w:t>LOOKOUT Education Support Centres</w:t>
            </w:r>
          </w:p>
        </w:tc>
      </w:tr>
      <w:tr w:rsidR="00B15DBB" w:rsidRPr="00EB7461" w14:paraId="0F36D1E0" w14:textId="77777777" w:rsidTr="00711911">
        <w:tc>
          <w:tcPr>
            <w:cnfStyle w:val="001000000000" w:firstRow="0" w:lastRow="0" w:firstColumn="1" w:lastColumn="0" w:oddVBand="0" w:evenVBand="0" w:oddHBand="0" w:evenHBand="0" w:firstRowFirstColumn="0" w:firstRowLastColumn="0" w:lastRowFirstColumn="0" w:lastRowLastColumn="0"/>
            <w:tcW w:w="14742" w:type="dxa"/>
          </w:tcPr>
          <w:p w14:paraId="10DFFE4E" w14:textId="77777777" w:rsidR="00B15DBB" w:rsidRPr="004F1844" w:rsidRDefault="00B15DBB" w:rsidP="00415F07">
            <w:pPr>
              <w:pStyle w:val="ListParagraph"/>
              <w:numPr>
                <w:ilvl w:val="0"/>
                <w:numId w:val="25"/>
              </w:numPr>
              <w:spacing w:before="120" w:after="120" w:line="240" w:lineRule="auto"/>
              <w:jc w:val="both"/>
              <w:rPr>
                <w:rFonts w:ascii="Arial" w:hAnsi="Arial" w:cs="Arial"/>
                <w:color w:val="auto"/>
                <w:lang w:val="en-US"/>
              </w:rPr>
            </w:pPr>
            <w:r w:rsidRPr="004F1844">
              <w:rPr>
                <w:rFonts w:ascii="Arial" w:hAnsi="Arial" w:cs="Arial"/>
                <w:color w:val="auto"/>
              </w:rPr>
              <w:t>Assists with the transfer of student information to support timely and successful</w:t>
            </w:r>
            <w:r w:rsidRPr="004F1844">
              <w:rPr>
                <w:rFonts w:ascii="Arial" w:hAnsi="Arial" w:cs="Arial"/>
                <w:color w:val="auto"/>
                <w:lang w:val="en-US"/>
              </w:rPr>
              <w:t xml:space="preserve"> enrolment and transition.</w:t>
            </w:r>
          </w:p>
          <w:p w14:paraId="7C2BA22A" w14:textId="77777777" w:rsidR="00B15DBB" w:rsidRPr="004F1844" w:rsidRDefault="00B15DBB" w:rsidP="00415F07">
            <w:pPr>
              <w:pStyle w:val="ListParagraph"/>
              <w:numPr>
                <w:ilvl w:val="0"/>
                <w:numId w:val="25"/>
              </w:numPr>
              <w:spacing w:before="120" w:after="120" w:line="240" w:lineRule="auto"/>
              <w:jc w:val="both"/>
              <w:rPr>
                <w:rFonts w:ascii="Arial" w:hAnsi="Arial" w:cs="Arial"/>
                <w:color w:val="auto"/>
                <w:lang w:val="en-US"/>
              </w:rPr>
            </w:pPr>
            <w:r w:rsidRPr="004F1844">
              <w:rPr>
                <w:rFonts w:ascii="Arial" w:hAnsi="Arial" w:cs="Arial"/>
                <w:color w:val="auto"/>
                <w:lang w:val="en-US"/>
              </w:rPr>
              <w:t xml:space="preserve">Attends meetings where appropriate, such as SSG meetings and/or care team meetings, in order to assist in addressing barriers to enrolment, facilitate transition and engagement, and offer advice and support regarding trauma informed practices. </w:t>
            </w:r>
          </w:p>
          <w:p w14:paraId="30F92F6D" w14:textId="77777777" w:rsidR="00B15DBB" w:rsidRPr="004F1844" w:rsidRDefault="00B15DBB" w:rsidP="00415F07">
            <w:pPr>
              <w:pStyle w:val="ListParagraph"/>
              <w:numPr>
                <w:ilvl w:val="0"/>
                <w:numId w:val="25"/>
              </w:numPr>
              <w:spacing w:before="120" w:after="120" w:line="240" w:lineRule="auto"/>
              <w:jc w:val="both"/>
              <w:rPr>
                <w:rFonts w:ascii="Arial" w:hAnsi="Arial" w:cs="Arial"/>
                <w:color w:val="auto"/>
                <w:lang w:val="en-US"/>
              </w:rPr>
            </w:pPr>
            <w:r w:rsidRPr="004F1844">
              <w:rPr>
                <w:rFonts w:ascii="Arial" w:hAnsi="Arial" w:cs="Arial"/>
                <w:color w:val="auto"/>
                <w:lang w:val="en-US"/>
              </w:rPr>
              <w:t xml:space="preserve">Collaborates with area and regional team to provide resources, interventions and support to the school, and retrieve information regarding a student who has had several school placements.  </w:t>
            </w:r>
          </w:p>
          <w:p w14:paraId="629D4056" w14:textId="77777777" w:rsidR="00B15DBB" w:rsidRPr="004F1844" w:rsidRDefault="00B15DBB" w:rsidP="00415F07">
            <w:pPr>
              <w:pStyle w:val="ListParagraph"/>
              <w:numPr>
                <w:ilvl w:val="0"/>
                <w:numId w:val="25"/>
              </w:numPr>
              <w:spacing w:before="120" w:after="120" w:line="240" w:lineRule="auto"/>
              <w:jc w:val="both"/>
              <w:rPr>
                <w:rFonts w:ascii="Arial" w:hAnsi="Arial" w:cs="Arial"/>
                <w:color w:val="auto"/>
                <w:lang w:val="en-US"/>
              </w:rPr>
            </w:pPr>
            <w:r w:rsidRPr="004F1844">
              <w:rPr>
                <w:rFonts w:ascii="Arial" w:hAnsi="Arial" w:cs="Arial"/>
                <w:color w:val="auto"/>
                <w:lang w:val="en-US"/>
              </w:rPr>
              <w:t xml:space="preserve">Liaises with case managers to facilitate communication between the school and DHHS/CSOs and/or Aboriginal Community Controlled </w:t>
            </w:r>
            <w:proofErr w:type="spellStart"/>
            <w:r w:rsidRPr="004F1844">
              <w:rPr>
                <w:rFonts w:ascii="Arial" w:hAnsi="Arial" w:cs="Arial"/>
                <w:color w:val="auto"/>
                <w:lang w:val="en-US"/>
              </w:rPr>
              <w:t>Organisations</w:t>
            </w:r>
            <w:proofErr w:type="spellEnd"/>
            <w:r w:rsidRPr="004F1844">
              <w:rPr>
                <w:rFonts w:ascii="Arial" w:hAnsi="Arial" w:cs="Arial"/>
                <w:color w:val="auto"/>
                <w:lang w:val="en-US"/>
              </w:rPr>
              <w:t xml:space="preserve"> (ACCO) as needed.</w:t>
            </w:r>
          </w:p>
          <w:p w14:paraId="45BA17FB" w14:textId="77777777" w:rsidR="00B15DBB" w:rsidRPr="004F1844" w:rsidRDefault="00B15DBB" w:rsidP="00415F07">
            <w:pPr>
              <w:pStyle w:val="ListParagraph"/>
              <w:numPr>
                <w:ilvl w:val="0"/>
                <w:numId w:val="25"/>
              </w:numPr>
              <w:spacing w:before="120" w:after="120" w:line="240" w:lineRule="auto"/>
              <w:jc w:val="both"/>
              <w:rPr>
                <w:rFonts w:ascii="Arial" w:hAnsi="Arial" w:cs="Arial"/>
                <w:color w:val="auto"/>
              </w:rPr>
            </w:pPr>
            <w:r w:rsidRPr="004F1844">
              <w:rPr>
                <w:rFonts w:ascii="Arial" w:hAnsi="Arial" w:cs="Arial"/>
                <w:color w:val="auto"/>
                <w:lang w:val="en-US"/>
              </w:rPr>
              <w:t xml:space="preserve">Provides professional learning to build the capacity of school staff and other stakeholders to support and meet the educational, social and emotional needs of students in </w:t>
            </w:r>
            <w:proofErr w:type="spellStart"/>
            <w:r w:rsidRPr="004F1844">
              <w:rPr>
                <w:rFonts w:ascii="Arial" w:hAnsi="Arial" w:cs="Arial"/>
                <w:color w:val="auto"/>
                <w:lang w:val="en-US"/>
              </w:rPr>
              <w:t>OoHC</w:t>
            </w:r>
            <w:proofErr w:type="spellEnd"/>
            <w:r w:rsidRPr="004F1844">
              <w:rPr>
                <w:rFonts w:ascii="Arial" w:hAnsi="Arial" w:cs="Arial"/>
                <w:color w:val="auto"/>
                <w:lang w:val="en-US"/>
              </w:rPr>
              <w:t>.</w:t>
            </w:r>
          </w:p>
        </w:tc>
      </w:tr>
    </w:tbl>
    <w:p w14:paraId="2D7427E7" w14:textId="77777777" w:rsidR="00B211E6" w:rsidRPr="00271F77" w:rsidRDefault="00B211E6" w:rsidP="00B7213F">
      <w:pPr>
        <w:pStyle w:val="Heading1"/>
        <w:rPr>
          <w:rStyle w:val="FootnoteReference"/>
          <w:sz w:val="24"/>
          <w:szCs w:val="24"/>
        </w:rPr>
      </w:pPr>
      <w:bookmarkStart w:id="2" w:name="_APPENDIX_C:_ENA"/>
      <w:bookmarkEnd w:id="2"/>
    </w:p>
    <w:sectPr w:rsidR="00B211E6" w:rsidRPr="00271F77" w:rsidSect="00B7213F">
      <w:headerReference w:type="default" r:id="rId11"/>
      <w:footerReference w:type="default" r:id="rId12"/>
      <w:pgSz w:w="16840" w:h="11900" w:orient="landscape"/>
      <w:pgMar w:top="1134" w:right="110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4ED8" w14:textId="77777777" w:rsidR="00B62179" w:rsidRDefault="00B62179" w:rsidP="003967DD">
      <w:pPr>
        <w:spacing w:after="0"/>
      </w:pPr>
      <w:r>
        <w:separator/>
      </w:r>
    </w:p>
  </w:endnote>
  <w:endnote w:type="continuationSeparator" w:id="0">
    <w:p w14:paraId="2367C920" w14:textId="77777777" w:rsidR="00B62179" w:rsidRDefault="00B6217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4E2C" w14:textId="65CD727E" w:rsidR="004F1844" w:rsidRDefault="004F1844" w:rsidP="00415F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70D6C">
      <w:rPr>
        <w:rStyle w:val="PageNumber"/>
        <w:noProof/>
      </w:rPr>
      <w:t>3</w:t>
    </w:r>
    <w:r>
      <w:rPr>
        <w:rStyle w:val="PageNumber"/>
      </w:rPr>
      <w:fldChar w:fldCharType="end"/>
    </w:r>
  </w:p>
  <w:p w14:paraId="135C95A0" w14:textId="1D3E9D9C" w:rsidR="004F1844" w:rsidRPr="009440C6" w:rsidRDefault="009440C6" w:rsidP="00A31926">
    <w:pPr>
      <w:pStyle w:val="Footer"/>
      <w:ind w:firstLine="360"/>
    </w:pPr>
    <w:r>
      <w:rPr>
        <w:i/>
      </w:rPr>
      <w:t xml:space="preserve">ENA Guidelines </w:t>
    </w:r>
    <w:r>
      <w:t>(Appendix B)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2E9A" w14:textId="77777777" w:rsidR="00B62179" w:rsidRDefault="00B62179" w:rsidP="003967DD">
      <w:pPr>
        <w:spacing w:after="0"/>
      </w:pPr>
      <w:r>
        <w:separator/>
      </w:r>
    </w:p>
  </w:footnote>
  <w:footnote w:type="continuationSeparator" w:id="0">
    <w:p w14:paraId="60490263" w14:textId="77777777" w:rsidR="00B62179" w:rsidRDefault="00B6217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D811" w14:textId="77777777" w:rsidR="004F1844" w:rsidRDefault="004F1844"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590EDB47" wp14:editId="29FF08E3">
          <wp:simplePos x="0" y="0"/>
          <wp:positionH relativeFrom="page">
            <wp:align>left</wp:align>
          </wp:positionH>
          <wp:positionV relativeFrom="page">
            <wp:align>top</wp:align>
          </wp:positionV>
          <wp:extent cx="7560000" cy="10690453"/>
          <wp:effectExtent l="0" t="0" r="9525" b="3175"/>
          <wp:wrapNone/>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92B2F"/>
    <w:multiLevelType w:val="hybridMultilevel"/>
    <w:tmpl w:val="D0EE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F3F96"/>
    <w:multiLevelType w:val="hybridMultilevel"/>
    <w:tmpl w:val="30967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3A4D48"/>
    <w:multiLevelType w:val="hybridMultilevel"/>
    <w:tmpl w:val="0C54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776E0"/>
    <w:multiLevelType w:val="hybridMultilevel"/>
    <w:tmpl w:val="797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7BF"/>
    <w:multiLevelType w:val="hybridMultilevel"/>
    <w:tmpl w:val="46E0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C3273"/>
    <w:multiLevelType w:val="hybridMultilevel"/>
    <w:tmpl w:val="5D0E63E6"/>
    <w:lvl w:ilvl="0" w:tplc="90E04564">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8280B"/>
    <w:multiLevelType w:val="hybridMultilevel"/>
    <w:tmpl w:val="AAF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54F7B"/>
    <w:multiLevelType w:val="hybridMultilevel"/>
    <w:tmpl w:val="BFEE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15662"/>
    <w:multiLevelType w:val="hybridMultilevel"/>
    <w:tmpl w:val="4D8A2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067A0"/>
    <w:multiLevelType w:val="hybridMultilevel"/>
    <w:tmpl w:val="8B22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47BAC"/>
    <w:multiLevelType w:val="hybridMultilevel"/>
    <w:tmpl w:val="50EE47BC"/>
    <w:lvl w:ilvl="0" w:tplc="8F18F9DE">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1340525"/>
    <w:multiLevelType w:val="hybridMultilevel"/>
    <w:tmpl w:val="23F0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E246B7"/>
    <w:multiLevelType w:val="hybridMultilevel"/>
    <w:tmpl w:val="0A4A2532"/>
    <w:lvl w:ilvl="0" w:tplc="B036B7CC">
      <w:numFmt w:val="bullet"/>
      <w:lvlText w:val="•"/>
      <w:lvlJc w:val="left"/>
      <w:pPr>
        <w:ind w:left="720" w:hanging="720"/>
      </w:pPr>
      <w:rPr>
        <w:rFonts w:ascii="Calibri" w:eastAsiaTheme="minorHAnsi" w:hAnsi="Calibri" w:cs="Calibri" w:hint="default"/>
      </w:rPr>
    </w:lvl>
    <w:lvl w:ilvl="1" w:tplc="75222680">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9F64CE"/>
    <w:multiLevelType w:val="hybridMultilevel"/>
    <w:tmpl w:val="FE8AB00C"/>
    <w:lvl w:ilvl="0" w:tplc="88C6767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A67E38"/>
    <w:multiLevelType w:val="hybridMultilevel"/>
    <w:tmpl w:val="E28CB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457B"/>
    <w:multiLevelType w:val="hybridMultilevel"/>
    <w:tmpl w:val="987C3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FB7BCC"/>
    <w:multiLevelType w:val="hybridMultilevel"/>
    <w:tmpl w:val="064E330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79672CD9"/>
    <w:multiLevelType w:val="hybridMultilevel"/>
    <w:tmpl w:val="9838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A38B9"/>
    <w:multiLevelType w:val="hybridMultilevel"/>
    <w:tmpl w:val="BC36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7"/>
  </w:num>
  <w:num w:numId="14">
    <w:abstractNumId w:val="30"/>
  </w:num>
  <w:num w:numId="15">
    <w:abstractNumId w:val="15"/>
  </w:num>
  <w:num w:numId="16">
    <w:abstractNumId w:val="15"/>
    <w:lvlOverride w:ilvl="0">
      <w:startOverride w:val="1"/>
    </w:lvlOverride>
  </w:num>
  <w:num w:numId="17">
    <w:abstractNumId w:val="24"/>
  </w:num>
  <w:num w:numId="18">
    <w:abstractNumId w:val="13"/>
  </w:num>
  <w:num w:numId="19">
    <w:abstractNumId w:val="16"/>
  </w:num>
  <w:num w:numId="20">
    <w:abstractNumId w:val="22"/>
  </w:num>
  <w:num w:numId="21">
    <w:abstractNumId w:val="21"/>
  </w:num>
  <w:num w:numId="22">
    <w:abstractNumId w:val="31"/>
  </w:num>
  <w:num w:numId="23">
    <w:abstractNumId w:val="12"/>
  </w:num>
  <w:num w:numId="24">
    <w:abstractNumId w:val="19"/>
  </w:num>
  <w:num w:numId="25">
    <w:abstractNumId w:val="29"/>
  </w:num>
  <w:num w:numId="26">
    <w:abstractNumId w:val="11"/>
  </w:num>
  <w:num w:numId="27">
    <w:abstractNumId w:val="33"/>
  </w:num>
  <w:num w:numId="28">
    <w:abstractNumId w:val="25"/>
  </w:num>
  <w:num w:numId="29">
    <w:abstractNumId w:val="20"/>
  </w:num>
  <w:num w:numId="30">
    <w:abstractNumId w:val="14"/>
  </w:num>
  <w:num w:numId="31">
    <w:abstractNumId w:val="23"/>
  </w:num>
  <w:num w:numId="32">
    <w:abstractNumId w:val="17"/>
  </w:num>
  <w:num w:numId="33">
    <w:abstractNumId w:val="26"/>
  </w:num>
  <w:num w:numId="34">
    <w:abstractNumId w:val="32"/>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33AA5"/>
    <w:rsid w:val="00065195"/>
    <w:rsid w:val="0006773D"/>
    <w:rsid w:val="000A47D4"/>
    <w:rsid w:val="00122369"/>
    <w:rsid w:val="00124D09"/>
    <w:rsid w:val="00141F23"/>
    <w:rsid w:val="00153300"/>
    <w:rsid w:val="001969B0"/>
    <w:rsid w:val="001D22EE"/>
    <w:rsid w:val="001F5513"/>
    <w:rsid w:val="00207499"/>
    <w:rsid w:val="002360A5"/>
    <w:rsid w:val="002747E8"/>
    <w:rsid w:val="00283F8D"/>
    <w:rsid w:val="002970D9"/>
    <w:rsid w:val="002A350B"/>
    <w:rsid w:val="002A4A96"/>
    <w:rsid w:val="002C1057"/>
    <w:rsid w:val="002C2247"/>
    <w:rsid w:val="002E3BED"/>
    <w:rsid w:val="002E64C2"/>
    <w:rsid w:val="00312720"/>
    <w:rsid w:val="00323DD1"/>
    <w:rsid w:val="00343D7F"/>
    <w:rsid w:val="00357EF4"/>
    <w:rsid w:val="003967DD"/>
    <w:rsid w:val="003B3673"/>
    <w:rsid w:val="00415F07"/>
    <w:rsid w:val="00444E94"/>
    <w:rsid w:val="0044619D"/>
    <w:rsid w:val="0045446B"/>
    <w:rsid w:val="00464FD2"/>
    <w:rsid w:val="004F1844"/>
    <w:rsid w:val="004F3C83"/>
    <w:rsid w:val="00507148"/>
    <w:rsid w:val="00570D6C"/>
    <w:rsid w:val="0057170B"/>
    <w:rsid w:val="00584366"/>
    <w:rsid w:val="00597ACE"/>
    <w:rsid w:val="00624A55"/>
    <w:rsid w:val="006621B2"/>
    <w:rsid w:val="00670F53"/>
    <w:rsid w:val="006A25AC"/>
    <w:rsid w:val="00711911"/>
    <w:rsid w:val="00736FB0"/>
    <w:rsid w:val="00744E46"/>
    <w:rsid w:val="007725DA"/>
    <w:rsid w:val="007A4460"/>
    <w:rsid w:val="007B556E"/>
    <w:rsid w:val="007B5834"/>
    <w:rsid w:val="007D1FB1"/>
    <w:rsid w:val="007D3E38"/>
    <w:rsid w:val="00896A45"/>
    <w:rsid w:val="008C6C2E"/>
    <w:rsid w:val="008C78AF"/>
    <w:rsid w:val="008F01AF"/>
    <w:rsid w:val="008F494F"/>
    <w:rsid w:val="009440C6"/>
    <w:rsid w:val="009D373A"/>
    <w:rsid w:val="00A2008C"/>
    <w:rsid w:val="00A223C5"/>
    <w:rsid w:val="00A30657"/>
    <w:rsid w:val="00A31926"/>
    <w:rsid w:val="00A63D55"/>
    <w:rsid w:val="00A724F4"/>
    <w:rsid w:val="00AB55B7"/>
    <w:rsid w:val="00AD71DB"/>
    <w:rsid w:val="00AF07E9"/>
    <w:rsid w:val="00B04CD2"/>
    <w:rsid w:val="00B15DBB"/>
    <w:rsid w:val="00B211E6"/>
    <w:rsid w:val="00B62179"/>
    <w:rsid w:val="00B7213F"/>
    <w:rsid w:val="00BD2AE9"/>
    <w:rsid w:val="00BD7EB0"/>
    <w:rsid w:val="00BE63CA"/>
    <w:rsid w:val="00BF4EC4"/>
    <w:rsid w:val="00BF64B0"/>
    <w:rsid w:val="00C0768F"/>
    <w:rsid w:val="00C14992"/>
    <w:rsid w:val="00C67E85"/>
    <w:rsid w:val="00C945E3"/>
    <w:rsid w:val="00CD6278"/>
    <w:rsid w:val="00D013E1"/>
    <w:rsid w:val="00D0457F"/>
    <w:rsid w:val="00D60CFF"/>
    <w:rsid w:val="00D9487C"/>
    <w:rsid w:val="00DA3218"/>
    <w:rsid w:val="00DA5F30"/>
    <w:rsid w:val="00DC346C"/>
    <w:rsid w:val="00DD4D4D"/>
    <w:rsid w:val="00DF3442"/>
    <w:rsid w:val="00E50367"/>
    <w:rsid w:val="00E74F0B"/>
    <w:rsid w:val="00E806DF"/>
    <w:rsid w:val="00EB027C"/>
    <w:rsid w:val="00F9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B5C5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
    <w:name w:val="Body Text"/>
    <w:basedOn w:val="Normal"/>
    <w:link w:val="BodyTextChar"/>
    <w:uiPriority w:val="1"/>
    <w:unhideWhenUsed/>
    <w:rsid w:val="00B15DBB"/>
    <w:pPr>
      <w:autoSpaceDE w:val="0"/>
      <w:autoSpaceDN w:val="0"/>
      <w:spacing w:after="240"/>
    </w:pPr>
    <w:rPr>
      <w:rFonts w:ascii="Calibri" w:hAnsi="Calibri" w:cs="Calibri"/>
      <w:color w:val="000000"/>
      <w:szCs w:val="22"/>
      <w:lang w:val="en-AU"/>
    </w:rPr>
  </w:style>
  <w:style w:type="character" w:customStyle="1" w:styleId="BodyTextChar">
    <w:name w:val="Body Text Char"/>
    <w:basedOn w:val="DefaultParagraphFont"/>
    <w:link w:val="BodyText"/>
    <w:uiPriority w:val="1"/>
    <w:rsid w:val="00B15DBB"/>
    <w:rPr>
      <w:rFonts w:ascii="Calibri" w:hAnsi="Calibri" w:cs="Calibri"/>
      <w:color w:val="000000"/>
      <w:sz w:val="22"/>
      <w:szCs w:val="22"/>
      <w:lang w:val="en-AU"/>
    </w:rPr>
  </w:style>
  <w:style w:type="paragraph" w:styleId="ListParagraph">
    <w:name w:val="List Paragraph"/>
    <w:basedOn w:val="Normal"/>
    <w:uiPriority w:val="34"/>
    <w:qFormat/>
    <w:rsid w:val="00B15DBB"/>
    <w:pPr>
      <w:spacing w:after="160" w:line="259" w:lineRule="auto"/>
      <w:ind w:left="720"/>
      <w:contextualSpacing/>
    </w:pPr>
    <w:rPr>
      <w:szCs w:val="22"/>
      <w:lang w:val="en-AU"/>
    </w:rPr>
  </w:style>
  <w:style w:type="paragraph" w:styleId="NormalWeb">
    <w:name w:val="Normal (Web)"/>
    <w:basedOn w:val="Normal"/>
    <w:uiPriority w:val="99"/>
    <w:unhideWhenUsed/>
    <w:rsid w:val="00B15DBB"/>
    <w:pPr>
      <w:spacing w:before="100" w:beforeAutospacing="1" w:after="100" w:afterAutospacing="1"/>
    </w:pPr>
    <w:rPr>
      <w:rFonts w:ascii="Times New Roman" w:hAnsi="Times New Roman" w:cs="Times New Roman"/>
      <w:sz w:val="24"/>
      <w:lang w:val="en-AU" w:eastAsia="en-AU"/>
    </w:rPr>
  </w:style>
  <w:style w:type="character" w:styleId="IntenseReference">
    <w:name w:val="Intense Reference"/>
    <w:basedOn w:val="DefaultParagraphFont"/>
    <w:uiPriority w:val="32"/>
    <w:qFormat/>
    <w:rsid w:val="00B15DBB"/>
    <w:rPr>
      <w:b/>
      <w:bCs/>
      <w:smallCaps/>
      <w:color w:val="AF272F" w:themeColor="accent1"/>
      <w:spacing w:val="5"/>
    </w:rPr>
  </w:style>
  <w:style w:type="character" w:styleId="IntenseEmphasis">
    <w:name w:val="Intense Emphasis"/>
    <w:basedOn w:val="DefaultParagraphFont"/>
    <w:uiPriority w:val="21"/>
    <w:qFormat/>
    <w:rsid w:val="00B15DBB"/>
    <w:rPr>
      <w:i/>
      <w:iCs/>
      <w:color w:val="AF272F" w:themeColor="accent1"/>
    </w:rPr>
  </w:style>
  <w:style w:type="character" w:styleId="Hyperlink">
    <w:name w:val="Hyperlink"/>
    <w:basedOn w:val="DefaultParagraphFont"/>
    <w:uiPriority w:val="99"/>
    <w:unhideWhenUsed/>
    <w:rsid w:val="00B15DBB"/>
    <w:rPr>
      <w:color w:val="004EA8" w:themeColor="hyperlink"/>
      <w:u w:val="single"/>
    </w:rPr>
  </w:style>
  <w:style w:type="paragraph" w:styleId="BalloonText">
    <w:name w:val="Balloon Text"/>
    <w:basedOn w:val="Normal"/>
    <w:link w:val="BalloonTextChar"/>
    <w:uiPriority w:val="99"/>
    <w:semiHidden/>
    <w:unhideWhenUsed/>
    <w:rsid w:val="00AB5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524">
      <w:bodyDiv w:val="1"/>
      <w:marLeft w:val="0"/>
      <w:marRight w:val="0"/>
      <w:marTop w:val="0"/>
      <w:marBottom w:val="0"/>
      <w:divBdr>
        <w:top w:val="none" w:sz="0" w:space="0" w:color="auto"/>
        <w:left w:val="none" w:sz="0" w:space="0" w:color="auto"/>
        <w:bottom w:val="none" w:sz="0" w:space="0" w:color="auto"/>
        <w:right w:val="none" w:sz="0" w:space="0" w:color="auto"/>
      </w:divBdr>
    </w:div>
    <w:div w:id="17771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ET_EDRMS_Description xmlns="http://schemas.microsoft.com/Sharepoint/v3" xsi:nil="true"/>
    <DET_EDRMS_BusUnitTaxHTField0 xmlns="http://schemas.microsoft.com/Sharepoint/v3">
      <Terms xmlns="http://schemas.microsoft.com/office/infopath/2007/PartnerControls"/>
    </DET_EDRMS_BusUnitTaxHTField0>
    <PublishingContactName xmlns="http://schemas.microsoft.com/sharepoint/v3" xsi:nil="true"/>
    <TaxCatchAll xmlns="1966e606-8b69-4075-9ef8-a409e80aaa70">
      <Value>20</Value>
    </TaxCatchAll>
    <DET_EDRMS_SecClassTaxHTField0 xmlns="http://schemas.microsoft.com/Sharepoint/v3">
      <Terms xmlns="http://schemas.microsoft.com/office/infopath/2007/PartnerControls"/>
    </DET_EDRMS_SecClassTaxHTField0>
    <IconOverlay xmlns="http://schemas.microsoft.com/sharepoint/v4" xsi:nil="true"/>
    <zc9d xmlns="728b64e4-9fdc-40b7-8f09-efe348ecd637" xsi:nil="true"/>
  </documentManagement>
</p:properties>
</file>

<file path=customXml/itemProps1.xml><?xml version="1.0" encoding="utf-8"?>
<ds:datastoreItem xmlns:ds="http://schemas.openxmlformats.org/officeDocument/2006/customXml" ds:itemID="{3F7E35C7-A3F2-4A0C-8052-0FB4D1E61503}"/>
</file>

<file path=customXml/itemProps2.xml><?xml version="1.0" encoding="utf-8"?>
<ds:datastoreItem xmlns:ds="http://schemas.openxmlformats.org/officeDocument/2006/customXml" ds:itemID="{75195917-7131-4E83-ACCA-DA67204412E6}"/>
</file>

<file path=customXml/itemProps3.xml><?xml version="1.0" encoding="utf-8"?>
<ds:datastoreItem xmlns:ds="http://schemas.openxmlformats.org/officeDocument/2006/customXml" ds:itemID="{89694038-7407-497F-AE0D-8E3A5ACB66EB}"/>
</file>

<file path=customXml/itemProps4.xml><?xml version="1.0" encoding="utf-8"?>
<ds:datastoreItem xmlns:ds="http://schemas.openxmlformats.org/officeDocument/2006/customXml" ds:itemID="{75195917-7131-4E83-ACCA-DA67204412E6}"/>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Buchecker, Kirsty K</cp:lastModifiedBy>
  <cp:revision>6</cp:revision>
  <cp:lastPrinted>2018-08-03T05:40:00Z</cp:lastPrinted>
  <dcterms:created xsi:type="dcterms:W3CDTF">2018-08-03T05:42:00Z</dcterms:created>
  <dcterms:modified xsi:type="dcterms:W3CDTF">2018-08-16T06:36:00Z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RecordPoint_RecordNumberSubmitted">
    <vt:lpwstr>R2018/0594167</vt:lpwstr>
  </property>
  <property fmtid="{D5CDD505-2E9C-101B-9397-08002B2CF9AE}" pid="4" name="ContentTypeId">
    <vt:lpwstr>0x0101008840106FE30D4F50BC61A726A7CA6E3800A01D47DD30CBB54F95863B7DC80A2CEC</vt:lpwstr>
  </property>
  <property fmtid="{D5CDD505-2E9C-101B-9397-08002B2CF9AE}" pid="5" name="RecordPoint_ActiveItemUniqueId">
    <vt:lpwstr>{5e46e545-e984-41bc-9492-4cf8396353b9}</vt:lpwstr>
  </property>
  <property fmtid="{D5CDD505-2E9C-101B-9397-08002B2CF9AE}" pid="6" name="RecordPoint_SubmissionCompleted">
    <vt:lpwstr>2018-08-16T16:41:00.9335788+10:00</vt:lpwstr>
  </property>
  <property fmtid="{D5CDD505-2E9C-101B-9397-08002B2CF9AE}" pid="7" name="RecordPoint_ActiveItemWebId">
    <vt:lpwstr>{e0950a65-9c9d-45b8-a42c-b35c0d524b87}</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{728b64e4-9fdc-40b7-8f09-efe348ecd637}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