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CBE" w:rsidRPr="00AB6215" w:rsidRDefault="004E2CBE" w:rsidP="004E2CBE">
      <w:pPr>
        <w:pStyle w:val="Heading2"/>
        <w:spacing w:after="120"/>
      </w:pPr>
      <w:bookmarkStart w:id="0" w:name="_Toc436213200"/>
      <w:r w:rsidRPr="00AB6215">
        <w:t xml:space="preserve">Tool </w:t>
      </w:r>
      <w:r w:rsidR="00B86C9E">
        <w:t>1</w:t>
      </w:r>
      <w:bookmarkStart w:id="1" w:name="_GoBack"/>
      <w:bookmarkEnd w:id="1"/>
      <w:r w:rsidRPr="00AB6215">
        <w:t>:  S</w:t>
      </w:r>
      <w:r>
        <w:t xml:space="preserve">ample </w:t>
      </w:r>
      <w:r w:rsidRPr="00AB6215">
        <w:t>Baseline Opinion Survey</w:t>
      </w:r>
      <w:bookmarkEnd w:id="0"/>
      <w:r w:rsidRPr="00AB6215">
        <w:t xml:space="preserve"> </w:t>
      </w:r>
    </w:p>
    <w:p w:rsidR="004E2CBE" w:rsidRDefault="004E2CBE" w:rsidP="004E2CBE">
      <w:pPr>
        <w:jc w:val="both"/>
        <w:rPr>
          <w:rFonts w:ascii="Century Gothic" w:hAnsi="Century Gothic"/>
          <w:sz w:val="20"/>
          <w:szCs w:val="20"/>
        </w:rPr>
      </w:pPr>
      <w:r>
        <w:rPr>
          <w:rFonts w:ascii="Century Gothic" w:hAnsi="Century Gothic"/>
          <w:sz w:val="20"/>
          <w:szCs w:val="20"/>
        </w:rPr>
        <w:t>This opinion survey includes several items that according to transition research and discussions are not well addressed in many transition plans and strategies. The purpose for including these items is to open up fresh discussions within the transition cluster about how these items might be addressed as they cannot be resolved by the actions of an individual school.  It is to be completed by Years 6 and 7 teachers</w:t>
      </w:r>
      <w:r w:rsidR="00EF3F19">
        <w:rPr>
          <w:rFonts w:ascii="Century Gothic" w:hAnsi="Century Gothic"/>
          <w:sz w:val="20"/>
          <w:szCs w:val="20"/>
        </w:rPr>
        <w:t xml:space="preserve"> across the cluster.</w:t>
      </w:r>
    </w:p>
    <w:tbl>
      <w:tblPr>
        <w:tblStyle w:val="TableGrid"/>
        <w:tblW w:w="0" w:type="auto"/>
        <w:tblLayout w:type="fixed"/>
        <w:tblLook w:val="04A0" w:firstRow="1" w:lastRow="0" w:firstColumn="1" w:lastColumn="0" w:noHBand="0" w:noVBand="1"/>
      </w:tblPr>
      <w:tblGrid>
        <w:gridCol w:w="4316"/>
        <w:gridCol w:w="985"/>
        <w:gridCol w:w="985"/>
        <w:gridCol w:w="985"/>
        <w:gridCol w:w="985"/>
        <w:gridCol w:w="986"/>
      </w:tblGrid>
      <w:tr w:rsidR="004E2CBE" w:rsidRPr="004578FF" w:rsidTr="00C634CA">
        <w:tc>
          <w:tcPr>
            <w:tcW w:w="4316" w:type="dxa"/>
            <w:shd w:val="clear" w:color="auto" w:fill="C6D9F1" w:themeFill="text2" w:themeFillTint="33"/>
          </w:tcPr>
          <w:p w:rsidR="004E2CBE" w:rsidRPr="004578FF" w:rsidRDefault="004E2CBE" w:rsidP="00C634CA">
            <w:pPr>
              <w:spacing w:after="120"/>
              <w:jc w:val="center"/>
              <w:rPr>
                <w:rFonts w:ascii="Century Gothic" w:hAnsi="Century Gothic"/>
                <w:b/>
                <w:sz w:val="18"/>
                <w:szCs w:val="18"/>
              </w:rPr>
            </w:pPr>
            <w:r w:rsidRPr="004578FF">
              <w:rPr>
                <w:rFonts w:ascii="Century Gothic" w:hAnsi="Century Gothic"/>
                <w:b/>
                <w:sz w:val="18"/>
                <w:szCs w:val="18"/>
              </w:rPr>
              <w:t>Transition Statements</w:t>
            </w:r>
          </w:p>
        </w:tc>
        <w:tc>
          <w:tcPr>
            <w:tcW w:w="985" w:type="dxa"/>
            <w:shd w:val="clear" w:color="auto" w:fill="C6D9F1" w:themeFill="text2" w:themeFillTint="33"/>
          </w:tcPr>
          <w:p w:rsidR="004E2CBE" w:rsidRPr="004578FF" w:rsidRDefault="004E2CBE" w:rsidP="00C634CA">
            <w:pPr>
              <w:spacing w:after="120"/>
              <w:jc w:val="center"/>
              <w:rPr>
                <w:rFonts w:ascii="Century Gothic" w:hAnsi="Century Gothic"/>
                <w:b/>
                <w:sz w:val="18"/>
                <w:szCs w:val="18"/>
              </w:rPr>
            </w:pPr>
            <w:r w:rsidRPr="004578FF">
              <w:rPr>
                <w:rFonts w:ascii="Century Gothic" w:hAnsi="Century Gothic"/>
                <w:b/>
                <w:sz w:val="18"/>
                <w:szCs w:val="18"/>
              </w:rPr>
              <w:t>Strongly disagree</w:t>
            </w:r>
          </w:p>
        </w:tc>
        <w:tc>
          <w:tcPr>
            <w:tcW w:w="985" w:type="dxa"/>
            <w:shd w:val="clear" w:color="auto" w:fill="C6D9F1" w:themeFill="text2" w:themeFillTint="33"/>
          </w:tcPr>
          <w:p w:rsidR="004E2CBE" w:rsidRPr="004578FF" w:rsidRDefault="004E2CBE" w:rsidP="00C634CA">
            <w:pPr>
              <w:spacing w:after="120"/>
              <w:ind w:right="-167"/>
              <w:jc w:val="center"/>
              <w:rPr>
                <w:rFonts w:ascii="Century Gothic" w:hAnsi="Century Gothic"/>
                <w:b/>
                <w:sz w:val="18"/>
                <w:szCs w:val="18"/>
              </w:rPr>
            </w:pPr>
            <w:r w:rsidRPr="004578FF">
              <w:rPr>
                <w:rFonts w:ascii="Century Gothic" w:hAnsi="Century Gothic"/>
                <w:b/>
                <w:sz w:val="18"/>
                <w:szCs w:val="18"/>
              </w:rPr>
              <w:t>Disagree</w:t>
            </w:r>
          </w:p>
        </w:tc>
        <w:tc>
          <w:tcPr>
            <w:tcW w:w="985" w:type="dxa"/>
            <w:shd w:val="clear" w:color="auto" w:fill="C6D9F1" w:themeFill="text2" w:themeFillTint="33"/>
          </w:tcPr>
          <w:p w:rsidR="004E2CBE" w:rsidRPr="004578FF" w:rsidRDefault="004E2CBE" w:rsidP="00C634CA">
            <w:pPr>
              <w:spacing w:after="120"/>
              <w:jc w:val="center"/>
              <w:rPr>
                <w:rFonts w:ascii="Century Gothic" w:hAnsi="Century Gothic"/>
                <w:b/>
                <w:sz w:val="18"/>
                <w:szCs w:val="18"/>
              </w:rPr>
            </w:pPr>
            <w:r w:rsidRPr="004578FF">
              <w:rPr>
                <w:rFonts w:ascii="Century Gothic" w:hAnsi="Century Gothic"/>
                <w:b/>
                <w:sz w:val="18"/>
                <w:szCs w:val="18"/>
              </w:rPr>
              <w:t>Neutral</w:t>
            </w:r>
          </w:p>
        </w:tc>
        <w:tc>
          <w:tcPr>
            <w:tcW w:w="985" w:type="dxa"/>
            <w:shd w:val="clear" w:color="auto" w:fill="C6D9F1" w:themeFill="text2" w:themeFillTint="33"/>
          </w:tcPr>
          <w:p w:rsidR="004E2CBE" w:rsidRPr="004578FF" w:rsidRDefault="004E2CBE" w:rsidP="00C634CA">
            <w:pPr>
              <w:spacing w:after="120"/>
              <w:jc w:val="center"/>
              <w:rPr>
                <w:rFonts w:ascii="Century Gothic" w:hAnsi="Century Gothic"/>
                <w:b/>
                <w:sz w:val="18"/>
                <w:szCs w:val="18"/>
              </w:rPr>
            </w:pPr>
            <w:r w:rsidRPr="004578FF">
              <w:rPr>
                <w:rFonts w:ascii="Century Gothic" w:hAnsi="Century Gothic"/>
                <w:b/>
                <w:sz w:val="18"/>
                <w:szCs w:val="18"/>
              </w:rPr>
              <w:t>Agree</w:t>
            </w:r>
          </w:p>
        </w:tc>
        <w:tc>
          <w:tcPr>
            <w:tcW w:w="986" w:type="dxa"/>
            <w:shd w:val="clear" w:color="auto" w:fill="C6D9F1" w:themeFill="text2" w:themeFillTint="33"/>
          </w:tcPr>
          <w:p w:rsidR="004E2CBE" w:rsidRPr="004578FF" w:rsidRDefault="004E2CBE" w:rsidP="00C634CA">
            <w:pPr>
              <w:spacing w:after="120"/>
              <w:jc w:val="center"/>
              <w:rPr>
                <w:rFonts w:ascii="Century Gothic" w:hAnsi="Century Gothic"/>
                <w:b/>
                <w:sz w:val="18"/>
                <w:szCs w:val="18"/>
              </w:rPr>
            </w:pPr>
            <w:r w:rsidRPr="004578FF">
              <w:rPr>
                <w:rFonts w:ascii="Century Gothic" w:hAnsi="Century Gothic"/>
                <w:b/>
                <w:sz w:val="18"/>
                <w:szCs w:val="18"/>
              </w:rPr>
              <w:t>Strongly agree</w:t>
            </w:r>
          </w:p>
        </w:tc>
      </w:tr>
      <w:tr w:rsidR="004E2CBE" w:rsidRPr="004578FF" w:rsidTr="00C634CA">
        <w:tc>
          <w:tcPr>
            <w:tcW w:w="4316" w:type="dxa"/>
          </w:tcPr>
          <w:p w:rsidR="004E2CBE" w:rsidRPr="004578FF" w:rsidRDefault="004E2CBE" w:rsidP="00C634CA">
            <w:pPr>
              <w:spacing w:after="120"/>
              <w:rPr>
                <w:rFonts w:ascii="Century Gothic" w:hAnsi="Century Gothic"/>
                <w:sz w:val="18"/>
                <w:szCs w:val="18"/>
              </w:rPr>
            </w:pPr>
            <w:r w:rsidRPr="004578FF">
              <w:rPr>
                <w:rFonts w:ascii="Century Gothic" w:hAnsi="Century Gothic"/>
                <w:sz w:val="18"/>
                <w:szCs w:val="18"/>
              </w:rPr>
              <w:t>Our cluster has a shared and vibrant formal transition program.</w:t>
            </w:r>
          </w:p>
        </w:tc>
        <w:tc>
          <w:tcPr>
            <w:tcW w:w="985" w:type="dxa"/>
          </w:tcPr>
          <w:p w:rsidR="004E2CBE" w:rsidRPr="004578FF" w:rsidRDefault="004E2CBE" w:rsidP="00C634CA">
            <w:pPr>
              <w:spacing w:after="120"/>
              <w:rPr>
                <w:rFonts w:ascii="Century Gothic" w:hAnsi="Century Gothic"/>
                <w:sz w:val="18"/>
                <w:szCs w:val="18"/>
              </w:rPr>
            </w:pPr>
          </w:p>
        </w:tc>
        <w:tc>
          <w:tcPr>
            <w:tcW w:w="985" w:type="dxa"/>
          </w:tcPr>
          <w:p w:rsidR="004E2CBE" w:rsidRPr="004578FF" w:rsidRDefault="004E2CBE" w:rsidP="00C634CA">
            <w:pPr>
              <w:spacing w:after="120"/>
              <w:rPr>
                <w:rFonts w:ascii="Century Gothic" w:hAnsi="Century Gothic"/>
                <w:sz w:val="18"/>
                <w:szCs w:val="18"/>
              </w:rPr>
            </w:pPr>
          </w:p>
        </w:tc>
        <w:tc>
          <w:tcPr>
            <w:tcW w:w="985" w:type="dxa"/>
          </w:tcPr>
          <w:p w:rsidR="004E2CBE" w:rsidRPr="004578FF" w:rsidRDefault="004E2CBE" w:rsidP="00C634CA">
            <w:pPr>
              <w:spacing w:after="120"/>
              <w:rPr>
                <w:rFonts w:ascii="Century Gothic" w:hAnsi="Century Gothic"/>
                <w:sz w:val="18"/>
                <w:szCs w:val="18"/>
              </w:rPr>
            </w:pPr>
          </w:p>
        </w:tc>
        <w:tc>
          <w:tcPr>
            <w:tcW w:w="985" w:type="dxa"/>
          </w:tcPr>
          <w:p w:rsidR="004E2CBE" w:rsidRPr="004578FF" w:rsidRDefault="004E2CBE" w:rsidP="00C634CA">
            <w:pPr>
              <w:spacing w:after="120"/>
              <w:rPr>
                <w:rFonts w:ascii="Century Gothic" w:hAnsi="Century Gothic"/>
                <w:sz w:val="18"/>
                <w:szCs w:val="18"/>
              </w:rPr>
            </w:pPr>
          </w:p>
        </w:tc>
        <w:tc>
          <w:tcPr>
            <w:tcW w:w="986" w:type="dxa"/>
          </w:tcPr>
          <w:p w:rsidR="004E2CBE" w:rsidRPr="004578FF" w:rsidRDefault="004E2CBE" w:rsidP="00C634CA">
            <w:pPr>
              <w:spacing w:after="120"/>
              <w:rPr>
                <w:rFonts w:ascii="Century Gothic" w:hAnsi="Century Gothic"/>
                <w:sz w:val="18"/>
                <w:szCs w:val="18"/>
              </w:rPr>
            </w:pPr>
          </w:p>
        </w:tc>
      </w:tr>
      <w:tr w:rsidR="004E2CBE" w:rsidRPr="004578FF" w:rsidTr="00C634CA">
        <w:tc>
          <w:tcPr>
            <w:tcW w:w="4316" w:type="dxa"/>
          </w:tcPr>
          <w:p w:rsidR="004E2CBE" w:rsidRPr="004578FF" w:rsidRDefault="004E2CBE" w:rsidP="00C634CA">
            <w:pPr>
              <w:spacing w:after="120"/>
              <w:rPr>
                <w:rFonts w:ascii="Century Gothic" w:hAnsi="Century Gothic"/>
                <w:sz w:val="18"/>
                <w:szCs w:val="18"/>
              </w:rPr>
            </w:pPr>
            <w:r w:rsidRPr="004578FF">
              <w:rPr>
                <w:rFonts w:ascii="Century Gothic" w:hAnsi="Century Gothic"/>
                <w:sz w:val="18"/>
                <w:szCs w:val="18"/>
              </w:rPr>
              <w:t>Detailed Literacy and Numeracy frameworks are available to assist teachers and our school, including intervention strategies to support highly capable and struggling students.</w:t>
            </w:r>
          </w:p>
        </w:tc>
        <w:tc>
          <w:tcPr>
            <w:tcW w:w="985" w:type="dxa"/>
          </w:tcPr>
          <w:p w:rsidR="004E2CBE" w:rsidRPr="004578FF" w:rsidRDefault="004E2CBE" w:rsidP="00C634CA">
            <w:pPr>
              <w:spacing w:after="120"/>
              <w:rPr>
                <w:rFonts w:ascii="Century Gothic" w:hAnsi="Century Gothic"/>
                <w:sz w:val="18"/>
                <w:szCs w:val="18"/>
              </w:rPr>
            </w:pPr>
          </w:p>
        </w:tc>
        <w:tc>
          <w:tcPr>
            <w:tcW w:w="985" w:type="dxa"/>
          </w:tcPr>
          <w:p w:rsidR="004E2CBE" w:rsidRPr="004578FF" w:rsidRDefault="004E2CBE" w:rsidP="00C634CA">
            <w:pPr>
              <w:spacing w:after="120"/>
              <w:rPr>
                <w:rFonts w:ascii="Century Gothic" w:hAnsi="Century Gothic"/>
                <w:sz w:val="18"/>
                <w:szCs w:val="18"/>
              </w:rPr>
            </w:pPr>
          </w:p>
        </w:tc>
        <w:tc>
          <w:tcPr>
            <w:tcW w:w="985" w:type="dxa"/>
          </w:tcPr>
          <w:p w:rsidR="004E2CBE" w:rsidRPr="004578FF" w:rsidRDefault="004E2CBE" w:rsidP="00C634CA">
            <w:pPr>
              <w:spacing w:after="120"/>
              <w:rPr>
                <w:rFonts w:ascii="Century Gothic" w:hAnsi="Century Gothic"/>
                <w:sz w:val="18"/>
                <w:szCs w:val="18"/>
              </w:rPr>
            </w:pPr>
          </w:p>
        </w:tc>
        <w:tc>
          <w:tcPr>
            <w:tcW w:w="985" w:type="dxa"/>
          </w:tcPr>
          <w:p w:rsidR="004E2CBE" w:rsidRPr="004578FF" w:rsidRDefault="004E2CBE" w:rsidP="00C634CA">
            <w:pPr>
              <w:spacing w:after="120"/>
              <w:rPr>
                <w:rFonts w:ascii="Century Gothic" w:hAnsi="Century Gothic"/>
                <w:sz w:val="18"/>
                <w:szCs w:val="18"/>
              </w:rPr>
            </w:pPr>
          </w:p>
        </w:tc>
        <w:tc>
          <w:tcPr>
            <w:tcW w:w="986" w:type="dxa"/>
          </w:tcPr>
          <w:p w:rsidR="004E2CBE" w:rsidRPr="004578FF" w:rsidRDefault="004E2CBE" w:rsidP="00C634CA">
            <w:pPr>
              <w:spacing w:after="120"/>
              <w:rPr>
                <w:rFonts w:ascii="Century Gothic" w:hAnsi="Century Gothic"/>
                <w:sz w:val="18"/>
                <w:szCs w:val="18"/>
              </w:rPr>
            </w:pPr>
          </w:p>
        </w:tc>
      </w:tr>
      <w:tr w:rsidR="004E2CBE" w:rsidRPr="004578FF" w:rsidTr="00C634CA">
        <w:tc>
          <w:tcPr>
            <w:tcW w:w="4316" w:type="dxa"/>
          </w:tcPr>
          <w:p w:rsidR="004E2CBE" w:rsidRPr="004578FF" w:rsidRDefault="004E2CBE" w:rsidP="00C634CA">
            <w:pPr>
              <w:spacing w:after="120"/>
              <w:rPr>
                <w:rFonts w:ascii="Century Gothic" w:hAnsi="Century Gothic"/>
                <w:sz w:val="18"/>
                <w:szCs w:val="18"/>
              </w:rPr>
            </w:pPr>
            <w:r w:rsidRPr="004578FF">
              <w:rPr>
                <w:rFonts w:ascii="Century Gothic" w:hAnsi="Century Gothic"/>
                <w:sz w:val="18"/>
                <w:szCs w:val="18"/>
              </w:rPr>
              <w:t xml:space="preserve">Professionals in my cluster are able to provide strong support to teachers in </w:t>
            </w:r>
            <w:r>
              <w:rPr>
                <w:rFonts w:ascii="Century Gothic" w:hAnsi="Century Gothic"/>
                <w:sz w:val="18"/>
                <w:szCs w:val="18"/>
              </w:rPr>
              <w:t>l</w:t>
            </w:r>
            <w:r w:rsidRPr="004578FF">
              <w:rPr>
                <w:rFonts w:ascii="Century Gothic" w:hAnsi="Century Gothic"/>
                <w:sz w:val="18"/>
                <w:szCs w:val="18"/>
              </w:rPr>
              <w:t xml:space="preserve">iteracy and </w:t>
            </w:r>
            <w:r>
              <w:rPr>
                <w:rFonts w:ascii="Century Gothic" w:hAnsi="Century Gothic"/>
                <w:sz w:val="18"/>
                <w:szCs w:val="18"/>
              </w:rPr>
              <w:t>n</w:t>
            </w:r>
            <w:r w:rsidRPr="004578FF">
              <w:rPr>
                <w:rFonts w:ascii="Century Gothic" w:hAnsi="Century Gothic"/>
                <w:sz w:val="18"/>
                <w:szCs w:val="18"/>
              </w:rPr>
              <w:t>umeracy.</w:t>
            </w:r>
          </w:p>
        </w:tc>
        <w:tc>
          <w:tcPr>
            <w:tcW w:w="985" w:type="dxa"/>
          </w:tcPr>
          <w:p w:rsidR="004E2CBE" w:rsidRPr="004578FF" w:rsidRDefault="004E2CBE" w:rsidP="00C634CA">
            <w:pPr>
              <w:spacing w:after="120"/>
              <w:rPr>
                <w:rFonts w:ascii="Century Gothic" w:hAnsi="Century Gothic"/>
                <w:sz w:val="18"/>
                <w:szCs w:val="18"/>
              </w:rPr>
            </w:pPr>
          </w:p>
        </w:tc>
        <w:tc>
          <w:tcPr>
            <w:tcW w:w="985" w:type="dxa"/>
          </w:tcPr>
          <w:p w:rsidR="004E2CBE" w:rsidRPr="004578FF" w:rsidRDefault="004E2CBE" w:rsidP="00C634CA">
            <w:pPr>
              <w:spacing w:after="120"/>
              <w:rPr>
                <w:rFonts w:ascii="Century Gothic" w:hAnsi="Century Gothic"/>
                <w:sz w:val="18"/>
                <w:szCs w:val="18"/>
              </w:rPr>
            </w:pPr>
          </w:p>
        </w:tc>
        <w:tc>
          <w:tcPr>
            <w:tcW w:w="985" w:type="dxa"/>
          </w:tcPr>
          <w:p w:rsidR="004E2CBE" w:rsidRPr="004578FF" w:rsidRDefault="004E2CBE" w:rsidP="00C634CA">
            <w:pPr>
              <w:spacing w:after="120"/>
              <w:rPr>
                <w:rFonts w:ascii="Century Gothic" w:hAnsi="Century Gothic"/>
                <w:sz w:val="18"/>
                <w:szCs w:val="18"/>
              </w:rPr>
            </w:pPr>
          </w:p>
        </w:tc>
        <w:tc>
          <w:tcPr>
            <w:tcW w:w="985" w:type="dxa"/>
          </w:tcPr>
          <w:p w:rsidR="004E2CBE" w:rsidRPr="004578FF" w:rsidRDefault="004E2CBE" w:rsidP="00C634CA">
            <w:pPr>
              <w:spacing w:after="120"/>
              <w:rPr>
                <w:rFonts w:ascii="Century Gothic" w:hAnsi="Century Gothic"/>
                <w:sz w:val="18"/>
                <w:szCs w:val="18"/>
              </w:rPr>
            </w:pPr>
          </w:p>
        </w:tc>
        <w:tc>
          <w:tcPr>
            <w:tcW w:w="986" w:type="dxa"/>
          </w:tcPr>
          <w:p w:rsidR="004E2CBE" w:rsidRPr="004578FF" w:rsidRDefault="004E2CBE" w:rsidP="00C634CA">
            <w:pPr>
              <w:spacing w:after="120"/>
              <w:rPr>
                <w:rFonts w:ascii="Century Gothic" w:hAnsi="Century Gothic"/>
                <w:sz w:val="18"/>
                <w:szCs w:val="18"/>
              </w:rPr>
            </w:pPr>
          </w:p>
        </w:tc>
      </w:tr>
      <w:tr w:rsidR="004E2CBE" w:rsidRPr="004578FF" w:rsidTr="00C634CA">
        <w:tc>
          <w:tcPr>
            <w:tcW w:w="4316" w:type="dxa"/>
          </w:tcPr>
          <w:p w:rsidR="004E2CBE" w:rsidRPr="004578FF" w:rsidRDefault="004E2CBE" w:rsidP="00C634CA">
            <w:pPr>
              <w:spacing w:after="120"/>
              <w:rPr>
                <w:rFonts w:ascii="Century Gothic" w:hAnsi="Century Gothic"/>
                <w:sz w:val="18"/>
                <w:szCs w:val="18"/>
              </w:rPr>
            </w:pPr>
            <w:r w:rsidRPr="004578FF">
              <w:rPr>
                <w:rFonts w:ascii="Century Gothic" w:hAnsi="Century Gothic"/>
                <w:sz w:val="18"/>
                <w:szCs w:val="18"/>
              </w:rPr>
              <w:t>There is a shared understanding among professionals in my cluster about transition arrangements which assist literacy and numeracy growth.</w:t>
            </w:r>
          </w:p>
        </w:tc>
        <w:tc>
          <w:tcPr>
            <w:tcW w:w="985" w:type="dxa"/>
          </w:tcPr>
          <w:p w:rsidR="004E2CBE" w:rsidRPr="004578FF" w:rsidRDefault="004E2CBE" w:rsidP="00C634CA">
            <w:pPr>
              <w:spacing w:after="120"/>
              <w:rPr>
                <w:rFonts w:ascii="Century Gothic" w:hAnsi="Century Gothic"/>
                <w:sz w:val="18"/>
                <w:szCs w:val="18"/>
              </w:rPr>
            </w:pPr>
          </w:p>
        </w:tc>
        <w:tc>
          <w:tcPr>
            <w:tcW w:w="985" w:type="dxa"/>
          </w:tcPr>
          <w:p w:rsidR="004E2CBE" w:rsidRPr="004578FF" w:rsidRDefault="004E2CBE" w:rsidP="00C634CA">
            <w:pPr>
              <w:spacing w:after="120"/>
              <w:rPr>
                <w:rFonts w:ascii="Century Gothic" w:hAnsi="Century Gothic"/>
                <w:sz w:val="18"/>
                <w:szCs w:val="18"/>
              </w:rPr>
            </w:pPr>
          </w:p>
        </w:tc>
        <w:tc>
          <w:tcPr>
            <w:tcW w:w="985" w:type="dxa"/>
          </w:tcPr>
          <w:p w:rsidR="004E2CBE" w:rsidRPr="004578FF" w:rsidRDefault="004E2CBE" w:rsidP="00C634CA">
            <w:pPr>
              <w:spacing w:after="120"/>
              <w:rPr>
                <w:rFonts w:ascii="Century Gothic" w:hAnsi="Century Gothic"/>
                <w:sz w:val="18"/>
                <w:szCs w:val="18"/>
              </w:rPr>
            </w:pPr>
          </w:p>
        </w:tc>
        <w:tc>
          <w:tcPr>
            <w:tcW w:w="985" w:type="dxa"/>
          </w:tcPr>
          <w:p w:rsidR="004E2CBE" w:rsidRPr="004578FF" w:rsidRDefault="004E2CBE" w:rsidP="00C634CA">
            <w:pPr>
              <w:spacing w:after="120"/>
              <w:rPr>
                <w:rFonts w:ascii="Century Gothic" w:hAnsi="Century Gothic"/>
                <w:sz w:val="18"/>
                <w:szCs w:val="18"/>
              </w:rPr>
            </w:pPr>
          </w:p>
        </w:tc>
        <w:tc>
          <w:tcPr>
            <w:tcW w:w="986" w:type="dxa"/>
          </w:tcPr>
          <w:p w:rsidR="004E2CBE" w:rsidRPr="004578FF" w:rsidRDefault="004E2CBE" w:rsidP="00C634CA">
            <w:pPr>
              <w:spacing w:after="120"/>
              <w:rPr>
                <w:rFonts w:ascii="Century Gothic" w:hAnsi="Century Gothic"/>
                <w:sz w:val="18"/>
                <w:szCs w:val="18"/>
              </w:rPr>
            </w:pPr>
          </w:p>
        </w:tc>
      </w:tr>
      <w:tr w:rsidR="004E2CBE" w:rsidRPr="004578FF" w:rsidTr="00C634CA">
        <w:tc>
          <w:tcPr>
            <w:tcW w:w="4316" w:type="dxa"/>
          </w:tcPr>
          <w:p w:rsidR="004E2CBE" w:rsidRPr="004578FF" w:rsidRDefault="004E2CBE" w:rsidP="00C634CA">
            <w:pPr>
              <w:spacing w:after="120"/>
              <w:rPr>
                <w:rFonts w:ascii="Century Gothic" w:hAnsi="Century Gothic"/>
                <w:sz w:val="18"/>
                <w:szCs w:val="18"/>
              </w:rPr>
            </w:pPr>
            <w:r w:rsidRPr="004578FF">
              <w:rPr>
                <w:rFonts w:ascii="Century Gothic" w:hAnsi="Century Gothic"/>
                <w:sz w:val="18"/>
                <w:szCs w:val="18"/>
              </w:rPr>
              <w:t>Capacity building in literacy and numeracy of Year 6/Year 7 teachers (whichever applicable) has been a consistent concern for our school over recent years.</w:t>
            </w:r>
          </w:p>
        </w:tc>
        <w:tc>
          <w:tcPr>
            <w:tcW w:w="985" w:type="dxa"/>
          </w:tcPr>
          <w:p w:rsidR="004E2CBE" w:rsidRPr="004578FF" w:rsidRDefault="004E2CBE" w:rsidP="00C634CA">
            <w:pPr>
              <w:spacing w:after="120"/>
              <w:rPr>
                <w:rFonts w:ascii="Century Gothic" w:hAnsi="Century Gothic"/>
                <w:sz w:val="18"/>
                <w:szCs w:val="18"/>
              </w:rPr>
            </w:pPr>
          </w:p>
        </w:tc>
        <w:tc>
          <w:tcPr>
            <w:tcW w:w="985" w:type="dxa"/>
          </w:tcPr>
          <w:p w:rsidR="004E2CBE" w:rsidRPr="004578FF" w:rsidRDefault="004E2CBE" w:rsidP="00C634CA">
            <w:pPr>
              <w:spacing w:after="120"/>
              <w:rPr>
                <w:rFonts w:ascii="Century Gothic" w:hAnsi="Century Gothic"/>
                <w:sz w:val="18"/>
                <w:szCs w:val="18"/>
              </w:rPr>
            </w:pPr>
          </w:p>
        </w:tc>
        <w:tc>
          <w:tcPr>
            <w:tcW w:w="985" w:type="dxa"/>
          </w:tcPr>
          <w:p w:rsidR="004E2CBE" w:rsidRPr="004578FF" w:rsidRDefault="004E2CBE" w:rsidP="00C634CA">
            <w:pPr>
              <w:spacing w:after="120"/>
              <w:rPr>
                <w:rFonts w:ascii="Century Gothic" w:hAnsi="Century Gothic"/>
                <w:sz w:val="18"/>
                <w:szCs w:val="18"/>
              </w:rPr>
            </w:pPr>
          </w:p>
        </w:tc>
        <w:tc>
          <w:tcPr>
            <w:tcW w:w="985" w:type="dxa"/>
          </w:tcPr>
          <w:p w:rsidR="004E2CBE" w:rsidRPr="004578FF" w:rsidRDefault="004E2CBE" w:rsidP="00C634CA">
            <w:pPr>
              <w:spacing w:after="120"/>
              <w:rPr>
                <w:rFonts w:ascii="Century Gothic" w:hAnsi="Century Gothic"/>
                <w:sz w:val="18"/>
                <w:szCs w:val="18"/>
              </w:rPr>
            </w:pPr>
          </w:p>
        </w:tc>
        <w:tc>
          <w:tcPr>
            <w:tcW w:w="986" w:type="dxa"/>
          </w:tcPr>
          <w:p w:rsidR="004E2CBE" w:rsidRPr="004578FF" w:rsidRDefault="004E2CBE" w:rsidP="00C634CA">
            <w:pPr>
              <w:spacing w:after="120"/>
              <w:rPr>
                <w:rFonts w:ascii="Century Gothic" w:hAnsi="Century Gothic"/>
                <w:sz w:val="18"/>
                <w:szCs w:val="18"/>
              </w:rPr>
            </w:pPr>
          </w:p>
        </w:tc>
      </w:tr>
      <w:tr w:rsidR="004E2CBE" w:rsidRPr="004578FF" w:rsidTr="00C634CA">
        <w:tc>
          <w:tcPr>
            <w:tcW w:w="4316" w:type="dxa"/>
          </w:tcPr>
          <w:p w:rsidR="004E2CBE" w:rsidRPr="004578FF" w:rsidRDefault="004E2CBE" w:rsidP="00C634CA">
            <w:pPr>
              <w:spacing w:after="120"/>
              <w:rPr>
                <w:rFonts w:ascii="Century Gothic" w:hAnsi="Century Gothic"/>
                <w:sz w:val="18"/>
                <w:szCs w:val="18"/>
              </w:rPr>
            </w:pPr>
            <w:r w:rsidRPr="004578FF">
              <w:rPr>
                <w:rFonts w:ascii="Century Gothic" w:hAnsi="Century Gothic"/>
                <w:sz w:val="18"/>
                <w:szCs w:val="18"/>
              </w:rPr>
              <w:t>Opportunities for Year 6 and Year 7 teachers to share understandings about literacy and numeracy are prevalent in our cluster.</w:t>
            </w:r>
          </w:p>
        </w:tc>
        <w:tc>
          <w:tcPr>
            <w:tcW w:w="985" w:type="dxa"/>
          </w:tcPr>
          <w:p w:rsidR="004E2CBE" w:rsidRPr="004578FF" w:rsidRDefault="004E2CBE" w:rsidP="00C634CA">
            <w:pPr>
              <w:spacing w:after="120"/>
              <w:rPr>
                <w:rFonts w:ascii="Century Gothic" w:hAnsi="Century Gothic"/>
                <w:sz w:val="18"/>
                <w:szCs w:val="18"/>
              </w:rPr>
            </w:pPr>
          </w:p>
        </w:tc>
        <w:tc>
          <w:tcPr>
            <w:tcW w:w="985" w:type="dxa"/>
          </w:tcPr>
          <w:p w:rsidR="004E2CBE" w:rsidRPr="004578FF" w:rsidRDefault="004E2CBE" w:rsidP="00C634CA">
            <w:pPr>
              <w:spacing w:after="120"/>
              <w:rPr>
                <w:rFonts w:ascii="Century Gothic" w:hAnsi="Century Gothic"/>
                <w:sz w:val="18"/>
                <w:szCs w:val="18"/>
              </w:rPr>
            </w:pPr>
          </w:p>
        </w:tc>
        <w:tc>
          <w:tcPr>
            <w:tcW w:w="985" w:type="dxa"/>
          </w:tcPr>
          <w:p w:rsidR="004E2CBE" w:rsidRPr="004578FF" w:rsidRDefault="004E2CBE" w:rsidP="00C634CA">
            <w:pPr>
              <w:spacing w:after="120"/>
              <w:rPr>
                <w:rFonts w:ascii="Century Gothic" w:hAnsi="Century Gothic"/>
                <w:sz w:val="18"/>
                <w:szCs w:val="18"/>
              </w:rPr>
            </w:pPr>
          </w:p>
        </w:tc>
        <w:tc>
          <w:tcPr>
            <w:tcW w:w="985" w:type="dxa"/>
          </w:tcPr>
          <w:p w:rsidR="004E2CBE" w:rsidRPr="004578FF" w:rsidRDefault="004E2CBE" w:rsidP="00C634CA">
            <w:pPr>
              <w:spacing w:after="120"/>
              <w:rPr>
                <w:rFonts w:ascii="Century Gothic" w:hAnsi="Century Gothic"/>
                <w:sz w:val="18"/>
                <w:szCs w:val="18"/>
              </w:rPr>
            </w:pPr>
          </w:p>
        </w:tc>
        <w:tc>
          <w:tcPr>
            <w:tcW w:w="986" w:type="dxa"/>
          </w:tcPr>
          <w:p w:rsidR="004E2CBE" w:rsidRPr="004578FF" w:rsidRDefault="004E2CBE" w:rsidP="00C634CA">
            <w:pPr>
              <w:spacing w:after="120"/>
              <w:rPr>
                <w:rFonts w:ascii="Century Gothic" w:hAnsi="Century Gothic"/>
                <w:sz w:val="18"/>
                <w:szCs w:val="18"/>
              </w:rPr>
            </w:pPr>
          </w:p>
        </w:tc>
      </w:tr>
      <w:tr w:rsidR="004E2CBE" w:rsidRPr="004578FF" w:rsidTr="00C634CA">
        <w:tc>
          <w:tcPr>
            <w:tcW w:w="4316" w:type="dxa"/>
          </w:tcPr>
          <w:p w:rsidR="004E2CBE" w:rsidRPr="004578FF" w:rsidRDefault="004E2CBE" w:rsidP="00C634CA">
            <w:pPr>
              <w:spacing w:after="120"/>
              <w:rPr>
                <w:rFonts w:ascii="Century Gothic" w:hAnsi="Century Gothic"/>
                <w:sz w:val="18"/>
                <w:szCs w:val="18"/>
              </w:rPr>
            </w:pPr>
            <w:r w:rsidRPr="004578FF">
              <w:rPr>
                <w:rFonts w:ascii="Century Gothic" w:hAnsi="Century Gothic"/>
                <w:sz w:val="18"/>
                <w:szCs w:val="18"/>
              </w:rPr>
              <w:t>Our cluster has a shared understanding of assessment data and student performance and the instruments being used at Year 6 and Year 7.</w:t>
            </w:r>
          </w:p>
        </w:tc>
        <w:tc>
          <w:tcPr>
            <w:tcW w:w="985" w:type="dxa"/>
          </w:tcPr>
          <w:p w:rsidR="004E2CBE" w:rsidRPr="004578FF" w:rsidRDefault="004E2CBE" w:rsidP="00C634CA">
            <w:pPr>
              <w:spacing w:after="120"/>
              <w:rPr>
                <w:rFonts w:ascii="Century Gothic" w:hAnsi="Century Gothic"/>
                <w:sz w:val="18"/>
                <w:szCs w:val="18"/>
              </w:rPr>
            </w:pPr>
          </w:p>
        </w:tc>
        <w:tc>
          <w:tcPr>
            <w:tcW w:w="985" w:type="dxa"/>
          </w:tcPr>
          <w:p w:rsidR="004E2CBE" w:rsidRPr="004578FF" w:rsidRDefault="004E2CBE" w:rsidP="00C634CA">
            <w:pPr>
              <w:spacing w:after="120"/>
              <w:rPr>
                <w:rFonts w:ascii="Century Gothic" w:hAnsi="Century Gothic"/>
                <w:sz w:val="18"/>
                <w:szCs w:val="18"/>
              </w:rPr>
            </w:pPr>
          </w:p>
        </w:tc>
        <w:tc>
          <w:tcPr>
            <w:tcW w:w="985" w:type="dxa"/>
          </w:tcPr>
          <w:p w:rsidR="004E2CBE" w:rsidRPr="004578FF" w:rsidRDefault="004E2CBE" w:rsidP="00C634CA">
            <w:pPr>
              <w:spacing w:after="120"/>
              <w:rPr>
                <w:rFonts w:ascii="Century Gothic" w:hAnsi="Century Gothic"/>
                <w:sz w:val="18"/>
                <w:szCs w:val="18"/>
              </w:rPr>
            </w:pPr>
          </w:p>
        </w:tc>
        <w:tc>
          <w:tcPr>
            <w:tcW w:w="985" w:type="dxa"/>
          </w:tcPr>
          <w:p w:rsidR="004E2CBE" w:rsidRPr="004578FF" w:rsidRDefault="004E2CBE" w:rsidP="00C634CA">
            <w:pPr>
              <w:spacing w:after="120"/>
              <w:rPr>
                <w:rFonts w:ascii="Century Gothic" w:hAnsi="Century Gothic"/>
                <w:sz w:val="18"/>
                <w:szCs w:val="18"/>
              </w:rPr>
            </w:pPr>
          </w:p>
        </w:tc>
        <w:tc>
          <w:tcPr>
            <w:tcW w:w="986" w:type="dxa"/>
          </w:tcPr>
          <w:p w:rsidR="004E2CBE" w:rsidRPr="004578FF" w:rsidRDefault="004E2CBE" w:rsidP="00C634CA">
            <w:pPr>
              <w:spacing w:after="120"/>
              <w:rPr>
                <w:rFonts w:ascii="Century Gothic" w:hAnsi="Century Gothic"/>
                <w:sz w:val="18"/>
                <w:szCs w:val="18"/>
              </w:rPr>
            </w:pPr>
          </w:p>
        </w:tc>
      </w:tr>
      <w:tr w:rsidR="004E2CBE" w:rsidRPr="004578FF" w:rsidTr="00C634CA">
        <w:tc>
          <w:tcPr>
            <w:tcW w:w="4316" w:type="dxa"/>
          </w:tcPr>
          <w:p w:rsidR="004E2CBE" w:rsidRPr="004578FF" w:rsidRDefault="004E2CBE" w:rsidP="00C634CA">
            <w:pPr>
              <w:spacing w:after="120"/>
              <w:rPr>
                <w:rFonts w:ascii="Century Gothic" w:hAnsi="Century Gothic"/>
                <w:sz w:val="18"/>
                <w:szCs w:val="18"/>
              </w:rPr>
            </w:pPr>
            <w:r w:rsidRPr="004578FF">
              <w:rPr>
                <w:rFonts w:ascii="Century Gothic" w:hAnsi="Century Gothic"/>
                <w:sz w:val="18"/>
                <w:szCs w:val="18"/>
              </w:rPr>
              <w:t>There is a standard process among our schools to handover literacy and numeracy information for individual students.</w:t>
            </w:r>
          </w:p>
        </w:tc>
        <w:tc>
          <w:tcPr>
            <w:tcW w:w="985" w:type="dxa"/>
          </w:tcPr>
          <w:p w:rsidR="004E2CBE" w:rsidRPr="004578FF" w:rsidRDefault="004E2CBE" w:rsidP="00C634CA">
            <w:pPr>
              <w:spacing w:after="120"/>
              <w:rPr>
                <w:rFonts w:ascii="Century Gothic" w:hAnsi="Century Gothic"/>
                <w:sz w:val="18"/>
                <w:szCs w:val="18"/>
              </w:rPr>
            </w:pPr>
          </w:p>
        </w:tc>
        <w:tc>
          <w:tcPr>
            <w:tcW w:w="985" w:type="dxa"/>
          </w:tcPr>
          <w:p w:rsidR="004E2CBE" w:rsidRPr="004578FF" w:rsidRDefault="004E2CBE" w:rsidP="00C634CA">
            <w:pPr>
              <w:spacing w:after="120"/>
              <w:rPr>
                <w:rFonts w:ascii="Century Gothic" w:hAnsi="Century Gothic"/>
                <w:sz w:val="18"/>
                <w:szCs w:val="18"/>
              </w:rPr>
            </w:pPr>
          </w:p>
        </w:tc>
        <w:tc>
          <w:tcPr>
            <w:tcW w:w="985" w:type="dxa"/>
          </w:tcPr>
          <w:p w:rsidR="004E2CBE" w:rsidRPr="004578FF" w:rsidRDefault="004E2CBE" w:rsidP="00C634CA">
            <w:pPr>
              <w:spacing w:after="120"/>
              <w:rPr>
                <w:rFonts w:ascii="Century Gothic" w:hAnsi="Century Gothic"/>
                <w:sz w:val="18"/>
                <w:szCs w:val="18"/>
              </w:rPr>
            </w:pPr>
          </w:p>
        </w:tc>
        <w:tc>
          <w:tcPr>
            <w:tcW w:w="985" w:type="dxa"/>
          </w:tcPr>
          <w:p w:rsidR="004E2CBE" w:rsidRPr="004578FF" w:rsidRDefault="004E2CBE" w:rsidP="00C634CA">
            <w:pPr>
              <w:spacing w:after="120"/>
              <w:rPr>
                <w:rFonts w:ascii="Century Gothic" w:hAnsi="Century Gothic"/>
                <w:sz w:val="18"/>
                <w:szCs w:val="18"/>
              </w:rPr>
            </w:pPr>
          </w:p>
        </w:tc>
        <w:tc>
          <w:tcPr>
            <w:tcW w:w="986" w:type="dxa"/>
          </w:tcPr>
          <w:p w:rsidR="004E2CBE" w:rsidRPr="004578FF" w:rsidRDefault="004E2CBE" w:rsidP="00C634CA">
            <w:pPr>
              <w:spacing w:after="120"/>
              <w:rPr>
                <w:rFonts w:ascii="Century Gothic" w:hAnsi="Century Gothic"/>
                <w:sz w:val="18"/>
                <w:szCs w:val="18"/>
              </w:rPr>
            </w:pPr>
          </w:p>
        </w:tc>
      </w:tr>
      <w:tr w:rsidR="004E2CBE" w:rsidRPr="004578FF" w:rsidTr="00C634CA">
        <w:tc>
          <w:tcPr>
            <w:tcW w:w="4316" w:type="dxa"/>
          </w:tcPr>
          <w:p w:rsidR="004E2CBE" w:rsidRPr="004578FF" w:rsidRDefault="004E2CBE" w:rsidP="00C634CA">
            <w:pPr>
              <w:spacing w:after="120"/>
              <w:rPr>
                <w:rFonts w:ascii="Century Gothic" w:hAnsi="Century Gothic"/>
                <w:sz w:val="18"/>
                <w:szCs w:val="18"/>
              </w:rPr>
            </w:pPr>
            <w:r w:rsidRPr="004578FF">
              <w:rPr>
                <w:rFonts w:ascii="Century Gothic" w:hAnsi="Century Gothic"/>
                <w:sz w:val="18"/>
                <w:szCs w:val="18"/>
              </w:rPr>
              <w:t>There is a standard process among our schools to handover special needs information for individual students.</w:t>
            </w:r>
          </w:p>
        </w:tc>
        <w:tc>
          <w:tcPr>
            <w:tcW w:w="985" w:type="dxa"/>
          </w:tcPr>
          <w:p w:rsidR="004E2CBE" w:rsidRPr="004578FF" w:rsidRDefault="004E2CBE" w:rsidP="00C634CA">
            <w:pPr>
              <w:spacing w:after="120"/>
              <w:rPr>
                <w:rFonts w:ascii="Century Gothic" w:hAnsi="Century Gothic"/>
                <w:sz w:val="18"/>
                <w:szCs w:val="18"/>
              </w:rPr>
            </w:pPr>
          </w:p>
        </w:tc>
        <w:tc>
          <w:tcPr>
            <w:tcW w:w="985" w:type="dxa"/>
          </w:tcPr>
          <w:p w:rsidR="004E2CBE" w:rsidRPr="004578FF" w:rsidRDefault="004E2CBE" w:rsidP="00C634CA">
            <w:pPr>
              <w:spacing w:after="120"/>
              <w:rPr>
                <w:rFonts w:ascii="Century Gothic" w:hAnsi="Century Gothic"/>
                <w:sz w:val="18"/>
                <w:szCs w:val="18"/>
              </w:rPr>
            </w:pPr>
          </w:p>
        </w:tc>
        <w:tc>
          <w:tcPr>
            <w:tcW w:w="985" w:type="dxa"/>
          </w:tcPr>
          <w:p w:rsidR="004E2CBE" w:rsidRPr="004578FF" w:rsidRDefault="004E2CBE" w:rsidP="00C634CA">
            <w:pPr>
              <w:spacing w:after="120"/>
              <w:rPr>
                <w:rFonts w:ascii="Century Gothic" w:hAnsi="Century Gothic"/>
                <w:sz w:val="18"/>
                <w:szCs w:val="18"/>
              </w:rPr>
            </w:pPr>
          </w:p>
        </w:tc>
        <w:tc>
          <w:tcPr>
            <w:tcW w:w="985" w:type="dxa"/>
          </w:tcPr>
          <w:p w:rsidR="004E2CBE" w:rsidRPr="004578FF" w:rsidRDefault="004E2CBE" w:rsidP="00C634CA">
            <w:pPr>
              <w:spacing w:after="120"/>
              <w:rPr>
                <w:rFonts w:ascii="Century Gothic" w:hAnsi="Century Gothic"/>
                <w:sz w:val="18"/>
                <w:szCs w:val="18"/>
              </w:rPr>
            </w:pPr>
          </w:p>
        </w:tc>
        <w:tc>
          <w:tcPr>
            <w:tcW w:w="986" w:type="dxa"/>
          </w:tcPr>
          <w:p w:rsidR="004E2CBE" w:rsidRPr="004578FF" w:rsidRDefault="004E2CBE" w:rsidP="00C634CA">
            <w:pPr>
              <w:spacing w:after="120"/>
              <w:rPr>
                <w:rFonts w:ascii="Century Gothic" w:hAnsi="Century Gothic"/>
                <w:sz w:val="18"/>
                <w:szCs w:val="18"/>
              </w:rPr>
            </w:pPr>
          </w:p>
        </w:tc>
      </w:tr>
      <w:tr w:rsidR="004E2CBE" w:rsidRPr="004578FF" w:rsidTr="00C634CA">
        <w:tc>
          <w:tcPr>
            <w:tcW w:w="4316" w:type="dxa"/>
          </w:tcPr>
          <w:p w:rsidR="004E2CBE" w:rsidRPr="004578FF" w:rsidRDefault="004E2CBE" w:rsidP="00C634CA">
            <w:pPr>
              <w:spacing w:after="120"/>
              <w:rPr>
                <w:rFonts w:ascii="Century Gothic" w:hAnsi="Century Gothic"/>
                <w:sz w:val="18"/>
                <w:szCs w:val="18"/>
              </w:rPr>
            </w:pPr>
            <w:r w:rsidRPr="004578FF">
              <w:rPr>
                <w:rFonts w:ascii="Century Gothic" w:hAnsi="Century Gothic"/>
                <w:sz w:val="18"/>
                <w:szCs w:val="18"/>
              </w:rPr>
              <w:t>There is a standard process among our schools to handover well-being information for individual students.</w:t>
            </w:r>
          </w:p>
        </w:tc>
        <w:tc>
          <w:tcPr>
            <w:tcW w:w="985" w:type="dxa"/>
          </w:tcPr>
          <w:p w:rsidR="004E2CBE" w:rsidRPr="004578FF" w:rsidRDefault="004E2CBE" w:rsidP="00C634CA">
            <w:pPr>
              <w:spacing w:after="120"/>
              <w:rPr>
                <w:rFonts w:ascii="Century Gothic" w:hAnsi="Century Gothic"/>
                <w:sz w:val="18"/>
                <w:szCs w:val="18"/>
              </w:rPr>
            </w:pPr>
          </w:p>
        </w:tc>
        <w:tc>
          <w:tcPr>
            <w:tcW w:w="985" w:type="dxa"/>
          </w:tcPr>
          <w:p w:rsidR="004E2CBE" w:rsidRPr="004578FF" w:rsidRDefault="004E2CBE" w:rsidP="00C634CA">
            <w:pPr>
              <w:spacing w:after="120"/>
              <w:rPr>
                <w:rFonts w:ascii="Century Gothic" w:hAnsi="Century Gothic"/>
                <w:sz w:val="18"/>
                <w:szCs w:val="18"/>
              </w:rPr>
            </w:pPr>
          </w:p>
        </w:tc>
        <w:tc>
          <w:tcPr>
            <w:tcW w:w="985" w:type="dxa"/>
          </w:tcPr>
          <w:p w:rsidR="004E2CBE" w:rsidRPr="004578FF" w:rsidRDefault="004E2CBE" w:rsidP="00C634CA">
            <w:pPr>
              <w:spacing w:after="120"/>
              <w:rPr>
                <w:rFonts w:ascii="Century Gothic" w:hAnsi="Century Gothic"/>
                <w:sz w:val="18"/>
                <w:szCs w:val="18"/>
              </w:rPr>
            </w:pPr>
          </w:p>
        </w:tc>
        <w:tc>
          <w:tcPr>
            <w:tcW w:w="985" w:type="dxa"/>
          </w:tcPr>
          <w:p w:rsidR="004E2CBE" w:rsidRPr="004578FF" w:rsidRDefault="004E2CBE" w:rsidP="00C634CA">
            <w:pPr>
              <w:spacing w:after="120"/>
              <w:rPr>
                <w:rFonts w:ascii="Century Gothic" w:hAnsi="Century Gothic"/>
                <w:sz w:val="18"/>
                <w:szCs w:val="18"/>
              </w:rPr>
            </w:pPr>
          </w:p>
        </w:tc>
        <w:tc>
          <w:tcPr>
            <w:tcW w:w="986" w:type="dxa"/>
          </w:tcPr>
          <w:p w:rsidR="004E2CBE" w:rsidRPr="004578FF" w:rsidRDefault="004E2CBE" w:rsidP="00C634CA">
            <w:pPr>
              <w:spacing w:after="120"/>
              <w:rPr>
                <w:rFonts w:ascii="Century Gothic" w:hAnsi="Century Gothic"/>
                <w:sz w:val="18"/>
                <w:szCs w:val="18"/>
              </w:rPr>
            </w:pPr>
          </w:p>
        </w:tc>
      </w:tr>
      <w:tr w:rsidR="004E2CBE" w:rsidRPr="004578FF" w:rsidTr="00C634CA">
        <w:tc>
          <w:tcPr>
            <w:tcW w:w="4316" w:type="dxa"/>
          </w:tcPr>
          <w:p w:rsidR="004E2CBE" w:rsidRPr="004578FF" w:rsidRDefault="004E2CBE" w:rsidP="00C634CA">
            <w:pPr>
              <w:spacing w:after="120"/>
              <w:rPr>
                <w:rFonts w:ascii="Century Gothic" w:hAnsi="Century Gothic"/>
                <w:sz w:val="18"/>
                <w:szCs w:val="18"/>
              </w:rPr>
            </w:pPr>
            <w:r w:rsidRPr="004578FF">
              <w:rPr>
                <w:rFonts w:ascii="Century Gothic" w:hAnsi="Century Gothic"/>
                <w:sz w:val="18"/>
                <w:szCs w:val="18"/>
              </w:rPr>
              <w:t>Our school provides/receives (whichever is applicable) formal literacy and numeracy information of individual students.</w:t>
            </w:r>
          </w:p>
        </w:tc>
        <w:tc>
          <w:tcPr>
            <w:tcW w:w="985" w:type="dxa"/>
          </w:tcPr>
          <w:p w:rsidR="004E2CBE" w:rsidRPr="004578FF" w:rsidRDefault="004E2CBE" w:rsidP="00C634CA">
            <w:pPr>
              <w:spacing w:after="120"/>
              <w:rPr>
                <w:rFonts w:ascii="Century Gothic" w:hAnsi="Century Gothic"/>
                <w:sz w:val="18"/>
                <w:szCs w:val="18"/>
              </w:rPr>
            </w:pPr>
          </w:p>
        </w:tc>
        <w:tc>
          <w:tcPr>
            <w:tcW w:w="985" w:type="dxa"/>
          </w:tcPr>
          <w:p w:rsidR="004E2CBE" w:rsidRPr="004578FF" w:rsidRDefault="004E2CBE" w:rsidP="00C634CA">
            <w:pPr>
              <w:spacing w:after="120"/>
              <w:rPr>
                <w:rFonts w:ascii="Century Gothic" w:hAnsi="Century Gothic"/>
                <w:sz w:val="18"/>
                <w:szCs w:val="18"/>
              </w:rPr>
            </w:pPr>
          </w:p>
        </w:tc>
        <w:tc>
          <w:tcPr>
            <w:tcW w:w="985" w:type="dxa"/>
          </w:tcPr>
          <w:p w:rsidR="004E2CBE" w:rsidRPr="004578FF" w:rsidRDefault="004E2CBE" w:rsidP="00C634CA">
            <w:pPr>
              <w:spacing w:after="120"/>
              <w:rPr>
                <w:rFonts w:ascii="Century Gothic" w:hAnsi="Century Gothic"/>
                <w:sz w:val="18"/>
                <w:szCs w:val="18"/>
              </w:rPr>
            </w:pPr>
          </w:p>
        </w:tc>
        <w:tc>
          <w:tcPr>
            <w:tcW w:w="985" w:type="dxa"/>
          </w:tcPr>
          <w:p w:rsidR="004E2CBE" w:rsidRPr="004578FF" w:rsidRDefault="004E2CBE" w:rsidP="00C634CA">
            <w:pPr>
              <w:spacing w:after="120"/>
              <w:rPr>
                <w:rFonts w:ascii="Century Gothic" w:hAnsi="Century Gothic"/>
                <w:sz w:val="18"/>
                <w:szCs w:val="18"/>
              </w:rPr>
            </w:pPr>
          </w:p>
        </w:tc>
        <w:tc>
          <w:tcPr>
            <w:tcW w:w="986" w:type="dxa"/>
          </w:tcPr>
          <w:p w:rsidR="004E2CBE" w:rsidRPr="004578FF" w:rsidRDefault="004E2CBE" w:rsidP="00C634CA">
            <w:pPr>
              <w:spacing w:after="120"/>
              <w:rPr>
                <w:rFonts w:ascii="Century Gothic" w:hAnsi="Century Gothic"/>
                <w:sz w:val="18"/>
                <w:szCs w:val="18"/>
              </w:rPr>
            </w:pPr>
          </w:p>
        </w:tc>
      </w:tr>
    </w:tbl>
    <w:p w:rsidR="001B715F" w:rsidRDefault="00C00869"/>
    <w:sectPr w:rsidR="001B715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869" w:rsidRDefault="00C00869" w:rsidP="00744E64">
      <w:pPr>
        <w:spacing w:after="0" w:line="240" w:lineRule="auto"/>
      </w:pPr>
      <w:r>
        <w:separator/>
      </w:r>
    </w:p>
  </w:endnote>
  <w:endnote w:type="continuationSeparator" w:id="0">
    <w:p w:rsidR="00C00869" w:rsidRDefault="00C00869" w:rsidP="00744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6A2" w:rsidRDefault="008556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6A2" w:rsidRDefault="008556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6A2" w:rsidRDefault="008556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869" w:rsidRDefault="00C00869" w:rsidP="00744E64">
      <w:pPr>
        <w:spacing w:after="0" w:line="240" w:lineRule="auto"/>
      </w:pPr>
      <w:r>
        <w:separator/>
      </w:r>
    </w:p>
  </w:footnote>
  <w:footnote w:type="continuationSeparator" w:id="0">
    <w:p w:rsidR="00C00869" w:rsidRDefault="00C00869" w:rsidP="00744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6A2" w:rsidRDefault="008556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E64" w:rsidRPr="008556A2" w:rsidRDefault="00744E64">
    <w:pPr>
      <w:pStyle w:val="Header"/>
      <w:rPr>
        <w:rFonts w:ascii="Century Gothic" w:hAnsi="Century Gothic"/>
        <w:color w:val="17365D" w:themeColor="text2" w:themeShade="BF"/>
        <w:sz w:val="32"/>
        <w:szCs w:val="32"/>
      </w:rPr>
    </w:pPr>
    <w:r w:rsidRPr="008556A2">
      <w:rPr>
        <w:rFonts w:ascii="Century Gothic" w:hAnsi="Century Gothic"/>
        <w:color w:val="17365D" w:themeColor="text2" w:themeShade="BF"/>
        <w:sz w:val="32"/>
        <w:szCs w:val="32"/>
      </w:rPr>
      <w:t>School and Cluster Transition Planning</w:t>
    </w:r>
  </w:p>
  <w:p w:rsidR="00744E64" w:rsidRPr="008556A2" w:rsidRDefault="00744E64">
    <w:pPr>
      <w:pStyle w:val="Header"/>
      <w:rPr>
        <w:rFonts w:ascii="Century Gothic" w:hAnsi="Century Gothic"/>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6A2" w:rsidRDefault="008556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CBE"/>
    <w:rsid w:val="00116D8C"/>
    <w:rsid w:val="001B529A"/>
    <w:rsid w:val="0047358C"/>
    <w:rsid w:val="004E2CBE"/>
    <w:rsid w:val="00744E64"/>
    <w:rsid w:val="007A193C"/>
    <w:rsid w:val="008556A2"/>
    <w:rsid w:val="00893E34"/>
    <w:rsid w:val="00AB4359"/>
    <w:rsid w:val="00B86C9E"/>
    <w:rsid w:val="00BD5E88"/>
    <w:rsid w:val="00C00869"/>
    <w:rsid w:val="00EB4479"/>
    <w:rsid w:val="00EF1056"/>
    <w:rsid w:val="00EF3F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4C96C"/>
  <w15:docId w15:val="{6B2CCA6B-987A-46AB-8320-7497A1C10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CBE"/>
  </w:style>
  <w:style w:type="paragraph" w:styleId="Heading2">
    <w:name w:val="heading 2"/>
    <w:basedOn w:val="Normal"/>
    <w:next w:val="Normal"/>
    <w:link w:val="Heading2Char"/>
    <w:uiPriority w:val="9"/>
    <w:unhideWhenUsed/>
    <w:qFormat/>
    <w:rsid w:val="004E2C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E2CBE"/>
    <w:rPr>
      <w:rFonts w:asciiTheme="majorHAnsi" w:eastAsiaTheme="majorEastAsia" w:hAnsiTheme="majorHAnsi" w:cstheme="majorBidi"/>
      <w:b/>
      <w:bCs/>
      <w:color w:val="4F81BD" w:themeColor="accent1"/>
      <w:sz w:val="26"/>
      <w:szCs w:val="26"/>
    </w:rPr>
  </w:style>
  <w:style w:type="table" w:styleId="TableGrid">
    <w:name w:val="Table Grid"/>
    <w:basedOn w:val="TableNormal"/>
    <w:rsid w:val="004E2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4E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4E64"/>
  </w:style>
  <w:style w:type="paragraph" w:styleId="Footer">
    <w:name w:val="footer"/>
    <w:basedOn w:val="Normal"/>
    <w:link w:val="FooterChar"/>
    <w:uiPriority w:val="99"/>
    <w:unhideWhenUsed/>
    <w:rsid w:val="00744E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4E64"/>
  </w:style>
  <w:style w:type="paragraph" w:styleId="BalloonText">
    <w:name w:val="Balloon Text"/>
    <w:basedOn w:val="Normal"/>
    <w:link w:val="BalloonTextChar"/>
    <w:uiPriority w:val="99"/>
    <w:semiHidden/>
    <w:unhideWhenUsed/>
    <w:rsid w:val="00744E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4E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2DF7A0-8628-4E5E-95FC-941D6A55EE17}"/>
</file>

<file path=customXml/itemProps2.xml><?xml version="1.0" encoding="utf-8"?>
<ds:datastoreItem xmlns:ds="http://schemas.openxmlformats.org/officeDocument/2006/customXml" ds:itemID="{B925AB11-6532-4C8E-96E3-785F19EC4DF2}"/>
</file>

<file path=customXml/itemProps3.xml><?xml version="1.0" encoding="utf-8"?>
<ds:datastoreItem xmlns:ds="http://schemas.openxmlformats.org/officeDocument/2006/customXml" ds:itemID="{8949584E-D319-4CBB-808C-B36ACB6757AB}"/>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Rosemary J</dc:creator>
  <cp:lastModifiedBy>Cant, Lisa L</cp:lastModifiedBy>
  <cp:revision>3</cp:revision>
  <cp:lastPrinted>2015-12-08T22:45:00Z</cp:lastPrinted>
  <dcterms:created xsi:type="dcterms:W3CDTF">2017-03-01T03:48:00Z</dcterms:created>
  <dcterms:modified xsi:type="dcterms:W3CDTF">2017-03-01T03:53:00Z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