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9FEBB" w14:textId="3BB75AD9" w:rsidR="00E17350" w:rsidRPr="00483D45" w:rsidRDefault="00E17350" w:rsidP="00483D45">
      <w:pPr>
        <w:pStyle w:val="DETHeading1"/>
        <w:jc w:val="right"/>
      </w:pPr>
      <w:r w:rsidRPr="00483D45">
        <w:rPr>
          <w:noProof/>
          <w:lang w:val="en-AU" w:eastAsia="en-AU"/>
        </w:rPr>
        <w:drawing>
          <wp:anchor distT="0" distB="0" distL="114300" distR="114300" simplePos="0" relativeHeight="251659264" behindDoc="1" locked="0" layoutInCell="1" allowOverlap="1" wp14:anchorId="7D51840E" wp14:editId="51828053">
            <wp:simplePos x="0" y="0"/>
            <wp:positionH relativeFrom="column">
              <wp:posOffset>-332740</wp:posOffset>
            </wp:positionH>
            <wp:positionV relativeFrom="paragraph">
              <wp:posOffset>-132715</wp:posOffset>
            </wp:positionV>
            <wp:extent cx="2733675" cy="711200"/>
            <wp:effectExtent l="0" t="0" r="0" b="0"/>
            <wp:wrapNone/>
            <wp:docPr id="2" name="Picture 2" descr="../../../Logos%20Folder/EDUCATION%20&amp;%20TRAINING/PNG%20RGB/VICGOV_EDUCATION_LOGO_GOV_BLUE_RGB.pn" title="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a:blip r:embed="rId12" cstate="hqprint">
                      <a:extLst>
                        <a:ext uri="{28A0092B-C50C-407E-A947-70E740481C1C}">
                          <a14:useLocalDpi xmlns:a14="http://schemas.microsoft.com/office/drawing/2010/main" val="0"/>
                        </a:ext>
                      </a:extLst>
                    </a:blip>
                    <a:srcRect/>
                    <a:stretch>
                      <a:fillRect/>
                    </a:stretch>
                  </pic:blipFill>
                  <pic:spPr bwMode="auto">
                    <a:xfrm>
                      <a:off x="0" y="0"/>
                      <a:ext cx="273367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238D8" w:rsidRPr="00483D45">
        <w:t>PERMANENT ADDRESS</w:t>
      </w:r>
    </w:p>
    <w:p w14:paraId="34A71F3A" w14:textId="07818483" w:rsidR="00E17350" w:rsidRPr="00B341AB" w:rsidRDefault="00C238D8" w:rsidP="00B341AB">
      <w:pPr>
        <w:pStyle w:val="DETHeading2"/>
        <w:jc w:val="right"/>
        <w:rPr>
          <w:rFonts w:eastAsia="Calibri"/>
        </w:rPr>
      </w:pPr>
      <w:r>
        <w:rPr>
          <w:rFonts w:eastAsia="Calibri"/>
        </w:rPr>
        <w:t>GUIDELINES FOR SCHOOLS</w:t>
      </w:r>
    </w:p>
    <w:p w14:paraId="0A65C55F" w14:textId="37EA6D1C" w:rsidR="004F1E3F" w:rsidRDefault="00E17350" w:rsidP="00E17350">
      <w:pPr>
        <w:pStyle w:val="DETBodyText"/>
      </w:pPr>
      <w:r>
        <w:tab/>
      </w:r>
    </w:p>
    <w:p w14:paraId="063FFF7B" w14:textId="77777777" w:rsidR="004F1E3F" w:rsidRPr="004F1E3F" w:rsidRDefault="004F1E3F" w:rsidP="004F1E3F">
      <w:pPr>
        <w:rPr>
          <w:lang w:val="en-US"/>
        </w:rPr>
      </w:pPr>
    </w:p>
    <w:p w14:paraId="7AA901D1" w14:textId="77777777" w:rsidR="004F1E3F" w:rsidRPr="004F1E3F" w:rsidRDefault="004F1E3F" w:rsidP="004F1E3F">
      <w:pPr>
        <w:rPr>
          <w:lang w:val="en-US"/>
        </w:rPr>
      </w:pPr>
    </w:p>
    <w:p w14:paraId="60988463" w14:textId="09712B96" w:rsidR="004F1E3F" w:rsidRPr="00D4474B" w:rsidRDefault="00D4474B" w:rsidP="00D4474B">
      <w:pPr>
        <w:pStyle w:val="DETHeading2"/>
        <w:rPr>
          <w:b w:val="0"/>
          <w:lang w:val="en-US"/>
        </w:rPr>
      </w:pPr>
      <w:r w:rsidRPr="00D4474B">
        <w:rPr>
          <w:b w:val="0"/>
          <w:caps w:val="0"/>
          <w:lang w:val="en-US"/>
        </w:rPr>
        <w:t>These guidelines provide principals and schools information on:</w:t>
      </w:r>
    </w:p>
    <w:p w14:paraId="31991004" w14:textId="77777777" w:rsidR="004F1E3F" w:rsidRDefault="004F1E3F" w:rsidP="004F1E3F">
      <w:pPr>
        <w:rPr>
          <w:lang w:val="en-US"/>
        </w:rPr>
      </w:pPr>
    </w:p>
    <w:p w14:paraId="468F012D" w14:textId="21D94C30" w:rsidR="004F1E3F" w:rsidRPr="004F1E3F" w:rsidRDefault="004F1E3F" w:rsidP="004F1E3F">
      <w:pPr>
        <w:pStyle w:val="ListParagraph"/>
        <w:numPr>
          <w:ilvl w:val="0"/>
          <w:numId w:val="26"/>
        </w:numPr>
        <w:rPr>
          <w:lang w:val="en-US"/>
        </w:rPr>
      </w:pPr>
      <w:r w:rsidRPr="004F1E3F">
        <w:rPr>
          <w:noProof/>
        </w:rPr>
        <w:t>verifying a student’s permane</w:t>
      </w:r>
      <w:r>
        <w:rPr>
          <w:noProof/>
        </w:rPr>
        <w:t xml:space="preserve">nt residence for </w:t>
      </w:r>
      <w:r w:rsidRPr="004F1E3F">
        <w:rPr>
          <w:noProof/>
        </w:rPr>
        <w:t>enrolment eligibility</w:t>
      </w:r>
    </w:p>
    <w:p w14:paraId="01085DBD" w14:textId="23C0D350" w:rsidR="004F1E3F" w:rsidRPr="004F1E3F" w:rsidRDefault="004F1E3F" w:rsidP="004F1E3F">
      <w:pPr>
        <w:pStyle w:val="ListParagraph"/>
        <w:numPr>
          <w:ilvl w:val="0"/>
          <w:numId w:val="26"/>
        </w:numPr>
        <w:rPr>
          <w:lang w:val="en-US"/>
        </w:rPr>
      </w:pPr>
      <w:r>
        <w:rPr>
          <w:noProof/>
        </w:rPr>
        <w:t>evidence of permanent residence that may be requested by schools</w:t>
      </w:r>
    </w:p>
    <w:p w14:paraId="70C3901E" w14:textId="51723E5D" w:rsidR="004F1E3F" w:rsidRPr="004F1E3F" w:rsidRDefault="004F1E3F" w:rsidP="004F1E3F">
      <w:pPr>
        <w:pStyle w:val="ListParagraph"/>
        <w:numPr>
          <w:ilvl w:val="0"/>
          <w:numId w:val="26"/>
        </w:numPr>
        <w:rPr>
          <w:lang w:val="en-US"/>
        </w:rPr>
      </w:pPr>
      <w:r>
        <w:rPr>
          <w:noProof/>
        </w:rPr>
        <w:t>enquiries to verify permanent residence that can be made by schools</w:t>
      </w:r>
    </w:p>
    <w:p w14:paraId="600019C8" w14:textId="5E4CD5F5" w:rsidR="004F1E3F" w:rsidRPr="004F1E3F" w:rsidRDefault="004F1E3F" w:rsidP="004F1E3F">
      <w:pPr>
        <w:pStyle w:val="ListParagraph"/>
        <w:numPr>
          <w:ilvl w:val="0"/>
          <w:numId w:val="26"/>
        </w:numPr>
        <w:rPr>
          <w:lang w:val="en-US"/>
        </w:rPr>
      </w:pPr>
      <w:r>
        <w:rPr>
          <w:rFonts w:eastAsia="Times New Roman"/>
          <w:noProof/>
          <w:lang w:eastAsia="en-AU"/>
        </w:rPr>
        <w:t xml:space="preserve">steps </w:t>
      </w:r>
      <w:r w:rsidRPr="004F1E3F">
        <w:rPr>
          <w:rFonts w:eastAsia="Times New Roman"/>
          <w:noProof/>
          <w:lang w:eastAsia="en-AU"/>
        </w:rPr>
        <w:t>a school take if they do no</w:t>
      </w:r>
      <w:r>
        <w:rPr>
          <w:rFonts w:eastAsia="Times New Roman"/>
          <w:noProof/>
          <w:lang w:eastAsia="en-AU"/>
        </w:rPr>
        <w:t>t accept the address provided</w:t>
      </w:r>
    </w:p>
    <w:p w14:paraId="726AB661" w14:textId="6FADABCD" w:rsidR="004F1E3F" w:rsidRPr="004F1E3F" w:rsidRDefault="004F1E3F" w:rsidP="004F1E3F">
      <w:pPr>
        <w:pStyle w:val="ListParagraph"/>
        <w:numPr>
          <w:ilvl w:val="0"/>
          <w:numId w:val="26"/>
        </w:numPr>
        <w:rPr>
          <w:lang w:val="en-US"/>
        </w:rPr>
      </w:pPr>
      <w:r w:rsidRPr="004F1E3F">
        <w:rPr>
          <w:rFonts w:eastAsiaTheme="minorEastAsia"/>
          <w:noProof/>
        </w:rPr>
        <w:t>changes to address after an enrolment offer is made</w:t>
      </w:r>
    </w:p>
    <w:p w14:paraId="06CCC1A0" w14:textId="2030A050" w:rsidR="00F62EDA" w:rsidRDefault="004F1E3F" w:rsidP="004F1E3F">
      <w:pPr>
        <w:pStyle w:val="ListParagraph"/>
        <w:numPr>
          <w:ilvl w:val="0"/>
          <w:numId w:val="26"/>
        </w:numPr>
        <w:rPr>
          <w:lang w:val="en-US"/>
        </w:rPr>
      </w:pPr>
      <w:r w:rsidRPr="004F1E3F">
        <w:rPr>
          <w:rFonts w:eastAsiaTheme="minorEastAsia"/>
          <w:noProof/>
        </w:rPr>
        <w:t xml:space="preserve">students </w:t>
      </w:r>
      <w:r>
        <w:rPr>
          <w:rFonts w:eastAsiaTheme="minorEastAsia"/>
          <w:noProof/>
        </w:rPr>
        <w:t xml:space="preserve">who are </w:t>
      </w:r>
      <w:r w:rsidRPr="004F1E3F">
        <w:rPr>
          <w:rFonts w:eastAsiaTheme="minorEastAsia"/>
          <w:noProof/>
        </w:rPr>
        <w:t>unable to provide evidence of permanent residence</w:t>
      </w:r>
    </w:p>
    <w:p w14:paraId="1785C336" w14:textId="77777777" w:rsidR="00817EA0" w:rsidRDefault="00817EA0" w:rsidP="00817EA0">
      <w:pPr>
        <w:pStyle w:val="DETHeading1"/>
        <w:pageBreakBefore w:val="0"/>
        <w:rPr>
          <w:b w:val="0"/>
        </w:rPr>
      </w:pPr>
      <w:bookmarkStart w:id="0" w:name="_Toc489531580"/>
    </w:p>
    <w:p w14:paraId="56416BC8" w14:textId="779B2FCD" w:rsidR="0044309E" w:rsidRPr="006B4317" w:rsidRDefault="00F54A80" w:rsidP="00817EA0">
      <w:pPr>
        <w:pStyle w:val="DETHeading1"/>
        <w:pageBreakBefore w:val="0"/>
        <w:rPr>
          <w:b w:val="0"/>
        </w:rPr>
      </w:pPr>
      <w:r>
        <w:rPr>
          <w:b w:val="0"/>
        </w:rPr>
        <w:t>V</w:t>
      </w:r>
      <w:r w:rsidR="0044309E" w:rsidRPr="006B4317">
        <w:rPr>
          <w:b w:val="0"/>
        </w:rPr>
        <w:t>erifying a studen</w:t>
      </w:r>
      <w:r w:rsidR="004F1E3F">
        <w:rPr>
          <w:b w:val="0"/>
        </w:rPr>
        <w:t xml:space="preserve">t’s </w:t>
      </w:r>
      <w:r w:rsidR="004F1E3F" w:rsidRPr="00D4474B">
        <w:rPr>
          <w:b w:val="0"/>
          <w:color w:val="004EA8"/>
        </w:rPr>
        <w:t>permanent</w:t>
      </w:r>
      <w:r w:rsidR="004F1E3F">
        <w:rPr>
          <w:b w:val="0"/>
        </w:rPr>
        <w:t xml:space="preserve"> residence for the </w:t>
      </w:r>
      <w:r w:rsidR="0044309E" w:rsidRPr="006B4317">
        <w:rPr>
          <w:b w:val="0"/>
        </w:rPr>
        <w:t>purpose of enrolment eligibility</w:t>
      </w:r>
      <w:bookmarkEnd w:id="0"/>
      <w:r w:rsidR="0044309E" w:rsidRPr="006B4317">
        <w:rPr>
          <w:b w:val="0"/>
        </w:rPr>
        <w:t xml:space="preserve"> </w:t>
      </w:r>
    </w:p>
    <w:p w14:paraId="4F0823FC" w14:textId="02514AFE" w:rsidR="007A3077" w:rsidRDefault="0044309E" w:rsidP="00817EA0">
      <w:pPr>
        <w:pStyle w:val="DETBodyText"/>
      </w:pPr>
      <w:r w:rsidRPr="0044309E">
        <w:t xml:space="preserve">Where demand for places exceeds supply at a Victorian government school due to the number of students who seek entry, </w:t>
      </w:r>
      <w:r w:rsidR="007A3077">
        <w:t xml:space="preserve">Department policy on placement of students requires </w:t>
      </w:r>
      <w:r w:rsidRPr="0044309E">
        <w:t>school</w:t>
      </w:r>
      <w:r w:rsidR="007A3077">
        <w:t xml:space="preserve">s to </w:t>
      </w:r>
      <w:proofErr w:type="spellStart"/>
      <w:r w:rsidR="00444FED">
        <w:t>enrol</w:t>
      </w:r>
      <w:proofErr w:type="spellEnd"/>
      <w:r w:rsidR="007A3077">
        <w:t xml:space="preserve"> students in accordance with a priority order of placement, subject to any </w:t>
      </w:r>
      <w:r w:rsidR="00444FED">
        <w:t>enrolment</w:t>
      </w:r>
      <w:r w:rsidR="007A3077">
        <w:t xml:space="preserve"> </w:t>
      </w:r>
      <w:r w:rsidR="00006EFE">
        <w:t xml:space="preserve">criteria </w:t>
      </w:r>
      <w:r w:rsidR="007A3077">
        <w:t xml:space="preserve">specified by the Minister or delegate. Please refer to the </w:t>
      </w:r>
      <w:hyperlink r:id="rId13" w:history="1">
        <w:r w:rsidR="007A3077" w:rsidRPr="00F01423">
          <w:rPr>
            <w:rStyle w:val="Hyperlink"/>
          </w:rPr>
          <w:t>Placement</w:t>
        </w:r>
      </w:hyperlink>
      <w:r w:rsidR="007A3077" w:rsidRPr="006B4317">
        <w:t xml:space="preserve"> </w:t>
      </w:r>
      <w:r w:rsidR="006B4317">
        <w:t>policy</w:t>
      </w:r>
      <w:r w:rsidR="007A3077">
        <w:t xml:space="preserve"> </w:t>
      </w:r>
      <w:r w:rsidR="006B4317">
        <w:t>in</w:t>
      </w:r>
      <w:r w:rsidR="007A3077">
        <w:t xml:space="preserve"> the </w:t>
      </w:r>
      <w:r w:rsidR="007A3077" w:rsidRPr="006B4317">
        <w:t>School Policy and Advisory Guide</w:t>
      </w:r>
      <w:r w:rsidR="007A3077">
        <w:t xml:space="preserve"> for further information on the priorit</w:t>
      </w:r>
      <w:r w:rsidR="00006EFE">
        <w:t>y</w:t>
      </w:r>
      <w:r w:rsidR="007A3077">
        <w:t xml:space="preserve"> order </w:t>
      </w:r>
      <w:r w:rsidR="00173DC4">
        <w:t>of placement.</w:t>
      </w:r>
      <w:r w:rsidR="006B4317">
        <w:t xml:space="preserve"> </w:t>
      </w:r>
    </w:p>
    <w:p w14:paraId="61C33FF7" w14:textId="13CF2A55" w:rsidR="0044309E" w:rsidRPr="0044309E" w:rsidRDefault="00484F19" w:rsidP="00173DC4">
      <w:pPr>
        <w:pStyle w:val="DETBodyText"/>
      </w:pPr>
      <w:r>
        <w:t>When implementing the priority order of placement,</w:t>
      </w:r>
      <w:r w:rsidR="0044309E" w:rsidRPr="0044309E">
        <w:t xml:space="preserve"> staff may be required to implement measures to verify information provided about the students’ permanent residence prior to accepting enrolment applications.</w:t>
      </w:r>
    </w:p>
    <w:p w14:paraId="1639A9FF" w14:textId="77B9430D" w:rsidR="00A3402C" w:rsidRPr="00173DC4" w:rsidRDefault="00A3402C" w:rsidP="00173DC4">
      <w:pPr>
        <w:pStyle w:val="DETBodyText"/>
      </w:pPr>
      <w:r>
        <w:t>If schools require further information regard</w:t>
      </w:r>
      <w:r w:rsidR="000F7255">
        <w:t>ing</w:t>
      </w:r>
      <w:r>
        <w:t xml:space="preserve"> a child’s eligibility for schooling, refer to </w:t>
      </w:r>
      <w:hyperlink r:id="rId14" w:history="1">
        <w:r w:rsidRPr="00F01423">
          <w:rPr>
            <w:rStyle w:val="Hyperlink"/>
          </w:rPr>
          <w:t>Admission</w:t>
        </w:r>
      </w:hyperlink>
      <w:r w:rsidR="00173DC4">
        <w:t>.</w:t>
      </w:r>
    </w:p>
    <w:p w14:paraId="3D3B4AB1" w14:textId="7B61B1D0" w:rsidR="00A3402C" w:rsidRPr="006B4317" w:rsidRDefault="006B4317" w:rsidP="00173DC4">
      <w:pPr>
        <w:pStyle w:val="DETHeading2"/>
        <w:spacing w:before="0"/>
        <w:rPr>
          <w:b w:val="0"/>
        </w:rPr>
      </w:pPr>
      <w:r w:rsidRPr="006B4317">
        <w:rPr>
          <w:b w:val="0"/>
          <w:caps w:val="0"/>
        </w:rPr>
        <w:t>Definition</w:t>
      </w:r>
    </w:p>
    <w:p w14:paraId="7723B6A7" w14:textId="77FACD15" w:rsidR="007E6337" w:rsidRDefault="005F2769" w:rsidP="00173DC4">
      <w:pPr>
        <w:pStyle w:val="DETBodyText"/>
      </w:pPr>
      <w:r>
        <w:t xml:space="preserve">For the purpose of student enrolment in Victorian </w:t>
      </w:r>
      <w:r w:rsidR="000F7255">
        <w:t>g</w:t>
      </w:r>
      <w:r w:rsidR="00444FED">
        <w:t>overnment</w:t>
      </w:r>
      <w:r>
        <w:t xml:space="preserve"> schools, the Department </w:t>
      </w:r>
      <w:r w:rsidR="007F383F">
        <w:t>considers</w:t>
      </w:r>
      <w:r>
        <w:t xml:space="preserve"> p</w:t>
      </w:r>
      <w:r w:rsidR="00A3402C" w:rsidRPr="00F800E5">
        <w:t xml:space="preserve">ermanent place of </w:t>
      </w:r>
      <w:r w:rsidR="00006EFE">
        <w:t>residence</w:t>
      </w:r>
      <w:r w:rsidR="00006EFE" w:rsidRPr="00F800E5">
        <w:t xml:space="preserve"> </w:t>
      </w:r>
      <w:r w:rsidR="00A3402C" w:rsidRPr="00F800E5">
        <w:t xml:space="preserve">is the address </w:t>
      </w:r>
      <w:r w:rsidR="00006EFE">
        <w:t xml:space="preserve">at which </w:t>
      </w:r>
      <w:r w:rsidR="00A3402C" w:rsidRPr="00F800E5">
        <w:t xml:space="preserve">a child permanently resides at the time of enrolment. </w:t>
      </w:r>
      <w:r w:rsidR="00A3402C">
        <w:t>If a child resides at multiple addresses</w:t>
      </w:r>
      <w:r w:rsidR="000F7255">
        <w:t>,</w:t>
      </w:r>
      <w:r w:rsidR="00A3402C">
        <w:t xml:space="preserve"> </w:t>
      </w:r>
      <w:r>
        <w:t xml:space="preserve">the child’s ‘permanent </w:t>
      </w:r>
      <w:r w:rsidR="00006EFE">
        <w:t>residence</w:t>
      </w:r>
      <w:r>
        <w:t>’</w:t>
      </w:r>
      <w:r w:rsidR="00A3402C">
        <w:t xml:space="preserve"> is the address </w:t>
      </w:r>
      <w:r w:rsidR="000F7255">
        <w:t xml:space="preserve">at which </w:t>
      </w:r>
      <w:r w:rsidR="00A3402C">
        <w:t xml:space="preserve">the child spends the majority of </w:t>
      </w:r>
      <w:r w:rsidR="000F7255">
        <w:t xml:space="preserve">his/her </w:t>
      </w:r>
      <w:r w:rsidR="000E36B9">
        <w:t>weekdays</w:t>
      </w:r>
      <w:r w:rsidR="00A3402C">
        <w:t>.</w:t>
      </w:r>
    </w:p>
    <w:p w14:paraId="7FFAA6AF" w14:textId="65A81DC7" w:rsidR="00461B55" w:rsidRPr="00461B55" w:rsidRDefault="00461B55" w:rsidP="00461B55">
      <w:pPr>
        <w:pStyle w:val="DETBodyText"/>
      </w:pPr>
      <w:bookmarkStart w:id="1" w:name="_Toc489531581"/>
      <w:r w:rsidRPr="00461B55">
        <w:t xml:space="preserve">If the child spends an equal amount of time at two addresses, both addresses will be considered the child’s permanent address and the child will be entitled to </w:t>
      </w:r>
      <w:proofErr w:type="spellStart"/>
      <w:r w:rsidRPr="00461B55">
        <w:t>enrol</w:t>
      </w:r>
      <w:proofErr w:type="spellEnd"/>
      <w:r w:rsidRPr="00461B55">
        <w:t xml:space="preserve"> in the designated </w:t>
      </w:r>
      <w:proofErr w:type="spellStart"/>
      <w:r w:rsidRPr="00461B55">
        <w:t>neighbourhood</w:t>
      </w:r>
      <w:proofErr w:type="spellEnd"/>
      <w:r w:rsidRPr="00461B55">
        <w:t xml:space="preserve"> school for either address (or any other Victorian government school subject to entry criteria and capacity). The final choice of which school the child ultimately attends rests with the parents/</w:t>
      </w:r>
      <w:proofErr w:type="spellStart"/>
      <w:r w:rsidRPr="00461B55">
        <w:t>carers</w:t>
      </w:r>
      <w:proofErr w:type="spellEnd"/>
      <w:r w:rsidRPr="00461B55">
        <w:t xml:space="preserve"> or student if they are an adult or mature minor for the purpose of making enrolment decisions</w:t>
      </w:r>
      <w:r>
        <w:t>.</w:t>
      </w:r>
    </w:p>
    <w:p w14:paraId="2EDC5EC7" w14:textId="522C13A6" w:rsidR="0044309E" w:rsidRPr="006B4317" w:rsidRDefault="006B4317" w:rsidP="00173DC4">
      <w:pPr>
        <w:pStyle w:val="DETHeading2"/>
        <w:spacing w:before="0"/>
        <w:rPr>
          <w:b w:val="0"/>
        </w:rPr>
      </w:pPr>
      <w:r w:rsidRPr="006B4317">
        <w:rPr>
          <w:b w:val="0"/>
          <w:caps w:val="0"/>
        </w:rPr>
        <w:t xml:space="preserve">Evidence of permanent residence that may be requested </w:t>
      </w:r>
      <w:bookmarkEnd w:id="1"/>
    </w:p>
    <w:p w14:paraId="7540931B" w14:textId="03AD8FF2" w:rsidR="0044309E" w:rsidRPr="0044309E" w:rsidRDefault="0044309E" w:rsidP="00173DC4">
      <w:pPr>
        <w:pStyle w:val="DETBodyText"/>
      </w:pPr>
      <w:r w:rsidRPr="0044309E">
        <w:t>To assist schools in verifying a student’s permanent residence when assessing enrolment applications, schools may request parents/</w:t>
      </w:r>
      <w:proofErr w:type="spellStart"/>
      <w:r w:rsidRPr="0044309E">
        <w:t>carers</w:t>
      </w:r>
      <w:proofErr w:type="spellEnd"/>
      <w:r w:rsidRPr="0044309E">
        <w:t xml:space="preserve"> to provide supporting documentation. </w:t>
      </w:r>
      <w:r w:rsidR="00D46DC6">
        <w:t>This process may occur after the parent has submitted an Application for Placement Request, if deemed necessary by the school.</w:t>
      </w:r>
    </w:p>
    <w:p w14:paraId="61DC44DA" w14:textId="5BE29AB2" w:rsidR="0044309E" w:rsidRPr="0044309E" w:rsidRDefault="0044309E" w:rsidP="00173DC4">
      <w:pPr>
        <w:pStyle w:val="DETBodyText"/>
      </w:pPr>
      <w:r w:rsidRPr="0044309E">
        <w:t>School enrolment information to parents/</w:t>
      </w:r>
      <w:proofErr w:type="spellStart"/>
      <w:r w:rsidRPr="0044309E">
        <w:t>carers</w:t>
      </w:r>
      <w:proofErr w:type="spellEnd"/>
      <w:r w:rsidRPr="0044309E">
        <w:t xml:space="preserve"> should clearly explain that the documentation is required to confirm that the student is eligible to </w:t>
      </w:r>
      <w:proofErr w:type="spellStart"/>
      <w:r w:rsidR="00006EFE">
        <w:t>enrol</w:t>
      </w:r>
      <w:proofErr w:type="spellEnd"/>
      <w:r w:rsidR="00006EFE">
        <w:t xml:space="preserve"> </w:t>
      </w:r>
      <w:r w:rsidRPr="0044309E">
        <w:t xml:space="preserve">at the school on the basis that their permanent residence is within the school’s designated </w:t>
      </w:r>
      <w:proofErr w:type="spellStart"/>
      <w:r w:rsidRPr="0044309E">
        <w:t>neighbourhood</w:t>
      </w:r>
      <w:proofErr w:type="spellEnd"/>
      <w:r w:rsidRPr="0044309E">
        <w:t xml:space="preserve"> area.</w:t>
      </w:r>
    </w:p>
    <w:p w14:paraId="6E9A277F" w14:textId="0C7577E7" w:rsidR="0044309E" w:rsidRDefault="0044309E" w:rsidP="00173DC4">
      <w:pPr>
        <w:pStyle w:val="DETBodyText"/>
      </w:pPr>
      <w:r w:rsidRPr="0044309E">
        <w:lastRenderedPageBreak/>
        <w:t>The school should also clearly communicate to parents/</w:t>
      </w:r>
      <w:proofErr w:type="spellStart"/>
      <w:r w:rsidRPr="0044309E">
        <w:t>carers</w:t>
      </w:r>
      <w:proofErr w:type="spellEnd"/>
      <w:r w:rsidRPr="0044309E">
        <w:t xml:space="preserve"> applying to </w:t>
      </w:r>
      <w:proofErr w:type="spellStart"/>
      <w:r w:rsidR="00444FED">
        <w:t>enrol</w:t>
      </w:r>
      <w:proofErr w:type="spellEnd"/>
      <w:r w:rsidRPr="0044309E">
        <w:t xml:space="preserve">, that the enrolment application may not be accepted if the requested information/documentation is not provided. </w:t>
      </w:r>
    </w:p>
    <w:p w14:paraId="4B1330D2" w14:textId="7B3F66C7" w:rsidR="00DC41FE" w:rsidRPr="0044309E" w:rsidRDefault="003E51A9" w:rsidP="00173DC4">
      <w:pPr>
        <w:pStyle w:val="DETBodyText"/>
      </w:pPr>
      <w:r>
        <w:t>Alternatively</w:t>
      </w:r>
      <w:r w:rsidR="00DC41FE" w:rsidRPr="0044309E">
        <w:t xml:space="preserve">, the school may ask parents to complete a statutory declaration confirming they are living </w:t>
      </w:r>
      <w:r w:rsidR="00006EFE">
        <w:t>at</w:t>
      </w:r>
      <w:r w:rsidR="00DC41FE" w:rsidRPr="0044309E">
        <w:t xml:space="preserve"> the address and that the arrangement is genuine and intended to be permanent. Schools may also remind parents/</w:t>
      </w:r>
      <w:proofErr w:type="spellStart"/>
      <w:r w:rsidR="00DC41FE" w:rsidRPr="0044309E">
        <w:t>carers</w:t>
      </w:r>
      <w:proofErr w:type="spellEnd"/>
      <w:r w:rsidR="00DC41FE" w:rsidRPr="0044309E">
        <w:t xml:space="preserve"> that a person who makes a false declaration is liable to the penalties of perjury.</w:t>
      </w:r>
    </w:p>
    <w:p w14:paraId="4EE5A653" w14:textId="16E97297" w:rsidR="00A3402C" w:rsidRPr="0044309E" w:rsidRDefault="00A3402C" w:rsidP="00173DC4">
      <w:pPr>
        <w:pStyle w:val="DETBodyText"/>
      </w:pPr>
      <w:r w:rsidRPr="0044309E">
        <w:t>Schools may wish to consider adapting the following content for inclusion in enrolment policies</w:t>
      </w:r>
      <w:r>
        <w:t xml:space="preserve"> and/</w:t>
      </w:r>
      <w:r w:rsidR="004D1BAA">
        <w:t>or</w:t>
      </w:r>
      <w:r w:rsidR="004D1BAA" w:rsidRPr="0044309E">
        <w:t xml:space="preserve"> enrolment</w:t>
      </w:r>
      <w:r w:rsidRPr="0044309E">
        <w:t xml:space="preserve"> information provided to parents/</w:t>
      </w:r>
      <w:proofErr w:type="spellStart"/>
      <w:r w:rsidRPr="0044309E">
        <w:t>carers</w:t>
      </w:r>
      <w:proofErr w:type="spellEnd"/>
      <w:r w:rsidR="004D1BAA">
        <w:t>:</w:t>
      </w:r>
      <w:r w:rsidRPr="0044309E">
        <w:t xml:space="preserve"> </w:t>
      </w:r>
    </w:p>
    <w:p w14:paraId="1E2C268E" w14:textId="28CF184A" w:rsidR="0044309E" w:rsidRPr="003E51A9" w:rsidRDefault="0044309E" w:rsidP="0044309E">
      <w:pPr>
        <w:pStyle w:val="DETBodyText"/>
        <w:ind w:left="720"/>
      </w:pPr>
      <w:r w:rsidRPr="003E51A9">
        <w:t xml:space="preserve">To assist </w:t>
      </w:r>
      <w:r w:rsidR="008A5B38">
        <w:t>(INSERT SCHOOL NAME)</w:t>
      </w:r>
      <w:r w:rsidRPr="003E51A9">
        <w:t xml:space="preserve"> in assessing your child’s eligibility for enrolment, please include in your enrolment application original or certified copies of: </w:t>
      </w:r>
    </w:p>
    <w:p w14:paraId="1ECFE84F" w14:textId="77777777" w:rsidR="0044309E" w:rsidRPr="003E51A9" w:rsidRDefault="0044309E" w:rsidP="0044309E">
      <w:pPr>
        <w:pStyle w:val="DETBodyText"/>
        <w:numPr>
          <w:ilvl w:val="0"/>
          <w:numId w:val="19"/>
        </w:numPr>
      </w:pPr>
      <w:r w:rsidRPr="003E51A9">
        <w:t>Rental agreements or unconditional contracts of sale</w:t>
      </w:r>
    </w:p>
    <w:p w14:paraId="290FE68F" w14:textId="77777777" w:rsidR="0044309E" w:rsidRPr="003E51A9" w:rsidRDefault="0044309E" w:rsidP="0044309E">
      <w:pPr>
        <w:pStyle w:val="DETBodyText"/>
        <w:ind w:left="1440"/>
      </w:pPr>
      <w:proofErr w:type="gramStart"/>
      <w:r w:rsidRPr="003E51A9">
        <w:t>plus</w:t>
      </w:r>
      <w:proofErr w:type="gramEnd"/>
    </w:p>
    <w:p w14:paraId="620CB6D7" w14:textId="4F5C0742" w:rsidR="0044309E" w:rsidRPr="003E51A9" w:rsidRDefault="0044309E" w:rsidP="0044309E">
      <w:pPr>
        <w:pStyle w:val="DETBodyText"/>
        <w:numPr>
          <w:ilvl w:val="0"/>
          <w:numId w:val="19"/>
        </w:numPr>
      </w:pPr>
      <w:r w:rsidRPr="003E51A9">
        <w:t xml:space="preserve">A copy of </w:t>
      </w:r>
      <w:r w:rsidR="005F5944" w:rsidRPr="003E51A9">
        <w:t xml:space="preserve"> two </w:t>
      </w:r>
      <w:r w:rsidRPr="003E51A9">
        <w:t>of the following:</w:t>
      </w:r>
    </w:p>
    <w:p w14:paraId="24B15C48" w14:textId="4D277B5C" w:rsidR="00A3402C" w:rsidRPr="003E51A9" w:rsidRDefault="00A3402C" w:rsidP="003E51A9">
      <w:pPr>
        <w:pStyle w:val="DETBodyText"/>
        <w:numPr>
          <w:ilvl w:val="0"/>
          <w:numId w:val="20"/>
        </w:numPr>
        <w:ind w:left="1797" w:hanging="357"/>
      </w:pPr>
      <w:r w:rsidRPr="003E51A9">
        <w:t>electoral enrolment confirmation</w:t>
      </w:r>
    </w:p>
    <w:p w14:paraId="7EB450FC" w14:textId="4D03A77F" w:rsidR="005F5944" w:rsidRPr="003E51A9" w:rsidRDefault="005F5944" w:rsidP="003E51A9">
      <w:pPr>
        <w:pStyle w:val="DETBodyText"/>
        <w:numPr>
          <w:ilvl w:val="0"/>
          <w:numId w:val="20"/>
        </w:numPr>
        <w:ind w:left="1797" w:hanging="357"/>
      </w:pPr>
      <w:r w:rsidRPr="003E51A9">
        <w:t>council rates notices</w:t>
      </w:r>
    </w:p>
    <w:p w14:paraId="55B04345" w14:textId="64FAE0A6" w:rsidR="00A3402C" w:rsidRPr="003E51A9" w:rsidRDefault="00A3402C" w:rsidP="003E51A9">
      <w:pPr>
        <w:pStyle w:val="DETBodyText"/>
        <w:numPr>
          <w:ilvl w:val="0"/>
          <w:numId w:val="20"/>
        </w:numPr>
        <w:ind w:left="1797" w:hanging="357"/>
      </w:pPr>
      <w:proofErr w:type="gramStart"/>
      <w:r w:rsidRPr="003E51A9">
        <w:t>other</w:t>
      </w:r>
      <w:proofErr w:type="gramEnd"/>
      <w:r w:rsidRPr="003E51A9">
        <w:t xml:space="preserve"> official documentation that demonstrates permanent residency at that address such as a driver’s </w:t>
      </w:r>
      <w:r w:rsidR="000E36B9" w:rsidRPr="003E51A9">
        <w:t>license</w:t>
      </w:r>
      <w:r w:rsidRPr="003E51A9">
        <w:t xml:space="preserve"> or health care card</w:t>
      </w:r>
      <w:r w:rsidR="000F7255" w:rsidRPr="003E51A9">
        <w:t>.</w:t>
      </w:r>
      <w:r w:rsidRPr="003E51A9">
        <w:t xml:space="preserve"> </w:t>
      </w:r>
    </w:p>
    <w:p w14:paraId="3EB74A04" w14:textId="7E5E02B6" w:rsidR="0044309E" w:rsidRPr="003E51A9" w:rsidRDefault="0044309E" w:rsidP="0044309E">
      <w:pPr>
        <w:pStyle w:val="DETBodyText"/>
        <w:ind w:left="720"/>
      </w:pPr>
      <w:r w:rsidRPr="003E51A9">
        <w:t>Documents should show the same address and parent’s/</w:t>
      </w:r>
      <w:proofErr w:type="spellStart"/>
      <w:r w:rsidRPr="003E51A9">
        <w:t>carer’s</w:t>
      </w:r>
      <w:proofErr w:type="spellEnd"/>
      <w:r w:rsidRPr="003E51A9">
        <w:t xml:space="preserve"> name as recorded on the school enrolment application form.</w:t>
      </w:r>
    </w:p>
    <w:p w14:paraId="5B8283DE" w14:textId="77777777" w:rsidR="003E51A9" w:rsidRDefault="003E51A9" w:rsidP="0044309E">
      <w:pPr>
        <w:pStyle w:val="DETBodyText"/>
        <w:ind w:left="720"/>
      </w:pPr>
    </w:p>
    <w:p w14:paraId="189F4D34" w14:textId="1DD65FCF" w:rsidR="0044309E" w:rsidRPr="003E51A9" w:rsidRDefault="003E51A9" w:rsidP="003E51A9">
      <w:pPr>
        <w:pStyle w:val="DETBodyText"/>
        <w:ind w:left="720"/>
      </w:pPr>
      <w:r>
        <w:t xml:space="preserve">Optional: </w:t>
      </w:r>
      <w:r w:rsidR="0044309E" w:rsidRPr="003E51A9">
        <w:t xml:space="preserve">On request, you may also be required to complete a statutory declaration confirming the student is living in the address provided in the enrolment application and that the arrangement is genuine and intended to be permanent. </w:t>
      </w:r>
    </w:p>
    <w:p w14:paraId="32617DE3" w14:textId="5C664175" w:rsidR="0044309E" w:rsidRPr="003E51A9" w:rsidRDefault="003E51A9" w:rsidP="0044309E">
      <w:pPr>
        <w:pStyle w:val="DETBodyText"/>
        <w:ind w:left="720"/>
      </w:pPr>
      <w:r>
        <w:t>Note</w:t>
      </w:r>
      <w:r w:rsidR="0044309E" w:rsidRPr="003E51A9">
        <w:t>: Enrolment applications may not be successful if the requested documentation is not provided.</w:t>
      </w:r>
    </w:p>
    <w:p w14:paraId="0D765BED" w14:textId="1AFE0957" w:rsidR="00F35434" w:rsidRPr="0044309E" w:rsidRDefault="00F35434" w:rsidP="0044309E">
      <w:pPr>
        <w:pStyle w:val="DETBodyText"/>
      </w:pPr>
      <w:r>
        <w:t>If a school has concerns about the duration of a rental agreement being provided as proof of permanent address, the school should consult with the family to ensure that the</w:t>
      </w:r>
      <w:r w:rsidR="004D23B6">
        <w:t xml:space="preserve"> </w:t>
      </w:r>
      <w:r w:rsidR="006F4013">
        <w:t xml:space="preserve">school </w:t>
      </w:r>
      <w:r w:rsidR="004D23B6">
        <w:t>has</w:t>
      </w:r>
      <w:r>
        <w:t xml:space="preserve"> provided reasonable consideration to the</w:t>
      </w:r>
      <w:r w:rsidR="003E51A9">
        <w:t xml:space="preserve"> family’s living circumstances F</w:t>
      </w:r>
      <w:r>
        <w:t>or example, it is not acceptable to disregard a rental agreement that is shorter than 12 months from the time of enrolment if this accurately reflects a fam</w:t>
      </w:r>
      <w:r w:rsidR="003E51A9">
        <w:t>ily’s residential circumstances</w:t>
      </w:r>
      <w:r>
        <w:t xml:space="preserve">.  </w:t>
      </w:r>
    </w:p>
    <w:p w14:paraId="7509419B" w14:textId="3F184BE7" w:rsidR="0044309E" w:rsidRPr="006B4317" w:rsidRDefault="006B4317" w:rsidP="006B4317">
      <w:pPr>
        <w:pStyle w:val="DETHeading2"/>
        <w:rPr>
          <w:b w:val="0"/>
        </w:rPr>
      </w:pPr>
      <w:bookmarkStart w:id="2" w:name="_Toc489531582"/>
      <w:r w:rsidRPr="006B4317">
        <w:rPr>
          <w:b w:val="0"/>
          <w:caps w:val="0"/>
        </w:rPr>
        <w:t xml:space="preserve">Enquiries to verify permanent residence that can be made </w:t>
      </w:r>
      <w:bookmarkEnd w:id="2"/>
    </w:p>
    <w:p w14:paraId="79FAA2E8" w14:textId="739EBE0E" w:rsidR="0044309E" w:rsidRPr="0044309E" w:rsidRDefault="0044309E" w:rsidP="0044309E">
      <w:pPr>
        <w:pStyle w:val="DETBodyText"/>
      </w:pPr>
      <w:r w:rsidRPr="0044309E">
        <w:t>When the student’s permanent place of residence is a key enrolment eligibility criterion, schools may be required to make reasonable enquiries to verify permanent address information provided by parents</w:t>
      </w:r>
      <w:r w:rsidR="000F7255">
        <w:t>/</w:t>
      </w:r>
      <w:proofErr w:type="spellStart"/>
      <w:r w:rsidR="000F7255">
        <w:t>carers</w:t>
      </w:r>
      <w:proofErr w:type="spellEnd"/>
      <w:r w:rsidRPr="0044309E">
        <w:t xml:space="preserve">. </w:t>
      </w:r>
    </w:p>
    <w:p w14:paraId="40D222C3" w14:textId="511E6E8D" w:rsidR="0044309E" w:rsidRPr="0044309E" w:rsidRDefault="0044309E" w:rsidP="0044309E">
      <w:pPr>
        <w:pStyle w:val="DETBodyText"/>
      </w:pPr>
      <w:r w:rsidRPr="0044309E">
        <w:t>To satisfy privacy law requirements, schools should ensure parents/</w:t>
      </w:r>
      <w:proofErr w:type="spellStart"/>
      <w:r w:rsidRPr="0044309E">
        <w:t>carers</w:t>
      </w:r>
      <w:proofErr w:type="spellEnd"/>
      <w:r w:rsidRPr="0044309E">
        <w:t xml:space="preserve"> applying for enrolment are aware of the enquiries the school may make to verify the information provided about a student’s permanent residence. </w:t>
      </w:r>
    </w:p>
    <w:p w14:paraId="1C9153A3" w14:textId="733F58B4" w:rsidR="0044309E" w:rsidRPr="0044309E" w:rsidRDefault="0044309E" w:rsidP="0044309E">
      <w:pPr>
        <w:pStyle w:val="DETBodyText"/>
      </w:pPr>
      <w:r w:rsidRPr="0044309E">
        <w:t>The school should also clearly communicate to parents/</w:t>
      </w:r>
      <w:proofErr w:type="spellStart"/>
      <w:r w:rsidRPr="0044309E">
        <w:t>carers</w:t>
      </w:r>
      <w:proofErr w:type="spellEnd"/>
      <w:r w:rsidRPr="0044309E">
        <w:t xml:space="preserve"> applying to </w:t>
      </w:r>
      <w:proofErr w:type="spellStart"/>
      <w:r w:rsidR="00444FED" w:rsidRPr="0044309E">
        <w:t>enrol</w:t>
      </w:r>
      <w:proofErr w:type="spellEnd"/>
      <w:r w:rsidRPr="0044309E">
        <w:t xml:space="preserve">, that the enrolment application may not be successful if the school does not accept that </w:t>
      </w:r>
      <w:r w:rsidR="009D62A2">
        <w:t xml:space="preserve">the </w:t>
      </w:r>
      <w:r w:rsidRPr="0044309E">
        <w:t>address provided is the genuine permanent residence for the student.</w:t>
      </w:r>
    </w:p>
    <w:p w14:paraId="0E425D59" w14:textId="77777777" w:rsidR="0044309E" w:rsidRPr="0044309E" w:rsidRDefault="0044309E" w:rsidP="0044309E">
      <w:pPr>
        <w:pStyle w:val="DETBodyText"/>
      </w:pPr>
      <w:r w:rsidRPr="0044309E">
        <w:t>Schools may wish to consider adapting the following content for inclusion in their enrolment policy, enrolment information provided to parents/</w:t>
      </w:r>
      <w:proofErr w:type="spellStart"/>
      <w:r w:rsidRPr="0044309E">
        <w:t>carers</w:t>
      </w:r>
      <w:proofErr w:type="spellEnd"/>
      <w:r w:rsidRPr="0044309E">
        <w:t xml:space="preserve"> and/or for use on their enrolment application forms. </w:t>
      </w:r>
    </w:p>
    <w:p w14:paraId="11D6825A" w14:textId="08D7D60D" w:rsidR="0044309E" w:rsidRPr="003E51A9" w:rsidRDefault="0044309E" w:rsidP="002F02D4">
      <w:pPr>
        <w:pStyle w:val="PlainText"/>
        <w:spacing w:after="120"/>
        <w:ind w:left="720"/>
        <w:rPr>
          <w:rFonts w:ascii="Arial" w:eastAsiaTheme="minorEastAsia" w:hAnsi="Arial" w:cs="Arial"/>
          <w:sz w:val="18"/>
          <w:szCs w:val="18"/>
          <w:lang w:val="en-US" w:eastAsia="en-US"/>
        </w:rPr>
      </w:pPr>
      <w:r w:rsidRPr="003E51A9">
        <w:rPr>
          <w:rFonts w:ascii="Arial" w:eastAsiaTheme="minorEastAsia" w:hAnsi="Arial" w:cs="Arial"/>
          <w:sz w:val="18"/>
          <w:szCs w:val="18"/>
          <w:lang w:val="en-US" w:eastAsia="en-US"/>
        </w:rPr>
        <w:t xml:space="preserve">When assessing enrolment applications, </w:t>
      </w:r>
      <w:r w:rsidR="008A5B38">
        <w:rPr>
          <w:rFonts w:ascii="Arial" w:eastAsiaTheme="minorEastAsia" w:hAnsi="Arial" w:cs="Arial"/>
          <w:sz w:val="18"/>
          <w:szCs w:val="18"/>
          <w:lang w:val="en-US" w:eastAsia="en-US"/>
        </w:rPr>
        <w:t>(</w:t>
      </w:r>
      <w:r w:rsidRPr="008A5B38">
        <w:rPr>
          <w:rFonts w:ascii="Arial" w:eastAsiaTheme="minorEastAsia" w:hAnsi="Arial" w:cs="Arial"/>
          <w:sz w:val="18"/>
          <w:szCs w:val="18"/>
          <w:lang w:val="en-US" w:eastAsia="en-US"/>
        </w:rPr>
        <w:t>INSERT SCHOOL NAME</w:t>
      </w:r>
      <w:r w:rsidR="008A5B38">
        <w:rPr>
          <w:rFonts w:ascii="Arial" w:eastAsiaTheme="minorEastAsia" w:hAnsi="Arial" w:cs="Arial"/>
          <w:sz w:val="18"/>
          <w:szCs w:val="18"/>
          <w:lang w:val="en-US" w:eastAsia="en-US"/>
        </w:rPr>
        <w:t>)</w:t>
      </w:r>
      <w:r w:rsidRPr="003E51A9">
        <w:rPr>
          <w:rFonts w:ascii="Arial" w:eastAsiaTheme="minorEastAsia" w:hAnsi="Arial" w:cs="Arial"/>
          <w:b/>
          <w:sz w:val="18"/>
          <w:szCs w:val="18"/>
          <w:lang w:val="en-US" w:eastAsia="en-US"/>
        </w:rPr>
        <w:t xml:space="preserve"> </w:t>
      </w:r>
      <w:r w:rsidRPr="003E51A9">
        <w:rPr>
          <w:rFonts w:ascii="Arial" w:eastAsiaTheme="minorEastAsia" w:hAnsi="Arial" w:cs="Arial"/>
          <w:sz w:val="18"/>
          <w:szCs w:val="18"/>
          <w:lang w:val="en-US" w:eastAsia="en-US"/>
        </w:rPr>
        <w:t xml:space="preserve">may make the following enquiries to verify the information provided about a student’s permanent residence: </w:t>
      </w:r>
    </w:p>
    <w:p w14:paraId="6D537017" w14:textId="77777777" w:rsidR="0044309E" w:rsidRPr="003E51A9" w:rsidRDefault="0044309E" w:rsidP="002F02D4">
      <w:pPr>
        <w:pStyle w:val="ListParagraph"/>
        <w:numPr>
          <w:ilvl w:val="1"/>
          <w:numId w:val="21"/>
        </w:numPr>
        <w:spacing w:after="120" w:line="240" w:lineRule="atLeast"/>
        <w:ind w:left="1797" w:hanging="357"/>
        <w:rPr>
          <w:rFonts w:ascii="Arial" w:eastAsiaTheme="minorEastAsia" w:hAnsi="Arial" w:cs="Arial"/>
          <w:sz w:val="18"/>
          <w:szCs w:val="18"/>
          <w:lang w:val="en-US"/>
        </w:rPr>
      </w:pPr>
      <w:r w:rsidRPr="003E51A9">
        <w:rPr>
          <w:rFonts w:ascii="Arial" w:eastAsiaTheme="minorEastAsia" w:hAnsi="Arial" w:cs="Arial"/>
          <w:sz w:val="18"/>
          <w:szCs w:val="18"/>
          <w:lang w:val="en-US"/>
        </w:rPr>
        <w:t>Checking the electoral roll at an Australian Electoral Commission office or the Victorian Electoral Commission head office</w:t>
      </w:r>
    </w:p>
    <w:p w14:paraId="35000171" w14:textId="77777777" w:rsidR="0044309E" w:rsidRPr="003E51A9" w:rsidRDefault="0044309E" w:rsidP="002F02D4">
      <w:pPr>
        <w:pStyle w:val="ListParagraph"/>
        <w:numPr>
          <w:ilvl w:val="1"/>
          <w:numId w:val="21"/>
        </w:numPr>
        <w:spacing w:after="120" w:line="240" w:lineRule="atLeast"/>
        <w:ind w:left="1797" w:hanging="357"/>
        <w:rPr>
          <w:rFonts w:ascii="Arial" w:eastAsiaTheme="minorEastAsia" w:hAnsi="Arial" w:cs="Arial"/>
          <w:sz w:val="18"/>
          <w:szCs w:val="18"/>
          <w:lang w:val="en-US"/>
        </w:rPr>
      </w:pPr>
      <w:r w:rsidRPr="003E51A9">
        <w:rPr>
          <w:rFonts w:ascii="Arial" w:eastAsiaTheme="minorEastAsia" w:hAnsi="Arial" w:cs="Arial"/>
          <w:sz w:val="18"/>
          <w:szCs w:val="18"/>
          <w:lang w:val="en-US"/>
        </w:rPr>
        <w:t xml:space="preserve">Checking with a real estate agent </w:t>
      </w:r>
    </w:p>
    <w:p w14:paraId="5C4412DB" w14:textId="77777777" w:rsidR="0044309E" w:rsidRPr="003E51A9" w:rsidRDefault="0044309E" w:rsidP="002F02D4">
      <w:pPr>
        <w:pStyle w:val="ListParagraph"/>
        <w:numPr>
          <w:ilvl w:val="1"/>
          <w:numId w:val="21"/>
        </w:numPr>
        <w:spacing w:after="120" w:line="240" w:lineRule="atLeast"/>
        <w:ind w:left="1797" w:hanging="357"/>
        <w:rPr>
          <w:rFonts w:ascii="Arial" w:eastAsiaTheme="minorEastAsia" w:hAnsi="Arial" w:cs="Arial"/>
          <w:sz w:val="18"/>
          <w:szCs w:val="18"/>
          <w:lang w:val="en-US"/>
        </w:rPr>
      </w:pPr>
      <w:r w:rsidRPr="003E51A9">
        <w:rPr>
          <w:rFonts w:ascii="Arial" w:eastAsiaTheme="minorEastAsia" w:hAnsi="Arial" w:cs="Arial"/>
          <w:sz w:val="18"/>
          <w:szCs w:val="18"/>
          <w:lang w:val="en-US"/>
        </w:rPr>
        <w:t>Checking whether the contact landline phone number provided is registered to the residence provided on the enrolment form</w:t>
      </w:r>
    </w:p>
    <w:p w14:paraId="0650858E" w14:textId="79AE16E9" w:rsidR="0044309E" w:rsidRPr="003E51A9" w:rsidRDefault="0044309E" w:rsidP="002F02D4">
      <w:pPr>
        <w:pStyle w:val="ListParagraph"/>
        <w:numPr>
          <w:ilvl w:val="1"/>
          <w:numId w:val="21"/>
        </w:numPr>
        <w:spacing w:after="120" w:line="240" w:lineRule="atLeast"/>
        <w:ind w:left="1797" w:hanging="357"/>
        <w:rPr>
          <w:rFonts w:ascii="Arial" w:eastAsiaTheme="minorEastAsia" w:hAnsi="Arial" w:cs="Arial"/>
          <w:sz w:val="18"/>
          <w:szCs w:val="18"/>
          <w:lang w:val="en-US"/>
        </w:rPr>
      </w:pPr>
      <w:r w:rsidRPr="003E51A9">
        <w:rPr>
          <w:rFonts w:ascii="Arial" w:eastAsiaTheme="minorEastAsia" w:hAnsi="Arial" w:cs="Arial"/>
          <w:sz w:val="18"/>
          <w:szCs w:val="18"/>
          <w:lang w:val="en-US"/>
        </w:rPr>
        <w:t xml:space="preserve">For a rental property </w:t>
      </w:r>
      <w:r w:rsidR="004D23B6" w:rsidRPr="003E51A9">
        <w:rPr>
          <w:rFonts w:ascii="Arial" w:eastAsiaTheme="minorEastAsia" w:hAnsi="Arial" w:cs="Arial"/>
          <w:sz w:val="18"/>
          <w:szCs w:val="18"/>
          <w:lang w:val="en-US"/>
        </w:rPr>
        <w:t>which is a</w:t>
      </w:r>
      <w:r w:rsidRPr="003E51A9">
        <w:rPr>
          <w:rFonts w:ascii="Arial" w:eastAsiaTheme="minorEastAsia" w:hAnsi="Arial" w:cs="Arial"/>
          <w:sz w:val="18"/>
          <w:szCs w:val="18"/>
          <w:lang w:val="en-US"/>
        </w:rPr>
        <w:t xml:space="preserve"> studio apartment or a one bedroom unit, checking whether there are any regulations/codes limiting the occupancy of these apartments to one person per apartment</w:t>
      </w:r>
      <w:r w:rsidR="000F7255" w:rsidRPr="003E51A9">
        <w:rPr>
          <w:rFonts w:ascii="Arial" w:eastAsiaTheme="minorEastAsia" w:hAnsi="Arial" w:cs="Arial"/>
          <w:sz w:val="18"/>
          <w:szCs w:val="18"/>
          <w:lang w:val="en-US"/>
        </w:rPr>
        <w:t>.</w:t>
      </w:r>
    </w:p>
    <w:p w14:paraId="024960C4" w14:textId="52997C50" w:rsidR="0044309E" w:rsidRPr="003E51A9" w:rsidRDefault="003E51A9" w:rsidP="003E51A9">
      <w:pPr>
        <w:pStyle w:val="PlainText"/>
        <w:spacing w:after="120"/>
        <w:ind w:left="720"/>
        <w:jc w:val="both"/>
        <w:rPr>
          <w:rFonts w:ascii="Arial" w:eastAsiaTheme="minorEastAsia" w:hAnsi="Arial" w:cs="Arial"/>
          <w:sz w:val="18"/>
          <w:szCs w:val="18"/>
          <w:lang w:val="en-US" w:eastAsia="en-US"/>
        </w:rPr>
      </w:pPr>
      <w:r w:rsidRPr="003E51A9">
        <w:rPr>
          <w:rFonts w:ascii="Arial" w:eastAsiaTheme="minorEastAsia" w:hAnsi="Arial" w:cs="Arial"/>
          <w:sz w:val="18"/>
          <w:szCs w:val="18"/>
          <w:lang w:val="en-US" w:eastAsia="en-US"/>
        </w:rPr>
        <w:lastRenderedPageBreak/>
        <w:t>Note</w:t>
      </w:r>
      <w:r w:rsidR="0044309E" w:rsidRPr="003E51A9">
        <w:rPr>
          <w:rFonts w:ascii="Arial" w:eastAsiaTheme="minorEastAsia" w:hAnsi="Arial" w:cs="Arial"/>
          <w:b/>
          <w:sz w:val="18"/>
          <w:szCs w:val="18"/>
          <w:lang w:val="en-US" w:eastAsia="en-US"/>
        </w:rPr>
        <w:t>:</w:t>
      </w:r>
      <w:r w:rsidR="0044309E" w:rsidRPr="003E51A9">
        <w:rPr>
          <w:rFonts w:ascii="Arial" w:eastAsiaTheme="minorEastAsia" w:hAnsi="Arial" w:cs="Arial"/>
          <w:sz w:val="18"/>
          <w:szCs w:val="18"/>
          <w:lang w:val="en-US" w:eastAsia="en-US"/>
        </w:rPr>
        <w:t xml:space="preserve"> If, </w:t>
      </w:r>
      <w:r w:rsidR="002F02D4">
        <w:rPr>
          <w:rFonts w:ascii="Arial" w:eastAsiaTheme="minorEastAsia" w:hAnsi="Arial" w:cs="Arial"/>
          <w:sz w:val="18"/>
          <w:szCs w:val="18"/>
          <w:lang w:val="en-US" w:eastAsia="en-US"/>
        </w:rPr>
        <w:t>after</w:t>
      </w:r>
      <w:r w:rsidR="0044309E" w:rsidRPr="003E51A9">
        <w:rPr>
          <w:rFonts w:ascii="Arial" w:eastAsiaTheme="minorEastAsia" w:hAnsi="Arial" w:cs="Arial"/>
          <w:sz w:val="18"/>
          <w:szCs w:val="18"/>
          <w:lang w:val="en-US" w:eastAsia="en-US"/>
        </w:rPr>
        <w:t xml:space="preserve"> reasonable enquir</w:t>
      </w:r>
      <w:r w:rsidR="000F7255" w:rsidRPr="003E51A9">
        <w:rPr>
          <w:rFonts w:ascii="Arial" w:eastAsiaTheme="minorEastAsia" w:hAnsi="Arial" w:cs="Arial"/>
          <w:sz w:val="18"/>
          <w:szCs w:val="18"/>
          <w:lang w:val="en-US" w:eastAsia="en-US"/>
        </w:rPr>
        <w:t>i</w:t>
      </w:r>
      <w:r w:rsidR="0044309E" w:rsidRPr="003E51A9">
        <w:rPr>
          <w:rFonts w:ascii="Arial" w:eastAsiaTheme="minorEastAsia" w:hAnsi="Arial" w:cs="Arial"/>
          <w:sz w:val="18"/>
          <w:szCs w:val="18"/>
          <w:lang w:val="en-US" w:eastAsia="en-US"/>
        </w:rPr>
        <w:t>es, the Principal does not accept that the address provided on the enrolment application form is the genuine permanent residence of the student, the enrolment application may not be successful.</w:t>
      </w:r>
    </w:p>
    <w:p w14:paraId="01512353" w14:textId="4FD78B73" w:rsidR="0044309E" w:rsidRPr="0044309E" w:rsidRDefault="0044309E" w:rsidP="0044309E">
      <w:pPr>
        <w:pStyle w:val="DETBodyText"/>
      </w:pPr>
      <w:r w:rsidRPr="0044309E">
        <w:t xml:space="preserve">The Department does not consider home inspections or surveillance to be reasonable forms of enquiry and </w:t>
      </w:r>
      <w:r w:rsidR="004D23B6">
        <w:t>does not support</w:t>
      </w:r>
      <w:r w:rsidRPr="0044309E">
        <w:t xml:space="preserve"> these practices. </w:t>
      </w:r>
    </w:p>
    <w:p w14:paraId="1255CA56" w14:textId="1065C985" w:rsidR="00490D3C" w:rsidRPr="006B4317" w:rsidRDefault="006B4317" w:rsidP="006B4317">
      <w:pPr>
        <w:pStyle w:val="DETHeading2"/>
        <w:rPr>
          <w:b w:val="0"/>
        </w:rPr>
      </w:pPr>
      <w:bookmarkStart w:id="3" w:name="_Toc489531583"/>
      <w:r w:rsidRPr="006B4317">
        <w:rPr>
          <w:b w:val="0"/>
          <w:caps w:val="0"/>
        </w:rPr>
        <w:t>What steps should a school take if they do not accept the address provided on the enrolment application form?</w:t>
      </w:r>
      <w:bookmarkEnd w:id="3"/>
    </w:p>
    <w:p w14:paraId="7B736DCB" w14:textId="710930A0" w:rsidR="00D46DC6" w:rsidRDefault="00490D3C" w:rsidP="00490D3C">
      <w:pPr>
        <w:pStyle w:val="DETBodyText"/>
      </w:pPr>
      <w:r w:rsidRPr="00490D3C">
        <w:t>If</w:t>
      </w:r>
      <w:r w:rsidR="002F02D4">
        <w:t>,</w:t>
      </w:r>
      <w:r w:rsidRPr="00490D3C">
        <w:t xml:space="preserve"> after making reasonable enquiries, the school does not accept the address provided on the </w:t>
      </w:r>
      <w:r w:rsidR="00D46DC6">
        <w:t>Application for Placement and subsequent supporting documentation</w:t>
      </w:r>
      <w:r w:rsidRPr="00490D3C">
        <w:t xml:space="preserve">, the school may refuse the enrolment if address is an enrolment eligibility criterion. </w:t>
      </w:r>
    </w:p>
    <w:p w14:paraId="5E1FF103" w14:textId="070AF0F4" w:rsidR="00490D3C" w:rsidRPr="00490D3C" w:rsidRDefault="00490D3C" w:rsidP="00490D3C">
      <w:pPr>
        <w:pStyle w:val="DETBodyText"/>
      </w:pPr>
      <w:r w:rsidRPr="00490D3C">
        <w:t>The school should ensure reasons are provided to the parent/</w:t>
      </w:r>
      <w:proofErr w:type="spellStart"/>
      <w:r w:rsidRPr="00490D3C">
        <w:t>carer</w:t>
      </w:r>
      <w:proofErr w:type="spellEnd"/>
      <w:r w:rsidRPr="00490D3C">
        <w:t xml:space="preserve"> for not accepting the address and ensure the parent/</w:t>
      </w:r>
      <w:proofErr w:type="spellStart"/>
      <w:r w:rsidRPr="00490D3C">
        <w:t>carer</w:t>
      </w:r>
      <w:proofErr w:type="spellEnd"/>
      <w:r w:rsidRPr="00490D3C">
        <w:t xml:space="preserve"> is aware that they may appeal this decision to the school’s placement committee (if any)</w:t>
      </w:r>
      <w:r w:rsidR="002F02D4">
        <w:t>. The parent/</w:t>
      </w:r>
      <w:proofErr w:type="spellStart"/>
      <w:r w:rsidR="002F02D4">
        <w:t>carer</w:t>
      </w:r>
      <w:proofErr w:type="spellEnd"/>
      <w:r w:rsidRPr="00490D3C">
        <w:t xml:space="preserve"> may escalate the appeal to the regional director if the matter cannot be resolved at the school level. </w:t>
      </w:r>
    </w:p>
    <w:p w14:paraId="19A5916C" w14:textId="36BBECF8" w:rsidR="00490D3C" w:rsidRPr="006B4317" w:rsidRDefault="006B4317" w:rsidP="006B4317">
      <w:pPr>
        <w:pStyle w:val="DETHeading2"/>
        <w:rPr>
          <w:b w:val="0"/>
        </w:rPr>
      </w:pPr>
      <w:bookmarkStart w:id="4" w:name="_Toc489531584"/>
      <w:r w:rsidRPr="006B4317">
        <w:rPr>
          <w:b w:val="0"/>
          <w:caps w:val="0"/>
        </w:rPr>
        <w:t>Changes to address after an enrolment offer is made</w:t>
      </w:r>
      <w:bookmarkEnd w:id="4"/>
      <w:r w:rsidRPr="006B4317">
        <w:rPr>
          <w:b w:val="0"/>
          <w:caps w:val="0"/>
        </w:rPr>
        <w:t xml:space="preserve"> </w:t>
      </w:r>
    </w:p>
    <w:p w14:paraId="7FC8A00A" w14:textId="5EFCB4DC" w:rsidR="00490D3C" w:rsidRPr="00490D3C" w:rsidRDefault="00490D3C" w:rsidP="00490D3C">
      <w:pPr>
        <w:pStyle w:val="DETBodyText"/>
        <w:rPr>
          <w:lang w:val="en-AU"/>
        </w:rPr>
      </w:pPr>
      <w:r w:rsidRPr="00490D3C">
        <w:rPr>
          <w:lang w:val="en-AU"/>
        </w:rPr>
        <w:t xml:space="preserve">Subject to any changes to Department enrolment policy, if, after a </w:t>
      </w:r>
      <w:r w:rsidR="001B74A2">
        <w:rPr>
          <w:lang w:val="en-AU"/>
        </w:rPr>
        <w:t>placement offer</w:t>
      </w:r>
      <w:r w:rsidRPr="00490D3C">
        <w:rPr>
          <w:lang w:val="en-AU"/>
        </w:rPr>
        <w:t xml:space="preserve"> is </w:t>
      </w:r>
      <w:r w:rsidR="001B74A2">
        <w:rPr>
          <w:lang w:val="en-AU"/>
        </w:rPr>
        <w:t>made</w:t>
      </w:r>
      <w:r w:rsidR="001B74A2" w:rsidRPr="00490D3C">
        <w:rPr>
          <w:lang w:val="en-AU"/>
        </w:rPr>
        <w:t xml:space="preserve"> </w:t>
      </w:r>
      <w:r w:rsidRPr="00490D3C">
        <w:rPr>
          <w:lang w:val="en-AU"/>
        </w:rPr>
        <w:t xml:space="preserve">to the student, the student’s permanent residence changes or it comes to light that the address provided on the application form was not the genuine permanent residence for the student, a school may only withdraw a </w:t>
      </w:r>
      <w:r w:rsidR="001B74A2">
        <w:rPr>
          <w:lang w:val="en-AU"/>
        </w:rPr>
        <w:t xml:space="preserve">placement </w:t>
      </w:r>
      <w:r w:rsidRPr="00490D3C">
        <w:rPr>
          <w:lang w:val="en-AU"/>
        </w:rPr>
        <w:t>offer in the following circumstances:</w:t>
      </w:r>
    </w:p>
    <w:p w14:paraId="4EB0AE98" w14:textId="42D2CFE2" w:rsidR="00490D3C" w:rsidRPr="00490D3C" w:rsidRDefault="00490D3C" w:rsidP="00490D3C">
      <w:pPr>
        <w:pStyle w:val="DETBodyText"/>
        <w:numPr>
          <w:ilvl w:val="0"/>
          <w:numId w:val="22"/>
        </w:numPr>
        <w:rPr>
          <w:lang w:val="en-AU"/>
        </w:rPr>
      </w:pPr>
      <w:r w:rsidRPr="00490D3C">
        <w:rPr>
          <w:lang w:val="en-AU"/>
        </w:rPr>
        <w:t xml:space="preserve">The </w:t>
      </w:r>
      <w:r w:rsidR="001B74A2">
        <w:rPr>
          <w:lang w:val="en-AU"/>
        </w:rPr>
        <w:t>placement</w:t>
      </w:r>
      <w:r w:rsidR="001B74A2" w:rsidRPr="00490D3C">
        <w:rPr>
          <w:lang w:val="en-AU"/>
        </w:rPr>
        <w:t xml:space="preserve"> </w:t>
      </w:r>
      <w:r w:rsidRPr="00490D3C">
        <w:rPr>
          <w:lang w:val="en-AU"/>
        </w:rPr>
        <w:t xml:space="preserve">offer made to the student expressly states that the offer may be withdrawn </w:t>
      </w:r>
      <w:r w:rsidRPr="002F02D4">
        <w:rPr>
          <w:lang w:val="en-AU"/>
        </w:rPr>
        <w:t>prior to the</w:t>
      </w:r>
      <w:r w:rsidRPr="00490D3C">
        <w:rPr>
          <w:b/>
          <w:lang w:val="en-AU"/>
        </w:rPr>
        <w:t xml:space="preserve"> </w:t>
      </w:r>
      <w:r w:rsidR="008F0C6A">
        <w:rPr>
          <w:lang w:val="en-AU"/>
        </w:rPr>
        <w:t xml:space="preserve"> first day of attendance</w:t>
      </w:r>
      <w:r w:rsidR="007F1250">
        <w:rPr>
          <w:rStyle w:val="FootnoteReference"/>
          <w:lang w:val="en-AU"/>
        </w:rPr>
        <w:footnoteReference w:id="1"/>
      </w:r>
      <w:r w:rsidRPr="00490D3C">
        <w:rPr>
          <w:lang w:val="en-AU"/>
        </w:rPr>
        <w:t xml:space="preserve"> if the student’s permanent place of residence changes or the school becomes aware that the address provided on the application form was not the genuine permanent residence for the student; and </w:t>
      </w:r>
    </w:p>
    <w:p w14:paraId="4F5C865B" w14:textId="77777777" w:rsidR="00490D3C" w:rsidRPr="00490D3C" w:rsidRDefault="00490D3C" w:rsidP="00490D3C">
      <w:pPr>
        <w:pStyle w:val="DETBodyText"/>
        <w:numPr>
          <w:ilvl w:val="0"/>
          <w:numId w:val="22"/>
        </w:numPr>
        <w:rPr>
          <w:lang w:val="en-AU"/>
        </w:rPr>
      </w:pPr>
      <w:r w:rsidRPr="00490D3C">
        <w:rPr>
          <w:lang w:val="en-AU"/>
        </w:rPr>
        <w:t>The new address is not within the designated neighbourhood area for the school.</w:t>
      </w:r>
    </w:p>
    <w:p w14:paraId="7B19C968" w14:textId="3D375FD9" w:rsidR="00E01760" w:rsidRDefault="00490D3C" w:rsidP="00490D3C">
      <w:pPr>
        <w:pStyle w:val="DETBodyText"/>
        <w:rPr>
          <w:lang w:val="en-AU"/>
        </w:rPr>
      </w:pPr>
      <w:r w:rsidRPr="00490D3C">
        <w:rPr>
          <w:lang w:val="en-AU"/>
        </w:rPr>
        <w:t>Prior to withdrawing an offer of enrolment in the</w:t>
      </w:r>
      <w:r w:rsidR="004D23B6">
        <w:rPr>
          <w:lang w:val="en-AU"/>
        </w:rPr>
        <w:t xml:space="preserve"> above circumstances</w:t>
      </w:r>
      <w:r w:rsidRPr="00490D3C">
        <w:rPr>
          <w:lang w:val="en-AU"/>
        </w:rPr>
        <w:t>, school staff should consider any safety or wellbeing issues relating to the student and should consult with the regional office or the Department’s Legal Division.</w:t>
      </w:r>
    </w:p>
    <w:p w14:paraId="3BF85A00" w14:textId="5E772B9C" w:rsidR="009D62A2" w:rsidRPr="006B4317" w:rsidRDefault="006B4317" w:rsidP="006B4317">
      <w:pPr>
        <w:pStyle w:val="DETHeading2"/>
        <w:rPr>
          <w:b w:val="0"/>
          <w:lang w:val="en-AU"/>
        </w:rPr>
      </w:pPr>
      <w:r w:rsidRPr="006B4317">
        <w:rPr>
          <w:b w:val="0"/>
          <w:caps w:val="0"/>
          <w:lang w:val="en-AU"/>
        </w:rPr>
        <w:t>Students unable to provide evidence of permanent</w:t>
      </w:r>
      <w:r w:rsidR="006028BB" w:rsidRPr="006B4317">
        <w:rPr>
          <w:b w:val="0"/>
          <w:lang w:val="en-AU"/>
        </w:rPr>
        <w:t xml:space="preserve"> </w:t>
      </w:r>
      <w:r w:rsidRPr="006B4317">
        <w:rPr>
          <w:b w:val="0"/>
          <w:caps w:val="0"/>
          <w:lang w:val="en-AU"/>
        </w:rPr>
        <w:t>residence</w:t>
      </w:r>
      <w:r w:rsidR="006028BB" w:rsidRPr="006B4317">
        <w:rPr>
          <w:b w:val="0"/>
          <w:lang w:val="en-AU"/>
        </w:rPr>
        <w:t xml:space="preserve"> </w:t>
      </w:r>
    </w:p>
    <w:p w14:paraId="52E88B85" w14:textId="2C468516" w:rsidR="009D62A2" w:rsidRDefault="00A35B67" w:rsidP="00490D3C">
      <w:pPr>
        <w:pStyle w:val="DETBodyText"/>
        <w:rPr>
          <w:lang w:val="en-AU"/>
        </w:rPr>
      </w:pPr>
      <w:r w:rsidRPr="00A35B67">
        <w:rPr>
          <w:lang w:val="en-AU"/>
        </w:rPr>
        <w:t xml:space="preserve">Schools should ensure enrolment practices do not unfairly disadvantage students who are unable to provide proof of permanent address because of their individual circumstances. This is particularly relevant to students experiencing homelessness, family violence or recently arrived immigrants or refugees. In these cases, school staff should seek advice from </w:t>
      </w:r>
      <w:r w:rsidR="0088774E">
        <w:rPr>
          <w:lang w:val="en-AU"/>
        </w:rPr>
        <w:t>their regional office</w:t>
      </w:r>
      <w:r w:rsidRPr="00A35B67">
        <w:rPr>
          <w:lang w:val="en-AU"/>
        </w:rPr>
        <w:t xml:space="preserve"> before refusing an enrolment application on the basis that the student is unable to provide proof of permanent residence</w:t>
      </w:r>
      <w:r w:rsidR="002F02D4">
        <w:rPr>
          <w:lang w:val="en-AU"/>
        </w:rPr>
        <w:t>.</w:t>
      </w:r>
    </w:p>
    <w:p w14:paraId="0C6F0D60" w14:textId="70ABBCAE" w:rsidR="009D62A2" w:rsidRDefault="009D62A2" w:rsidP="00490D3C">
      <w:pPr>
        <w:pStyle w:val="DETBodyText"/>
        <w:rPr>
          <w:lang w:val="en-AU"/>
        </w:rPr>
      </w:pPr>
    </w:p>
    <w:p w14:paraId="07724ABD" w14:textId="77777777" w:rsidR="006028BB" w:rsidRDefault="006028BB" w:rsidP="00490D3C">
      <w:pPr>
        <w:pStyle w:val="DETBodyText"/>
        <w:rPr>
          <w:lang w:val="en-AU"/>
        </w:rPr>
        <w:sectPr w:rsidR="006028BB" w:rsidSect="000A47D4">
          <w:footerReference w:type="default" r:id="rId15"/>
          <w:pgSz w:w="11900" w:h="16840"/>
          <w:pgMar w:top="1440" w:right="1440" w:bottom="1440" w:left="1440" w:header="708" w:footer="708" w:gutter="0"/>
          <w:cols w:space="708"/>
          <w:docGrid w:linePitch="360"/>
        </w:sectPr>
      </w:pPr>
    </w:p>
    <w:p w14:paraId="66A591E5" w14:textId="3E7B2A51" w:rsidR="00C238D8" w:rsidRPr="002F02D4" w:rsidRDefault="002F02D4" w:rsidP="002F02D4">
      <w:pPr>
        <w:pStyle w:val="DETHeading1"/>
        <w:jc w:val="center"/>
        <w:rPr>
          <w:b w:val="0"/>
        </w:rPr>
      </w:pPr>
      <w:bookmarkStart w:id="5" w:name="_Toc489531585"/>
      <w:bookmarkStart w:id="6" w:name="_GoBack"/>
      <w:bookmarkEnd w:id="6"/>
      <w:permStart w:id="1426260139" w:edGrp="everyone"/>
      <w:permEnd w:id="1426260139"/>
      <w:r w:rsidRPr="002F02D4">
        <w:rPr>
          <w:b w:val="0"/>
        </w:rPr>
        <w:lastRenderedPageBreak/>
        <w:t>Permanent residence for schools</w:t>
      </w:r>
    </w:p>
    <w:p w14:paraId="03160FFD" w14:textId="2925EE82" w:rsidR="008A3484" w:rsidRPr="002F02D4" w:rsidRDefault="002F02D4" w:rsidP="002F02D4">
      <w:pPr>
        <w:pStyle w:val="DETHeading2"/>
        <w:jc w:val="center"/>
        <w:rPr>
          <w:b w:val="0"/>
        </w:rPr>
      </w:pPr>
      <w:r w:rsidRPr="002F02D4">
        <w:rPr>
          <w:b w:val="0"/>
          <w:caps w:val="0"/>
        </w:rPr>
        <w:t>At a glance</w:t>
      </w:r>
      <w:bookmarkEnd w:id="5"/>
    </w:p>
    <w:tbl>
      <w:tblPr>
        <w:tblStyle w:val="ListTable3-Accent1"/>
        <w:tblpPr w:leftFromText="180" w:rightFromText="180" w:vertAnchor="page" w:horzAnchor="margin" w:tblpY="2821"/>
        <w:tblW w:w="0" w:type="auto"/>
        <w:tblLook w:val="04A0" w:firstRow="1" w:lastRow="0" w:firstColumn="1" w:lastColumn="0" w:noHBand="0" w:noVBand="1"/>
      </w:tblPr>
      <w:tblGrid>
        <w:gridCol w:w="4581"/>
        <w:gridCol w:w="4582"/>
        <w:gridCol w:w="4582"/>
      </w:tblGrid>
      <w:tr w:rsidR="00E01760" w:rsidRPr="00ED0DA1" w14:paraId="373A44D0" w14:textId="77777777" w:rsidTr="00E017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81" w:type="dxa"/>
          </w:tcPr>
          <w:p w14:paraId="4F0C6339" w14:textId="77777777" w:rsidR="00E01760" w:rsidRPr="00ED0DA1" w:rsidRDefault="00E01760" w:rsidP="00ED0DA1">
            <w:pPr>
              <w:pStyle w:val="DETHeading3"/>
              <w:rPr>
                <w:rFonts w:eastAsia="Times New Roman"/>
                <w:lang w:eastAsia="en-AU"/>
              </w:rPr>
            </w:pPr>
            <w:r w:rsidRPr="00ED0DA1">
              <w:rPr>
                <w:rFonts w:eastAsia="Times New Roman"/>
                <w:lang w:eastAsia="en-AU"/>
              </w:rPr>
              <w:t>Evidence of permanent residence that can be requested by schools</w:t>
            </w:r>
          </w:p>
        </w:tc>
        <w:tc>
          <w:tcPr>
            <w:tcW w:w="4582" w:type="dxa"/>
          </w:tcPr>
          <w:p w14:paraId="294773AD" w14:textId="77777777" w:rsidR="00E01760" w:rsidRPr="00ED0DA1" w:rsidRDefault="00E01760" w:rsidP="00ED0DA1">
            <w:pPr>
              <w:pStyle w:val="DETHeading3"/>
              <w:cnfStyle w:val="100000000000" w:firstRow="1" w:lastRow="0" w:firstColumn="0" w:lastColumn="0" w:oddVBand="0" w:evenVBand="0" w:oddHBand="0" w:evenHBand="0" w:firstRowFirstColumn="0" w:firstRowLastColumn="0" w:lastRowFirstColumn="0" w:lastRowLastColumn="0"/>
              <w:rPr>
                <w:rFonts w:eastAsia="Times New Roman"/>
                <w:lang w:eastAsia="en-AU"/>
              </w:rPr>
            </w:pPr>
            <w:r w:rsidRPr="00ED0DA1">
              <w:rPr>
                <w:rFonts w:eastAsia="Times New Roman"/>
                <w:lang w:eastAsia="en-AU"/>
              </w:rPr>
              <w:t>Enquiries to verify permanent residence that can be made by schools</w:t>
            </w:r>
          </w:p>
          <w:p w14:paraId="352D71E4" w14:textId="77777777" w:rsidR="00E01760" w:rsidRPr="00ED0DA1" w:rsidRDefault="00E01760" w:rsidP="00ED0DA1">
            <w:pPr>
              <w:pStyle w:val="DETHeading3"/>
              <w:cnfStyle w:val="100000000000" w:firstRow="1" w:lastRow="0" w:firstColumn="0" w:lastColumn="0" w:oddVBand="0" w:evenVBand="0" w:oddHBand="0" w:evenHBand="0" w:firstRowFirstColumn="0" w:firstRowLastColumn="0" w:lastRowFirstColumn="0" w:lastRowLastColumn="0"/>
              <w:rPr>
                <w:rFonts w:eastAsia="Times New Roman"/>
                <w:lang w:eastAsia="en-AU"/>
              </w:rPr>
            </w:pPr>
          </w:p>
        </w:tc>
        <w:tc>
          <w:tcPr>
            <w:tcW w:w="4582" w:type="dxa"/>
          </w:tcPr>
          <w:p w14:paraId="2B76FA97" w14:textId="77777777" w:rsidR="00E01760" w:rsidRPr="00ED0DA1" w:rsidRDefault="00E01760" w:rsidP="00ED0DA1">
            <w:pPr>
              <w:pStyle w:val="DETHeading3"/>
              <w:cnfStyle w:val="100000000000" w:firstRow="1" w:lastRow="0" w:firstColumn="0" w:lastColumn="0" w:oddVBand="0" w:evenVBand="0" w:oddHBand="0" w:evenHBand="0" w:firstRowFirstColumn="0" w:firstRowLastColumn="0" w:lastRowFirstColumn="0" w:lastRowLastColumn="0"/>
              <w:rPr>
                <w:rFonts w:eastAsia="Times New Roman"/>
                <w:lang w:eastAsia="en-AU"/>
              </w:rPr>
            </w:pPr>
            <w:r w:rsidRPr="00ED0DA1">
              <w:rPr>
                <w:rFonts w:eastAsia="Times New Roman"/>
                <w:lang w:eastAsia="en-AU"/>
              </w:rPr>
              <w:t xml:space="preserve">Actions to verify permanent residence that should </w:t>
            </w:r>
            <w:r w:rsidRPr="00ED0DA1">
              <w:rPr>
                <w:rFonts w:eastAsia="Times New Roman"/>
                <w:u w:val="single"/>
                <w:lang w:eastAsia="en-AU"/>
              </w:rPr>
              <w:t>not</w:t>
            </w:r>
            <w:r w:rsidRPr="00ED0DA1">
              <w:rPr>
                <w:rFonts w:eastAsia="Times New Roman"/>
                <w:lang w:eastAsia="en-AU"/>
              </w:rPr>
              <w:t xml:space="preserve"> be made by schools</w:t>
            </w:r>
          </w:p>
          <w:p w14:paraId="0E7846A1" w14:textId="77777777" w:rsidR="00E01760" w:rsidRPr="00ED0DA1" w:rsidRDefault="00E01760" w:rsidP="00ED0DA1">
            <w:pPr>
              <w:pStyle w:val="DETHeading3"/>
              <w:cnfStyle w:val="100000000000" w:firstRow="1" w:lastRow="0" w:firstColumn="0" w:lastColumn="0" w:oddVBand="0" w:evenVBand="0" w:oddHBand="0" w:evenHBand="0" w:firstRowFirstColumn="0" w:firstRowLastColumn="0" w:lastRowFirstColumn="0" w:lastRowLastColumn="0"/>
            </w:pPr>
          </w:p>
        </w:tc>
      </w:tr>
      <w:tr w:rsidR="00E01760" w14:paraId="50E8516D" w14:textId="77777777" w:rsidTr="00E01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1" w:type="dxa"/>
          </w:tcPr>
          <w:p w14:paraId="516EAD7D" w14:textId="77777777" w:rsidR="00E01760" w:rsidRPr="00E01760" w:rsidRDefault="00E01760" w:rsidP="00E01760">
            <w:pPr>
              <w:ind w:left="720"/>
              <w:rPr>
                <w:rFonts w:eastAsia="Times New Roman" w:cstheme="minorHAnsi"/>
                <w:color w:val="444444"/>
                <w:sz w:val="18"/>
                <w:szCs w:val="18"/>
                <w:lang w:eastAsia="en-AU"/>
              </w:rPr>
            </w:pPr>
          </w:p>
          <w:p w14:paraId="1E026AA8" w14:textId="77777777" w:rsidR="00E01760" w:rsidRPr="00E01760" w:rsidRDefault="00E01760" w:rsidP="00E01760">
            <w:pPr>
              <w:ind w:left="720"/>
              <w:rPr>
                <w:rFonts w:eastAsia="Times New Roman" w:cstheme="minorHAnsi"/>
                <w:b w:val="0"/>
                <w:color w:val="444444"/>
                <w:sz w:val="18"/>
                <w:szCs w:val="18"/>
                <w:lang w:eastAsia="en-AU"/>
              </w:rPr>
            </w:pPr>
            <w:r w:rsidRPr="00E01760">
              <w:rPr>
                <w:rFonts w:eastAsia="Times New Roman" w:cstheme="minorHAnsi"/>
                <w:b w:val="0"/>
                <w:color w:val="444444"/>
                <w:sz w:val="18"/>
                <w:szCs w:val="18"/>
                <w:lang w:eastAsia="en-AU"/>
              </w:rPr>
              <w:t>Original or certified copies of:</w:t>
            </w:r>
          </w:p>
          <w:p w14:paraId="5DC26521" w14:textId="77777777" w:rsidR="00E01760" w:rsidRPr="00E01760" w:rsidRDefault="00E01760" w:rsidP="00E01760">
            <w:pPr>
              <w:ind w:left="720"/>
              <w:rPr>
                <w:rFonts w:eastAsia="Times New Roman" w:cstheme="minorHAnsi"/>
                <w:b w:val="0"/>
                <w:color w:val="444444"/>
                <w:sz w:val="18"/>
                <w:szCs w:val="18"/>
                <w:lang w:eastAsia="en-AU"/>
              </w:rPr>
            </w:pPr>
            <w:r w:rsidRPr="00E01760">
              <w:rPr>
                <w:rFonts w:eastAsia="Times New Roman" w:cstheme="minorHAnsi"/>
                <w:b w:val="0"/>
                <w:color w:val="444444"/>
                <w:sz w:val="18"/>
                <w:szCs w:val="18"/>
                <w:lang w:eastAsia="en-AU"/>
              </w:rPr>
              <w:t xml:space="preserve"> </w:t>
            </w:r>
          </w:p>
          <w:p w14:paraId="05AE8260" w14:textId="77777777" w:rsidR="00E01760" w:rsidRPr="00E01760" w:rsidRDefault="00E01760" w:rsidP="00E01760">
            <w:pPr>
              <w:pStyle w:val="ListParagraph"/>
              <w:numPr>
                <w:ilvl w:val="0"/>
                <w:numId w:val="23"/>
              </w:numPr>
              <w:spacing w:after="0" w:line="240" w:lineRule="auto"/>
              <w:ind w:left="1440"/>
              <w:rPr>
                <w:rFonts w:eastAsia="Times New Roman" w:cstheme="minorHAnsi"/>
                <w:b w:val="0"/>
                <w:color w:val="444444"/>
                <w:sz w:val="18"/>
                <w:szCs w:val="18"/>
                <w:lang w:eastAsia="en-AU"/>
              </w:rPr>
            </w:pPr>
            <w:r w:rsidRPr="00E01760">
              <w:rPr>
                <w:rFonts w:eastAsia="Times New Roman" w:cstheme="minorHAnsi"/>
                <w:b w:val="0"/>
                <w:color w:val="444444"/>
                <w:sz w:val="18"/>
                <w:szCs w:val="18"/>
                <w:lang w:eastAsia="en-AU"/>
              </w:rPr>
              <w:t>rental agreements</w:t>
            </w:r>
          </w:p>
          <w:p w14:paraId="12CC591F" w14:textId="737F98EE" w:rsidR="00E01760" w:rsidRDefault="00E01760" w:rsidP="00E01760">
            <w:pPr>
              <w:pStyle w:val="ListParagraph"/>
              <w:numPr>
                <w:ilvl w:val="0"/>
                <w:numId w:val="23"/>
              </w:numPr>
              <w:spacing w:after="0" w:line="240" w:lineRule="auto"/>
              <w:ind w:left="1440"/>
              <w:rPr>
                <w:rFonts w:eastAsia="Times New Roman" w:cstheme="minorHAnsi"/>
                <w:b w:val="0"/>
                <w:color w:val="444444"/>
                <w:sz w:val="18"/>
                <w:szCs w:val="18"/>
                <w:lang w:eastAsia="en-AU"/>
              </w:rPr>
            </w:pPr>
            <w:r w:rsidRPr="00E01760">
              <w:rPr>
                <w:rFonts w:eastAsia="Times New Roman" w:cstheme="minorHAnsi"/>
                <w:b w:val="0"/>
                <w:color w:val="444444"/>
                <w:sz w:val="18"/>
                <w:szCs w:val="18"/>
                <w:lang w:eastAsia="en-AU"/>
              </w:rPr>
              <w:t>council rates notices</w:t>
            </w:r>
          </w:p>
          <w:p w14:paraId="011AD46E" w14:textId="1F2AA31F" w:rsidR="005F5944" w:rsidRPr="00E01760" w:rsidRDefault="005F5944" w:rsidP="00E01760">
            <w:pPr>
              <w:pStyle w:val="ListParagraph"/>
              <w:numPr>
                <w:ilvl w:val="0"/>
                <w:numId w:val="23"/>
              </w:numPr>
              <w:spacing w:after="0" w:line="240" w:lineRule="auto"/>
              <w:ind w:left="1440"/>
              <w:rPr>
                <w:rFonts w:eastAsia="Times New Roman" w:cstheme="minorHAnsi"/>
                <w:b w:val="0"/>
                <w:color w:val="444444"/>
                <w:sz w:val="18"/>
                <w:szCs w:val="18"/>
                <w:lang w:eastAsia="en-AU"/>
              </w:rPr>
            </w:pPr>
            <w:r>
              <w:rPr>
                <w:rFonts w:eastAsia="Times New Roman" w:cstheme="minorHAnsi"/>
                <w:b w:val="0"/>
                <w:color w:val="444444"/>
                <w:sz w:val="18"/>
                <w:szCs w:val="18"/>
                <w:lang w:eastAsia="en-AU"/>
              </w:rPr>
              <w:t>electoral roll confirmation</w:t>
            </w:r>
          </w:p>
          <w:p w14:paraId="0AE67AC0" w14:textId="77777777" w:rsidR="00E01760" w:rsidRPr="00E01760" w:rsidRDefault="00E01760" w:rsidP="00E01760">
            <w:pPr>
              <w:pStyle w:val="ListParagraph"/>
              <w:numPr>
                <w:ilvl w:val="0"/>
                <w:numId w:val="23"/>
              </w:numPr>
              <w:spacing w:after="0" w:line="240" w:lineRule="auto"/>
              <w:ind w:left="1440"/>
              <w:rPr>
                <w:rFonts w:eastAsia="Times New Roman" w:cstheme="minorHAnsi"/>
                <w:b w:val="0"/>
                <w:color w:val="444444"/>
                <w:sz w:val="18"/>
                <w:szCs w:val="18"/>
                <w:lang w:eastAsia="en-AU"/>
              </w:rPr>
            </w:pPr>
            <w:r w:rsidRPr="00E01760">
              <w:rPr>
                <w:rFonts w:eastAsia="Times New Roman" w:cstheme="minorHAnsi"/>
                <w:b w:val="0"/>
                <w:color w:val="444444"/>
                <w:sz w:val="18"/>
                <w:szCs w:val="18"/>
                <w:lang w:eastAsia="en-AU"/>
              </w:rPr>
              <w:t xml:space="preserve">unconditional contracts of sale </w:t>
            </w:r>
          </w:p>
          <w:p w14:paraId="46FFC515" w14:textId="0860B17F" w:rsidR="00E01760" w:rsidRPr="00E01760" w:rsidRDefault="00E01760" w:rsidP="00E01760">
            <w:pPr>
              <w:pStyle w:val="ListParagraph"/>
              <w:numPr>
                <w:ilvl w:val="0"/>
                <w:numId w:val="23"/>
              </w:numPr>
              <w:spacing w:after="0" w:line="240" w:lineRule="auto"/>
              <w:ind w:left="1440"/>
              <w:rPr>
                <w:rFonts w:eastAsia="Times New Roman" w:cstheme="minorHAnsi"/>
                <w:b w:val="0"/>
                <w:color w:val="444444"/>
                <w:sz w:val="18"/>
                <w:szCs w:val="18"/>
                <w:lang w:eastAsia="en-AU"/>
              </w:rPr>
            </w:pPr>
            <w:r w:rsidRPr="00E01760">
              <w:rPr>
                <w:rFonts w:eastAsia="Times New Roman" w:cstheme="minorHAnsi"/>
                <w:b w:val="0"/>
                <w:color w:val="444444"/>
                <w:sz w:val="18"/>
                <w:szCs w:val="18"/>
                <w:lang w:eastAsia="en-AU"/>
              </w:rPr>
              <w:t>other official documentation that demonstrates permanent residency at that address</w:t>
            </w:r>
            <w:r w:rsidR="005F5944">
              <w:rPr>
                <w:rFonts w:eastAsia="Times New Roman" w:cstheme="minorHAnsi"/>
                <w:b w:val="0"/>
                <w:color w:val="444444"/>
                <w:sz w:val="18"/>
                <w:szCs w:val="18"/>
                <w:lang w:eastAsia="en-AU"/>
              </w:rPr>
              <w:t xml:space="preserve">, such as a health care card or driver’s </w:t>
            </w:r>
            <w:r w:rsidR="00444FED">
              <w:rPr>
                <w:rFonts w:eastAsia="Times New Roman" w:cstheme="minorHAnsi"/>
                <w:b w:val="0"/>
                <w:color w:val="444444"/>
                <w:sz w:val="18"/>
                <w:szCs w:val="18"/>
                <w:lang w:eastAsia="en-AU"/>
              </w:rPr>
              <w:t>licence</w:t>
            </w:r>
          </w:p>
          <w:p w14:paraId="5D388C58" w14:textId="77777777" w:rsidR="00E01760" w:rsidRPr="00E01760" w:rsidRDefault="00E01760" w:rsidP="00E01760">
            <w:pPr>
              <w:ind w:left="720"/>
              <w:rPr>
                <w:rFonts w:eastAsia="Times New Roman" w:cstheme="minorHAnsi"/>
                <w:b w:val="0"/>
                <w:color w:val="444444"/>
                <w:sz w:val="18"/>
                <w:szCs w:val="18"/>
                <w:lang w:eastAsia="en-AU"/>
              </w:rPr>
            </w:pPr>
          </w:p>
          <w:p w14:paraId="5D6D0461" w14:textId="77777777" w:rsidR="00E01760" w:rsidRPr="00E01760" w:rsidRDefault="00E01760" w:rsidP="00E01760">
            <w:pPr>
              <w:ind w:left="720"/>
              <w:rPr>
                <w:rFonts w:eastAsia="Times New Roman" w:cstheme="minorHAnsi"/>
                <w:b w:val="0"/>
                <w:color w:val="444444"/>
                <w:sz w:val="18"/>
                <w:szCs w:val="18"/>
                <w:lang w:eastAsia="en-AU"/>
              </w:rPr>
            </w:pPr>
            <w:r w:rsidRPr="00E01760">
              <w:rPr>
                <w:rFonts w:eastAsia="Times New Roman" w:cstheme="minorHAnsi"/>
                <w:b w:val="0"/>
                <w:color w:val="444444"/>
                <w:sz w:val="18"/>
                <w:szCs w:val="18"/>
                <w:lang w:eastAsia="en-AU"/>
              </w:rPr>
              <w:t>Original or certified copies of documents should show the same address and parent’s/legal guardian’s name as recorded on the school enrolment form.</w:t>
            </w:r>
          </w:p>
          <w:p w14:paraId="3A4DD31B" w14:textId="77777777" w:rsidR="00E01760" w:rsidRPr="00E01760" w:rsidRDefault="00E01760" w:rsidP="00E01760">
            <w:pPr>
              <w:ind w:left="720"/>
              <w:rPr>
                <w:rFonts w:eastAsia="Times New Roman" w:cstheme="minorHAnsi"/>
                <w:b w:val="0"/>
                <w:color w:val="444444"/>
                <w:sz w:val="18"/>
                <w:szCs w:val="18"/>
                <w:lang w:eastAsia="en-AU"/>
              </w:rPr>
            </w:pPr>
          </w:p>
          <w:p w14:paraId="56A892CA" w14:textId="77777777" w:rsidR="00E01760" w:rsidRPr="00E01760" w:rsidRDefault="00E01760" w:rsidP="00E01760">
            <w:pPr>
              <w:ind w:left="720"/>
              <w:rPr>
                <w:rFonts w:cstheme="minorHAnsi"/>
                <w:b w:val="0"/>
                <w:color w:val="333333"/>
                <w:sz w:val="18"/>
                <w:szCs w:val="18"/>
                <w:shd w:val="clear" w:color="auto" w:fill="FFFFFF"/>
              </w:rPr>
            </w:pPr>
            <w:r w:rsidRPr="00E01760">
              <w:rPr>
                <w:rFonts w:cstheme="minorHAnsi"/>
                <w:b w:val="0"/>
                <w:color w:val="333333"/>
                <w:sz w:val="18"/>
                <w:szCs w:val="18"/>
                <w:shd w:val="clear" w:color="auto" w:fill="FFFFFF"/>
              </w:rPr>
              <w:t>Optionally, the school may ask parents to complete a statutory declaration confirming they are living in the address and that the arrangement is intended to be permanent for the duration of the student’s attendance at the school.</w:t>
            </w:r>
          </w:p>
          <w:p w14:paraId="1C144360" w14:textId="77777777" w:rsidR="00E01760" w:rsidRPr="00E01760" w:rsidRDefault="00E01760" w:rsidP="00220153">
            <w:pPr>
              <w:rPr>
                <w:rFonts w:eastAsia="Times New Roman" w:cstheme="minorHAnsi"/>
                <w:color w:val="444444"/>
                <w:sz w:val="18"/>
                <w:szCs w:val="18"/>
                <w:lang w:eastAsia="en-AU"/>
              </w:rPr>
            </w:pPr>
          </w:p>
        </w:tc>
        <w:tc>
          <w:tcPr>
            <w:tcW w:w="4582" w:type="dxa"/>
          </w:tcPr>
          <w:p w14:paraId="5069743E" w14:textId="77777777" w:rsidR="00E01760" w:rsidRPr="00E01760" w:rsidRDefault="00E01760" w:rsidP="0022015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444444"/>
                <w:sz w:val="18"/>
                <w:szCs w:val="18"/>
                <w:lang w:eastAsia="en-AU"/>
              </w:rPr>
            </w:pPr>
          </w:p>
          <w:p w14:paraId="789D5B77" w14:textId="77777777" w:rsidR="00E01760" w:rsidRPr="00E01760" w:rsidRDefault="00E01760" w:rsidP="00E01760">
            <w:pPr>
              <w:pStyle w:val="ListParagraph"/>
              <w:numPr>
                <w:ilvl w:val="0"/>
                <w:numId w:val="24"/>
              </w:numPr>
              <w:spacing w:after="0" w:line="240" w:lineRule="auto"/>
              <w:ind w:left="680"/>
              <w:cnfStyle w:val="000000100000" w:firstRow="0" w:lastRow="0" w:firstColumn="0" w:lastColumn="0" w:oddVBand="0" w:evenVBand="0" w:oddHBand="1" w:evenHBand="0" w:firstRowFirstColumn="0" w:firstRowLastColumn="0" w:lastRowFirstColumn="0" w:lastRowLastColumn="0"/>
              <w:rPr>
                <w:rFonts w:cstheme="minorHAnsi"/>
                <w:color w:val="333333"/>
                <w:sz w:val="18"/>
                <w:szCs w:val="18"/>
                <w:shd w:val="clear" w:color="auto" w:fill="FFFFFF"/>
              </w:rPr>
            </w:pPr>
            <w:r w:rsidRPr="00E01760">
              <w:rPr>
                <w:rFonts w:cstheme="minorHAnsi"/>
                <w:color w:val="333333"/>
                <w:sz w:val="18"/>
                <w:szCs w:val="18"/>
                <w:shd w:val="clear" w:color="auto" w:fill="FFFFFF"/>
              </w:rPr>
              <w:t>Checking the electoral roll at an Australian Electoral Commission office or the Victorian Electoral Commission head office</w:t>
            </w:r>
          </w:p>
          <w:p w14:paraId="47CAE87B" w14:textId="77777777" w:rsidR="00E01760" w:rsidRPr="00E01760" w:rsidRDefault="00E01760" w:rsidP="00E01760">
            <w:pPr>
              <w:pStyle w:val="ListParagraph"/>
              <w:ind w:left="680"/>
              <w:cnfStyle w:val="000000100000" w:firstRow="0" w:lastRow="0" w:firstColumn="0" w:lastColumn="0" w:oddVBand="0" w:evenVBand="0" w:oddHBand="1" w:evenHBand="0" w:firstRowFirstColumn="0" w:firstRowLastColumn="0" w:lastRowFirstColumn="0" w:lastRowLastColumn="0"/>
              <w:rPr>
                <w:rFonts w:cstheme="minorHAnsi"/>
                <w:color w:val="333333"/>
                <w:sz w:val="18"/>
                <w:szCs w:val="18"/>
                <w:shd w:val="clear" w:color="auto" w:fill="FFFFFF"/>
              </w:rPr>
            </w:pPr>
          </w:p>
          <w:p w14:paraId="4E458116" w14:textId="77777777" w:rsidR="00E01760" w:rsidRPr="00E01760" w:rsidRDefault="00E01760" w:rsidP="00E01760">
            <w:pPr>
              <w:pStyle w:val="ListParagraph"/>
              <w:numPr>
                <w:ilvl w:val="0"/>
                <w:numId w:val="24"/>
              </w:numPr>
              <w:spacing w:after="0" w:line="240" w:lineRule="auto"/>
              <w:ind w:left="680"/>
              <w:cnfStyle w:val="000000100000" w:firstRow="0" w:lastRow="0" w:firstColumn="0" w:lastColumn="0" w:oddVBand="0" w:evenVBand="0" w:oddHBand="1" w:evenHBand="0" w:firstRowFirstColumn="0" w:firstRowLastColumn="0" w:lastRowFirstColumn="0" w:lastRowLastColumn="0"/>
              <w:rPr>
                <w:rFonts w:cstheme="minorHAnsi"/>
                <w:color w:val="333333"/>
                <w:sz w:val="18"/>
                <w:szCs w:val="18"/>
                <w:shd w:val="clear" w:color="auto" w:fill="FFFFFF"/>
              </w:rPr>
            </w:pPr>
            <w:r w:rsidRPr="00E01760">
              <w:rPr>
                <w:rFonts w:cstheme="minorHAnsi"/>
                <w:color w:val="333333"/>
                <w:sz w:val="18"/>
                <w:szCs w:val="18"/>
                <w:shd w:val="clear" w:color="auto" w:fill="FFFFFF"/>
              </w:rPr>
              <w:t>Checking whether the contact landline phone number provided is registered to the residence provided on the enrolment form</w:t>
            </w:r>
          </w:p>
          <w:p w14:paraId="5B7610FE" w14:textId="77777777" w:rsidR="00E01760" w:rsidRPr="00E01760" w:rsidRDefault="00E01760" w:rsidP="00E01760">
            <w:pPr>
              <w:ind w:left="680"/>
              <w:cnfStyle w:val="000000100000" w:firstRow="0" w:lastRow="0" w:firstColumn="0" w:lastColumn="0" w:oddVBand="0" w:evenVBand="0" w:oddHBand="1" w:evenHBand="0" w:firstRowFirstColumn="0" w:firstRowLastColumn="0" w:lastRowFirstColumn="0" w:lastRowLastColumn="0"/>
              <w:rPr>
                <w:rFonts w:cstheme="minorHAnsi"/>
                <w:color w:val="333333"/>
                <w:sz w:val="18"/>
                <w:szCs w:val="18"/>
                <w:shd w:val="clear" w:color="auto" w:fill="FFFFFF"/>
              </w:rPr>
            </w:pPr>
          </w:p>
          <w:p w14:paraId="5B76BE9B" w14:textId="77777777" w:rsidR="00E01760" w:rsidRPr="00E01760" w:rsidRDefault="00E01760" w:rsidP="00E01760">
            <w:pPr>
              <w:pStyle w:val="ListParagraph"/>
              <w:numPr>
                <w:ilvl w:val="0"/>
                <w:numId w:val="24"/>
              </w:numPr>
              <w:spacing w:after="0" w:line="240" w:lineRule="auto"/>
              <w:ind w:left="680"/>
              <w:cnfStyle w:val="000000100000" w:firstRow="0" w:lastRow="0" w:firstColumn="0" w:lastColumn="0" w:oddVBand="0" w:evenVBand="0" w:oddHBand="1" w:evenHBand="0" w:firstRowFirstColumn="0" w:firstRowLastColumn="0" w:lastRowFirstColumn="0" w:lastRowLastColumn="0"/>
              <w:rPr>
                <w:rFonts w:cstheme="minorHAnsi"/>
                <w:color w:val="333333"/>
                <w:sz w:val="18"/>
                <w:szCs w:val="18"/>
                <w:shd w:val="clear" w:color="auto" w:fill="FFFFFF"/>
              </w:rPr>
            </w:pPr>
            <w:r w:rsidRPr="00E01760">
              <w:rPr>
                <w:rFonts w:cstheme="minorHAnsi"/>
                <w:color w:val="333333"/>
                <w:sz w:val="18"/>
                <w:szCs w:val="18"/>
                <w:shd w:val="clear" w:color="auto" w:fill="FFFFFF"/>
              </w:rPr>
              <w:t xml:space="preserve">Checking the details of a lease with a real estate agent </w:t>
            </w:r>
          </w:p>
          <w:p w14:paraId="757B3472" w14:textId="77777777" w:rsidR="00E01760" w:rsidRPr="00E01760" w:rsidRDefault="00E01760" w:rsidP="00E01760">
            <w:pPr>
              <w:ind w:left="680"/>
              <w:cnfStyle w:val="000000100000" w:firstRow="0" w:lastRow="0" w:firstColumn="0" w:lastColumn="0" w:oddVBand="0" w:evenVBand="0" w:oddHBand="1" w:evenHBand="0" w:firstRowFirstColumn="0" w:firstRowLastColumn="0" w:lastRowFirstColumn="0" w:lastRowLastColumn="0"/>
              <w:rPr>
                <w:rFonts w:cstheme="minorHAnsi"/>
                <w:color w:val="333333"/>
                <w:sz w:val="18"/>
                <w:szCs w:val="18"/>
                <w:shd w:val="clear" w:color="auto" w:fill="FFFFFF"/>
              </w:rPr>
            </w:pPr>
          </w:p>
          <w:p w14:paraId="1297E816" w14:textId="617C3C68" w:rsidR="00E01760" w:rsidRPr="00E01760" w:rsidRDefault="007F4A15" w:rsidP="00E01760">
            <w:pPr>
              <w:pStyle w:val="ListParagraph"/>
              <w:numPr>
                <w:ilvl w:val="0"/>
                <w:numId w:val="24"/>
              </w:numPr>
              <w:spacing w:after="0" w:line="240" w:lineRule="auto"/>
              <w:ind w:left="680"/>
              <w:cnfStyle w:val="000000100000" w:firstRow="0" w:lastRow="0" w:firstColumn="0" w:lastColumn="0" w:oddVBand="0" w:evenVBand="0" w:oddHBand="1" w:evenHBand="0" w:firstRowFirstColumn="0" w:firstRowLastColumn="0" w:lastRowFirstColumn="0" w:lastRowLastColumn="0"/>
              <w:rPr>
                <w:rFonts w:cstheme="minorHAnsi"/>
                <w:color w:val="333333"/>
                <w:sz w:val="18"/>
                <w:szCs w:val="18"/>
                <w:shd w:val="clear" w:color="auto" w:fill="FFFFFF"/>
              </w:rPr>
            </w:pPr>
            <w:r>
              <w:rPr>
                <w:rFonts w:cstheme="minorHAnsi"/>
                <w:color w:val="333333"/>
                <w:sz w:val="18"/>
                <w:szCs w:val="18"/>
                <w:shd w:val="clear" w:color="auto" w:fill="FFFFFF"/>
              </w:rPr>
              <w:t>C</w:t>
            </w:r>
            <w:r w:rsidR="00E01760" w:rsidRPr="00E01760">
              <w:rPr>
                <w:rFonts w:cstheme="minorHAnsi"/>
                <w:color w:val="333333"/>
                <w:sz w:val="18"/>
                <w:szCs w:val="18"/>
                <w:shd w:val="clear" w:color="auto" w:fill="FFFFFF"/>
              </w:rPr>
              <w:t>hecking whether there are any regulations/codes limiting the occupancy to one person per apartment</w:t>
            </w:r>
          </w:p>
          <w:p w14:paraId="68AF5268" w14:textId="77777777" w:rsidR="00E01760" w:rsidRPr="00E01760" w:rsidRDefault="00E01760" w:rsidP="0022015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82" w:type="dxa"/>
          </w:tcPr>
          <w:p w14:paraId="28F94563" w14:textId="77777777" w:rsidR="00E01760" w:rsidRPr="00E01760" w:rsidRDefault="00E01760" w:rsidP="00E01760">
            <w:pPr>
              <w:spacing w:after="160" w:line="252" w:lineRule="auto"/>
              <w:ind w:left="720"/>
              <w:cnfStyle w:val="000000100000" w:firstRow="0" w:lastRow="0" w:firstColumn="0" w:lastColumn="0" w:oddVBand="0" w:evenVBand="0" w:oddHBand="1" w:evenHBand="0" w:firstRowFirstColumn="0" w:firstRowLastColumn="0" w:lastRowFirstColumn="0" w:lastRowLastColumn="0"/>
              <w:rPr>
                <w:rFonts w:cstheme="minorHAnsi"/>
                <w:color w:val="333333"/>
                <w:sz w:val="18"/>
                <w:szCs w:val="18"/>
                <w:shd w:val="clear" w:color="auto" w:fill="FFFFFF"/>
              </w:rPr>
            </w:pPr>
          </w:p>
          <w:p w14:paraId="7DE7A620" w14:textId="77777777" w:rsidR="00E01760" w:rsidRPr="00E01760" w:rsidRDefault="00E01760" w:rsidP="00E01760">
            <w:pPr>
              <w:spacing w:after="160" w:line="252" w:lineRule="auto"/>
              <w:ind w:left="72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01760">
              <w:rPr>
                <w:rFonts w:cstheme="minorHAnsi"/>
                <w:color w:val="333333"/>
                <w:sz w:val="18"/>
                <w:szCs w:val="18"/>
                <w:shd w:val="clear" w:color="auto" w:fill="FFFFFF"/>
              </w:rPr>
              <w:t xml:space="preserve">The following actions may pose health and safety risks for school staff and raise privacy concerns. </w:t>
            </w:r>
          </w:p>
          <w:p w14:paraId="3ADD1E8C" w14:textId="77777777" w:rsidR="00E01760" w:rsidRPr="00E01760" w:rsidRDefault="00E01760" w:rsidP="00E01760">
            <w:pPr>
              <w:pStyle w:val="ListParagraph"/>
              <w:numPr>
                <w:ilvl w:val="0"/>
                <w:numId w:val="25"/>
              </w:numPr>
              <w:spacing w:after="0" w:line="240" w:lineRule="auto"/>
              <w:ind w:left="108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01760">
              <w:rPr>
                <w:rFonts w:cstheme="minorHAnsi"/>
                <w:color w:val="333333"/>
                <w:sz w:val="18"/>
                <w:szCs w:val="18"/>
                <w:shd w:val="clear" w:color="auto" w:fill="FFFFFF"/>
              </w:rPr>
              <w:t>Home inspections</w:t>
            </w:r>
          </w:p>
          <w:p w14:paraId="4FE9C3B0" w14:textId="77777777" w:rsidR="00E01760" w:rsidRPr="00E01760" w:rsidRDefault="00E01760" w:rsidP="00E01760">
            <w:pPr>
              <w:pStyle w:val="ListParagraph"/>
              <w:numPr>
                <w:ilvl w:val="0"/>
                <w:numId w:val="25"/>
              </w:numPr>
              <w:spacing w:after="0" w:line="240" w:lineRule="auto"/>
              <w:ind w:left="108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01760">
              <w:rPr>
                <w:rFonts w:cstheme="minorHAnsi"/>
                <w:color w:val="333333"/>
                <w:sz w:val="18"/>
                <w:szCs w:val="18"/>
                <w:shd w:val="clear" w:color="auto" w:fill="FFFFFF"/>
              </w:rPr>
              <w:t>Surveillance</w:t>
            </w:r>
          </w:p>
          <w:p w14:paraId="5605272E" w14:textId="77777777" w:rsidR="00E01760" w:rsidRPr="00E01760" w:rsidRDefault="00E01760" w:rsidP="00E01760">
            <w:pPr>
              <w:pStyle w:val="ListParagraph"/>
              <w:numPr>
                <w:ilvl w:val="0"/>
                <w:numId w:val="25"/>
              </w:numPr>
              <w:spacing w:after="0" w:line="240" w:lineRule="auto"/>
              <w:ind w:left="108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01760">
              <w:rPr>
                <w:rFonts w:cstheme="minorHAnsi"/>
                <w:color w:val="333333"/>
                <w:sz w:val="18"/>
                <w:szCs w:val="18"/>
                <w:shd w:val="clear" w:color="auto" w:fill="FFFFFF"/>
              </w:rPr>
              <w:t>Use of a third party to verify an address via home inspection or surveillance</w:t>
            </w:r>
          </w:p>
          <w:p w14:paraId="1EBCED4C" w14:textId="77777777" w:rsidR="00E01760" w:rsidRPr="00E01760" w:rsidRDefault="00E01760" w:rsidP="00220153">
            <w:pPr>
              <w:pStyle w:val="ListParagraph"/>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14:paraId="21382CA9" w14:textId="77777777" w:rsidR="008A3484" w:rsidRPr="00D90AAF" w:rsidRDefault="008A3484" w:rsidP="00724727">
      <w:pPr>
        <w:pStyle w:val="DETBodyText"/>
      </w:pPr>
    </w:p>
    <w:sectPr w:rsidR="008A3484" w:rsidRPr="00D90AAF" w:rsidSect="00E01760">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9B892" w14:textId="77777777" w:rsidR="00A3769E" w:rsidRDefault="00A3769E" w:rsidP="004625D4">
      <w:r>
        <w:separator/>
      </w:r>
    </w:p>
  </w:endnote>
  <w:endnote w:type="continuationSeparator" w:id="0">
    <w:p w14:paraId="18BA3D6D" w14:textId="77777777" w:rsidR="00A3769E" w:rsidRDefault="00A3769E" w:rsidP="0046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3D048" w14:textId="48EA07DA" w:rsidR="00724727" w:rsidRPr="00E17350" w:rsidRDefault="00F63F0C" w:rsidP="00724727">
    <w:pPr>
      <w:spacing w:before="200" w:after="40"/>
      <w:rPr>
        <w:color w:val="004EA8" w:themeColor="accent1"/>
        <w:sz w:val="15"/>
        <w:szCs w:val="15"/>
      </w:rPr>
    </w:pPr>
    <w:r w:rsidRPr="00E17350">
      <w:rPr>
        <w:noProof/>
        <w:color w:val="004EA8" w:themeColor="accent1"/>
        <w:lang w:val="en-AU" w:eastAsia="en-AU"/>
      </w:rPr>
      <w:drawing>
        <wp:anchor distT="0" distB="0" distL="114300" distR="114300" simplePos="0" relativeHeight="251667456" behindDoc="1" locked="0" layoutInCell="1" allowOverlap="1" wp14:anchorId="63BD496A" wp14:editId="553C0B2A">
          <wp:simplePos x="0" y="0"/>
          <wp:positionH relativeFrom="page">
            <wp:posOffset>13335</wp:posOffset>
          </wp:positionH>
          <wp:positionV relativeFrom="page">
            <wp:posOffset>9946005</wp:posOffset>
          </wp:positionV>
          <wp:extent cx="7527279" cy="722376"/>
          <wp:effectExtent l="0" t="0" r="0" b="1905"/>
          <wp:wrapNone/>
          <wp:docPr id="8" name="Picture 8" descr="Department logo on footer" title="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00C238D8">
      <w:rPr>
        <w:noProof/>
        <w:color w:val="004EA8" w:themeColor="accent1"/>
        <w:sz w:val="15"/>
        <w:szCs w:val="15"/>
      </w:rPr>
      <w:t>Permanent Address Guidelines</w:t>
    </w:r>
  </w:p>
  <w:p w14:paraId="407555F0" w14:textId="331FF0CE" w:rsidR="00724727" w:rsidRPr="00E17350" w:rsidRDefault="00A3769E" w:rsidP="00724727">
    <w:pPr>
      <w:rPr>
        <w:color w:val="004EA8" w:themeColor="accent1"/>
      </w:rPr>
    </w:pPr>
    <w:sdt>
      <w:sdtPr>
        <w:rPr>
          <w:rFonts w:eastAsia="Arial" w:cs="Times New Roman"/>
          <w:color w:val="004EA8" w:themeColor="accent1"/>
          <w:sz w:val="15"/>
          <w:szCs w:val="15"/>
          <w:lang w:val="en-AU"/>
        </w:rPr>
        <w:id w:val="208384299"/>
        <w:docPartObj>
          <w:docPartGallery w:val="Page Numbers (Bottom of Page)"/>
          <w:docPartUnique/>
        </w:docPartObj>
      </w:sdtPr>
      <w:sdtEndPr>
        <w:rPr>
          <w:noProof/>
        </w:rPr>
      </w:sdtEndPr>
      <w:sdtContent>
        <w:r w:rsidR="00724727" w:rsidRPr="00E17350">
          <w:rPr>
            <w:rFonts w:eastAsia="Arial" w:cs="Times New Roman"/>
            <w:color w:val="004EA8" w:themeColor="accent1"/>
            <w:sz w:val="15"/>
            <w:szCs w:val="15"/>
            <w:lang w:val="en-AU"/>
          </w:rPr>
          <w:tab/>
        </w:r>
        <w:r w:rsidR="00724727" w:rsidRPr="00E17350">
          <w:rPr>
            <w:rFonts w:eastAsia="Arial" w:cs="Times New Roman"/>
            <w:color w:val="004EA8" w:themeColor="accent1"/>
            <w:sz w:val="15"/>
            <w:szCs w:val="15"/>
            <w:lang w:val="en-AU"/>
          </w:rPr>
          <w:fldChar w:fldCharType="begin"/>
        </w:r>
        <w:r w:rsidR="00724727" w:rsidRPr="00E17350">
          <w:rPr>
            <w:rFonts w:eastAsia="Arial" w:cs="Times New Roman"/>
            <w:color w:val="004EA8" w:themeColor="accent1"/>
            <w:sz w:val="15"/>
            <w:szCs w:val="15"/>
            <w:lang w:val="en-AU"/>
          </w:rPr>
          <w:instrText xml:space="preserve"> PAGE   \* MERGEFORMAT </w:instrText>
        </w:r>
        <w:r w:rsidR="00724727" w:rsidRPr="00E17350">
          <w:rPr>
            <w:rFonts w:eastAsia="Arial" w:cs="Times New Roman"/>
            <w:color w:val="004EA8" w:themeColor="accent1"/>
            <w:sz w:val="15"/>
            <w:szCs w:val="15"/>
            <w:lang w:val="en-AU"/>
          </w:rPr>
          <w:fldChar w:fldCharType="separate"/>
        </w:r>
        <w:r w:rsidR="00D209A6">
          <w:rPr>
            <w:rFonts w:eastAsia="Arial" w:cs="Times New Roman"/>
            <w:noProof/>
            <w:color w:val="004EA8" w:themeColor="accent1"/>
            <w:sz w:val="15"/>
            <w:szCs w:val="15"/>
            <w:lang w:val="en-AU"/>
          </w:rPr>
          <w:t>4</w:t>
        </w:r>
        <w:r w:rsidR="00724727" w:rsidRPr="00E17350">
          <w:rPr>
            <w:rFonts w:eastAsia="Arial" w:cs="Times New Roman"/>
            <w:noProof/>
            <w:color w:val="004EA8" w:themeColor="accent1"/>
            <w:sz w:val="15"/>
            <w:szCs w:val="15"/>
            <w:lang w:val="en-AU"/>
          </w:rPr>
          <w:fldChar w:fldCharType="end"/>
        </w:r>
      </w:sdtContent>
    </w:sdt>
    <w:r w:rsidR="00724727" w:rsidRPr="00E17350">
      <w:rPr>
        <w:noProof/>
        <w:color w:val="004EA8" w:themeColor="accen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99F7A" w14:textId="77777777" w:rsidR="00A3769E" w:rsidRDefault="00A3769E" w:rsidP="004625D4">
      <w:r>
        <w:separator/>
      </w:r>
    </w:p>
  </w:footnote>
  <w:footnote w:type="continuationSeparator" w:id="0">
    <w:p w14:paraId="64D0563C" w14:textId="77777777" w:rsidR="00A3769E" w:rsidRDefault="00A3769E" w:rsidP="004625D4">
      <w:r>
        <w:continuationSeparator/>
      </w:r>
    </w:p>
  </w:footnote>
  <w:footnote w:id="1">
    <w:p w14:paraId="2C7DFBE0" w14:textId="5DF869A1" w:rsidR="007F1250" w:rsidRPr="007F1250" w:rsidRDefault="007F1250">
      <w:pPr>
        <w:pStyle w:val="FootnoteText"/>
        <w:rPr>
          <w:lang w:val="en-AU"/>
        </w:rPr>
      </w:pPr>
      <w:r>
        <w:rPr>
          <w:rStyle w:val="FootnoteReference"/>
        </w:rPr>
        <w:footnoteRef/>
      </w:r>
      <w:r>
        <w:t xml:space="preserve"> </w:t>
      </w:r>
      <w:r>
        <w:rPr>
          <w:lang w:val="en-AU"/>
        </w:rPr>
        <w:t xml:space="preserve">Note – this may be subject to change pending further consideration of legislative requirements.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15884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846A28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212875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4E817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F2C5F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B26F6E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7BE497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C28279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0003BC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9006E6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48E1A7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0202E6"/>
    <w:multiLevelType w:val="hybridMultilevel"/>
    <w:tmpl w:val="9B967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E30D33"/>
    <w:multiLevelType w:val="multilevel"/>
    <w:tmpl w:val="6FDCE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F097519"/>
    <w:multiLevelType w:val="hybridMultilevel"/>
    <w:tmpl w:val="03B23F9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124F0DCD"/>
    <w:multiLevelType w:val="hybridMultilevel"/>
    <w:tmpl w:val="490A8DE0"/>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1614896"/>
    <w:multiLevelType w:val="hybridMultilevel"/>
    <w:tmpl w:val="81AADF3E"/>
    <w:lvl w:ilvl="0" w:tplc="34F89848">
      <w:start w:val="1"/>
      <w:numFmt w:val="bullet"/>
      <w:pStyle w:val="DET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7D523D"/>
    <w:multiLevelType w:val="multilevel"/>
    <w:tmpl w:val="B4F0ED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9F7651"/>
    <w:multiLevelType w:val="hybridMultilevel"/>
    <w:tmpl w:val="8E4EDC0C"/>
    <w:lvl w:ilvl="0" w:tplc="0C090001">
      <w:start w:val="1"/>
      <w:numFmt w:val="bullet"/>
      <w:lvlText w:val=""/>
      <w:lvlJc w:val="left"/>
      <w:pPr>
        <w:ind w:left="2279" w:hanging="360"/>
      </w:pPr>
      <w:rPr>
        <w:rFonts w:ascii="Symbol" w:hAnsi="Symbol" w:hint="default"/>
      </w:rPr>
    </w:lvl>
    <w:lvl w:ilvl="1" w:tplc="0C090003" w:tentative="1">
      <w:start w:val="1"/>
      <w:numFmt w:val="bullet"/>
      <w:lvlText w:val="o"/>
      <w:lvlJc w:val="left"/>
      <w:pPr>
        <w:ind w:left="2999" w:hanging="360"/>
      </w:pPr>
      <w:rPr>
        <w:rFonts w:ascii="Courier New" w:hAnsi="Courier New" w:cs="Courier New" w:hint="default"/>
      </w:rPr>
    </w:lvl>
    <w:lvl w:ilvl="2" w:tplc="0C090005" w:tentative="1">
      <w:start w:val="1"/>
      <w:numFmt w:val="bullet"/>
      <w:lvlText w:val=""/>
      <w:lvlJc w:val="left"/>
      <w:pPr>
        <w:ind w:left="3719" w:hanging="360"/>
      </w:pPr>
      <w:rPr>
        <w:rFonts w:ascii="Wingdings" w:hAnsi="Wingdings" w:hint="default"/>
      </w:rPr>
    </w:lvl>
    <w:lvl w:ilvl="3" w:tplc="0C090001" w:tentative="1">
      <w:start w:val="1"/>
      <w:numFmt w:val="bullet"/>
      <w:lvlText w:val=""/>
      <w:lvlJc w:val="left"/>
      <w:pPr>
        <w:ind w:left="4439" w:hanging="360"/>
      </w:pPr>
      <w:rPr>
        <w:rFonts w:ascii="Symbol" w:hAnsi="Symbol" w:hint="default"/>
      </w:rPr>
    </w:lvl>
    <w:lvl w:ilvl="4" w:tplc="0C090003" w:tentative="1">
      <w:start w:val="1"/>
      <w:numFmt w:val="bullet"/>
      <w:lvlText w:val="o"/>
      <w:lvlJc w:val="left"/>
      <w:pPr>
        <w:ind w:left="5159" w:hanging="360"/>
      </w:pPr>
      <w:rPr>
        <w:rFonts w:ascii="Courier New" w:hAnsi="Courier New" w:cs="Courier New" w:hint="default"/>
      </w:rPr>
    </w:lvl>
    <w:lvl w:ilvl="5" w:tplc="0C090005" w:tentative="1">
      <w:start w:val="1"/>
      <w:numFmt w:val="bullet"/>
      <w:lvlText w:val=""/>
      <w:lvlJc w:val="left"/>
      <w:pPr>
        <w:ind w:left="5879" w:hanging="360"/>
      </w:pPr>
      <w:rPr>
        <w:rFonts w:ascii="Wingdings" w:hAnsi="Wingdings" w:hint="default"/>
      </w:rPr>
    </w:lvl>
    <w:lvl w:ilvl="6" w:tplc="0C090001" w:tentative="1">
      <w:start w:val="1"/>
      <w:numFmt w:val="bullet"/>
      <w:lvlText w:val=""/>
      <w:lvlJc w:val="left"/>
      <w:pPr>
        <w:ind w:left="6599" w:hanging="360"/>
      </w:pPr>
      <w:rPr>
        <w:rFonts w:ascii="Symbol" w:hAnsi="Symbol" w:hint="default"/>
      </w:rPr>
    </w:lvl>
    <w:lvl w:ilvl="7" w:tplc="0C090003" w:tentative="1">
      <w:start w:val="1"/>
      <w:numFmt w:val="bullet"/>
      <w:lvlText w:val="o"/>
      <w:lvlJc w:val="left"/>
      <w:pPr>
        <w:ind w:left="7319" w:hanging="360"/>
      </w:pPr>
      <w:rPr>
        <w:rFonts w:ascii="Courier New" w:hAnsi="Courier New" w:cs="Courier New" w:hint="default"/>
      </w:rPr>
    </w:lvl>
    <w:lvl w:ilvl="8" w:tplc="0C090005" w:tentative="1">
      <w:start w:val="1"/>
      <w:numFmt w:val="bullet"/>
      <w:lvlText w:val=""/>
      <w:lvlJc w:val="left"/>
      <w:pPr>
        <w:ind w:left="8039" w:hanging="360"/>
      </w:pPr>
      <w:rPr>
        <w:rFonts w:ascii="Wingdings" w:hAnsi="Wingdings" w:hint="default"/>
      </w:rPr>
    </w:lvl>
  </w:abstractNum>
  <w:abstractNum w:abstractNumId="18" w15:restartNumberingAfterBreak="0">
    <w:nsid w:val="431C5489"/>
    <w:multiLevelType w:val="hybridMultilevel"/>
    <w:tmpl w:val="47E6BE9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44901A72"/>
    <w:multiLevelType w:val="hybridMultilevel"/>
    <w:tmpl w:val="19703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2D7713"/>
    <w:multiLevelType w:val="hybridMultilevel"/>
    <w:tmpl w:val="F4A86AFC"/>
    <w:lvl w:ilvl="0" w:tplc="7B528118">
      <w:start w:val="1"/>
      <w:numFmt w:val="decimal"/>
      <w:pStyle w:val="DETnumberedlist"/>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9D53F6"/>
    <w:multiLevelType w:val="hybridMultilevel"/>
    <w:tmpl w:val="B868063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060020C"/>
    <w:multiLevelType w:val="hybridMultilevel"/>
    <w:tmpl w:val="735AA676"/>
    <w:lvl w:ilvl="0" w:tplc="0C090001">
      <w:start w:val="1"/>
      <w:numFmt w:val="bullet"/>
      <w:lvlText w:val=""/>
      <w:lvlJc w:val="left"/>
      <w:pPr>
        <w:ind w:left="1920" w:hanging="360"/>
      </w:pPr>
      <w:rPr>
        <w:rFonts w:ascii="Symbol" w:hAnsi="Symbol"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23" w15:restartNumberingAfterBreak="0">
    <w:nsid w:val="6D702661"/>
    <w:multiLevelType w:val="hybridMultilevel"/>
    <w:tmpl w:val="6728F4D6"/>
    <w:lvl w:ilvl="0" w:tplc="89A0497C">
      <w:start w:val="1"/>
      <w:numFmt w:val="decimal"/>
      <w:lvlText w:val="%1."/>
      <w:lvlJc w:val="left"/>
      <w:pPr>
        <w:ind w:left="1920"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24" w15:restartNumberingAfterBreak="0">
    <w:nsid w:val="74B93E9A"/>
    <w:multiLevelType w:val="hybridMultilevel"/>
    <w:tmpl w:val="A510C18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A9A3BA2"/>
    <w:multiLevelType w:val="hybridMultilevel"/>
    <w:tmpl w:val="0DEEADE6"/>
    <w:lvl w:ilvl="0" w:tplc="211812D0">
      <w:start w:val="1"/>
      <w:numFmt w:val="bullet"/>
      <w:pStyle w:val="DET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2"/>
  </w:num>
  <w:num w:numId="14">
    <w:abstractNumId w:val="20"/>
  </w:num>
  <w:num w:numId="15">
    <w:abstractNumId w:val="16"/>
  </w:num>
  <w:num w:numId="16">
    <w:abstractNumId w:val="25"/>
  </w:num>
  <w:num w:numId="17">
    <w:abstractNumId w:val="23"/>
  </w:num>
  <w:num w:numId="18">
    <w:abstractNumId w:val="17"/>
  </w:num>
  <w:num w:numId="19">
    <w:abstractNumId w:val="18"/>
  </w:num>
  <w:num w:numId="20">
    <w:abstractNumId w:val="13"/>
  </w:num>
  <w:num w:numId="21">
    <w:abstractNumId w:val="14"/>
  </w:num>
  <w:num w:numId="22">
    <w:abstractNumId w:val="11"/>
  </w:num>
  <w:num w:numId="23">
    <w:abstractNumId w:val="21"/>
  </w:num>
  <w:num w:numId="24">
    <w:abstractNumId w:val="22"/>
  </w:num>
  <w:num w:numId="25">
    <w:abstractNumId w:val="2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3smM6ElLmp+4TQcTD8UXnfXZxnHXSZCaDtp4ZIQE6FIq67bvsaQvlDnIPyHwXkQWLDusbilxH4VZPVWwszJTUA==" w:salt="9D9aZMwyA6aMjZEBM4uRDg=="/>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E4"/>
    <w:rsid w:val="00006EFE"/>
    <w:rsid w:val="00020C4E"/>
    <w:rsid w:val="00030EC4"/>
    <w:rsid w:val="000752AF"/>
    <w:rsid w:val="00082A0C"/>
    <w:rsid w:val="0008435E"/>
    <w:rsid w:val="000A0ABC"/>
    <w:rsid w:val="000A47D4"/>
    <w:rsid w:val="000D41D6"/>
    <w:rsid w:val="000E36B9"/>
    <w:rsid w:val="000F7255"/>
    <w:rsid w:val="001058DF"/>
    <w:rsid w:val="00173DC4"/>
    <w:rsid w:val="001B74A2"/>
    <w:rsid w:val="001C6D44"/>
    <w:rsid w:val="001D3199"/>
    <w:rsid w:val="00203089"/>
    <w:rsid w:val="00227EE7"/>
    <w:rsid w:val="0023055E"/>
    <w:rsid w:val="002F02D4"/>
    <w:rsid w:val="002F1645"/>
    <w:rsid w:val="002F7050"/>
    <w:rsid w:val="00302470"/>
    <w:rsid w:val="0030727F"/>
    <w:rsid w:val="00312304"/>
    <w:rsid w:val="00332CF4"/>
    <w:rsid w:val="00342D88"/>
    <w:rsid w:val="00346555"/>
    <w:rsid w:val="00356F93"/>
    <w:rsid w:val="003A0C2F"/>
    <w:rsid w:val="003A7E6E"/>
    <w:rsid w:val="003B60C6"/>
    <w:rsid w:val="003D082F"/>
    <w:rsid w:val="003D39BB"/>
    <w:rsid w:val="003E51A9"/>
    <w:rsid w:val="004305BE"/>
    <w:rsid w:val="00432935"/>
    <w:rsid w:val="0044309E"/>
    <w:rsid w:val="00444FED"/>
    <w:rsid w:val="00461B55"/>
    <w:rsid w:val="004625D4"/>
    <w:rsid w:val="00481878"/>
    <w:rsid w:val="00483D45"/>
    <w:rsid w:val="00484784"/>
    <w:rsid w:val="00484F19"/>
    <w:rsid w:val="00490D3C"/>
    <w:rsid w:val="004D1BAA"/>
    <w:rsid w:val="004D23B6"/>
    <w:rsid w:val="004F1E3F"/>
    <w:rsid w:val="00561B23"/>
    <w:rsid w:val="00574004"/>
    <w:rsid w:val="005E287F"/>
    <w:rsid w:val="005F2769"/>
    <w:rsid w:val="005F5944"/>
    <w:rsid w:val="005F78BB"/>
    <w:rsid w:val="006028BB"/>
    <w:rsid w:val="0064080A"/>
    <w:rsid w:val="00691214"/>
    <w:rsid w:val="006B4317"/>
    <w:rsid w:val="006F4013"/>
    <w:rsid w:val="00701CBB"/>
    <w:rsid w:val="00724727"/>
    <w:rsid w:val="007A3077"/>
    <w:rsid w:val="007D3E38"/>
    <w:rsid w:val="007E27A8"/>
    <w:rsid w:val="007E6337"/>
    <w:rsid w:val="007F1250"/>
    <w:rsid w:val="007F383F"/>
    <w:rsid w:val="007F4A15"/>
    <w:rsid w:val="00817EA0"/>
    <w:rsid w:val="0088774E"/>
    <w:rsid w:val="008A3484"/>
    <w:rsid w:val="008A5B38"/>
    <w:rsid w:val="008E153F"/>
    <w:rsid w:val="008F0C6A"/>
    <w:rsid w:val="008F15A4"/>
    <w:rsid w:val="0096179D"/>
    <w:rsid w:val="00993FE4"/>
    <w:rsid w:val="009B5B9E"/>
    <w:rsid w:val="009D62A2"/>
    <w:rsid w:val="009F63BC"/>
    <w:rsid w:val="00A16EFD"/>
    <w:rsid w:val="00A3402C"/>
    <w:rsid w:val="00A35B67"/>
    <w:rsid w:val="00A3769E"/>
    <w:rsid w:val="00AA1D99"/>
    <w:rsid w:val="00AB5D1A"/>
    <w:rsid w:val="00AB7334"/>
    <w:rsid w:val="00B22BAD"/>
    <w:rsid w:val="00B31511"/>
    <w:rsid w:val="00B341AB"/>
    <w:rsid w:val="00B440F9"/>
    <w:rsid w:val="00BA48FC"/>
    <w:rsid w:val="00BB10BA"/>
    <w:rsid w:val="00BB6937"/>
    <w:rsid w:val="00C0278F"/>
    <w:rsid w:val="00C13BE6"/>
    <w:rsid w:val="00C238D8"/>
    <w:rsid w:val="00C53382"/>
    <w:rsid w:val="00C91535"/>
    <w:rsid w:val="00CA4D46"/>
    <w:rsid w:val="00CC0BDE"/>
    <w:rsid w:val="00D209A6"/>
    <w:rsid w:val="00D3017C"/>
    <w:rsid w:val="00D4474B"/>
    <w:rsid w:val="00D46DC6"/>
    <w:rsid w:val="00D90AAF"/>
    <w:rsid w:val="00DC41FE"/>
    <w:rsid w:val="00DD22EE"/>
    <w:rsid w:val="00DE5162"/>
    <w:rsid w:val="00E01760"/>
    <w:rsid w:val="00E07B8D"/>
    <w:rsid w:val="00E17350"/>
    <w:rsid w:val="00E5039E"/>
    <w:rsid w:val="00E564E3"/>
    <w:rsid w:val="00E5729F"/>
    <w:rsid w:val="00E61D6C"/>
    <w:rsid w:val="00ED0DA1"/>
    <w:rsid w:val="00F01423"/>
    <w:rsid w:val="00F25A5B"/>
    <w:rsid w:val="00F35434"/>
    <w:rsid w:val="00F37B36"/>
    <w:rsid w:val="00F54A80"/>
    <w:rsid w:val="00F54D76"/>
    <w:rsid w:val="00F610B3"/>
    <w:rsid w:val="00F62EDA"/>
    <w:rsid w:val="00F63F0C"/>
    <w:rsid w:val="00FC2904"/>
    <w:rsid w:val="00FE7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235AA"/>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17350"/>
    <w:pPr>
      <w:pageBreakBefore/>
      <w:spacing w:after="180"/>
      <w:jc w:val="right"/>
      <w:outlineLvl w:val="0"/>
    </w:pPr>
    <w:rPr>
      <w:rFonts w:asciiTheme="majorHAnsi" w:eastAsiaTheme="majorEastAsia" w:hAnsiTheme="majorHAnsi" w:cstheme="majorBidi"/>
      <w:b/>
      <w:color w:val="004EA8" w:themeColor="accent1"/>
      <w:sz w:val="40"/>
      <w:szCs w:val="32"/>
    </w:rPr>
  </w:style>
  <w:style w:type="paragraph" w:styleId="Heading2">
    <w:name w:val="heading 2"/>
    <w:basedOn w:val="Normal"/>
    <w:next w:val="Normal"/>
    <w:link w:val="Heading2Char"/>
    <w:uiPriority w:val="9"/>
    <w:unhideWhenUsed/>
    <w:qFormat/>
    <w:rsid w:val="00E17350"/>
    <w:pPr>
      <w:keepNext/>
      <w:keepLines/>
      <w:spacing w:before="180" w:after="120"/>
      <w:jc w:val="right"/>
      <w:outlineLvl w:val="1"/>
    </w:pPr>
    <w:rPr>
      <w:rFonts w:asciiTheme="majorHAnsi" w:eastAsiaTheme="majorEastAsia" w:hAnsiTheme="majorHAnsi" w:cstheme="majorBidi"/>
      <w:b/>
      <w:caps/>
      <w:color w:val="004EA8" w:themeColor="accent1"/>
      <w:szCs w:val="26"/>
    </w:rPr>
  </w:style>
  <w:style w:type="paragraph" w:styleId="Heading3">
    <w:name w:val="heading 3"/>
    <w:basedOn w:val="Normal"/>
    <w:next w:val="Normal"/>
    <w:link w:val="Heading3Char"/>
    <w:uiPriority w:val="9"/>
    <w:unhideWhenUsed/>
    <w:qFormat/>
    <w:rsid w:val="00020C4E"/>
    <w:pPr>
      <w:keepNext/>
      <w:keepLines/>
      <w:spacing w:before="120"/>
      <w:outlineLvl w:val="2"/>
    </w:pPr>
    <w:rPr>
      <w:rFonts w:asciiTheme="majorHAnsi" w:eastAsiaTheme="majorEastAsia" w:hAnsiTheme="majorHAnsi"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350"/>
    <w:rPr>
      <w:rFonts w:asciiTheme="majorHAnsi" w:eastAsiaTheme="majorEastAsia" w:hAnsiTheme="majorHAnsi" w:cstheme="majorBidi"/>
      <w:b/>
      <w:color w:val="004EA8" w:themeColor="accent1"/>
      <w:sz w:val="40"/>
      <w:szCs w:val="32"/>
    </w:rPr>
  </w:style>
  <w:style w:type="paragraph" w:styleId="TOCHeading">
    <w:name w:val="TOC Heading"/>
    <w:basedOn w:val="Normal"/>
    <w:next w:val="Normal"/>
    <w:uiPriority w:val="39"/>
    <w:unhideWhenUsed/>
    <w:qFormat/>
    <w:rsid w:val="00020C4E"/>
    <w:pPr>
      <w:pageBreakBefore/>
      <w:spacing w:after="480"/>
    </w:pPr>
    <w:rPr>
      <w:rFonts w:ascii="Arial" w:eastAsiaTheme="majorEastAsia" w:hAnsi="Arial" w:cstheme="majorBidi"/>
      <w:b/>
      <w:color w:val="004EA8" w:themeColor="accent1"/>
      <w:spacing w:val="5"/>
      <w:kern w:val="28"/>
      <w:sz w:val="44"/>
      <w:szCs w:val="52"/>
      <w:lang w:val="en-US"/>
    </w:rPr>
  </w:style>
  <w:style w:type="paragraph" w:styleId="Header">
    <w:name w:val="header"/>
    <w:basedOn w:val="Normal"/>
    <w:link w:val="HeaderChar"/>
    <w:uiPriority w:val="99"/>
    <w:unhideWhenUsed/>
    <w:rsid w:val="004625D4"/>
    <w:pPr>
      <w:tabs>
        <w:tab w:val="center" w:pos="4513"/>
        <w:tab w:val="right" w:pos="9026"/>
      </w:tabs>
    </w:pPr>
  </w:style>
  <w:style w:type="character" w:customStyle="1" w:styleId="HeaderChar">
    <w:name w:val="Header Char"/>
    <w:basedOn w:val="DefaultParagraphFont"/>
    <w:link w:val="Header"/>
    <w:uiPriority w:val="99"/>
    <w:rsid w:val="004625D4"/>
  </w:style>
  <w:style w:type="paragraph" w:styleId="Footer">
    <w:name w:val="footer"/>
    <w:basedOn w:val="Normal"/>
    <w:link w:val="FooterChar"/>
    <w:uiPriority w:val="99"/>
    <w:unhideWhenUsed/>
    <w:rsid w:val="004625D4"/>
    <w:pPr>
      <w:tabs>
        <w:tab w:val="center" w:pos="4513"/>
        <w:tab w:val="right" w:pos="9026"/>
      </w:tabs>
    </w:pPr>
  </w:style>
  <w:style w:type="character" w:customStyle="1" w:styleId="FooterChar">
    <w:name w:val="Footer Char"/>
    <w:basedOn w:val="DefaultParagraphFont"/>
    <w:link w:val="Footer"/>
    <w:uiPriority w:val="99"/>
    <w:rsid w:val="004625D4"/>
  </w:style>
  <w:style w:type="paragraph" w:styleId="FootnoteText">
    <w:name w:val="footnote text"/>
    <w:basedOn w:val="Normal"/>
    <w:link w:val="FootnoteTextChar"/>
    <w:uiPriority w:val="99"/>
    <w:unhideWhenUsed/>
    <w:rsid w:val="004625D4"/>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4625D4"/>
    <w:rPr>
      <w:rFonts w:ascii="Arial" w:eastAsiaTheme="minorEastAsia" w:hAnsi="Arial" w:cs="Arial"/>
      <w:sz w:val="11"/>
      <w:szCs w:val="11"/>
      <w:lang w:val="en-US"/>
    </w:rPr>
  </w:style>
  <w:style w:type="paragraph" w:customStyle="1" w:styleId="DETbullet1">
    <w:name w:val="DET_bullet 1"/>
    <w:basedOn w:val="DETBodyText"/>
    <w:qFormat/>
    <w:rsid w:val="00F610B3"/>
    <w:pPr>
      <w:numPr>
        <w:numId w:val="16"/>
      </w:numPr>
      <w:spacing w:after="180" w:line="240" w:lineRule="auto"/>
      <w:ind w:left="284" w:hanging="284"/>
    </w:pPr>
  </w:style>
  <w:style w:type="paragraph" w:customStyle="1" w:styleId="DETHeading1">
    <w:name w:val="DET_Heading 1"/>
    <w:basedOn w:val="Heading1"/>
    <w:qFormat/>
    <w:rsid w:val="00E17350"/>
    <w:pPr>
      <w:jc w:val="left"/>
    </w:pPr>
  </w:style>
  <w:style w:type="paragraph" w:customStyle="1" w:styleId="DETHeading2">
    <w:name w:val="DET_Heading 2"/>
    <w:basedOn w:val="Heading2"/>
    <w:qFormat/>
    <w:rsid w:val="00E17350"/>
    <w:pPr>
      <w:jc w:val="left"/>
    </w:pPr>
  </w:style>
  <w:style w:type="paragraph" w:customStyle="1" w:styleId="DETHeading3">
    <w:name w:val="DET_Heading 3"/>
    <w:basedOn w:val="Heading3"/>
    <w:qFormat/>
    <w:rsid w:val="00E17350"/>
  </w:style>
  <w:style w:type="paragraph" w:customStyle="1" w:styleId="DETBodyText">
    <w:name w:val="DET_Body Text"/>
    <w:basedOn w:val="Normal"/>
    <w:qFormat/>
    <w:rsid w:val="007E6337"/>
    <w:pPr>
      <w:spacing w:after="120" w:line="240" w:lineRule="atLeast"/>
    </w:pPr>
    <w:rPr>
      <w:rFonts w:ascii="Arial" w:eastAsiaTheme="minorEastAsia" w:hAnsi="Arial" w:cs="Arial"/>
      <w:sz w:val="18"/>
      <w:szCs w:val="18"/>
      <w:lang w:val="en-US"/>
    </w:rPr>
  </w:style>
  <w:style w:type="paragraph" w:styleId="Title">
    <w:name w:val="Title"/>
    <w:basedOn w:val="Normal"/>
    <w:next w:val="Normal"/>
    <w:link w:val="TitleChar"/>
    <w:uiPriority w:val="10"/>
    <w:qFormat/>
    <w:rsid w:val="007E633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337"/>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020C4E"/>
    <w:rPr>
      <w:rFonts w:asciiTheme="majorHAnsi" w:eastAsiaTheme="majorEastAsia" w:hAnsiTheme="majorHAnsi" w:cstheme="majorBidi"/>
      <w:b/>
      <w:sz w:val="22"/>
    </w:rPr>
  </w:style>
  <w:style w:type="paragraph" w:customStyle="1" w:styleId="DETbullet2">
    <w:name w:val="DET_bullet 2"/>
    <w:basedOn w:val="DETbullet1"/>
    <w:qFormat/>
    <w:rsid w:val="00724727"/>
    <w:pPr>
      <w:numPr>
        <w:numId w:val="12"/>
      </w:numPr>
    </w:pPr>
  </w:style>
  <w:style w:type="table" w:styleId="TableGrid">
    <w:name w:val="Table Grid"/>
    <w:basedOn w:val="TableNormal"/>
    <w:uiPriority w:val="39"/>
    <w:rsid w:val="00724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Tableheadingwhite">
    <w:name w:val="DET_Table heading white"/>
    <w:basedOn w:val="DETBodyText"/>
    <w:qFormat/>
    <w:rsid w:val="00724727"/>
    <w:pPr>
      <w:spacing w:before="80" w:after="80" w:line="240" w:lineRule="auto"/>
    </w:pPr>
    <w:rPr>
      <w:b/>
      <w:color w:val="FFFFFF" w:themeColor="background1"/>
    </w:rPr>
  </w:style>
  <w:style w:type="paragraph" w:customStyle="1" w:styleId="DETTableheading">
    <w:name w:val="DET_Table heading"/>
    <w:basedOn w:val="DETTableheadingwhite"/>
    <w:qFormat/>
    <w:rsid w:val="00724727"/>
    <w:rPr>
      <w:color w:val="004EA8" w:themeColor="accent1"/>
    </w:rPr>
  </w:style>
  <w:style w:type="paragraph" w:styleId="TOC3">
    <w:name w:val="toc 3"/>
    <w:basedOn w:val="Normal"/>
    <w:next w:val="Normal"/>
    <w:autoRedefine/>
    <w:uiPriority w:val="39"/>
    <w:unhideWhenUsed/>
    <w:rsid w:val="008A3484"/>
    <w:pPr>
      <w:spacing w:after="100"/>
      <w:ind w:left="480"/>
    </w:pPr>
  </w:style>
  <w:style w:type="paragraph" w:styleId="TOC1">
    <w:name w:val="toc 1"/>
    <w:basedOn w:val="Normal"/>
    <w:next w:val="Normal"/>
    <w:autoRedefine/>
    <w:uiPriority w:val="39"/>
    <w:unhideWhenUsed/>
    <w:rsid w:val="008A3484"/>
    <w:pPr>
      <w:spacing w:after="100"/>
    </w:pPr>
    <w:rPr>
      <w:b/>
    </w:rPr>
  </w:style>
  <w:style w:type="paragraph" w:styleId="TOC2">
    <w:name w:val="toc 2"/>
    <w:basedOn w:val="Normal"/>
    <w:next w:val="Normal"/>
    <w:autoRedefine/>
    <w:uiPriority w:val="39"/>
    <w:unhideWhenUsed/>
    <w:rsid w:val="008A3484"/>
    <w:pPr>
      <w:spacing w:after="100"/>
      <w:ind w:left="240"/>
    </w:pPr>
  </w:style>
  <w:style w:type="character" w:customStyle="1" w:styleId="Heading2Char">
    <w:name w:val="Heading 2 Char"/>
    <w:basedOn w:val="DefaultParagraphFont"/>
    <w:link w:val="Heading2"/>
    <w:uiPriority w:val="9"/>
    <w:rsid w:val="00E17350"/>
    <w:rPr>
      <w:rFonts w:asciiTheme="majorHAnsi" w:eastAsiaTheme="majorEastAsia" w:hAnsiTheme="majorHAnsi" w:cstheme="majorBidi"/>
      <w:b/>
      <w:caps/>
      <w:color w:val="004EA8" w:themeColor="accent1"/>
      <w:szCs w:val="26"/>
    </w:rPr>
  </w:style>
  <w:style w:type="paragraph" w:customStyle="1" w:styleId="ESIntroParagraph">
    <w:name w:val="ES_Intro Paragraph"/>
    <w:basedOn w:val="Subtitle"/>
    <w:qFormat/>
    <w:rsid w:val="00E17350"/>
    <w:pPr>
      <w:spacing w:after="0" w:line="240" w:lineRule="atLeast"/>
    </w:pPr>
    <w:rPr>
      <w:rFonts w:ascii="Arial" w:eastAsiaTheme="majorEastAsia" w:hAnsi="Arial" w:cstheme="majorBidi"/>
      <w:color w:val="5A5A59"/>
      <w:spacing w:val="0"/>
      <w:sz w:val="27"/>
      <w:szCs w:val="27"/>
      <w:lang w:val="en-US"/>
    </w:rPr>
  </w:style>
  <w:style w:type="paragraph" w:styleId="BodyText">
    <w:name w:val="Body Text"/>
    <w:basedOn w:val="Normal"/>
    <w:link w:val="BodyTextChar"/>
    <w:uiPriority w:val="99"/>
    <w:unhideWhenUsed/>
    <w:rsid w:val="00E17350"/>
    <w:pPr>
      <w:spacing w:after="120" w:line="240" w:lineRule="atLeast"/>
    </w:pPr>
    <w:rPr>
      <w:rFonts w:ascii="Arial" w:eastAsiaTheme="minorEastAsia" w:hAnsi="Arial" w:cs="Arial"/>
      <w:sz w:val="18"/>
      <w:szCs w:val="18"/>
      <w:lang w:val="en-US"/>
    </w:rPr>
  </w:style>
  <w:style w:type="character" w:customStyle="1" w:styleId="BodyTextChar">
    <w:name w:val="Body Text Char"/>
    <w:basedOn w:val="DefaultParagraphFont"/>
    <w:link w:val="BodyText"/>
    <w:uiPriority w:val="99"/>
    <w:rsid w:val="00E17350"/>
    <w:rPr>
      <w:rFonts w:ascii="Arial" w:eastAsiaTheme="minorEastAsia" w:hAnsi="Arial" w:cs="Arial"/>
      <w:sz w:val="18"/>
      <w:szCs w:val="18"/>
      <w:lang w:val="en-US"/>
    </w:rPr>
  </w:style>
  <w:style w:type="paragraph" w:customStyle="1" w:styleId="ESSubheading1">
    <w:name w:val="ES_Subheading 1"/>
    <w:basedOn w:val="ESIntroParagraph"/>
    <w:qFormat/>
    <w:rsid w:val="00E17350"/>
    <w:pPr>
      <w:ind w:left="-567"/>
    </w:pPr>
    <w:rPr>
      <w:color w:val="004EA8"/>
      <w:sz w:val="28"/>
    </w:rPr>
  </w:style>
  <w:style w:type="paragraph" w:styleId="Subtitle">
    <w:name w:val="Subtitle"/>
    <w:basedOn w:val="Normal"/>
    <w:next w:val="Normal"/>
    <w:link w:val="SubtitleChar"/>
    <w:uiPriority w:val="11"/>
    <w:qFormat/>
    <w:rsid w:val="00E17350"/>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17350"/>
    <w:rPr>
      <w:rFonts w:eastAsiaTheme="minorEastAsia"/>
      <w:color w:val="5A5A5A" w:themeColor="text1" w:themeTint="A5"/>
      <w:spacing w:val="15"/>
      <w:sz w:val="22"/>
      <w:szCs w:val="22"/>
    </w:rPr>
  </w:style>
  <w:style w:type="paragraph" w:customStyle="1" w:styleId="DETnumberedlist">
    <w:name w:val="DET_numbered list"/>
    <w:basedOn w:val="DETbullet1"/>
    <w:qFormat/>
    <w:rsid w:val="00F610B3"/>
    <w:pPr>
      <w:numPr>
        <w:numId w:val="14"/>
      </w:numPr>
      <w:ind w:left="284" w:hanging="284"/>
    </w:pPr>
  </w:style>
  <w:style w:type="paragraph" w:styleId="PlainText">
    <w:name w:val="Plain Text"/>
    <w:basedOn w:val="Normal"/>
    <w:link w:val="PlainTextChar"/>
    <w:uiPriority w:val="99"/>
    <w:unhideWhenUsed/>
    <w:rsid w:val="0044309E"/>
    <w:rPr>
      <w:rFonts w:ascii="Calibri" w:hAnsi="Calibri" w:cs="Times New Roman"/>
      <w:sz w:val="22"/>
      <w:szCs w:val="22"/>
      <w:lang w:val="en-AU" w:eastAsia="en-AU"/>
    </w:rPr>
  </w:style>
  <w:style w:type="character" w:customStyle="1" w:styleId="PlainTextChar">
    <w:name w:val="Plain Text Char"/>
    <w:basedOn w:val="DefaultParagraphFont"/>
    <w:link w:val="PlainText"/>
    <w:uiPriority w:val="99"/>
    <w:rsid w:val="0044309E"/>
    <w:rPr>
      <w:rFonts w:ascii="Calibri" w:hAnsi="Calibri" w:cs="Times New Roman"/>
      <w:sz w:val="22"/>
      <w:szCs w:val="22"/>
      <w:lang w:val="en-AU" w:eastAsia="en-AU"/>
    </w:rPr>
  </w:style>
  <w:style w:type="paragraph" w:styleId="ListParagraph">
    <w:name w:val="List Paragraph"/>
    <w:basedOn w:val="Normal"/>
    <w:uiPriority w:val="34"/>
    <w:qFormat/>
    <w:rsid w:val="0044309E"/>
    <w:pPr>
      <w:spacing w:after="160" w:line="259" w:lineRule="auto"/>
      <w:ind w:left="720"/>
      <w:contextualSpacing/>
    </w:pPr>
    <w:rPr>
      <w:sz w:val="22"/>
      <w:szCs w:val="22"/>
      <w:lang w:val="en-AU"/>
    </w:rPr>
  </w:style>
  <w:style w:type="paragraph" w:styleId="BalloonText">
    <w:name w:val="Balloon Text"/>
    <w:basedOn w:val="Normal"/>
    <w:link w:val="BalloonTextChar"/>
    <w:uiPriority w:val="99"/>
    <w:semiHidden/>
    <w:unhideWhenUsed/>
    <w:rsid w:val="00E017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760"/>
    <w:rPr>
      <w:rFonts w:ascii="Segoe UI" w:hAnsi="Segoe UI" w:cs="Segoe UI"/>
      <w:sz w:val="18"/>
      <w:szCs w:val="18"/>
    </w:rPr>
  </w:style>
  <w:style w:type="table" w:styleId="ListTable3-Accent1">
    <w:name w:val="List Table 3 Accent 1"/>
    <w:basedOn w:val="TableNormal"/>
    <w:uiPriority w:val="48"/>
    <w:rsid w:val="00E01760"/>
    <w:tblPr>
      <w:tblStyleRowBandSize w:val="1"/>
      <w:tblStyleColBandSize w:val="1"/>
      <w:tblBorders>
        <w:top w:val="single" w:sz="4" w:space="0" w:color="004EA8" w:themeColor="accent1"/>
        <w:left w:val="single" w:sz="4" w:space="0" w:color="004EA8" w:themeColor="accent1"/>
        <w:bottom w:val="single" w:sz="4" w:space="0" w:color="004EA8" w:themeColor="accent1"/>
        <w:right w:val="single" w:sz="4" w:space="0" w:color="004EA8" w:themeColor="accent1"/>
      </w:tblBorders>
    </w:tblPr>
    <w:tblStylePr w:type="firstRow">
      <w:rPr>
        <w:b/>
        <w:bCs/>
        <w:color w:val="FFFFFF" w:themeColor="background1"/>
      </w:rPr>
      <w:tblPr/>
      <w:tcPr>
        <w:shd w:val="clear" w:color="auto" w:fill="004EA8" w:themeFill="accent1"/>
      </w:tcPr>
    </w:tblStylePr>
    <w:tblStylePr w:type="lastRow">
      <w:rPr>
        <w:b/>
        <w:bCs/>
      </w:rPr>
      <w:tblPr/>
      <w:tcPr>
        <w:tcBorders>
          <w:top w:val="double" w:sz="4" w:space="0" w:color="004EA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EA8" w:themeColor="accent1"/>
          <w:right w:val="single" w:sz="4" w:space="0" w:color="004EA8" w:themeColor="accent1"/>
        </w:tcBorders>
      </w:tcPr>
    </w:tblStylePr>
    <w:tblStylePr w:type="band1Horz">
      <w:tblPr/>
      <w:tcPr>
        <w:tcBorders>
          <w:top w:val="single" w:sz="4" w:space="0" w:color="004EA8" w:themeColor="accent1"/>
          <w:bottom w:val="single" w:sz="4" w:space="0" w:color="004EA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EA8" w:themeColor="accent1"/>
          <w:left w:val="nil"/>
        </w:tcBorders>
      </w:tcPr>
    </w:tblStylePr>
    <w:tblStylePr w:type="swCell">
      <w:tblPr/>
      <w:tcPr>
        <w:tcBorders>
          <w:top w:val="double" w:sz="4" w:space="0" w:color="004EA8" w:themeColor="accent1"/>
          <w:right w:val="nil"/>
        </w:tcBorders>
      </w:tcPr>
    </w:tblStylePr>
  </w:style>
  <w:style w:type="character" w:styleId="Hyperlink">
    <w:name w:val="Hyperlink"/>
    <w:basedOn w:val="DefaultParagraphFont"/>
    <w:uiPriority w:val="99"/>
    <w:unhideWhenUsed/>
    <w:rsid w:val="00A3402C"/>
    <w:rPr>
      <w:color w:val="004EA8" w:themeColor="hyperlink"/>
      <w:u w:val="single"/>
    </w:rPr>
  </w:style>
  <w:style w:type="character" w:styleId="CommentReference">
    <w:name w:val="annotation reference"/>
    <w:basedOn w:val="DefaultParagraphFont"/>
    <w:uiPriority w:val="99"/>
    <w:semiHidden/>
    <w:unhideWhenUsed/>
    <w:rsid w:val="007F383F"/>
    <w:rPr>
      <w:sz w:val="16"/>
      <w:szCs w:val="16"/>
    </w:rPr>
  </w:style>
  <w:style w:type="paragraph" w:styleId="CommentText">
    <w:name w:val="annotation text"/>
    <w:basedOn w:val="Normal"/>
    <w:link w:val="CommentTextChar"/>
    <w:uiPriority w:val="99"/>
    <w:semiHidden/>
    <w:unhideWhenUsed/>
    <w:rsid w:val="007F383F"/>
    <w:rPr>
      <w:sz w:val="20"/>
      <w:szCs w:val="20"/>
    </w:rPr>
  </w:style>
  <w:style w:type="character" w:customStyle="1" w:styleId="CommentTextChar">
    <w:name w:val="Comment Text Char"/>
    <w:basedOn w:val="DefaultParagraphFont"/>
    <w:link w:val="CommentText"/>
    <w:uiPriority w:val="99"/>
    <w:semiHidden/>
    <w:rsid w:val="007F383F"/>
    <w:rPr>
      <w:sz w:val="20"/>
      <w:szCs w:val="20"/>
    </w:rPr>
  </w:style>
  <w:style w:type="paragraph" w:styleId="CommentSubject">
    <w:name w:val="annotation subject"/>
    <w:basedOn w:val="CommentText"/>
    <w:next w:val="CommentText"/>
    <w:link w:val="CommentSubjectChar"/>
    <w:uiPriority w:val="99"/>
    <w:semiHidden/>
    <w:unhideWhenUsed/>
    <w:rsid w:val="007F383F"/>
    <w:rPr>
      <w:b/>
      <w:bCs/>
    </w:rPr>
  </w:style>
  <w:style w:type="character" w:customStyle="1" w:styleId="CommentSubjectChar">
    <w:name w:val="Comment Subject Char"/>
    <w:basedOn w:val="CommentTextChar"/>
    <w:link w:val="CommentSubject"/>
    <w:uiPriority w:val="99"/>
    <w:semiHidden/>
    <w:rsid w:val="007F383F"/>
    <w:rPr>
      <w:b/>
      <w:bCs/>
      <w:sz w:val="20"/>
      <w:szCs w:val="20"/>
    </w:rPr>
  </w:style>
  <w:style w:type="character" w:styleId="FootnoteReference">
    <w:name w:val="footnote reference"/>
    <w:basedOn w:val="DefaultParagraphFont"/>
    <w:uiPriority w:val="99"/>
    <w:semiHidden/>
    <w:unhideWhenUsed/>
    <w:rsid w:val="007F1250"/>
    <w:rPr>
      <w:vertAlign w:val="superscript"/>
    </w:rPr>
  </w:style>
  <w:style w:type="character" w:styleId="FollowedHyperlink">
    <w:name w:val="FollowedHyperlink"/>
    <w:basedOn w:val="DefaultParagraphFont"/>
    <w:uiPriority w:val="99"/>
    <w:semiHidden/>
    <w:unhideWhenUsed/>
    <w:rsid w:val="000F7255"/>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ducation.vic.gov.au/school/principals/spag/participation/pages/placement.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hyperlink" Target="http://www.education.vic.gov.au/school/principals/spag/participation/pages/admission.aspx" TargetMode="Externa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T Corporate">
      <a:dk1>
        <a:srgbClr val="000000"/>
      </a:dk1>
      <a:lt1>
        <a:srgbClr val="FFFFFF"/>
      </a:lt1>
      <a:dk2>
        <a:srgbClr val="53565A"/>
      </a:dk2>
      <a:lt2>
        <a:srgbClr val="D9D9D6"/>
      </a:lt2>
      <a:accent1>
        <a:srgbClr val="004EA8"/>
      </a:accent1>
      <a:accent2>
        <a:srgbClr val="BC95C8"/>
      </a:accent2>
      <a:accent3>
        <a:srgbClr val="F6BE00"/>
      </a:accent3>
      <a:accent4>
        <a:srgbClr val="00B7BD"/>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118</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enrolment, boundaries, zones, designated neighbourhood, eligibility</DEECD_Keywords>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8B3D8C40CE4F564BA6EC9ABE9FD7B09F" ma:contentTypeVersion="20" ma:contentTypeDescription="DET Document" ma:contentTypeScope="" ma:versionID="cb375e5e695c40f8e094ec2c82c795ba">
  <xsd:schema xmlns:xsd="http://www.w3.org/2001/XMLSchema" xmlns:xs="http://www.w3.org/2001/XMLSchema" xmlns:p="http://schemas.microsoft.com/office/2006/metadata/properties" xmlns:ns1="http://schemas.microsoft.com/sharepoint/v3" xmlns:ns2="http://schemas.microsoft.com/Sharepoint/v3" xmlns:ns3="1966e606-8b69-4075-9ef8-a409e80aaa70" xmlns:ns4="de7a6f4d-4dee-4638-987d-d40910d13f0c" xmlns:ns5="bc0a991d-f2dd-49b8-9351-4bd621ce8ac3" xmlns:ns6="http://schemas.microsoft.com/sharepoint/v4" targetNamespace="http://schemas.microsoft.com/office/2006/metadata/properties" ma:root="true" ma:fieldsID="e677bcfac8f65b99e0f0ba7a2cc394ac" ns1:_="" ns2:_="" ns3:_="" ns4:_="" ns5:_="" ns6:_="">
    <xsd:import namespace="http://schemas.microsoft.com/sharepoint/v3"/>
    <xsd:import namespace="http://schemas.microsoft.com/Sharepoint/v3"/>
    <xsd:import namespace="1966e606-8b69-4075-9ef8-a409e80aaa70"/>
    <xsd:import namespace="de7a6f4d-4dee-4638-987d-d40910d13f0c"/>
    <xsd:import namespace="bc0a991d-f2dd-49b8-9351-4bd621ce8ac3"/>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Project_x0020_document_x0020_types" minOccurs="0"/>
                <xsd:element ref="ns3:RegionRSD" minOccurs="0"/>
                <xsd:element ref="ns5:Doc_x0020_Status" minOccurs="0"/>
                <xsd:element ref="ns5:Project_x0020_Active" minOccurs="0"/>
                <xsd:element ref="ns6:IconOverlay" minOccurs="0"/>
                <xsd:element ref="ns4:_x0062_nt8" minOccurs="0"/>
                <xsd:element ref="ns4:Project_x0020_name" minOccurs="0"/>
                <xsd:element ref="ns4:vb2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RegionRSD" ma:index="22" nillable="true" ma:displayName="RegionRSG" ma:internalName="RegionRSD">
      <xsd:complexType>
        <xsd:complexContent>
          <xsd:extension base="dms:MultiChoice">
            <xsd:sequence>
              <xsd:element name="Value" maxOccurs="unbounded" minOccurs="0" nillable="true">
                <xsd:simpleType>
                  <xsd:restriction base="dms:Choice">
                    <xsd:enumeration value="All regions"/>
                    <xsd:enumeration value="Central"/>
                    <xsd:enumeration value="NEVR"/>
                    <xsd:enumeration value="NWVR"/>
                    <xsd:enumeration value="SEVR"/>
                    <xsd:enumeration value="SWVR"/>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7a6f4d-4dee-4638-987d-d40910d13f0c" elementFormDefault="qualified">
    <xsd:import namespace="http://schemas.microsoft.com/office/2006/documentManagement/types"/>
    <xsd:import namespace="http://schemas.microsoft.com/office/infopath/2007/PartnerControls"/>
    <xsd:element name="Project_x0020_document_x0020_types" ma:index="21" nillable="true" ma:displayName="Project document types" ma:format="Dropdown" ma:internalName="Project_x0020_document_x0020_types">
      <xsd:simpleType>
        <xsd:restriction base="dms:Choice">
          <xsd:enumeration value="Proposal"/>
          <xsd:enumeration value="Charter"/>
          <xsd:enumeration value="Report"/>
          <xsd:enumeration value="RFQ"/>
          <xsd:enumeration value="Email"/>
          <xsd:enumeration value="Contract"/>
          <xsd:enumeration value="Agenda"/>
          <xsd:enumeration value="Minutes"/>
          <xsd:enumeration value="Media clipping"/>
          <xsd:enumeration value="Meeting Papers"/>
          <xsd:enumeration value="Presentations"/>
          <xsd:enumeration value="Process"/>
          <xsd:enumeration value="Issues Paper"/>
          <xsd:enumeration value="Work Paper"/>
          <xsd:enumeration value="Template"/>
          <xsd:enumeration value="Application form"/>
          <xsd:enumeration value="Other"/>
        </xsd:restriction>
      </xsd:simpleType>
    </xsd:element>
    <xsd:element name="_x0062_nt8" ma:index="26" nillable="true" ma:displayName="Date and Time" ma:internalName="_x0062_nt8">
      <xsd:simpleType>
        <xsd:restriction base="dms:DateTime"/>
      </xsd:simpleType>
    </xsd:element>
    <xsd:element name="Project_x0020_name" ma:index="27" nillable="true" ma:displayName="Project name" ma:internalName="Project_x0020_name">
      <xsd:simpleType>
        <xsd:restriction base="dms:Text">
          <xsd:maxLength value="255"/>
        </xsd:restriction>
      </xsd:simpleType>
    </xsd:element>
    <xsd:element name="vb2u" ma:index="28" nillable="true" ma:displayName="Person or Group" ma:list="UserInfo" ma:internalName="vb2u">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0a991d-f2dd-49b8-9351-4bd621ce8ac3" elementFormDefault="qualified">
    <xsd:import namespace="http://schemas.microsoft.com/office/2006/documentManagement/types"/>
    <xsd:import namespace="http://schemas.microsoft.com/office/infopath/2007/PartnerControls"/>
    <xsd:element name="Doc_x0020_Status" ma:index="23" nillable="true" ma:displayName="Doc Status" ma:format="Dropdown" ma:internalName="Doc_x0020_Status">
      <xsd:simpleType>
        <xsd:restriction base="dms:Choice">
          <xsd:enumeration value="Draft"/>
          <xsd:enumeration value="Final"/>
          <xsd:enumeration value="Approved"/>
        </xsd:restriction>
      </xsd:simpleType>
    </xsd:element>
    <xsd:element name="Project_x0020_Active" ma:index="24" nillable="true" ma:displayName="Project Active" ma:default="1" ma:internalName="Project_x0020_Act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C5BA34-1B6F-4604-B4F1-B7E7C7866BCC}"/>
</file>

<file path=customXml/itemProps2.xml><?xml version="1.0" encoding="utf-8"?>
<ds:datastoreItem xmlns:ds="http://schemas.openxmlformats.org/officeDocument/2006/customXml" ds:itemID="{03D1D681-F53B-47D6-916E-A25B82830312}"/>
</file>

<file path=customXml/itemProps3.xml><?xml version="1.0" encoding="utf-8"?>
<ds:datastoreItem xmlns:ds="http://schemas.openxmlformats.org/officeDocument/2006/customXml" ds:itemID="{146E6058-0030-41A0-BC65-3F8A2073E1AA}"/>
</file>

<file path=customXml/itemProps4.xml><?xml version="1.0" encoding="utf-8"?>
<ds:datastoreItem xmlns:ds="http://schemas.openxmlformats.org/officeDocument/2006/customXml" ds:itemID="{DA1C8ED0-C534-40EA-9166-3180D2E91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de7a6f4d-4dee-4638-987d-d40910d13f0c"/>
    <ds:schemaRef ds:uri="bc0a991d-f2dd-49b8-9351-4bd621ce8ac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2D2936-7BFF-48F8-97DD-50F5AB431F14}"/>
</file>

<file path=docProps/app.xml><?xml version="1.0" encoding="utf-8"?>
<Properties xmlns="http://schemas.openxmlformats.org/officeDocument/2006/extended-properties" xmlns:vt="http://schemas.openxmlformats.org/officeDocument/2006/docPropsVTypes">
  <Template>Normal</Template>
  <TotalTime>1</TotalTime>
  <Pages>1</Pages>
  <Words>1612</Words>
  <Characters>9195</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Permanent Address Guidelines for Schools</vt:lpstr>
    </vt:vector>
  </TitlesOfParts>
  <Company>Department of Education and Training</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Permanent Address Guidelines for Schools</dc:title>
  <dc:subject/>
  <dc:creator>Isabel Lim</dc:creator>
  <cp:keywords/>
  <dc:description/>
  <cp:lastModifiedBy>Bance, Jennie A</cp:lastModifiedBy>
  <cp:revision>4</cp:revision>
  <cp:lastPrinted>2018-03-19T00:57:00Z</cp:lastPrinted>
  <dcterms:created xsi:type="dcterms:W3CDTF">2018-05-31T00:17:00Z</dcterms:created>
  <dcterms:modified xsi:type="dcterms:W3CDTF">2018-05-31T00:17:00Z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SubmissionCompleted">
    <vt:lpwstr>2018-03-09T12:39:25.0624649+11:00</vt:lpwstr>
  </property>
  <property fmtid="{D5CDD505-2E9C-101B-9397-08002B2CF9AE}" pid="8" name="RecordPoint_ActiveItemUniqueId">
    <vt:lpwstr>{b8901e4e-4e15-4d88-8331-cfcaf7cc1c0b}</vt:lpwstr>
  </property>
  <property fmtid="{D5CDD505-2E9C-101B-9397-08002B2CF9AE}" pid="9" name="RecordPoint_ActiveItemWebId">
    <vt:lpwstr>{bc0a991d-f2dd-49b8-9351-4bd621ce8ac3}</vt:lpwstr>
  </property>
  <property fmtid="{D5CDD505-2E9C-101B-9397-08002B2CF9AE}" pid="10" name="RecordPoint_ActiveItemSiteId">
    <vt:lpwstr>{03dc8113-b288-4f44-a289-6e7ea0196235}</vt:lpwstr>
  </property>
  <property fmtid="{D5CDD505-2E9C-101B-9397-08002B2CF9AE}" pid="11" name="RecordPoint_ActiveItemListId">
    <vt:lpwstr>{de7a6f4d-4dee-4638-987d-d40910d13f0c}</vt:lpwstr>
  </property>
  <property fmtid="{D5CDD505-2E9C-101B-9397-08002B2CF9AE}" pid="12" name="RecordPoint_RecordNumberSubmitted">
    <vt:lpwstr>R2018/0135692</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97;#Guide / Manual|b3949c2d-9e4b-4ecf-ba30-8067d8603b3b</vt:lpwstr>
  </property>
  <property fmtid="{D5CDD505-2E9C-101B-9397-08002B2CF9AE}" pid="18" name="DEECD_SubjectCategory">
    <vt:lpwstr/>
  </property>
  <property fmtid="{D5CDD505-2E9C-101B-9397-08002B2CF9AE}" pid="19" name="DEECD_Audience">
    <vt:lpwstr>118;#Principals|a4f56333-bce8-49bd-95df-bc27ddd10ec3</vt:lpwstr>
  </property>
</Properties>
</file>