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8C13D2D" w14:textId="1B0073C2" w:rsidR="00C54422" w:rsidRDefault="00C54422" w:rsidP="008766A4">
      <w:pPr>
        <w:pStyle w:val="Heading1"/>
      </w:pPr>
      <w:r w:rsidRPr="003E29B5">
        <w:rPr>
          <w:noProof/>
          <w:lang w:val="en-AU" w:eastAsia="en-AU"/>
        </w:rPr>
        <mc:AlternateContent>
          <mc:Choice Requires="wps">
            <w:drawing>
              <wp:anchor distT="0" distB="0" distL="114300" distR="114300" simplePos="0" relativeHeight="251659264" behindDoc="0" locked="0" layoutInCell="1" allowOverlap="1" wp14:anchorId="142C1659" wp14:editId="07CD5051">
                <wp:simplePos x="0" y="0"/>
                <wp:positionH relativeFrom="column">
                  <wp:posOffset>-80010</wp:posOffset>
                </wp:positionH>
                <wp:positionV relativeFrom="paragraph">
                  <wp:posOffset>42545</wp:posOffset>
                </wp:positionV>
                <wp:extent cx="6807200" cy="791210"/>
                <wp:effectExtent l="0" t="0" r="0" b="8890"/>
                <wp:wrapTight wrapText="bothSides">
                  <wp:wrapPolygon edited="0">
                    <wp:start x="121" y="0"/>
                    <wp:lineTo x="121" y="21323"/>
                    <wp:lineTo x="21399" y="21323"/>
                    <wp:lineTo x="21399" y="0"/>
                    <wp:lineTo x="121" y="0"/>
                  </wp:wrapPolygon>
                </wp:wrapTight>
                <wp:docPr id="3" name="Text Box 3"/>
                <wp:cNvGraphicFramePr/>
                <a:graphic xmlns:a="http://schemas.openxmlformats.org/drawingml/2006/main">
                  <a:graphicData uri="http://schemas.microsoft.com/office/word/2010/wordprocessingShape">
                    <wps:wsp>
                      <wps:cNvSpPr txBox="1"/>
                      <wps:spPr>
                        <a:xfrm>
                          <a:off x="0" y="0"/>
                          <a:ext cx="6807200" cy="7912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0854113" w14:textId="0BCE0EE4" w:rsidR="00C54422" w:rsidRPr="00C54422" w:rsidRDefault="00360781" w:rsidP="00C54422">
                            <w:pPr>
                              <w:pStyle w:val="Title"/>
                              <w:rPr>
                                <w:rStyle w:val="SubtleEmphasis"/>
                                <w:i w:val="0"/>
                                <w:color w:val="AF272F"/>
                              </w:rPr>
                            </w:pPr>
                            <w:r w:rsidRPr="00C54422">
                              <w:rPr>
                                <w:rStyle w:val="SubtleEmphasis"/>
                                <w:i w:val="0"/>
                                <w:color w:val="AF272F"/>
                              </w:rPr>
                              <w:t>PARENT PAYMENT POLICY</w:t>
                            </w:r>
                          </w:p>
                          <w:p w14:paraId="72833BD3" w14:textId="463F40F0" w:rsidR="003E29B5" w:rsidRDefault="00360781" w:rsidP="00C54422">
                            <w:pPr>
                              <w:pStyle w:val="Title"/>
                              <w:rPr>
                                <w:rStyle w:val="SubtleEmphasis"/>
                                <w:i w:val="0"/>
                                <w:color w:val="AF272F"/>
                              </w:rPr>
                            </w:pPr>
                            <w:r w:rsidRPr="00C54422">
                              <w:rPr>
                                <w:rStyle w:val="SubtleEmphasis"/>
                                <w:i w:val="0"/>
                                <w:color w:val="AF272F"/>
                              </w:rPr>
                              <w:t>TRANSPARENCY FRAMEWORK FOR SCHOOLS</w:t>
                            </w:r>
                            <w:r w:rsidR="003E29B5">
                              <w:rPr>
                                <w:rStyle w:val="SubtleEmphasis"/>
                                <w:i w:val="0"/>
                                <w:color w:val="AF272F"/>
                              </w:rPr>
                              <w:br/>
                            </w:r>
                            <w:r w:rsidR="003E29B5" w:rsidRPr="00326F48">
                              <w:rPr>
                                <w:rStyle w:val="SubtleEmphasis"/>
                                <w:i w:val="0"/>
                                <w:color w:val="AF272F"/>
                              </w:rPr>
                              <w:t xml:space="preserve">TO GO </w:t>
                            </w:r>
                            <w:r w:rsidR="003E29B5" w:rsidRPr="003E29B5">
                              <w:t>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2C1659" id="_x0000_t202" coordsize="21600,21600" o:spt="202" path="m,l,21600r21600,l21600,xe">
                <v:stroke joinstyle="miter"/>
                <v:path gradientshapeok="t" o:connecttype="rect"/>
              </v:shapetype>
              <v:shape id="Text Box 3" o:spid="_x0000_s1026" type="#_x0000_t202" style="position:absolute;margin-left:-6.3pt;margin-top:3.35pt;width:536pt;height:6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" filled="f" stroked="f">
                <v:textbox>
                  <w:txbxContent>
                    <w:p w14:paraId="70854113" w14:textId="0BCE0EE4" w:rsidR="00C54422" w:rsidRPr="00C54422" w:rsidRDefault="00360781" w:rsidP="00C54422">
                      <w:pPr>
                        <w:pStyle w:val="Title"/>
                        <w:rPr>
                          <w:rStyle w:val="SubtleEmphasis"/>
                          <w:i w:val="0"/>
                          <w:color w:val="AF272F"/>
                        </w:rPr>
                      </w:pPr>
                      <w:r w:rsidRPr="00C54422">
                        <w:rPr>
                          <w:rStyle w:val="SubtleEmphasis"/>
                          <w:i w:val="0"/>
                          <w:color w:val="AF272F"/>
                        </w:rPr>
                        <w:t>PARENT PAYMENT POLICY</w:t>
                      </w:r>
                    </w:p>
                    <w:p w14:paraId="72833BD3" w14:textId="463F40F0" w:rsidR="003E29B5" w:rsidRDefault="00360781" w:rsidP="00C54422">
                      <w:pPr>
                        <w:pStyle w:val="Title"/>
                        <w:rPr>
                          <w:rStyle w:val="SubtleEmphasis"/>
                          <w:i w:val="0"/>
                          <w:color w:val="AF272F"/>
                        </w:rPr>
                      </w:pPr>
                      <w:r w:rsidRPr="00C54422">
                        <w:rPr>
                          <w:rStyle w:val="SubtleEmphasis"/>
                          <w:i w:val="0"/>
                          <w:color w:val="AF272F"/>
                        </w:rPr>
                        <w:t>TRANSPARENCY FRAMEWORK FOR SCHOOLS</w:t>
                      </w:r>
                      <w:r w:rsidR="003E29B5">
                        <w:rPr>
                          <w:rStyle w:val="SubtleEmphasis"/>
                          <w:i w:val="0"/>
                          <w:color w:val="AF272F"/>
                        </w:rPr>
                        <w:br/>
                      </w:r>
                      <w:r w:rsidR="003E29B5" w:rsidRPr="00326F48">
                        <w:rPr>
                          <w:rStyle w:val="SubtleEmphasis"/>
                          <w:i w:val="0"/>
                          <w:color w:val="AF272F"/>
                        </w:rPr>
                        <w:t xml:space="preserve">TO GO </w:t>
                      </w:r>
                      <w:r w:rsidR="003E29B5" w:rsidRPr="003E29B5">
                        <w:t>HERE</w:t>
                      </w:r>
                    </w:p>
                  </w:txbxContent>
                </v:textbox>
                <w10:wrap type="tight"/>
              </v:shape>
            </w:pict>
          </mc:Fallback>
        </mc:AlternateContent>
      </w:r>
    </w:p>
    <w:p w14:paraId="411DAF96" w14:textId="77777777" w:rsidR="00C54422" w:rsidRPr="00C54422" w:rsidRDefault="00C54422" w:rsidP="00C54422">
      <w:pPr>
        <w:spacing w:after="0" w:line="240" w:lineRule="auto"/>
        <w:jc w:val="both"/>
        <w:rPr>
          <w:rFonts w:eastAsia="Times New Roman" w:cs="Times New Roman"/>
          <w:b/>
          <w:color w:val="C00000"/>
          <w:sz w:val="22"/>
          <w:szCs w:val="22"/>
        </w:rPr>
      </w:pPr>
      <w:r w:rsidRPr="00C54422">
        <w:rPr>
          <w:rFonts w:eastAsia="Times New Roman" w:cs="Times New Roman"/>
          <w:b/>
          <w:color w:val="C00000"/>
          <w:sz w:val="22"/>
          <w:szCs w:val="22"/>
        </w:rPr>
        <w:t>Purpose</w:t>
      </w:r>
    </w:p>
    <w:p w14:paraId="2AE5EA2E" w14:textId="77777777" w:rsidR="00C54422" w:rsidRPr="00C54422" w:rsidRDefault="00C54422" w:rsidP="00C54422">
      <w:pPr>
        <w:spacing w:after="0" w:line="240" w:lineRule="auto"/>
        <w:jc w:val="both"/>
        <w:rPr>
          <w:rFonts w:eastAsia="Times New Roman"/>
          <w:b/>
          <w:color w:val="FF0000"/>
          <w:sz w:val="20"/>
          <w:szCs w:val="20"/>
        </w:rPr>
      </w:pPr>
    </w:p>
    <w:p w14:paraId="5155B4A3" w14:textId="77777777" w:rsidR="00C54422" w:rsidRPr="00C54422" w:rsidRDefault="00C54422" w:rsidP="00C54422">
      <w:pPr>
        <w:spacing w:after="0" w:line="240" w:lineRule="auto"/>
        <w:jc w:val="both"/>
        <w:rPr>
          <w:rFonts w:eastAsia="Times New Roman"/>
          <w:sz w:val="20"/>
          <w:szCs w:val="20"/>
        </w:rPr>
      </w:pPr>
      <w:r w:rsidRPr="00C54422">
        <w:rPr>
          <w:rFonts w:eastAsia="Times New Roman"/>
          <w:sz w:val="20"/>
          <w:szCs w:val="20"/>
        </w:rPr>
        <w:t>The following elements enable increased transparency and accountability for the implementation of the Parent Payment Policy.</w:t>
      </w:r>
    </w:p>
    <w:p w14:paraId="5FFFA775" w14:textId="77777777" w:rsidR="00C54422" w:rsidRPr="00C54422" w:rsidRDefault="00C54422" w:rsidP="00C54422">
      <w:pPr>
        <w:spacing w:after="0" w:line="240" w:lineRule="auto"/>
        <w:jc w:val="both"/>
        <w:rPr>
          <w:rFonts w:eastAsia="Times New Roman"/>
          <w:sz w:val="20"/>
          <w:szCs w:val="20"/>
        </w:rPr>
      </w:pPr>
      <w:r w:rsidRPr="00C54422">
        <w:rPr>
          <w:rFonts w:eastAsia="Times New Roman"/>
          <w:sz w:val="20"/>
          <w:szCs w:val="20"/>
        </w:rPr>
        <w:t xml:space="preserve"> </w:t>
      </w:r>
    </w:p>
    <w:p w14:paraId="6DC80FF7" w14:textId="77777777" w:rsidR="00C54422" w:rsidRPr="00C54422" w:rsidRDefault="00C54422" w:rsidP="00C54422">
      <w:pPr>
        <w:pStyle w:val="ListParagraph"/>
        <w:numPr>
          <w:ilvl w:val="0"/>
          <w:numId w:val="13"/>
        </w:numPr>
        <w:rPr>
          <w:rFonts w:ascii="Arial" w:eastAsia="Times New Roman" w:hAnsi="Arial" w:cs="Arial"/>
          <w:sz w:val="20"/>
          <w:szCs w:val="20"/>
        </w:rPr>
      </w:pPr>
      <w:r w:rsidRPr="00C54422">
        <w:rPr>
          <w:rFonts w:ascii="Arial" w:eastAsia="Times New Roman" w:hAnsi="Arial" w:cs="Arial"/>
          <w:sz w:val="20"/>
          <w:szCs w:val="20"/>
        </w:rPr>
        <w:t xml:space="preserve">Revised Chart of Accounts  </w:t>
      </w:r>
    </w:p>
    <w:p w14:paraId="2F19561E" w14:textId="77777777" w:rsidR="00C54422" w:rsidRPr="00C54422" w:rsidRDefault="00C54422" w:rsidP="00C54422">
      <w:pPr>
        <w:pStyle w:val="ListParagraph"/>
        <w:numPr>
          <w:ilvl w:val="0"/>
          <w:numId w:val="13"/>
        </w:numPr>
        <w:rPr>
          <w:rFonts w:ascii="Arial" w:eastAsia="Times New Roman" w:hAnsi="Arial" w:cs="Arial"/>
          <w:sz w:val="20"/>
          <w:szCs w:val="20"/>
        </w:rPr>
      </w:pPr>
      <w:r w:rsidRPr="00C54422">
        <w:rPr>
          <w:rFonts w:ascii="Arial" w:eastAsia="Times New Roman" w:hAnsi="Arial" w:cs="Arial"/>
          <w:sz w:val="20"/>
          <w:szCs w:val="20"/>
        </w:rPr>
        <w:t xml:space="preserve">School level ‘Test of Transparency’ checklist </w:t>
      </w:r>
    </w:p>
    <w:p w14:paraId="7A097936" w14:textId="77777777" w:rsidR="00C54422" w:rsidRPr="00C54422" w:rsidRDefault="00C54422" w:rsidP="00C54422">
      <w:pPr>
        <w:pStyle w:val="ListParagraph"/>
        <w:numPr>
          <w:ilvl w:val="0"/>
          <w:numId w:val="13"/>
        </w:numPr>
        <w:rPr>
          <w:rFonts w:ascii="Arial" w:eastAsia="Times New Roman" w:hAnsi="Arial" w:cs="Arial"/>
          <w:sz w:val="20"/>
          <w:szCs w:val="20"/>
        </w:rPr>
      </w:pPr>
      <w:r w:rsidRPr="00C54422">
        <w:rPr>
          <w:rFonts w:ascii="Arial" w:eastAsia="Times New Roman" w:hAnsi="Arial" w:cs="Arial"/>
          <w:color w:val="000000" w:themeColor="text1"/>
          <w:sz w:val="20"/>
          <w:szCs w:val="20"/>
        </w:rPr>
        <w:t>Practical tips for schools to engage parents</w:t>
      </w:r>
    </w:p>
    <w:p w14:paraId="587C1549" w14:textId="77777777" w:rsidR="00C54422" w:rsidRPr="00C54422" w:rsidRDefault="00C54422" w:rsidP="00C54422">
      <w:pPr>
        <w:pStyle w:val="ListParagraph"/>
        <w:numPr>
          <w:ilvl w:val="0"/>
          <w:numId w:val="13"/>
        </w:numPr>
        <w:rPr>
          <w:rFonts w:ascii="Arial" w:eastAsia="Times New Roman" w:hAnsi="Arial" w:cs="Arial"/>
          <w:sz w:val="20"/>
          <w:szCs w:val="20"/>
        </w:rPr>
      </w:pPr>
      <w:r w:rsidRPr="00C54422">
        <w:rPr>
          <w:rFonts w:ascii="Arial" w:eastAsia="Times New Roman" w:hAnsi="Arial" w:cs="Arial"/>
          <w:color w:val="000000" w:themeColor="text1"/>
          <w:sz w:val="20"/>
          <w:szCs w:val="20"/>
        </w:rPr>
        <w:t>Sharing good practice</w:t>
      </w:r>
    </w:p>
    <w:p w14:paraId="2B497759" w14:textId="77777777" w:rsidR="00C54422" w:rsidRPr="00C54422" w:rsidRDefault="00C54422" w:rsidP="00C54422">
      <w:pPr>
        <w:pStyle w:val="ListParagraph"/>
        <w:numPr>
          <w:ilvl w:val="0"/>
          <w:numId w:val="13"/>
        </w:numPr>
        <w:rPr>
          <w:rFonts w:ascii="Arial" w:eastAsia="Times New Roman" w:hAnsi="Arial" w:cs="Arial"/>
          <w:sz w:val="20"/>
          <w:szCs w:val="20"/>
        </w:rPr>
      </w:pPr>
      <w:r w:rsidRPr="00C54422">
        <w:rPr>
          <w:rFonts w:ascii="Arial" w:eastAsia="Times New Roman" w:hAnsi="Arial" w:cs="Arial"/>
          <w:color w:val="000000" w:themeColor="text1"/>
          <w:sz w:val="20"/>
          <w:szCs w:val="20"/>
        </w:rPr>
        <w:t>Clear payment categories</w:t>
      </w:r>
    </w:p>
    <w:p w14:paraId="3C746567" w14:textId="77777777" w:rsidR="00C54422" w:rsidRPr="00C54422" w:rsidRDefault="00C54422" w:rsidP="00C54422">
      <w:pPr>
        <w:spacing w:after="0" w:line="240" w:lineRule="auto"/>
        <w:jc w:val="both"/>
        <w:rPr>
          <w:rFonts w:eastAsia="Times New Roman"/>
          <w:b/>
          <w:color w:val="C00000"/>
          <w:sz w:val="20"/>
          <w:szCs w:val="20"/>
        </w:rPr>
      </w:pPr>
      <w:r w:rsidRPr="00C54422">
        <w:rPr>
          <w:rFonts w:eastAsia="Times New Roman"/>
          <w:b/>
          <w:noProof/>
          <w:color w:val="C00000"/>
          <w:sz w:val="20"/>
          <w:szCs w:val="20"/>
          <w:lang w:val="en-AU" w:eastAsia="en-AU"/>
        </w:rPr>
        <w:drawing>
          <wp:inline distT="0" distB="0" distL="0" distR="0" wp14:anchorId="6EF72F98" wp14:editId="21C4A19B">
            <wp:extent cx="5486400" cy="3200400"/>
            <wp:effectExtent l="0" t="95250" r="0" b="952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862F29D" w14:textId="77777777" w:rsidR="00C54422" w:rsidRPr="00C54422" w:rsidRDefault="00C54422" w:rsidP="00C54422">
      <w:pPr>
        <w:spacing w:after="0" w:line="240" w:lineRule="auto"/>
        <w:jc w:val="both"/>
        <w:rPr>
          <w:rFonts w:eastAsia="Times New Roman"/>
          <w:b/>
          <w:color w:val="C00000"/>
          <w:sz w:val="22"/>
          <w:szCs w:val="22"/>
        </w:rPr>
      </w:pPr>
      <w:r w:rsidRPr="00C54422">
        <w:rPr>
          <w:rFonts w:eastAsia="Times New Roman"/>
          <w:b/>
          <w:color w:val="C00000"/>
          <w:sz w:val="22"/>
          <w:szCs w:val="22"/>
        </w:rPr>
        <w:t>Chart of Accounts</w:t>
      </w:r>
    </w:p>
    <w:p w14:paraId="670254D6" w14:textId="77777777" w:rsidR="00C54422" w:rsidRPr="00C54422" w:rsidRDefault="00C54422" w:rsidP="00C54422">
      <w:pPr>
        <w:spacing w:after="0" w:line="240" w:lineRule="auto"/>
        <w:jc w:val="both"/>
        <w:rPr>
          <w:rFonts w:eastAsia="Times New Roman"/>
          <w:color w:val="C00000"/>
          <w:sz w:val="20"/>
          <w:szCs w:val="20"/>
        </w:rPr>
      </w:pPr>
    </w:p>
    <w:p w14:paraId="5F7D93D8" w14:textId="77777777" w:rsidR="00C54422" w:rsidRPr="00C54422" w:rsidRDefault="00C54422" w:rsidP="00C54422">
      <w:pPr>
        <w:spacing w:after="0" w:line="240" w:lineRule="auto"/>
        <w:jc w:val="both"/>
        <w:rPr>
          <w:rFonts w:eastAsia="Times New Roman"/>
          <w:color w:val="000000" w:themeColor="text1"/>
          <w:sz w:val="20"/>
          <w:szCs w:val="20"/>
        </w:rPr>
      </w:pPr>
      <w:r w:rsidRPr="00C54422">
        <w:rPr>
          <w:rFonts w:eastAsia="Times New Roman"/>
          <w:color w:val="000000" w:themeColor="text1"/>
          <w:sz w:val="20"/>
          <w:szCs w:val="20"/>
        </w:rPr>
        <w:t xml:space="preserve">The schools Chart of Accounts was upgraded on 1 January 2016 to enable specific reporting of parent payments across the three categories of Essential Student Learning Items, Optional Items and Voluntary Financial Contributions. </w:t>
      </w:r>
    </w:p>
    <w:p w14:paraId="6F9DBA34" w14:textId="77777777" w:rsidR="00C54422" w:rsidRPr="00C54422" w:rsidRDefault="00C54422" w:rsidP="00C54422">
      <w:pPr>
        <w:spacing w:after="0" w:line="240" w:lineRule="auto"/>
        <w:jc w:val="both"/>
        <w:rPr>
          <w:rFonts w:eastAsia="Times New Roman"/>
          <w:color w:val="C00000"/>
          <w:sz w:val="20"/>
          <w:szCs w:val="20"/>
        </w:rPr>
      </w:pPr>
    </w:p>
    <w:p w14:paraId="10FD5CF2" w14:textId="77777777" w:rsidR="00C54422" w:rsidRPr="00C54422" w:rsidRDefault="00C54422" w:rsidP="00C54422">
      <w:pPr>
        <w:rPr>
          <w:b/>
          <w:color w:val="C00000"/>
          <w:sz w:val="22"/>
          <w:szCs w:val="22"/>
        </w:rPr>
      </w:pPr>
      <w:r w:rsidRPr="00C54422">
        <w:rPr>
          <w:b/>
          <w:color w:val="C00000"/>
          <w:sz w:val="22"/>
          <w:szCs w:val="22"/>
        </w:rPr>
        <w:t>Engagement with parents when considering the school parent payment charges</w:t>
      </w:r>
    </w:p>
    <w:p w14:paraId="62E373B9" w14:textId="77777777" w:rsidR="00C54422" w:rsidRPr="00C54422" w:rsidRDefault="00C54422" w:rsidP="00C54422">
      <w:pPr>
        <w:rPr>
          <w:sz w:val="20"/>
          <w:szCs w:val="20"/>
        </w:rPr>
      </w:pPr>
      <w:r w:rsidRPr="00C54422">
        <w:rPr>
          <w:sz w:val="20"/>
          <w:szCs w:val="20"/>
        </w:rPr>
        <w:t xml:space="preserve">It is important for school communities, parents, key stakeholders and the Department to understand how schools are implementing the Parent Payment Policy at the local level. A simple tool, on which schools report openly, provides a good practice framework on which the policy implementation can be regularly reviewed. </w:t>
      </w:r>
    </w:p>
    <w:p w14:paraId="4ADB68CE" w14:textId="77777777" w:rsidR="00C54422" w:rsidRPr="00C54422" w:rsidRDefault="00C54422" w:rsidP="00C54422">
      <w:pPr>
        <w:rPr>
          <w:sz w:val="20"/>
          <w:szCs w:val="20"/>
        </w:rPr>
      </w:pPr>
      <w:r w:rsidRPr="00C54422">
        <w:rPr>
          <w:sz w:val="20"/>
          <w:szCs w:val="20"/>
        </w:rPr>
        <w:lastRenderedPageBreak/>
        <w:t xml:space="preserve">Greater transparency can be achieved if school councils as a matter of course engaged more broadly with their community when developing their parent payment position.  </w:t>
      </w:r>
    </w:p>
    <w:p w14:paraId="5E50968D" w14:textId="77777777" w:rsidR="00C54422" w:rsidRPr="00C54422" w:rsidRDefault="00C54422" w:rsidP="00C54422">
      <w:pPr>
        <w:rPr>
          <w:sz w:val="20"/>
          <w:szCs w:val="20"/>
        </w:rPr>
      </w:pPr>
      <w:r w:rsidRPr="00C54422">
        <w:rPr>
          <w:sz w:val="20"/>
          <w:szCs w:val="20"/>
        </w:rPr>
        <w:t>Parents and the broader community play a vital role in supporting successful learning outcomes for children. Research tells us that the most meaningful partnerships are those where schools, parents, students and the community work together to focus on student learning</w:t>
      </w:r>
      <w:r w:rsidRPr="00C54422">
        <w:rPr>
          <w:sz w:val="20"/>
          <w:szCs w:val="20"/>
          <w:vertAlign w:val="superscript"/>
        </w:rPr>
        <w:footnoteReference w:id="1"/>
      </w:r>
      <w:r w:rsidRPr="00C54422">
        <w:rPr>
          <w:sz w:val="20"/>
          <w:szCs w:val="20"/>
        </w:rPr>
        <w:t xml:space="preserve">. </w:t>
      </w:r>
    </w:p>
    <w:p w14:paraId="54AC98C1" w14:textId="09E360B4" w:rsidR="00C54422" w:rsidRPr="00C54422" w:rsidRDefault="001E799C" w:rsidP="00C54422">
      <w:pPr>
        <w:rPr>
          <w:sz w:val="20"/>
          <w:szCs w:val="20"/>
        </w:rPr>
      </w:pPr>
      <w:r w:rsidRPr="00115548">
        <w:rPr>
          <w:sz w:val="20"/>
          <w:szCs w:val="20"/>
        </w:rPr>
        <w:t xml:space="preserve">The </w:t>
      </w:r>
      <w:hyperlink r:id="rId16" w:history="1">
        <w:r w:rsidRPr="00115548">
          <w:rPr>
            <w:rStyle w:val="Hyperlink"/>
            <w:i/>
            <w:iCs/>
            <w:sz w:val="20"/>
            <w:szCs w:val="20"/>
          </w:rPr>
          <w:t>Framework for Improving Student Outcomes</w:t>
        </w:r>
      </w:hyperlink>
      <w:r w:rsidRPr="00115548">
        <w:rPr>
          <w:sz w:val="20"/>
          <w:szCs w:val="20"/>
        </w:rPr>
        <w:t xml:space="preserve"> provides the </w:t>
      </w:r>
      <w:hyperlink r:id="rId17" w:history="1">
        <w:r w:rsidRPr="00B1101B">
          <w:rPr>
            <w:rStyle w:val="Hyperlink"/>
            <w:i/>
            <w:iCs/>
            <w:sz w:val="20"/>
            <w:szCs w:val="20"/>
          </w:rPr>
          <w:t>Families as Partners in Learning</w:t>
        </w:r>
        <w:r w:rsidRPr="00115548">
          <w:rPr>
            <w:rStyle w:val="Hyperlink"/>
            <w:sz w:val="20"/>
            <w:szCs w:val="20"/>
          </w:rPr>
          <w:t xml:space="preserve"> </w:t>
        </w:r>
        <w:r w:rsidRPr="00B1101B">
          <w:rPr>
            <w:rStyle w:val="Hyperlink"/>
            <w:color w:val="auto"/>
            <w:sz w:val="20"/>
            <w:szCs w:val="20"/>
            <w:u w:val="none"/>
          </w:rPr>
          <w:t>dimension</w:t>
        </w:r>
      </w:hyperlink>
      <w:r w:rsidRPr="00115548">
        <w:rPr>
          <w:sz w:val="20"/>
          <w:szCs w:val="20"/>
        </w:rPr>
        <w:t xml:space="preserve">. This includes case studies and resources </w:t>
      </w:r>
      <w:r>
        <w:rPr>
          <w:sz w:val="20"/>
          <w:szCs w:val="20"/>
        </w:rPr>
        <w:t xml:space="preserve">for </w:t>
      </w:r>
      <w:r w:rsidR="00C54422" w:rsidRPr="00C54422">
        <w:rPr>
          <w:sz w:val="20"/>
          <w:szCs w:val="20"/>
        </w:rPr>
        <w:t>early childhood professionals, school leaders and teachers with information on the importance of family partnerships, strategies from best practice examples of family partnerships and, tools and resources to assist in the development of successful family partnerships.</w:t>
      </w:r>
    </w:p>
    <w:p w14:paraId="7C6D15C7" w14:textId="77777777" w:rsidR="00C54422" w:rsidRPr="00C54422" w:rsidRDefault="00C54422" w:rsidP="00C54422">
      <w:pPr>
        <w:rPr>
          <w:sz w:val="20"/>
          <w:szCs w:val="20"/>
        </w:rPr>
      </w:pPr>
      <w:r w:rsidRPr="00C54422">
        <w:rPr>
          <w:sz w:val="20"/>
          <w:szCs w:val="20"/>
        </w:rPr>
        <w:t xml:space="preserve">Open, authentic and purposeful consultation with parents in developing and reviewing the school’s Parent Payment practices as they relate to the school learning program </w:t>
      </w:r>
      <w:proofErr w:type="gramStart"/>
      <w:r w:rsidRPr="00C54422">
        <w:rPr>
          <w:sz w:val="20"/>
          <w:szCs w:val="20"/>
        </w:rPr>
        <w:t>has the ability to</w:t>
      </w:r>
      <w:proofErr w:type="gramEnd"/>
      <w:r w:rsidRPr="00C54422">
        <w:rPr>
          <w:sz w:val="20"/>
          <w:szCs w:val="20"/>
        </w:rPr>
        <w:t xml:space="preserve"> leverage good outcomes for schools. </w:t>
      </w:r>
    </w:p>
    <w:p w14:paraId="7FE9622F" w14:textId="77777777" w:rsidR="00C54422" w:rsidRPr="00C54422" w:rsidRDefault="00C54422" w:rsidP="00C54422">
      <w:pPr>
        <w:rPr>
          <w:sz w:val="20"/>
          <w:szCs w:val="20"/>
        </w:rPr>
      </w:pPr>
      <w:r w:rsidRPr="00C54422">
        <w:rPr>
          <w:sz w:val="20"/>
          <w:szCs w:val="20"/>
        </w:rPr>
        <w:t xml:space="preserve">Schools already have processes in place to enable contribution of parents in school decision-making.  However, in respect to the implementation of the Parent Payment Policy at school level, there needs to be active engagement and communication with parents to assist them to understand the link between the school’s curriculum and proposed parent payment decisions. As the context of each school is unique, schools choose from a range of strategies to engage families in school decision-making processes. Whatever the </w:t>
      </w:r>
      <w:proofErr w:type="gramStart"/>
      <w:r w:rsidRPr="00C54422">
        <w:rPr>
          <w:sz w:val="20"/>
          <w:szCs w:val="20"/>
        </w:rPr>
        <w:t>particular engagement</w:t>
      </w:r>
      <w:proofErr w:type="gramEnd"/>
      <w:r w:rsidRPr="00C54422">
        <w:rPr>
          <w:sz w:val="20"/>
          <w:szCs w:val="20"/>
        </w:rPr>
        <w:t xml:space="preserve"> strategies used by the school, at a minimum they should:</w:t>
      </w:r>
    </w:p>
    <w:p w14:paraId="37689EAF" w14:textId="77777777" w:rsidR="00C54422" w:rsidRPr="00C54422" w:rsidRDefault="00C54422" w:rsidP="00C54422">
      <w:pPr>
        <w:numPr>
          <w:ilvl w:val="0"/>
          <w:numId w:val="12"/>
        </w:numPr>
        <w:spacing w:after="200" w:line="276" w:lineRule="auto"/>
        <w:rPr>
          <w:sz w:val="20"/>
          <w:szCs w:val="20"/>
        </w:rPr>
      </w:pPr>
      <w:r w:rsidRPr="00C54422">
        <w:rPr>
          <w:sz w:val="20"/>
          <w:szCs w:val="20"/>
        </w:rPr>
        <w:t>advise parents of the proposed costs of the learning program</w:t>
      </w:r>
    </w:p>
    <w:p w14:paraId="439C71EC" w14:textId="77777777" w:rsidR="00C54422" w:rsidRPr="00C54422" w:rsidRDefault="00C54422" w:rsidP="00C54422">
      <w:pPr>
        <w:numPr>
          <w:ilvl w:val="0"/>
          <w:numId w:val="12"/>
        </w:numPr>
        <w:spacing w:after="200" w:line="276" w:lineRule="auto"/>
        <w:rPr>
          <w:sz w:val="20"/>
          <w:szCs w:val="20"/>
        </w:rPr>
      </w:pPr>
      <w:r w:rsidRPr="00C54422">
        <w:rPr>
          <w:sz w:val="20"/>
          <w:szCs w:val="20"/>
        </w:rPr>
        <w:t>explain the rationale and guidelines for the proposed costs</w:t>
      </w:r>
    </w:p>
    <w:p w14:paraId="63CB361C" w14:textId="77777777" w:rsidR="00C54422" w:rsidRPr="00C54422" w:rsidRDefault="00C54422" w:rsidP="00C54422">
      <w:pPr>
        <w:numPr>
          <w:ilvl w:val="0"/>
          <w:numId w:val="12"/>
        </w:numPr>
        <w:spacing w:after="200" w:line="276" w:lineRule="auto"/>
        <w:rPr>
          <w:sz w:val="20"/>
          <w:szCs w:val="20"/>
        </w:rPr>
      </w:pPr>
      <w:r w:rsidRPr="00C54422">
        <w:rPr>
          <w:sz w:val="20"/>
          <w:szCs w:val="20"/>
        </w:rPr>
        <w:t>provide opportunities for a diverse range of parents to express their viewpoints, and</w:t>
      </w:r>
    </w:p>
    <w:p w14:paraId="05E7C60A" w14:textId="77777777" w:rsidR="00C54422" w:rsidRPr="00C54422" w:rsidRDefault="00C54422" w:rsidP="00C54422">
      <w:pPr>
        <w:numPr>
          <w:ilvl w:val="0"/>
          <w:numId w:val="12"/>
        </w:numPr>
        <w:spacing w:after="200" w:line="276" w:lineRule="auto"/>
        <w:rPr>
          <w:sz w:val="20"/>
          <w:szCs w:val="20"/>
        </w:rPr>
      </w:pPr>
      <w:r w:rsidRPr="00C54422">
        <w:rPr>
          <w:sz w:val="20"/>
          <w:szCs w:val="20"/>
        </w:rPr>
        <w:t xml:space="preserve">openly address any concerns before a final decision is made.  </w:t>
      </w:r>
    </w:p>
    <w:p w14:paraId="27A51665" w14:textId="77777777" w:rsidR="00C54422" w:rsidRPr="00C54422" w:rsidRDefault="00C54422" w:rsidP="00C54422">
      <w:pPr>
        <w:rPr>
          <w:sz w:val="20"/>
          <w:szCs w:val="20"/>
        </w:rPr>
      </w:pPr>
      <w:r w:rsidRPr="00C54422">
        <w:rPr>
          <w:sz w:val="20"/>
          <w:szCs w:val="20"/>
        </w:rPr>
        <w:t xml:space="preserve">Outlined below are suggestions for the parent engagement process which includes some strategies and questions for consideration.  </w:t>
      </w:r>
    </w:p>
    <w:p w14:paraId="0358F357" w14:textId="77777777" w:rsidR="00C54422" w:rsidRPr="00C54422" w:rsidRDefault="00C54422" w:rsidP="00C54422">
      <w:pPr>
        <w:numPr>
          <w:ilvl w:val="0"/>
          <w:numId w:val="14"/>
        </w:numPr>
        <w:spacing w:after="200" w:line="276" w:lineRule="auto"/>
        <w:rPr>
          <w:sz w:val="20"/>
          <w:szCs w:val="20"/>
        </w:rPr>
      </w:pPr>
      <w:r w:rsidRPr="00C54422">
        <w:rPr>
          <w:sz w:val="20"/>
          <w:szCs w:val="20"/>
        </w:rPr>
        <w:t xml:space="preserve">School council to request and encourage community feedback and opinions and to make themselves available for parents. </w:t>
      </w:r>
    </w:p>
    <w:p w14:paraId="067C117F" w14:textId="77777777" w:rsidR="00C54422" w:rsidRPr="00C54422" w:rsidRDefault="00C54422" w:rsidP="00C54422">
      <w:pPr>
        <w:numPr>
          <w:ilvl w:val="0"/>
          <w:numId w:val="14"/>
        </w:numPr>
        <w:spacing w:after="200" w:line="276" w:lineRule="auto"/>
        <w:rPr>
          <w:sz w:val="20"/>
          <w:szCs w:val="20"/>
        </w:rPr>
      </w:pPr>
      <w:r w:rsidRPr="00C54422">
        <w:rPr>
          <w:sz w:val="20"/>
          <w:szCs w:val="20"/>
        </w:rPr>
        <w:t>Parents are encouraged to interact with the school council by presenting views personally or by signed letters, responding to surveys and involvement in school council subcommittee or group activities.</w:t>
      </w:r>
    </w:p>
    <w:p w14:paraId="60B7F426" w14:textId="77777777" w:rsidR="00C54422" w:rsidRPr="00C54422" w:rsidRDefault="00C54422" w:rsidP="00C54422">
      <w:pPr>
        <w:numPr>
          <w:ilvl w:val="0"/>
          <w:numId w:val="14"/>
        </w:numPr>
        <w:spacing w:after="200" w:line="276" w:lineRule="auto"/>
        <w:rPr>
          <w:sz w:val="20"/>
          <w:szCs w:val="20"/>
        </w:rPr>
      </w:pPr>
      <w:r w:rsidRPr="00C54422">
        <w:rPr>
          <w:sz w:val="20"/>
          <w:szCs w:val="20"/>
        </w:rPr>
        <w:t xml:space="preserve">Schools to advise parents of the proposed costs of the program and provide the rationale for their approach.  </w:t>
      </w:r>
    </w:p>
    <w:p w14:paraId="0C1E4CCB" w14:textId="77777777" w:rsidR="00C54422" w:rsidRPr="00C54422" w:rsidRDefault="00C54422" w:rsidP="00C54422">
      <w:pPr>
        <w:numPr>
          <w:ilvl w:val="0"/>
          <w:numId w:val="14"/>
        </w:numPr>
        <w:spacing w:after="200" w:line="276" w:lineRule="auto"/>
        <w:rPr>
          <w:sz w:val="20"/>
          <w:szCs w:val="20"/>
        </w:rPr>
      </w:pPr>
      <w:r w:rsidRPr="00C54422">
        <w:rPr>
          <w:sz w:val="20"/>
          <w:szCs w:val="20"/>
        </w:rPr>
        <w:t xml:space="preserve">Parents to be invited to attend and observe the school council meetings when discussing the school’s implementation approach to the Parent Payment Policy. </w:t>
      </w:r>
    </w:p>
    <w:p w14:paraId="0174CC4F" w14:textId="77777777" w:rsidR="00C54422" w:rsidRPr="00C54422" w:rsidRDefault="00C54422" w:rsidP="00C54422">
      <w:pPr>
        <w:numPr>
          <w:ilvl w:val="0"/>
          <w:numId w:val="14"/>
        </w:numPr>
        <w:spacing w:after="200" w:line="276" w:lineRule="auto"/>
        <w:rPr>
          <w:sz w:val="20"/>
          <w:szCs w:val="20"/>
        </w:rPr>
      </w:pPr>
      <w:r w:rsidRPr="00C54422">
        <w:rPr>
          <w:sz w:val="20"/>
          <w:szCs w:val="20"/>
        </w:rPr>
        <w:t xml:space="preserve">Parent perspectives and opinions should be acknowledged and </w:t>
      </w:r>
      <w:proofErr w:type="gramStart"/>
      <w:r w:rsidRPr="00C54422">
        <w:rPr>
          <w:sz w:val="20"/>
          <w:szCs w:val="20"/>
        </w:rPr>
        <w:t>valued</w:t>
      </w:r>
      <w:proofErr w:type="gramEnd"/>
      <w:r w:rsidRPr="00C54422">
        <w:rPr>
          <w:sz w:val="20"/>
          <w:szCs w:val="20"/>
        </w:rPr>
        <w:t xml:space="preserve"> and their concerns addressed</w:t>
      </w:r>
    </w:p>
    <w:p w14:paraId="78CEADE4" w14:textId="77777777" w:rsidR="00C54422" w:rsidRPr="00C54422" w:rsidRDefault="00C54422" w:rsidP="00C54422">
      <w:pPr>
        <w:numPr>
          <w:ilvl w:val="0"/>
          <w:numId w:val="14"/>
        </w:numPr>
        <w:spacing w:after="200" w:line="276" w:lineRule="auto"/>
        <w:rPr>
          <w:sz w:val="20"/>
          <w:szCs w:val="20"/>
        </w:rPr>
      </w:pPr>
      <w:r w:rsidRPr="00C54422">
        <w:rPr>
          <w:sz w:val="20"/>
          <w:szCs w:val="20"/>
        </w:rPr>
        <w:lastRenderedPageBreak/>
        <w:t xml:space="preserve">Consider any impacts of proceeding with the proposals that do not have support from most parents in the community if the concerns are related to the level and/or transparency of costs </w:t>
      </w:r>
    </w:p>
    <w:p w14:paraId="2BF1F0B4" w14:textId="77777777" w:rsidR="00C54422" w:rsidRPr="00C54422" w:rsidRDefault="00C54422" w:rsidP="00C54422">
      <w:pPr>
        <w:rPr>
          <w:sz w:val="20"/>
          <w:szCs w:val="20"/>
        </w:rPr>
      </w:pPr>
      <w:r w:rsidRPr="00C54422">
        <w:rPr>
          <w:sz w:val="20"/>
          <w:szCs w:val="20"/>
        </w:rPr>
        <w:t>Some considerations for school councils:</w:t>
      </w:r>
    </w:p>
    <w:p w14:paraId="7BABE568" w14:textId="77777777" w:rsidR="00C54422" w:rsidRPr="00C54422" w:rsidRDefault="00C54422" w:rsidP="00C54422">
      <w:pPr>
        <w:numPr>
          <w:ilvl w:val="0"/>
          <w:numId w:val="15"/>
        </w:numPr>
        <w:spacing w:after="200" w:line="276" w:lineRule="auto"/>
        <w:rPr>
          <w:sz w:val="20"/>
          <w:szCs w:val="20"/>
        </w:rPr>
      </w:pPr>
      <w:r w:rsidRPr="00C54422">
        <w:rPr>
          <w:sz w:val="20"/>
          <w:szCs w:val="20"/>
        </w:rPr>
        <w:t>Is engagement with parents genuine and encouraging open dialogue?</w:t>
      </w:r>
    </w:p>
    <w:p w14:paraId="0C8CB395" w14:textId="77777777" w:rsidR="00C54422" w:rsidRPr="00C54422" w:rsidRDefault="00C54422" w:rsidP="00C54422">
      <w:pPr>
        <w:numPr>
          <w:ilvl w:val="0"/>
          <w:numId w:val="15"/>
        </w:numPr>
        <w:spacing w:after="200" w:line="276" w:lineRule="auto"/>
        <w:rPr>
          <w:i/>
          <w:sz w:val="20"/>
          <w:szCs w:val="20"/>
        </w:rPr>
      </w:pPr>
      <w:r w:rsidRPr="00C54422">
        <w:rPr>
          <w:sz w:val="20"/>
          <w:szCs w:val="20"/>
        </w:rPr>
        <w:t xml:space="preserve">Are parents aware of the school’s processes in place for the community to be engaged on formal/informal decision-making, reviews and new policies? </w:t>
      </w:r>
      <w:r w:rsidRPr="00C54422">
        <w:rPr>
          <w:i/>
          <w:sz w:val="20"/>
          <w:szCs w:val="20"/>
        </w:rPr>
        <w:t>How?</w:t>
      </w:r>
    </w:p>
    <w:p w14:paraId="0CD204B8" w14:textId="77777777" w:rsidR="00C54422" w:rsidRPr="00C54422" w:rsidRDefault="00C54422" w:rsidP="00C54422">
      <w:pPr>
        <w:numPr>
          <w:ilvl w:val="0"/>
          <w:numId w:val="15"/>
        </w:numPr>
        <w:spacing w:after="200" w:line="276" w:lineRule="auto"/>
        <w:rPr>
          <w:sz w:val="20"/>
          <w:szCs w:val="20"/>
        </w:rPr>
      </w:pPr>
      <w:r w:rsidRPr="00C54422">
        <w:rPr>
          <w:sz w:val="20"/>
          <w:szCs w:val="20"/>
        </w:rPr>
        <w:t xml:space="preserve">Has the school considered and developed effective ways to engage with non-English speaking parents and Aboriginal and Torres Strait Islander groups? </w:t>
      </w:r>
      <w:r w:rsidRPr="00C54422">
        <w:rPr>
          <w:i/>
          <w:sz w:val="20"/>
          <w:szCs w:val="20"/>
        </w:rPr>
        <w:t>What are they?</w:t>
      </w:r>
    </w:p>
    <w:p w14:paraId="700BB30D" w14:textId="77777777" w:rsidR="00C54422" w:rsidRPr="00C54422" w:rsidRDefault="00C54422" w:rsidP="00C54422">
      <w:pPr>
        <w:rPr>
          <w:b/>
          <w:i/>
          <w:color w:val="C00000"/>
          <w:sz w:val="22"/>
          <w:szCs w:val="22"/>
        </w:rPr>
      </w:pPr>
      <w:r w:rsidRPr="00C54422">
        <w:rPr>
          <w:b/>
          <w:color w:val="C00000"/>
          <w:sz w:val="22"/>
          <w:szCs w:val="22"/>
        </w:rPr>
        <w:t>Self-assessment Transparency Checklist</w:t>
      </w:r>
    </w:p>
    <w:p w14:paraId="0BE0DA02" w14:textId="77777777" w:rsidR="00C54422" w:rsidRPr="00C54422" w:rsidRDefault="00C54422" w:rsidP="00C54422">
      <w:pPr>
        <w:rPr>
          <w:sz w:val="20"/>
          <w:szCs w:val="20"/>
        </w:rPr>
      </w:pPr>
      <w:r w:rsidRPr="00C54422">
        <w:rPr>
          <w:sz w:val="20"/>
          <w:szCs w:val="20"/>
        </w:rPr>
        <w:t xml:space="preserve">The Framework for Improving Student Outcomes </w:t>
      </w:r>
      <w:proofErr w:type="spellStart"/>
      <w:r w:rsidRPr="00C54422">
        <w:rPr>
          <w:sz w:val="20"/>
          <w:szCs w:val="20"/>
        </w:rPr>
        <w:t>recognises</w:t>
      </w:r>
      <w:proofErr w:type="spellEnd"/>
      <w:r w:rsidRPr="00C54422">
        <w:rPr>
          <w:sz w:val="20"/>
          <w:szCs w:val="20"/>
        </w:rPr>
        <w:t xml:space="preserve"> that the greatest impact on student outcomes is the home environment. When schools strengthen relationships with families and community organisations, they can tap into the environment that has the greatest impact on students. There is an expectation that as part of a whole of school approach, a positive school environment is created in which parents are welcomed, respected and valued as partners in their children’s learning.</w:t>
      </w:r>
    </w:p>
    <w:p w14:paraId="4C1841F0" w14:textId="77777777" w:rsidR="00C54422" w:rsidRPr="00C54422" w:rsidRDefault="00C54422" w:rsidP="00C54422">
      <w:pPr>
        <w:rPr>
          <w:sz w:val="20"/>
          <w:szCs w:val="20"/>
        </w:rPr>
      </w:pPr>
      <w:r w:rsidRPr="00C54422">
        <w:rPr>
          <w:sz w:val="20"/>
          <w:szCs w:val="20"/>
        </w:rPr>
        <w:t>The following checklist will assist schools in their implementation and compliance with the Parent Payment Policy and enable self-assessment of open and transparent processes and practices. Schools are strongly encouraged to work through the checklist at least annually.</w:t>
      </w:r>
    </w:p>
    <w:p w14:paraId="59A66B67" w14:textId="77777777" w:rsidR="00C54422" w:rsidRPr="00C54422" w:rsidRDefault="00C54422" w:rsidP="00C54422">
      <w:pPr>
        <w:rPr>
          <w:i/>
          <w:sz w:val="20"/>
          <w:szCs w:val="20"/>
        </w:rPr>
      </w:pPr>
      <w:r w:rsidRPr="00C54422">
        <w:rPr>
          <w:sz w:val="20"/>
          <w:szCs w:val="20"/>
        </w:rPr>
        <w:t>Does your school:</w:t>
      </w:r>
    </w:p>
    <w:p w14:paraId="607338BD" w14:textId="77777777" w:rsidR="00C54422" w:rsidRPr="00C54422" w:rsidRDefault="00C54422" w:rsidP="00C54422">
      <w:pPr>
        <w:pStyle w:val="ListParagraph"/>
        <w:numPr>
          <w:ilvl w:val="0"/>
          <w:numId w:val="16"/>
        </w:numPr>
        <w:rPr>
          <w:rFonts w:ascii="Arial" w:hAnsi="Arial" w:cs="Arial"/>
          <w:i/>
          <w:sz w:val="20"/>
          <w:szCs w:val="20"/>
        </w:rPr>
      </w:pPr>
      <w:r w:rsidRPr="00C54422">
        <w:rPr>
          <w:rFonts w:ascii="Arial" w:hAnsi="Arial" w:cs="Arial"/>
          <w:sz w:val="20"/>
          <w:szCs w:val="20"/>
        </w:rPr>
        <w:t xml:space="preserve">have a consultation process with parents in respect to the school’s parent payment approach and charges? </w:t>
      </w:r>
      <w:r w:rsidRPr="00C54422">
        <w:rPr>
          <w:rFonts w:ascii="Arial" w:hAnsi="Arial" w:cs="Arial"/>
          <w:i/>
          <w:sz w:val="20"/>
          <w:szCs w:val="20"/>
        </w:rPr>
        <w:t>What is it?</w:t>
      </w:r>
    </w:p>
    <w:p w14:paraId="3F54A132" w14:textId="77777777" w:rsidR="00C54422" w:rsidRPr="00C54422" w:rsidRDefault="00C54422" w:rsidP="00C54422">
      <w:pPr>
        <w:pStyle w:val="ListParagraph"/>
        <w:numPr>
          <w:ilvl w:val="0"/>
          <w:numId w:val="16"/>
        </w:numPr>
        <w:rPr>
          <w:rFonts w:ascii="Arial" w:hAnsi="Arial" w:cs="Arial"/>
          <w:i/>
          <w:sz w:val="20"/>
          <w:szCs w:val="20"/>
        </w:rPr>
      </w:pPr>
      <w:r w:rsidRPr="00C54422">
        <w:rPr>
          <w:rFonts w:ascii="Arial" w:hAnsi="Arial" w:cs="Arial"/>
          <w:sz w:val="20"/>
          <w:szCs w:val="20"/>
        </w:rPr>
        <w:t xml:space="preserve">have a clear written process for hardship arrangements? </w:t>
      </w:r>
      <w:r w:rsidRPr="00C54422">
        <w:rPr>
          <w:rFonts w:ascii="Arial" w:hAnsi="Arial" w:cs="Arial"/>
          <w:i/>
          <w:sz w:val="20"/>
          <w:szCs w:val="20"/>
        </w:rPr>
        <w:t>How is this communicated?</w:t>
      </w:r>
    </w:p>
    <w:p w14:paraId="2CB8E2A4" w14:textId="77777777" w:rsidR="00C54422" w:rsidRPr="00C54422" w:rsidRDefault="00C54422" w:rsidP="00C54422">
      <w:pPr>
        <w:pStyle w:val="ListParagraph"/>
        <w:numPr>
          <w:ilvl w:val="0"/>
          <w:numId w:val="16"/>
        </w:numPr>
        <w:rPr>
          <w:rFonts w:ascii="Arial" w:hAnsi="Arial" w:cs="Arial"/>
          <w:sz w:val="20"/>
          <w:szCs w:val="20"/>
        </w:rPr>
      </w:pPr>
      <w:r w:rsidRPr="00C54422">
        <w:rPr>
          <w:rFonts w:ascii="Arial" w:hAnsi="Arial" w:cs="Arial"/>
          <w:sz w:val="20"/>
          <w:szCs w:val="20"/>
        </w:rPr>
        <w:t xml:space="preserve">communicate the policies and charges to all parents in an accessible and clear way? </w:t>
      </w:r>
      <w:r w:rsidRPr="00C54422">
        <w:rPr>
          <w:rFonts w:ascii="Arial" w:hAnsi="Arial" w:cs="Arial"/>
          <w:i/>
          <w:sz w:val="20"/>
          <w:szCs w:val="20"/>
        </w:rPr>
        <w:t>What are the strategies for engaging Culturally and Linguistically Diverse parents and families and other hard to reach parents and families?</w:t>
      </w:r>
    </w:p>
    <w:p w14:paraId="4BDB817F" w14:textId="77777777" w:rsidR="00C54422" w:rsidRPr="00C54422" w:rsidRDefault="00C54422" w:rsidP="00C54422">
      <w:pPr>
        <w:pStyle w:val="ListParagraph"/>
        <w:numPr>
          <w:ilvl w:val="0"/>
          <w:numId w:val="16"/>
        </w:numPr>
        <w:rPr>
          <w:rFonts w:ascii="Arial" w:hAnsi="Arial" w:cs="Arial"/>
          <w:sz w:val="20"/>
          <w:szCs w:val="20"/>
        </w:rPr>
      </w:pPr>
      <w:r w:rsidRPr="00C54422">
        <w:rPr>
          <w:rFonts w:ascii="Arial" w:hAnsi="Arial" w:cs="Arial"/>
          <w:sz w:val="20"/>
          <w:szCs w:val="20"/>
        </w:rPr>
        <w:t xml:space="preserve">have written material that clearly explains the charges being requested across each of the three categories? </w:t>
      </w:r>
    </w:p>
    <w:p w14:paraId="3F03CFC3" w14:textId="77777777" w:rsidR="00C54422" w:rsidRPr="00C54422" w:rsidRDefault="00C54422" w:rsidP="00C54422">
      <w:pPr>
        <w:pStyle w:val="ListParagraph"/>
        <w:numPr>
          <w:ilvl w:val="0"/>
          <w:numId w:val="16"/>
        </w:numPr>
        <w:rPr>
          <w:rFonts w:ascii="Arial" w:hAnsi="Arial" w:cs="Arial"/>
          <w:i/>
          <w:sz w:val="20"/>
          <w:szCs w:val="20"/>
        </w:rPr>
      </w:pPr>
      <w:r w:rsidRPr="00C54422">
        <w:rPr>
          <w:rFonts w:ascii="Arial" w:hAnsi="Arial" w:cs="Arial"/>
          <w:sz w:val="20"/>
          <w:szCs w:val="20"/>
        </w:rPr>
        <w:t xml:space="preserve">review and test that the implementation of the policy and charges is well-understood by all parents? </w:t>
      </w:r>
      <w:r w:rsidRPr="00C54422">
        <w:rPr>
          <w:rFonts w:ascii="Arial" w:hAnsi="Arial" w:cs="Arial"/>
          <w:i/>
          <w:sz w:val="20"/>
          <w:szCs w:val="20"/>
        </w:rPr>
        <w:t>What is the process for review?</w:t>
      </w:r>
    </w:p>
    <w:p w14:paraId="10463187" w14:textId="77777777" w:rsidR="00C54422" w:rsidRPr="00C54422" w:rsidRDefault="00C54422" w:rsidP="00C54422">
      <w:pPr>
        <w:pStyle w:val="ListParagraph"/>
        <w:numPr>
          <w:ilvl w:val="0"/>
          <w:numId w:val="16"/>
        </w:numPr>
        <w:rPr>
          <w:rFonts w:ascii="Arial" w:hAnsi="Arial" w:cs="Arial"/>
          <w:i/>
          <w:sz w:val="20"/>
          <w:szCs w:val="20"/>
        </w:rPr>
      </w:pPr>
      <w:r w:rsidRPr="00C54422">
        <w:rPr>
          <w:rFonts w:ascii="Arial" w:hAnsi="Arial" w:cs="Arial"/>
          <w:sz w:val="20"/>
          <w:szCs w:val="20"/>
        </w:rPr>
        <w:t xml:space="preserve">regularly review its compliance with legislation and Departmental policy? </w:t>
      </w:r>
      <w:r w:rsidRPr="00C54422">
        <w:rPr>
          <w:rFonts w:ascii="Arial" w:hAnsi="Arial" w:cs="Arial"/>
          <w:i/>
          <w:sz w:val="20"/>
          <w:szCs w:val="20"/>
        </w:rPr>
        <w:t>What is the process for review?</w:t>
      </w:r>
    </w:p>
    <w:p w14:paraId="6FE6B8AB" w14:textId="77777777" w:rsidR="00C54422" w:rsidRPr="00C54422" w:rsidRDefault="00C54422" w:rsidP="00C54422">
      <w:pPr>
        <w:pStyle w:val="ListParagraph"/>
        <w:numPr>
          <w:ilvl w:val="0"/>
          <w:numId w:val="16"/>
        </w:numPr>
        <w:rPr>
          <w:rFonts w:ascii="Arial" w:hAnsi="Arial" w:cs="Arial"/>
          <w:i/>
          <w:sz w:val="20"/>
          <w:szCs w:val="20"/>
        </w:rPr>
      </w:pPr>
      <w:r w:rsidRPr="00C54422">
        <w:rPr>
          <w:rFonts w:ascii="Arial" w:hAnsi="Arial" w:cs="Arial"/>
          <w:sz w:val="20"/>
          <w:szCs w:val="20"/>
        </w:rPr>
        <w:t xml:space="preserve">report on the activities and projects that Voluntary Financial Contributions have supported and funded? </w:t>
      </w:r>
      <w:r w:rsidRPr="00C54422">
        <w:rPr>
          <w:rFonts w:ascii="Arial" w:hAnsi="Arial" w:cs="Arial"/>
          <w:i/>
          <w:sz w:val="20"/>
          <w:szCs w:val="20"/>
        </w:rPr>
        <w:t>How is this reported back?</w:t>
      </w:r>
    </w:p>
    <w:p w14:paraId="014773E8" w14:textId="77777777" w:rsidR="00C54422" w:rsidRPr="00C54422" w:rsidRDefault="00C54422" w:rsidP="00C54422">
      <w:pPr>
        <w:pStyle w:val="ListParagraph"/>
        <w:numPr>
          <w:ilvl w:val="0"/>
          <w:numId w:val="16"/>
        </w:numPr>
        <w:rPr>
          <w:rFonts w:ascii="Arial" w:hAnsi="Arial" w:cs="Arial"/>
          <w:sz w:val="20"/>
          <w:szCs w:val="20"/>
        </w:rPr>
      </w:pPr>
      <w:r w:rsidRPr="00C54422">
        <w:rPr>
          <w:rFonts w:ascii="Arial" w:hAnsi="Arial" w:cs="Arial"/>
          <w:sz w:val="20"/>
          <w:szCs w:val="20"/>
        </w:rPr>
        <w:t>give advance notice (and a minimum of 6 weeks before the end of school the year) for parent payment requests for the following year and as much notice as possible for other payment requests arising throughout the year?</w:t>
      </w:r>
    </w:p>
    <w:p w14:paraId="2D364175" w14:textId="77777777" w:rsidR="00C54422" w:rsidRPr="00C54422" w:rsidRDefault="00C54422" w:rsidP="00C54422">
      <w:pPr>
        <w:pStyle w:val="ListParagraph"/>
        <w:numPr>
          <w:ilvl w:val="0"/>
          <w:numId w:val="16"/>
        </w:numPr>
        <w:rPr>
          <w:rFonts w:ascii="Arial" w:hAnsi="Arial" w:cs="Arial"/>
          <w:sz w:val="20"/>
          <w:szCs w:val="20"/>
        </w:rPr>
      </w:pPr>
      <w:r w:rsidRPr="00C54422">
        <w:rPr>
          <w:rFonts w:ascii="Arial" w:hAnsi="Arial" w:cs="Arial"/>
          <w:sz w:val="20"/>
          <w:szCs w:val="20"/>
        </w:rPr>
        <w:t xml:space="preserve">have a nominated contact person(s) for parents to discuss issues and difficulties in making the requested payment? </w:t>
      </w:r>
    </w:p>
    <w:p w14:paraId="1579E57F" w14:textId="77777777" w:rsidR="00C54422" w:rsidRPr="00C54422" w:rsidRDefault="00C54422" w:rsidP="00C54422">
      <w:pPr>
        <w:pStyle w:val="ListParagraph"/>
        <w:numPr>
          <w:ilvl w:val="0"/>
          <w:numId w:val="16"/>
        </w:numPr>
        <w:rPr>
          <w:rFonts w:ascii="Arial" w:hAnsi="Arial" w:cs="Arial"/>
          <w:sz w:val="20"/>
          <w:szCs w:val="20"/>
        </w:rPr>
      </w:pPr>
      <w:r w:rsidRPr="00C54422">
        <w:rPr>
          <w:rFonts w:ascii="Arial" w:hAnsi="Arial" w:cs="Arial"/>
          <w:sz w:val="20"/>
          <w:szCs w:val="20"/>
        </w:rPr>
        <w:lastRenderedPageBreak/>
        <w:t xml:space="preserve">provide students with appropriate alternatives if they do not participate in camps, excursions or other activities that school deem to be essential? </w:t>
      </w:r>
    </w:p>
    <w:p w14:paraId="0065FCC4" w14:textId="77777777" w:rsidR="00C54422" w:rsidRPr="00C54422" w:rsidRDefault="00C54422" w:rsidP="00C54422">
      <w:pPr>
        <w:pStyle w:val="ListParagraph"/>
        <w:numPr>
          <w:ilvl w:val="0"/>
          <w:numId w:val="16"/>
        </w:numPr>
        <w:rPr>
          <w:rFonts w:ascii="Arial" w:hAnsi="Arial" w:cs="Arial"/>
          <w:sz w:val="20"/>
          <w:szCs w:val="20"/>
        </w:rPr>
      </w:pPr>
      <w:r w:rsidRPr="00C54422">
        <w:rPr>
          <w:rFonts w:ascii="Arial" w:hAnsi="Arial" w:cs="Arial"/>
          <w:sz w:val="20"/>
          <w:szCs w:val="20"/>
        </w:rPr>
        <w:t xml:space="preserve">keep details of payment and non-payment confidential? </w:t>
      </w:r>
    </w:p>
    <w:p w14:paraId="639E88D6" w14:textId="77777777" w:rsidR="00C54422" w:rsidRPr="00C54422" w:rsidRDefault="00C54422" w:rsidP="00C54422">
      <w:pPr>
        <w:pStyle w:val="ListParagraph"/>
        <w:numPr>
          <w:ilvl w:val="0"/>
          <w:numId w:val="16"/>
        </w:numPr>
        <w:rPr>
          <w:rFonts w:ascii="Arial" w:hAnsi="Arial" w:cs="Arial"/>
          <w:sz w:val="20"/>
          <w:szCs w:val="20"/>
        </w:rPr>
      </w:pPr>
      <w:r w:rsidRPr="00C54422">
        <w:rPr>
          <w:rFonts w:ascii="Arial" w:hAnsi="Arial" w:cs="Arial"/>
          <w:sz w:val="20"/>
          <w:szCs w:val="20"/>
        </w:rPr>
        <w:t xml:space="preserve">treat every student equally regardless of whether parent payments are made and ensure no child is excluded </w:t>
      </w:r>
    </w:p>
    <w:p w14:paraId="53F46095" w14:textId="77777777" w:rsidR="00C54422" w:rsidRPr="00C54422" w:rsidRDefault="00C54422" w:rsidP="00C54422">
      <w:pPr>
        <w:pStyle w:val="ListParagraph"/>
        <w:numPr>
          <w:ilvl w:val="0"/>
          <w:numId w:val="16"/>
        </w:numPr>
        <w:rPr>
          <w:rFonts w:ascii="Arial" w:hAnsi="Arial" w:cs="Arial"/>
          <w:sz w:val="20"/>
          <w:szCs w:val="20"/>
        </w:rPr>
      </w:pPr>
      <w:r w:rsidRPr="00C54422">
        <w:rPr>
          <w:rFonts w:ascii="Arial" w:hAnsi="Arial" w:cs="Arial"/>
          <w:sz w:val="20"/>
          <w:szCs w:val="20"/>
        </w:rPr>
        <w:t>ensure necessary reporting to school council is de-identified to ensure that the identity of parents experiencing hardship is kept confidential</w:t>
      </w:r>
    </w:p>
    <w:p w14:paraId="612A14B6" w14:textId="77777777" w:rsidR="00C54422" w:rsidRPr="00C54422" w:rsidRDefault="00C54422" w:rsidP="00C54422">
      <w:pPr>
        <w:rPr>
          <w:sz w:val="20"/>
          <w:szCs w:val="20"/>
        </w:rPr>
      </w:pPr>
      <w:r w:rsidRPr="00C54422">
        <w:rPr>
          <w:sz w:val="20"/>
          <w:szCs w:val="20"/>
        </w:rPr>
        <w:t>School leaders are encouraged to reflect on strategies used to implement good practice in parent payments. School leaders and councils should consider:</w:t>
      </w:r>
    </w:p>
    <w:p w14:paraId="26696921" w14:textId="77777777" w:rsidR="00C54422" w:rsidRPr="00C54422" w:rsidRDefault="00C54422" w:rsidP="00C54422">
      <w:pPr>
        <w:rPr>
          <w:sz w:val="20"/>
          <w:szCs w:val="20"/>
        </w:rPr>
      </w:pPr>
      <w:r w:rsidRPr="00C54422">
        <w:rPr>
          <w:sz w:val="20"/>
          <w:szCs w:val="20"/>
        </w:rPr>
        <w:t xml:space="preserve">What needs to change or improve or adapt? What do we need to help improve our practices? </w:t>
      </w:r>
    </w:p>
    <w:p w14:paraId="7310AAF2" w14:textId="77777777" w:rsidR="00C54422" w:rsidRDefault="00C54422" w:rsidP="00C54422">
      <w:pPr>
        <w:rPr>
          <w:b/>
          <w:color w:val="CC0000"/>
          <w:sz w:val="22"/>
          <w:szCs w:val="22"/>
        </w:rPr>
      </w:pPr>
    </w:p>
    <w:p w14:paraId="34F2D6C1" w14:textId="37164905" w:rsidR="00C54422" w:rsidRPr="00C54422" w:rsidRDefault="001B60BD" w:rsidP="00C54422">
      <w:pPr>
        <w:rPr>
          <w:b/>
          <w:color w:val="CC0000"/>
          <w:sz w:val="22"/>
          <w:szCs w:val="22"/>
        </w:rPr>
      </w:pPr>
      <w:r>
        <w:rPr>
          <w:b/>
          <w:color w:val="CC0000"/>
          <w:sz w:val="22"/>
          <w:szCs w:val="22"/>
        </w:rPr>
        <w:t>Sharing good practic</w:t>
      </w:r>
      <w:r w:rsidR="00C54422" w:rsidRPr="00C54422">
        <w:rPr>
          <w:b/>
          <w:color w:val="CC0000"/>
          <w:sz w:val="22"/>
          <w:szCs w:val="22"/>
        </w:rPr>
        <w:t>e in relation to parent payments</w:t>
      </w:r>
    </w:p>
    <w:p w14:paraId="632573B1" w14:textId="77777777" w:rsidR="00C54422" w:rsidRPr="00C54422" w:rsidRDefault="00C54422" w:rsidP="00C54422">
      <w:pPr>
        <w:rPr>
          <w:sz w:val="20"/>
          <w:szCs w:val="20"/>
        </w:rPr>
      </w:pPr>
      <w:r w:rsidRPr="00C54422">
        <w:rPr>
          <w:sz w:val="20"/>
          <w:szCs w:val="20"/>
        </w:rPr>
        <w:t xml:space="preserve">School councils sometimes have difficulty in accurately estimating what money is </w:t>
      </w:r>
      <w:proofErr w:type="gramStart"/>
      <w:r w:rsidRPr="00C54422">
        <w:rPr>
          <w:sz w:val="20"/>
          <w:szCs w:val="20"/>
        </w:rPr>
        <w:t>actually needed</w:t>
      </w:r>
      <w:proofErr w:type="gramEnd"/>
      <w:r w:rsidRPr="00C54422">
        <w:rPr>
          <w:sz w:val="20"/>
          <w:szCs w:val="20"/>
        </w:rPr>
        <w:t xml:space="preserve"> to meet program expectations based on judgment of the capacity and willingness of parents to pay. Most schools strike the right </w:t>
      </w:r>
      <w:proofErr w:type="gramStart"/>
      <w:r w:rsidRPr="00C54422">
        <w:rPr>
          <w:sz w:val="20"/>
          <w:szCs w:val="20"/>
        </w:rPr>
        <w:t>balance</w:t>
      </w:r>
      <w:proofErr w:type="gramEnd"/>
      <w:r w:rsidRPr="00C54422">
        <w:rPr>
          <w:sz w:val="20"/>
          <w:szCs w:val="20"/>
        </w:rPr>
        <w:t xml:space="preserve"> but others have very low response rates. </w:t>
      </w:r>
    </w:p>
    <w:p w14:paraId="2ED43561" w14:textId="77777777" w:rsidR="00C54422" w:rsidRPr="00C54422" w:rsidRDefault="00C54422" w:rsidP="00C54422">
      <w:pPr>
        <w:rPr>
          <w:sz w:val="20"/>
          <w:szCs w:val="20"/>
        </w:rPr>
      </w:pPr>
      <w:r w:rsidRPr="00C54422">
        <w:rPr>
          <w:sz w:val="20"/>
          <w:szCs w:val="20"/>
        </w:rPr>
        <w:t xml:space="preserve">Sharing positive strategies that schools use to encourage and assist parents to contribute, increases awareness of what and how other schools manage their parent payment policies. </w:t>
      </w:r>
    </w:p>
    <w:p w14:paraId="1E10892E" w14:textId="77777777" w:rsidR="00C54422" w:rsidRPr="00C54422" w:rsidRDefault="00C54422" w:rsidP="00C54422">
      <w:pPr>
        <w:rPr>
          <w:sz w:val="20"/>
          <w:szCs w:val="20"/>
        </w:rPr>
      </w:pPr>
      <w:r w:rsidRPr="00C54422">
        <w:rPr>
          <w:sz w:val="20"/>
          <w:szCs w:val="20"/>
        </w:rPr>
        <w:t>Some good practice school initiatives to encourage parent contribution include:</w:t>
      </w:r>
    </w:p>
    <w:p w14:paraId="7B6B735D" w14:textId="77777777" w:rsidR="00C54422" w:rsidRPr="00C54422" w:rsidRDefault="00C54422" w:rsidP="00C54422">
      <w:pPr>
        <w:numPr>
          <w:ilvl w:val="0"/>
          <w:numId w:val="13"/>
        </w:numPr>
        <w:spacing w:after="200" w:line="276" w:lineRule="auto"/>
        <w:rPr>
          <w:sz w:val="20"/>
          <w:szCs w:val="20"/>
        </w:rPr>
      </w:pPr>
      <w:r w:rsidRPr="00C54422">
        <w:rPr>
          <w:sz w:val="20"/>
          <w:szCs w:val="20"/>
        </w:rPr>
        <w:t>Flexible parent payment plans that enable payments to be made more progressively and if necessary, payment period and amounts can be renegotiated and varied</w:t>
      </w:r>
    </w:p>
    <w:p w14:paraId="6435A5D4" w14:textId="77777777" w:rsidR="00C54422" w:rsidRPr="00C54422" w:rsidRDefault="00C54422" w:rsidP="00C54422">
      <w:pPr>
        <w:numPr>
          <w:ilvl w:val="0"/>
          <w:numId w:val="13"/>
        </w:numPr>
        <w:spacing w:after="200" w:line="276" w:lineRule="auto"/>
        <w:rPr>
          <w:sz w:val="20"/>
          <w:szCs w:val="20"/>
        </w:rPr>
      </w:pPr>
      <w:r w:rsidRPr="00C54422">
        <w:rPr>
          <w:sz w:val="20"/>
          <w:szCs w:val="20"/>
        </w:rPr>
        <w:t>Making payment options available online or in ways that are less onerous for parents</w:t>
      </w:r>
    </w:p>
    <w:p w14:paraId="79279732" w14:textId="77777777" w:rsidR="00C54422" w:rsidRPr="00C54422" w:rsidRDefault="00C54422" w:rsidP="00C54422">
      <w:pPr>
        <w:numPr>
          <w:ilvl w:val="0"/>
          <w:numId w:val="13"/>
        </w:numPr>
        <w:spacing w:after="200" w:line="276" w:lineRule="auto"/>
        <w:rPr>
          <w:sz w:val="20"/>
          <w:szCs w:val="20"/>
        </w:rPr>
      </w:pPr>
      <w:r w:rsidRPr="00C54422">
        <w:rPr>
          <w:sz w:val="20"/>
          <w:szCs w:val="20"/>
        </w:rPr>
        <w:t>Consolidating items and services so parents can select a package that they can afford, e.g. for this payment amount you get X, for this additional amount you get X and Y</w:t>
      </w:r>
    </w:p>
    <w:p w14:paraId="7EE0498E" w14:textId="77777777" w:rsidR="00C54422" w:rsidRPr="00C54422" w:rsidRDefault="00C54422" w:rsidP="00C54422">
      <w:pPr>
        <w:numPr>
          <w:ilvl w:val="0"/>
          <w:numId w:val="13"/>
        </w:numPr>
        <w:spacing w:after="200" w:line="276" w:lineRule="auto"/>
        <w:rPr>
          <w:sz w:val="20"/>
          <w:szCs w:val="20"/>
        </w:rPr>
      </w:pPr>
      <w:r w:rsidRPr="00C54422">
        <w:rPr>
          <w:sz w:val="20"/>
          <w:szCs w:val="20"/>
        </w:rPr>
        <w:t>establishing strong relationships with local communities and organisations to source supplies at competitive prices</w:t>
      </w:r>
    </w:p>
    <w:p w14:paraId="7D72B81B" w14:textId="77777777" w:rsidR="00C54422" w:rsidRPr="00C54422" w:rsidRDefault="00C54422" w:rsidP="00C54422">
      <w:pPr>
        <w:numPr>
          <w:ilvl w:val="0"/>
          <w:numId w:val="13"/>
        </w:numPr>
        <w:spacing w:after="200" w:line="276" w:lineRule="auto"/>
        <w:rPr>
          <w:sz w:val="20"/>
          <w:szCs w:val="20"/>
        </w:rPr>
      </w:pPr>
      <w:r w:rsidRPr="00C54422">
        <w:rPr>
          <w:sz w:val="20"/>
          <w:szCs w:val="20"/>
        </w:rPr>
        <w:t xml:space="preserve">purchasing second-hand </w:t>
      </w:r>
      <w:proofErr w:type="gramStart"/>
      <w:r w:rsidRPr="00C54422">
        <w:rPr>
          <w:sz w:val="20"/>
          <w:szCs w:val="20"/>
        </w:rPr>
        <w:t>text books</w:t>
      </w:r>
      <w:proofErr w:type="gramEnd"/>
      <w:r w:rsidRPr="00C54422">
        <w:rPr>
          <w:sz w:val="20"/>
          <w:szCs w:val="20"/>
        </w:rPr>
        <w:t xml:space="preserve"> from former students to be used as class sets. </w:t>
      </w:r>
    </w:p>
    <w:p w14:paraId="350DD6D3" w14:textId="77777777" w:rsidR="00C54422" w:rsidRDefault="00C54422" w:rsidP="00C54422"/>
    <w:p w14:paraId="4C34B713" w14:textId="3B5A872C" w:rsidR="003E29B5" w:rsidRDefault="003E29B5" w:rsidP="008766A4">
      <w:pPr>
        <w:pStyle w:val="Heading1"/>
      </w:pPr>
    </w:p>
    <w:sectPr w:rsidR="003E29B5" w:rsidSect="00890229">
      <w:headerReference w:type="even" r:id="rId18"/>
      <w:headerReference w:type="default" r:id="rId19"/>
      <w:footerReference w:type="even" r:id="rId20"/>
      <w:footerReference w:type="default" r:id="rId21"/>
      <w:headerReference w:type="first" r:id="rId22"/>
      <w:footerReference w:type="first" r:id="rId23"/>
      <w:pgSz w:w="11900" w:h="16840"/>
      <w:pgMar w:top="3175" w:right="737" w:bottom="1304" w:left="1304" w:header="624" w:footer="1134"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95B2D" w14:textId="77777777" w:rsidR="00FD4FDB" w:rsidRDefault="00FD4FDB" w:rsidP="008766A4">
      <w:r>
        <w:separator/>
      </w:r>
    </w:p>
  </w:endnote>
  <w:endnote w:type="continuationSeparator" w:id="0">
    <w:p w14:paraId="65BD7008" w14:textId="77777777" w:rsidR="00FD4FDB" w:rsidRDefault="00FD4FDB" w:rsidP="0087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FB716" w14:textId="77777777" w:rsidR="00B800B3" w:rsidRDefault="00B800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3871E" w14:textId="3AE3F010" w:rsidR="003E29B5" w:rsidRPr="003E29B5" w:rsidRDefault="003E29B5" w:rsidP="008766A4">
    <w:r w:rsidRPr="003E29B5">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C2DB3" w14:textId="77777777" w:rsidR="00B800B3" w:rsidRDefault="00B80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8CC4E" w14:textId="77777777" w:rsidR="00FD4FDB" w:rsidRDefault="00FD4FDB" w:rsidP="008766A4">
      <w:r>
        <w:separator/>
      </w:r>
    </w:p>
  </w:footnote>
  <w:footnote w:type="continuationSeparator" w:id="0">
    <w:p w14:paraId="13F662AE" w14:textId="77777777" w:rsidR="00FD4FDB" w:rsidRDefault="00FD4FDB" w:rsidP="008766A4">
      <w:r>
        <w:continuationSeparator/>
      </w:r>
    </w:p>
  </w:footnote>
  <w:footnote w:id="1">
    <w:p w14:paraId="75DD4DDC" w14:textId="77777777" w:rsidR="00C54422" w:rsidRPr="000D2A35" w:rsidRDefault="00C54422" w:rsidP="00C54422">
      <w:pPr>
        <w:pStyle w:val="FootnoteText"/>
        <w:rPr>
          <w:sz w:val="18"/>
        </w:rPr>
      </w:pPr>
      <w:r>
        <w:rPr>
          <w:rStyle w:val="FootnoteReference"/>
        </w:rPr>
        <w:footnoteRef/>
      </w:r>
      <w:r>
        <w:t xml:space="preserve"> </w:t>
      </w:r>
      <w:r w:rsidRPr="000D2A35">
        <w:rPr>
          <w:sz w:val="18"/>
        </w:rPr>
        <w:t>Campbell, C. “How</w:t>
      </w:r>
      <w:r w:rsidRPr="000D2A35">
        <w:rPr>
          <w:i/>
          <w:sz w:val="18"/>
        </w:rPr>
        <w:t xml:space="preserve"> to involve hard to reach parents: encouraging meaningful parental involvement with schools</w:t>
      </w:r>
      <w:r w:rsidRPr="000D2A35">
        <w:rPr>
          <w:sz w:val="18"/>
        </w:rPr>
        <w:t>”. National College for School Leadership Autumn 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3C19A" w14:textId="77777777" w:rsidR="00B800B3" w:rsidRDefault="00B800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6305E" w14:textId="77777777" w:rsidR="003E29B5" w:rsidRPr="003E29B5" w:rsidRDefault="003E29B5" w:rsidP="008766A4">
    <w:r w:rsidRPr="003E29B5">
      <w:rPr>
        <w:noProof/>
        <w:lang w:val="en-AU" w:eastAsia="en-AU"/>
      </w:rPr>
      <w:drawing>
        <wp:anchor distT="0" distB="0" distL="114300" distR="114300" simplePos="0" relativeHeight="251658240" behindDoc="1" locked="0" layoutInCell="1" allowOverlap="1" wp14:anchorId="5603F0E5" wp14:editId="14B1D825">
          <wp:simplePos x="0" y="0"/>
          <wp:positionH relativeFrom="page">
            <wp:posOffset>7225</wp:posOffset>
          </wp:positionH>
          <wp:positionV relativeFrom="page">
            <wp:posOffset>0</wp:posOffset>
          </wp:positionV>
          <wp:extent cx="7547638" cy="201777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Header copy.jpg"/>
                  <pic:cNvPicPr/>
                </pic:nvPicPr>
                <pic:blipFill>
                  <a:blip r:embed="rId1">
                    <a:extLst>
                      <a:ext uri="{28A0092B-C50C-407E-A947-70E740481C1C}">
                        <a14:useLocalDpi xmlns:a14="http://schemas.microsoft.com/office/drawing/2010/main" val="0"/>
                      </a:ext>
                    </a:extLst>
                  </a:blip>
                  <a:stretch>
                    <a:fillRect/>
                  </a:stretch>
                </pic:blipFill>
                <pic:spPr>
                  <a:xfrm>
                    <a:off x="0" y="0"/>
                    <a:ext cx="7547638" cy="201777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76AE9" w14:textId="77777777" w:rsidR="00B800B3" w:rsidRDefault="00B800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632D6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E6ECD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23C92C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91E90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1B0630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5026C4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79C2D8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388EB7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09C95F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0B6388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CB8306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1537F22"/>
    <w:multiLevelType w:val="hybridMultilevel"/>
    <w:tmpl w:val="11B6E864"/>
    <w:lvl w:ilvl="0" w:tplc="600AD1FC">
      <w:start w:val="1"/>
      <w:numFmt w:val="bullet"/>
      <w:lvlText w:val=""/>
      <w:lvlJc w:val="left"/>
      <w:pPr>
        <w:ind w:left="1080" w:hanging="360"/>
      </w:pPr>
      <w:rPr>
        <w:rFonts w:ascii="Wingdings" w:hAnsi="Wingdings" w:hint="default"/>
        <w:color w:val="76923C" w:themeColor="accent3" w:themeShade="BF"/>
        <w:sz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42A15CA6"/>
    <w:multiLevelType w:val="hybridMultilevel"/>
    <w:tmpl w:val="954AB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8AE1802"/>
    <w:multiLevelType w:val="hybridMultilevel"/>
    <w:tmpl w:val="97C4AA38"/>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4" w15:restartNumberingAfterBreak="0">
    <w:nsid w:val="73142735"/>
    <w:multiLevelType w:val="hybridMultilevel"/>
    <w:tmpl w:val="98269670"/>
    <w:lvl w:ilvl="0" w:tplc="0C090009">
      <w:start w:val="1"/>
      <w:numFmt w:val="bullet"/>
      <w:lvlText w:val=""/>
      <w:lvlJc w:val="left"/>
      <w:pPr>
        <w:ind w:left="360" w:hanging="360"/>
      </w:pPr>
      <w:rPr>
        <w:rFonts w:ascii="Wingdings" w:hAnsi="Wingdings" w:hint="default"/>
        <w:color w:val="76923C" w:themeColor="accent3" w:themeShade="BF"/>
        <w:sz w:val="2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6DF239F"/>
    <w:multiLevelType w:val="hybridMultilevel"/>
    <w:tmpl w:val="6A8C1C3E"/>
    <w:lvl w:ilvl="0" w:tplc="0C090009">
      <w:start w:val="1"/>
      <w:numFmt w:val="bullet"/>
      <w:lvlText w:val=""/>
      <w:lvlJc w:val="left"/>
      <w:pPr>
        <w:ind w:left="360" w:hanging="360"/>
      </w:pPr>
      <w:rPr>
        <w:rFonts w:ascii="Wingdings" w:hAnsi="Wingdings" w:hint="default"/>
        <w:color w:val="76923C" w:themeColor="accent3" w:themeShade="BF"/>
        <w:sz w:val="2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3"/>
  </w:num>
  <w:num w:numId="13">
    <w:abstractNumId w:val="12"/>
  </w:num>
  <w:num w:numId="14">
    <w:abstractNumId w:val="14"/>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F48"/>
    <w:rsid w:val="0004483B"/>
    <w:rsid w:val="00090D79"/>
    <w:rsid w:val="000A1DC2"/>
    <w:rsid w:val="00113631"/>
    <w:rsid w:val="001407EC"/>
    <w:rsid w:val="0014310A"/>
    <w:rsid w:val="001549BE"/>
    <w:rsid w:val="00193F02"/>
    <w:rsid w:val="001B60BD"/>
    <w:rsid w:val="001E799C"/>
    <w:rsid w:val="002F6EAD"/>
    <w:rsid w:val="00326F48"/>
    <w:rsid w:val="00346B7A"/>
    <w:rsid w:val="00360781"/>
    <w:rsid w:val="003621E1"/>
    <w:rsid w:val="003B01B0"/>
    <w:rsid w:val="003E29B5"/>
    <w:rsid w:val="00543EBE"/>
    <w:rsid w:val="00574FF1"/>
    <w:rsid w:val="00596923"/>
    <w:rsid w:val="005F7687"/>
    <w:rsid w:val="00816ED5"/>
    <w:rsid w:val="0087578E"/>
    <w:rsid w:val="008766A4"/>
    <w:rsid w:val="00890229"/>
    <w:rsid w:val="008B6CD0"/>
    <w:rsid w:val="00980015"/>
    <w:rsid w:val="009F2302"/>
    <w:rsid w:val="00B800B3"/>
    <w:rsid w:val="00BF1619"/>
    <w:rsid w:val="00C54422"/>
    <w:rsid w:val="00D31299"/>
    <w:rsid w:val="00D36A19"/>
    <w:rsid w:val="00E01FAE"/>
    <w:rsid w:val="00E10649"/>
    <w:rsid w:val="00EB262A"/>
    <w:rsid w:val="00F661BC"/>
    <w:rsid w:val="00FD4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99FCCD2"/>
  <w14:defaultImageDpi w14:val="300"/>
  <w15:docId w15:val="{8380F24F-9538-4D99-97CF-6420471A1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766A4"/>
    <w:pPr>
      <w:spacing w:after="120" w:line="240" w:lineRule="atLeast"/>
    </w:pPr>
    <w:rPr>
      <w:rFonts w:ascii="Arial" w:hAnsi="Arial" w:cs="Arial"/>
      <w:sz w:val="18"/>
      <w:szCs w:val="18"/>
    </w:rPr>
  </w:style>
  <w:style w:type="paragraph" w:styleId="Heading1">
    <w:name w:val="heading 1"/>
    <w:basedOn w:val="Normal"/>
    <w:next w:val="Normal"/>
    <w:link w:val="Heading1Char"/>
    <w:uiPriority w:val="9"/>
    <w:qFormat/>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unhideWhenUsed/>
    <w:qFormat/>
    <w:rsid w:val="00596923"/>
    <w:pPr>
      <w:pBdr>
        <w:top w:val="single" w:sz="8" w:space="3" w:color="AF272F"/>
      </w:pBdr>
      <w:spacing w:before="200"/>
      <w:outlineLvl w:val="1"/>
    </w:pPr>
    <w:rPr>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E29B5"/>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Quote">
    <w:name w:val="Quote"/>
    <w:basedOn w:val="Normal"/>
    <w:next w:val="Normal"/>
    <w:link w:val="QuoteChar"/>
    <w:uiPriority w:val="29"/>
    <w:qFormat/>
    <w:rsid w:val="00D31299"/>
    <w:pPr>
      <w:spacing w:after="60" w:line="300" w:lineRule="atLeast"/>
    </w:pPr>
    <w:rPr>
      <w:b/>
      <w:bCs/>
      <w:color w:val="5A5A59"/>
      <w:sz w:val="24"/>
      <w:szCs w:val="25"/>
    </w:rPr>
  </w:style>
  <w:style w:type="paragraph" w:styleId="Footer">
    <w:name w:val="footer"/>
    <w:basedOn w:val="Normal"/>
    <w:link w:val="FooterChar"/>
    <w:uiPriority w:val="99"/>
    <w:unhideWhenUsed/>
    <w:rsid w:val="00326F48"/>
    <w:pPr>
      <w:tabs>
        <w:tab w:val="center" w:pos="4320"/>
        <w:tab w:val="right" w:pos="8640"/>
      </w:tabs>
    </w:pPr>
  </w:style>
  <w:style w:type="character" w:customStyle="1" w:styleId="FooterChar">
    <w:name w:val="Footer Char"/>
    <w:basedOn w:val="DefaultParagraphFont"/>
    <w:link w:val="Footer"/>
    <w:uiPriority w:val="99"/>
    <w:rsid w:val="00326F48"/>
  </w:style>
  <w:style w:type="paragraph" w:styleId="BalloonText">
    <w:name w:val="Balloon Text"/>
    <w:basedOn w:val="Normal"/>
    <w:link w:val="BalloonTextChar"/>
    <w:uiPriority w:val="99"/>
    <w:semiHidden/>
    <w:unhideWhenUsed/>
    <w:rsid w:val="00326F48"/>
    <w:rPr>
      <w:rFonts w:ascii="Lucida Grande" w:hAnsi="Lucida Grande" w:cs="Lucida Grande"/>
    </w:rPr>
  </w:style>
  <w:style w:type="character" w:customStyle="1" w:styleId="BalloonTextChar">
    <w:name w:val="Balloon Text Char"/>
    <w:basedOn w:val="DefaultParagraphFont"/>
    <w:link w:val="BalloonText"/>
    <w:uiPriority w:val="99"/>
    <w:semiHidden/>
    <w:rsid w:val="00326F48"/>
    <w:rPr>
      <w:rFonts w:ascii="Lucida Grande" w:hAnsi="Lucida Grande" w:cs="Lucida Grande"/>
      <w:sz w:val="18"/>
      <w:szCs w:val="18"/>
    </w:rPr>
  </w:style>
  <w:style w:type="paragraph" w:styleId="Subtitle">
    <w:name w:val="Subtitle"/>
    <w:basedOn w:val="Normal"/>
    <w:next w:val="Normal"/>
    <w:link w:val="SubtitleChar"/>
    <w:uiPriority w:val="11"/>
    <w:qFormat/>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rsid w:val="00980015"/>
    <w:rPr>
      <w:rFonts w:ascii="Arial" w:eastAsiaTheme="majorEastAsia" w:hAnsi="Arial" w:cstheme="majorBidi"/>
      <w:color w:val="5A5A59"/>
      <w:sz w:val="27"/>
      <w:szCs w:val="27"/>
    </w:rPr>
  </w:style>
  <w:style w:type="character" w:styleId="SubtleEmphasis">
    <w:name w:val="Subtle Emphasis"/>
    <w:basedOn w:val="DefaultParagraphFont"/>
    <w:uiPriority w:val="19"/>
    <w:rsid w:val="00326F48"/>
    <w:rPr>
      <w:i/>
      <w:iCs/>
      <w:color w:val="808080" w:themeColor="text1" w:themeTint="7F"/>
    </w:rPr>
  </w:style>
  <w:style w:type="character" w:styleId="IntenseEmphasis">
    <w:name w:val="Intense Emphasis"/>
    <w:basedOn w:val="DefaultParagraphFont"/>
    <w:uiPriority w:val="21"/>
    <w:rsid w:val="00326F48"/>
    <w:rPr>
      <w:b/>
      <w:bCs/>
      <w:i/>
      <w:iCs/>
      <w:color w:val="4F81BD" w:themeColor="accent1"/>
    </w:rPr>
  </w:style>
  <w:style w:type="character" w:styleId="Emphasis">
    <w:name w:val="Emphasis"/>
    <w:basedOn w:val="DefaultParagraphFont"/>
    <w:uiPriority w:val="20"/>
    <w:rsid w:val="00326F48"/>
    <w:rPr>
      <w:i/>
      <w:iCs/>
    </w:rPr>
  </w:style>
  <w:style w:type="character" w:customStyle="1" w:styleId="Heading1Char">
    <w:name w:val="Heading 1 Char"/>
    <w:basedOn w:val="DefaultParagraphFont"/>
    <w:link w:val="Heading1"/>
    <w:uiPriority w:val="9"/>
    <w:rsid w:val="009F2302"/>
    <w:rPr>
      <w:rFonts w:ascii="Arial" w:eastAsiaTheme="majorEastAsia" w:hAnsi="Arial" w:cstheme="majorBidi"/>
      <w:b/>
      <w:bCs/>
      <w:caps/>
      <w:color w:val="AF272F"/>
      <w:sz w:val="20"/>
      <w:szCs w:val="20"/>
    </w:rPr>
  </w:style>
  <w:style w:type="paragraph" w:styleId="Title">
    <w:name w:val="Title"/>
    <w:next w:val="Subtitle"/>
    <w:link w:val="TitleChar"/>
    <w:uiPriority w:val="10"/>
    <w:qFormat/>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uiPriority w:val="10"/>
    <w:rsid w:val="009F230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rsid w:val="00D31299"/>
    <w:rPr>
      <w:rFonts w:ascii="Arial" w:hAnsi="Arial" w:cs="Arial"/>
      <w:b/>
      <w:bCs/>
      <w:color w:val="5A5A59"/>
      <w:szCs w:val="25"/>
    </w:rPr>
  </w:style>
  <w:style w:type="paragraph" w:styleId="EndnoteText">
    <w:name w:val="endnote text"/>
    <w:basedOn w:val="Normal"/>
    <w:link w:val="EndnoteTextChar"/>
    <w:uiPriority w:val="99"/>
    <w:unhideWhenUsed/>
    <w:qFormat/>
    <w:rsid w:val="00980015"/>
    <w:pPr>
      <w:spacing w:before="120" w:after="240"/>
    </w:pPr>
    <w:rPr>
      <w:b/>
      <w:color w:val="5A5A59"/>
      <w:szCs w:val="24"/>
    </w:rPr>
  </w:style>
  <w:style w:type="character" w:customStyle="1" w:styleId="EndnoteTextChar">
    <w:name w:val="Endnote Text Char"/>
    <w:basedOn w:val="DefaultParagraphFont"/>
    <w:link w:val="EndnoteText"/>
    <w:uiPriority w:val="99"/>
    <w:rsid w:val="00980015"/>
    <w:rPr>
      <w:rFonts w:ascii="Arial" w:hAnsi="Arial" w:cs="Arial"/>
      <w:b/>
      <w:color w:val="5A5A59"/>
      <w:sz w:val="18"/>
    </w:rPr>
  </w:style>
  <w:style w:type="character" w:customStyle="1" w:styleId="Heading2Char">
    <w:name w:val="Heading 2 Char"/>
    <w:basedOn w:val="DefaultParagraphFont"/>
    <w:link w:val="Heading2"/>
    <w:uiPriority w:val="9"/>
    <w:rsid w:val="00596923"/>
    <w:rPr>
      <w:rFonts w:ascii="Arial" w:eastAsiaTheme="majorEastAsia" w:hAnsi="Arial" w:cstheme="majorBidi"/>
      <w:b/>
      <w:caps/>
      <w:color w:val="AF272F"/>
      <w:sz w:val="20"/>
      <w:szCs w:val="20"/>
    </w:rPr>
  </w:style>
  <w:style w:type="character" w:styleId="Strong">
    <w:name w:val="Strong"/>
    <w:basedOn w:val="DefaultParagraphFont"/>
    <w:uiPriority w:val="22"/>
    <w:qFormat/>
    <w:rsid w:val="00980015"/>
    <w:rPr>
      <w:b/>
      <w:bCs/>
    </w:rPr>
  </w:style>
  <w:style w:type="paragraph" w:styleId="Header">
    <w:name w:val="header"/>
    <w:basedOn w:val="Normal"/>
    <w:link w:val="HeaderChar"/>
    <w:uiPriority w:val="99"/>
    <w:unhideWhenUsed/>
    <w:rsid w:val="00B80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0B3"/>
    <w:rPr>
      <w:rFonts w:ascii="Arial" w:hAnsi="Arial" w:cs="Arial"/>
      <w:sz w:val="18"/>
      <w:szCs w:val="18"/>
    </w:rPr>
  </w:style>
  <w:style w:type="paragraph" w:styleId="FootnoteText">
    <w:name w:val="footnote text"/>
    <w:basedOn w:val="Normal"/>
    <w:link w:val="FootnoteTextChar"/>
    <w:rsid w:val="00C54422"/>
    <w:pPr>
      <w:spacing w:after="0" w:line="240" w:lineRule="auto"/>
    </w:pPr>
    <w:rPr>
      <w:rFonts w:eastAsia="Times New Roman" w:cs="Times New Roman"/>
      <w:color w:val="747378"/>
      <w:sz w:val="20"/>
      <w:szCs w:val="20"/>
      <w:lang w:val="en-AU"/>
    </w:rPr>
  </w:style>
  <w:style w:type="character" w:customStyle="1" w:styleId="FootnoteTextChar">
    <w:name w:val="Footnote Text Char"/>
    <w:basedOn w:val="DefaultParagraphFont"/>
    <w:link w:val="FootnoteText"/>
    <w:rsid w:val="00C54422"/>
    <w:rPr>
      <w:rFonts w:ascii="Arial" w:eastAsia="Times New Roman" w:hAnsi="Arial" w:cs="Times New Roman"/>
      <w:color w:val="747378"/>
      <w:sz w:val="20"/>
      <w:szCs w:val="20"/>
      <w:lang w:val="en-AU"/>
    </w:rPr>
  </w:style>
  <w:style w:type="character" w:styleId="FootnoteReference">
    <w:name w:val="footnote reference"/>
    <w:basedOn w:val="DefaultParagraphFont"/>
    <w:rsid w:val="00C54422"/>
    <w:rPr>
      <w:vertAlign w:val="superscript"/>
    </w:rPr>
  </w:style>
  <w:style w:type="paragraph" w:styleId="ListParagraph">
    <w:name w:val="List Paragraph"/>
    <w:basedOn w:val="Normal"/>
    <w:uiPriority w:val="34"/>
    <w:qFormat/>
    <w:rsid w:val="00C54422"/>
    <w:pPr>
      <w:spacing w:after="200" w:line="276" w:lineRule="auto"/>
      <w:ind w:left="720"/>
      <w:contextualSpacing/>
    </w:pPr>
    <w:rPr>
      <w:rFonts w:asciiTheme="minorHAnsi" w:eastAsiaTheme="minorHAnsi" w:hAnsiTheme="minorHAnsi" w:cstheme="minorBidi"/>
      <w:sz w:val="22"/>
      <w:szCs w:val="22"/>
      <w:lang w:val="en-AU"/>
    </w:rPr>
  </w:style>
  <w:style w:type="character" w:styleId="Hyperlink">
    <w:name w:val="Hyperlink"/>
    <w:basedOn w:val="DefaultParagraphFont"/>
    <w:uiPriority w:val="99"/>
    <w:unhideWhenUsed/>
    <w:rsid w:val="00F661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yperlink" Target="https://www.education.vic.gov.au/school/teachers/management/improvement/Pages/dimension4parents.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ducation.vic.gov.au/school/teachers/management/improvement/Pages/FISO.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2361A4F-C80C-420E-8823-13C1856DBC3E}"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en-AU"/>
        </a:p>
      </dgm:t>
    </dgm:pt>
    <dgm:pt modelId="{FEA41280-D058-4517-930F-DED9F93B1FE2}">
      <dgm:prSet phldrT="[Text]"/>
      <dgm:spPr>
        <a:solidFill>
          <a:schemeClr val="accent1">
            <a:lumMod val="50000"/>
          </a:schemeClr>
        </a:solidFill>
      </dgm:spPr>
      <dgm:t>
        <a:bodyPr/>
        <a:lstStyle/>
        <a:p>
          <a:r>
            <a:rPr lang="en-AU">
              <a:latin typeface="+mj-lt"/>
            </a:rPr>
            <a:t>Transparency</a:t>
          </a:r>
          <a:r>
            <a:rPr lang="en-AU"/>
            <a:t> </a:t>
          </a:r>
          <a:r>
            <a:rPr lang="en-AU">
              <a:latin typeface="+mj-lt"/>
            </a:rPr>
            <a:t>Framework</a:t>
          </a:r>
        </a:p>
      </dgm:t>
    </dgm:pt>
    <dgm:pt modelId="{85677727-0D6B-47A5-A3DF-D897DE3FC89B}" type="parTrans" cxnId="{7208693B-AE51-4DBC-B52F-77DA9BD8538D}">
      <dgm:prSet/>
      <dgm:spPr/>
      <dgm:t>
        <a:bodyPr/>
        <a:lstStyle/>
        <a:p>
          <a:endParaRPr lang="en-AU"/>
        </a:p>
      </dgm:t>
    </dgm:pt>
    <dgm:pt modelId="{96EA190D-8936-45CC-9078-5A03BBDC1531}" type="sibTrans" cxnId="{7208693B-AE51-4DBC-B52F-77DA9BD8538D}">
      <dgm:prSet/>
      <dgm:spPr/>
      <dgm:t>
        <a:bodyPr/>
        <a:lstStyle/>
        <a:p>
          <a:endParaRPr lang="en-AU"/>
        </a:p>
      </dgm:t>
    </dgm:pt>
    <dgm:pt modelId="{7BD3CE9C-D925-4D7E-B951-B0129E2871A6}">
      <dgm:prSet phldrT="[Text]" custT="1"/>
      <dgm:spPr/>
      <dgm:t>
        <a:bodyPr/>
        <a:lstStyle/>
        <a:p>
          <a:r>
            <a:rPr lang="en-AU" sz="900">
              <a:latin typeface="+mj-lt"/>
            </a:rPr>
            <a:t> Chart of Accounts</a:t>
          </a:r>
        </a:p>
      </dgm:t>
    </dgm:pt>
    <dgm:pt modelId="{A2BE01EF-3418-4920-B640-A8F0206A1D61}" type="parTrans" cxnId="{D12F0A15-493E-411E-8A0E-FE22C02D10AF}">
      <dgm:prSet/>
      <dgm:spPr/>
      <dgm:t>
        <a:bodyPr/>
        <a:lstStyle/>
        <a:p>
          <a:endParaRPr lang="en-AU"/>
        </a:p>
      </dgm:t>
    </dgm:pt>
    <dgm:pt modelId="{3E60CE84-C819-4229-9DCE-8CFF1984C1F4}" type="sibTrans" cxnId="{D12F0A15-493E-411E-8A0E-FE22C02D10AF}">
      <dgm:prSet/>
      <dgm:spPr/>
      <dgm:t>
        <a:bodyPr/>
        <a:lstStyle/>
        <a:p>
          <a:endParaRPr lang="en-AU"/>
        </a:p>
      </dgm:t>
    </dgm:pt>
    <dgm:pt modelId="{D4076803-329C-40F1-A363-CFDE5CC8107F}">
      <dgm:prSet phldrT="[Text]" custT="1"/>
      <dgm:spPr>
        <a:xfrm>
          <a:off x="3264326" y="788812"/>
          <a:ext cx="1140463" cy="115301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AU" sz="900">
              <a:solidFill>
                <a:sysClr val="window" lastClr="FFFFFF"/>
              </a:solidFill>
              <a:latin typeface="Calibri"/>
              <a:ea typeface="+mn-ea"/>
              <a:cs typeface="+mn-cs"/>
            </a:rPr>
            <a:t>Practical strategies to engage parents </a:t>
          </a:r>
          <a:endParaRPr lang="en-AU" sz="900"/>
        </a:p>
      </dgm:t>
    </dgm:pt>
    <dgm:pt modelId="{90D71D94-DEF6-44D8-BCC0-047C4A518ABC}" type="parTrans" cxnId="{468A548B-C6F3-4039-84C7-4F54CF8A164B}">
      <dgm:prSet/>
      <dgm:spPr/>
      <dgm:t>
        <a:bodyPr/>
        <a:lstStyle/>
        <a:p>
          <a:endParaRPr lang="en-AU"/>
        </a:p>
      </dgm:t>
    </dgm:pt>
    <dgm:pt modelId="{AA87B253-B961-4AD4-94FA-ADCB4E3FBE4E}" type="sibTrans" cxnId="{468A548B-C6F3-4039-84C7-4F54CF8A164B}">
      <dgm:prSet/>
      <dgm:spPr/>
      <dgm:t>
        <a:bodyPr/>
        <a:lstStyle/>
        <a:p>
          <a:endParaRPr lang="en-AU"/>
        </a:p>
      </dgm:t>
    </dgm:pt>
    <dgm:pt modelId="{D693A1A2-4319-4581-A5CA-323F237C435D}">
      <dgm:prSet phldrT="[Text]" custT="1"/>
      <dgm:spPr>
        <a:xfrm>
          <a:off x="1203496" y="2344936"/>
          <a:ext cx="1163825" cy="101835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AU" sz="900">
              <a:solidFill>
                <a:sysClr val="window" lastClr="FFFFFF"/>
              </a:solidFill>
              <a:latin typeface="Calibri"/>
              <a:ea typeface="+mn-ea"/>
              <a:cs typeface="+mn-cs"/>
            </a:rPr>
            <a:t>Transparency checklist</a:t>
          </a:r>
        </a:p>
      </dgm:t>
    </dgm:pt>
    <dgm:pt modelId="{B5B0B5D6-72ED-46E9-9551-EA1A623B1B8E}" type="parTrans" cxnId="{AD248897-167D-455A-9394-EA1C58EFCD18}">
      <dgm:prSet/>
      <dgm:spPr/>
      <dgm:t>
        <a:bodyPr/>
        <a:lstStyle/>
        <a:p>
          <a:endParaRPr lang="en-AU"/>
        </a:p>
      </dgm:t>
    </dgm:pt>
    <dgm:pt modelId="{1E5E6F19-E47F-4418-9D90-40C6E200575B}" type="sibTrans" cxnId="{AD248897-167D-455A-9394-EA1C58EFCD18}">
      <dgm:prSet/>
      <dgm:spPr/>
      <dgm:t>
        <a:bodyPr/>
        <a:lstStyle/>
        <a:p>
          <a:endParaRPr lang="en-AU"/>
        </a:p>
      </dgm:t>
    </dgm:pt>
    <dgm:pt modelId="{70D020BD-52D9-46C1-9CA8-A82C275BEB66}">
      <dgm:prSet custT="1"/>
      <dgm:spPr>
        <a:xfrm>
          <a:off x="734477" y="842428"/>
          <a:ext cx="1134385" cy="104578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AU" sz="900">
              <a:solidFill>
                <a:sysClr val="window" lastClr="FFFFFF"/>
              </a:solidFill>
              <a:latin typeface="Calibri"/>
              <a:ea typeface="+mn-ea"/>
              <a:cs typeface="+mn-cs"/>
            </a:rPr>
            <a:t>Clear payment categories </a:t>
          </a:r>
        </a:p>
      </dgm:t>
    </dgm:pt>
    <dgm:pt modelId="{BD81D886-B136-4BB8-BF73-FD7DD03DF9A7}" type="parTrans" cxnId="{3090EA36-9879-4DED-A59D-D59E329E5ACE}">
      <dgm:prSet/>
      <dgm:spPr/>
      <dgm:t>
        <a:bodyPr/>
        <a:lstStyle/>
        <a:p>
          <a:endParaRPr lang="en-AU"/>
        </a:p>
      </dgm:t>
    </dgm:pt>
    <dgm:pt modelId="{A8A123E6-557A-4853-8C2E-0F80649AC047}" type="sibTrans" cxnId="{3090EA36-9879-4DED-A59D-D59E329E5ACE}">
      <dgm:prSet/>
      <dgm:spPr/>
      <dgm:t>
        <a:bodyPr/>
        <a:lstStyle/>
        <a:p>
          <a:endParaRPr lang="en-AU"/>
        </a:p>
      </dgm:t>
    </dgm:pt>
    <dgm:pt modelId="{EB8094FD-053B-48A1-8B9E-BC4912A83839}">
      <dgm:prSet custT="1"/>
      <dgm:spPr>
        <a:xfrm>
          <a:off x="734477" y="842428"/>
          <a:ext cx="1134385" cy="104578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AU" sz="900">
              <a:solidFill>
                <a:sysClr val="window" lastClr="FFFFFF"/>
              </a:solidFill>
              <a:latin typeface="Calibri"/>
              <a:ea typeface="+mn-ea"/>
              <a:cs typeface="+mn-cs"/>
            </a:rPr>
            <a:t>Sharing good practice </a:t>
          </a:r>
        </a:p>
      </dgm:t>
    </dgm:pt>
    <dgm:pt modelId="{4E5FBC19-D711-4FCC-A357-7BC710F3183E}" type="parTrans" cxnId="{D4F41CB0-DE90-49DC-92ED-82DE884FF7DE}">
      <dgm:prSet/>
      <dgm:spPr/>
      <dgm:t>
        <a:bodyPr/>
        <a:lstStyle/>
        <a:p>
          <a:endParaRPr lang="en-AU"/>
        </a:p>
      </dgm:t>
    </dgm:pt>
    <dgm:pt modelId="{9D3C57BD-0FD5-4F99-81DB-01960AB5E66A}" type="sibTrans" cxnId="{D4F41CB0-DE90-49DC-92ED-82DE884FF7DE}">
      <dgm:prSet/>
      <dgm:spPr/>
      <dgm:t>
        <a:bodyPr/>
        <a:lstStyle/>
        <a:p>
          <a:endParaRPr lang="en-AU"/>
        </a:p>
      </dgm:t>
    </dgm:pt>
    <dgm:pt modelId="{4C70458F-0606-4CE9-96F5-6EBF5ADA6282}" type="pres">
      <dgm:prSet presAssocID="{F2361A4F-C80C-420E-8823-13C1856DBC3E}" presName="Name0" presStyleCnt="0">
        <dgm:presLayoutVars>
          <dgm:chMax val="1"/>
          <dgm:dir/>
          <dgm:animLvl val="ctr"/>
          <dgm:resizeHandles val="exact"/>
        </dgm:presLayoutVars>
      </dgm:prSet>
      <dgm:spPr/>
    </dgm:pt>
    <dgm:pt modelId="{F2D93DD7-F2D3-43A8-97FE-FA70A576A316}" type="pres">
      <dgm:prSet presAssocID="{FEA41280-D058-4517-930F-DED9F93B1FE2}" presName="centerShape" presStyleLbl="node0" presStyleIdx="0" presStyleCnt="1"/>
      <dgm:spPr/>
    </dgm:pt>
    <dgm:pt modelId="{0B42D8CB-FC10-49A3-8BB8-285DB0C2BDBB}" type="pres">
      <dgm:prSet presAssocID="{7BD3CE9C-D925-4D7E-B951-B0129E2871A6}" presName="node" presStyleLbl="node1" presStyleIdx="0" presStyleCnt="5" custScaleX="119991" custScaleY="120712" custRadScaleRad="100003" custRadScaleInc="1513">
        <dgm:presLayoutVars>
          <dgm:bulletEnabled val="1"/>
        </dgm:presLayoutVars>
      </dgm:prSet>
      <dgm:spPr/>
    </dgm:pt>
    <dgm:pt modelId="{1DF14EDD-01A4-4303-8443-FA698C15E1CB}" type="pres">
      <dgm:prSet presAssocID="{7BD3CE9C-D925-4D7E-B951-B0129E2871A6}" presName="dummy" presStyleCnt="0"/>
      <dgm:spPr/>
    </dgm:pt>
    <dgm:pt modelId="{A01FADAC-8492-423A-B088-609A25113ED6}" type="pres">
      <dgm:prSet presAssocID="{3E60CE84-C819-4229-9DCE-8CFF1984C1F4}" presName="sibTrans" presStyleLbl="sibTrans2D1" presStyleIdx="0" presStyleCnt="5"/>
      <dgm:spPr/>
    </dgm:pt>
    <dgm:pt modelId="{EF711AA3-9A13-4B1B-B839-56C27087F532}" type="pres">
      <dgm:prSet presAssocID="{D4076803-329C-40F1-A363-CFDE5CC8107F}" presName="node" presStyleLbl="node1" presStyleIdx="1" presStyleCnt="5" custScaleX="129850" custScaleY="125172" custRadScaleRad="110716" custRadScaleInc="1320">
        <dgm:presLayoutVars>
          <dgm:bulletEnabled val="1"/>
        </dgm:presLayoutVars>
      </dgm:prSet>
      <dgm:spPr>
        <a:prstGeom prst="ellipse">
          <a:avLst/>
        </a:prstGeom>
      </dgm:spPr>
    </dgm:pt>
    <dgm:pt modelId="{36E11C34-363C-4D6F-A1F1-84003BBCC02A}" type="pres">
      <dgm:prSet presAssocID="{D4076803-329C-40F1-A363-CFDE5CC8107F}" presName="dummy" presStyleCnt="0"/>
      <dgm:spPr/>
    </dgm:pt>
    <dgm:pt modelId="{CB044A1A-342D-4554-8DB0-1B8840CE6DC2}" type="pres">
      <dgm:prSet presAssocID="{AA87B253-B961-4AD4-94FA-ADCB4E3FBE4E}" presName="sibTrans" presStyleLbl="sibTrans2D1" presStyleIdx="1" presStyleCnt="5" custLinFactNeighborX="1160" custLinFactNeighborY="4255"/>
      <dgm:spPr/>
    </dgm:pt>
    <dgm:pt modelId="{2CA0A712-E6C2-4554-B22C-0D3FE00E7E54}" type="pres">
      <dgm:prSet presAssocID="{D693A1A2-4319-4581-A5CA-323F237C435D}" presName="node" presStyleLbl="node1" presStyleIdx="2" presStyleCnt="5" custScaleX="129923" custScaleY="126273" custRadScaleRad="100046" custRadScaleInc="-5843">
        <dgm:presLayoutVars>
          <dgm:bulletEnabled val="1"/>
        </dgm:presLayoutVars>
      </dgm:prSet>
      <dgm:spPr>
        <a:prstGeom prst="ellipse">
          <a:avLst/>
        </a:prstGeom>
      </dgm:spPr>
    </dgm:pt>
    <dgm:pt modelId="{CCEACEDA-1F2B-4F05-A12A-24A2DE896FDA}" type="pres">
      <dgm:prSet presAssocID="{D693A1A2-4319-4581-A5CA-323F237C435D}" presName="dummy" presStyleCnt="0"/>
      <dgm:spPr/>
    </dgm:pt>
    <dgm:pt modelId="{C377FCDE-D120-48EF-AB8A-A8A25402682B}" type="pres">
      <dgm:prSet presAssocID="{1E5E6F19-E47F-4418-9D90-40C6E200575B}" presName="sibTrans" presStyleLbl="sibTrans2D1" presStyleIdx="2" presStyleCnt="5" custScaleX="108648" custScaleY="90953" custLinFactNeighborX="9596" custLinFactNeighborY="11198" custRadScaleRad="52916"/>
      <dgm:spPr/>
    </dgm:pt>
    <dgm:pt modelId="{CADFD7DB-04B9-454D-AA99-5E323DA2FE09}" type="pres">
      <dgm:prSet presAssocID="{70D020BD-52D9-46C1-9CA8-A82C275BEB66}" presName="node" presStyleLbl="node1" presStyleIdx="3" presStyleCnt="5" custScaleX="125225" custScaleY="125254" custRadScaleRad="106122">
        <dgm:presLayoutVars>
          <dgm:bulletEnabled val="1"/>
        </dgm:presLayoutVars>
      </dgm:prSet>
      <dgm:spPr>
        <a:prstGeom prst="ellipse">
          <a:avLst/>
        </a:prstGeom>
      </dgm:spPr>
    </dgm:pt>
    <dgm:pt modelId="{62688EE3-7B1E-4F00-AC15-5545278450E9}" type="pres">
      <dgm:prSet presAssocID="{70D020BD-52D9-46C1-9CA8-A82C275BEB66}" presName="dummy" presStyleCnt="0"/>
      <dgm:spPr/>
    </dgm:pt>
    <dgm:pt modelId="{5392B888-697E-41B4-9F6D-6228E92CE556}" type="pres">
      <dgm:prSet presAssocID="{A8A123E6-557A-4853-8C2E-0F80649AC047}" presName="sibTrans" presStyleLbl="sibTrans2D1" presStyleIdx="3" presStyleCnt="5"/>
      <dgm:spPr/>
    </dgm:pt>
    <dgm:pt modelId="{93151B75-61C7-4B15-AB16-CAC6698AB8A2}" type="pres">
      <dgm:prSet presAssocID="{EB8094FD-053B-48A1-8B9E-BC4912A83839}" presName="node" presStyleLbl="node1" presStyleIdx="4" presStyleCnt="5" custScaleX="125225" custScaleY="125254" custRadScaleRad="106122">
        <dgm:presLayoutVars>
          <dgm:bulletEnabled val="1"/>
        </dgm:presLayoutVars>
      </dgm:prSet>
      <dgm:spPr>
        <a:prstGeom prst="ellipse">
          <a:avLst/>
        </a:prstGeom>
      </dgm:spPr>
    </dgm:pt>
    <dgm:pt modelId="{9534B9E2-725A-4DEB-AA38-BCBE88C710D9}" type="pres">
      <dgm:prSet presAssocID="{EB8094FD-053B-48A1-8B9E-BC4912A83839}" presName="dummy" presStyleCnt="0"/>
      <dgm:spPr/>
    </dgm:pt>
    <dgm:pt modelId="{CE93B744-BC6F-46D2-9406-BF303ABE93FC}" type="pres">
      <dgm:prSet presAssocID="{9D3C57BD-0FD5-4F99-81DB-01960AB5E66A}" presName="sibTrans" presStyleLbl="sibTrans2D1" presStyleIdx="4" presStyleCnt="5"/>
      <dgm:spPr/>
    </dgm:pt>
  </dgm:ptLst>
  <dgm:cxnLst>
    <dgm:cxn modelId="{F0E70000-8FF1-434C-A7A6-02516910A3B7}" type="presOf" srcId="{FEA41280-D058-4517-930F-DED9F93B1FE2}" destId="{F2D93DD7-F2D3-43A8-97FE-FA70A576A316}" srcOrd="0" destOrd="0" presId="urn:microsoft.com/office/officeart/2005/8/layout/radial6"/>
    <dgm:cxn modelId="{2598AB03-7433-4C9C-8E7C-A067B26DCAE4}" type="presOf" srcId="{D4076803-329C-40F1-A363-CFDE5CC8107F}" destId="{EF711AA3-9A13-4B1B-B839-56C27087F532}" srcOrd="0" destOrd="0" presId="urn:microsoft.com/office/officeart/2005/8/layout/radial6"/>
    <dgm:cxn modelId="{D12F0A15-493E-411E-8A0E-FE22C02D10AF}" srcId="{FEA41280-D058-4517-930F-DED9F93B1FE2}" destId="{7BD3CE9C-D925-4D7E-B951-B0129E2871A6}" srcOrd="0" destOrd="0" parTransId="{A2BE01EF-3418-4920-B640-A8F0206A1D61}" sibTransId="{3E60CE84-C819-4229-9DCE-8CFF1984C1F4}"/>
    <dgm:cxn modelId="{3090EA36-9879-4DED-A59D-D59E329E5ACE}" srcId="{FEA41280-D058-4517-930F-DED9F93B1FE2}" destId="{70D020BD-52D9-46C1-9CA8-A82C275BEB66}" srcOrd="3" destOrd="0" parTransId="{BD81D886-B136-4BB8-BF73-FD7DD03DF9A7}" sibTransId="{A8A123E6-557A-4853-8C2E-0F80649AC047}"/>
    <dgm:cxn modelId="{7208693B-AE51-4DBC-B52F-77DA9BD8538D}" srcId="{F2361A4F-C80C-420E-8823-13C1856DBC3E}" destId="{FEA41280-D058-4517-930F-DED9F93B1FE2}" srcOrd="0" destOrd="0" parTransId="{85677727-0D6B-47A5-A3DF-D897DE3FC89B}" sibTransId="{96EA190D-8936-45CC-9078-5A03BBDC1531}"/>
    <dgm:cxn modelId="{1058223F-2CE8-4AF9-B562-FB9B1D4DDBD1}" type="presOf" srcId="{70D020BD-52D9-46C1-9CA8-A82C275BEB66}" destId="{CADFD7DB-04B9-454D-AA99-5E323DA2FE09}" srcOrd="0" destOrd="0" presId="urn:microsoft.com/office/officeart/2005/8/layout/radial6"/>
    <dgm:cxn modelId="{BE50E951-66F2-42EA-B001-C5DFBFBAB5A9}" type="presOf" srcId="{3E60CE84-C819-4229-9DCE-8CFF1984C1F4}" destId="{A01FADAC-8492-423A-B088-609A25113ED6}" srcOrd="0" destOrd="0" presId="urn:microsoft.com/office/officeart/2005/8/layout/radial6"/>
    <dgm:cxn modelId="{A2F59987-20CD-4358-80DA-537A5A705EA9}" type="presOf" srcId="{1E5E6F19-E47F-4418-9D90-40C6E200575B}" destId="{C377FCDE-D120-48EF-AB8A-A8A25402682B}" srcOrd="0" destOrd="0" presId="urn:microsoft.com/office/officeart/2005/8/layout/radial6"/>
    <dgm:cxn modelId="{468A548B-C6F3-4039-84C7-4F54CF8A164B}" srcId="{FEA41280-D058-4517-930F-DED9F93B1FE2}" destId="{D4076803-329C-40F1-A363-CFDE5CC8107F}" srcOrd="1" destOrd="0" parTransId="{90D71D94-DEF6-44D8-BCC0-047C4A518ABC}" sibTransId="{AA87B253-B961-4AD4-94FA-ADCB4E3FBE4E}"/>
    <dgm:cxn modelId="{8B43DE92-8B5E-4B1E-9511-3426F60203EF}" type="presOf" srcId="{7BD3CE9C-D925-4D7E-B951-B0129E2871A6}" destId="{0B42D8CB-FC10-49A3-8BB8-285DB0C2BDBB}" srcOrd="0" destOrd="0" presId="urn:microsoft.com/office/officeart/2005/8/layout/radial6"/>
    <dgm:cxn modelId="{B13A1093-759E-4CA8-910F-B04AFD88236C}" type="presOf" srcId="{F2361A4F-C80C-420E-8823-13C1856DBC3E}" destId="{4C70458F-0606-4CE9-96F5-6EBF5ADA6282}" srcOrd="0" destOrd="0" presId="urn:microsoft.com/office/officeart/2005/8/layout/radial6"/>
    <dgm:cxn modelId="{383F7395-7EA0-4433-ABF6-4BA02BBB21C1}" type="presOf" srcId="{EB8094FD-053B-48A1-8B9E-BC4912A83839}" destId="{93151B75-61C7-4B15-AB16-CAC6698AB8A2}" srcOrd="0" destOrd="0" presId="urn:microsoft.com/office/officeart/2005/8/layout/radial6"/>
    <dgm:cxn modelId="{AD248897-167D-455A-9394-EA1C58EFCD18}" srcId="{FEA41280-D058-4517-930F-DED9F93B1FE2}" destId="{D693A1A2-4319-4581-A5CA-323F237C435D}" srcOrd="2" destOrd="0" parTransId="{B5B0B5D6-72ED-46E9-9551-EA1A623B1B8E}" sibTransId="{1E5E6F19-E47F-4418-9D90-40C6E200575B}"/>
    <dgm:cxn modelId="{EE8B069A-5718-4AEE-BFCD-28A6C9536858}" type="presOf" srcId="{AA87B253-B961-4AD4-94FA-ADCB4E3FBE4E}" destId="{CB044A1A-342D-4554-8DB0-1B8840CE6DC2}" srcOrd="0" destOrd="0" presId="urn:microsoft.com/office/officeart/2005/8/layout/radial6"/>
    <dgm:cxn modelId="{6D81749C-599C-4180-B9E1-B72189B12B7B}" type="presOf" srcId="{9D3C57BD-0FD5-4F99-81DB-01960AB5E66A}" destId="{CE93B744-BC6F-46D2-9406-BF303ABE93FC}" srcOrd="0" destOrd="0" presId="urn:microsoft.com/office/officeart/2005/8/layout/radial6"/>
    <dgm:cxn modelId="{D4F41CB0-DE90-49DC-92ED-82DE884FF7DE}" srcId="{FEA41280-D058-4517-930F-DED9F93B1FE2}" destId="{EB8094FD-053B-48A1-8B9E-BC4912A83839}" srcOrd="4" destOrd="0" parTransId="{4E5FBC19-D711-4FCC-A357-7BC710F3183E}" sibTransId="{9D3C57BD-0FD5-4F99-81DB-01960AB5E66A}"/>
    <dgm:cxn modelId="{AC465DDC-94E4-4E1A-9697-C9C7FA146425}" type="presOf" srcId="{A8A123E6-557A-4853-8C2E-0F80649AC047}" destId="{5392B888-697E-41B4-9F6D-6228E92CE556}" srcOrd="0" destOrd="0" presId="urn:microsoft.com/office/officeart/2005/8/layout/radial6"/>
    <dgm:cxn modelId="{CE0933F3-8A13-4A10-A9DA-90E09F0F56D4}" type="presOf" srcId="{D693A1A2-4319-4581-A5CA-323F237C435D}" destId="{2CA0A712-E6C2-4554-B22C-0D3FE00E7E54}" srcOrd="0" destOrd="0" presId="urn:microsoft.com/office/officeart/2005/8/layout/radial6"/>
    <dgm:cxn modelId="{B9D1505D-4C64-4038-B438-F10B345675BD}" type="presParOf" srcId="{4C70458F-0606-4CE9-96F5-6EBF5ADA6282}" destId="{F2D93DD7-F2D3-43A8-97FE-FA70A576A316}" srcOrd="0" destOrd="0" presId="urn:microsoft.com/office/officeart/2005/8/layout/radial6"/>
    <dgm:cxn modelId="{2A2D92F7-33A7-423F-86AD-20DF18A867E1}" type="presParOf" srcId="{4C70458F-0606-4CE9-96F5-6EBF5ADA6282}" destId="{0B42D8CB-FC10-49A3-8BB8-285DB0C2BDBB}" srcOrd="1" destOrd="0" presId="urn:microsoft.com/office/officeart/2005/8/layout/radial6"/>
    <dgm:cxn modelId="{3A967352-0E5A-43DA-9A5F-53CBA6474ADB}" type="presParOf" srcId="{4C70458F-0606-4CE9-96F5-6EBF5ADA6282}" destId="{1DF14EDD-01A4-4303-8443-FA698C15E1CB}" srcOrd="2" destOrd="0" presId="urn:microsoft.com/office/officeart/2005/8/layout/radial6"/>
    <dgm:cxn modelId="{670EA6F2-769E-4D16-8C4F-01F0429FBA76}" type="presParOf" srcId="{4C70458F-0606-4CE9-96F5-6EBF5ADA6282}" destId="{A01FADAC-8492-423A-B088-609A25113ED6}" srcOrd="3" destOrd="0" presId="urn:microsoft.com/office/officeart/2005/8/layout/radial6"/>
    <dgm:cxn modelId="{9C27AD04-5146-4C76-8A68-AE78632A3A19}" type="presParOf" srcId="{4C70458F-0606-4CE9-96F5-6EBF5ADA6282}" destId="{EF711AA3-9A13-4B1B-B839-56C27087F532}" srcOrd="4" destOrd="0" presId="urn:microsoft.com/office/officeart/2005/8/layout/radial6"/>
    <dgm:cxn modelId="{7B2D99E9-5DDA-4BE2-A87A-0297F108FB2E}" type="presParOf" srcId="{4C70458F-0606-4CE9-96F5-6EBF5ADA6282}" destId="{36E11C34-363C-4D6F-A1F1-84003BBCC02A}" srcOrd="5" destOrd="0" presId="urn:microsoft.com/office/officeart/2005/8/layout/radial6"/>
    <dgm:cxn modelId="{3A77F2B6-DACC-46BE-A3DB-398A4221D93F}" type="presParOf" srcId="{4C70458F-0606-4CE9-96F5-6EBF5ADA6282}" destId="{CB044A1A-342D-4554-8DB0-1B8840CE6DC2}" srcOrd="6" destOrd="0" presId="urn:microsoft.com/office/officeart/2005/8/layout/radial6"/>
    <dgm:cxn modelId="{A144C02A-B688-432E-AB75-4587AC85BDF2}" type="presParOf" srcId="{4C70458F-0606-4CE9-96F5-6EBF5ADA6282}" destId="{2CA0A712-E6C2-4554-B22C-0D3FE00E7E54}" srcOrd="7" destOrd="0" presId="urn:microsoft.com/office/officeart/2005/8/layout/radial6"/>
    <dgm:cxn modelId="{CAAB2215-2D50-4569-8BF6-DF2726082720}" type="presParOf" srcId="{4C70458F-0606-4CE9-96F5-6EBF5ADA6282}" destId="{CCEACEDA-1F2B-4F05-A12A-24A2DE896FDA}" srcOrd="8" destOrd="0" presId="urn:microsoft.com/office/officeart/2005/8/layout/radial6"/>
    <dgm:cxn modelId="{713261D8-A9F5-4976-B182-DA70B492D36C}" type="presParOf" srcId="{4C70458F-0606-4CE9-96F5-6EBF5ADA6282}" destId="{C377FCDE-D120-48EF-AB8A-A8A25402682B}" srcOrd="9" destOrd="0" presId="urn:microsoft.com/office/officeart/2005/8/layout/radial6"/>
    <dgm:cxn modelId="{04D417BA-31E4-4646-A91C-C49F14C218D1}" type="presParOf" srcId="{4C70458F-0606-4CE9-96F5-6EBF5ADA6282}" destId="{CADFD7DB-04B9-454D-AA99-5E323DA2FE09}" srcOrd="10" destOrd="0" presId="urn:microsoft.com/office/officeart/2005/8/layout/radial6"/>
    <dgm:cxn modelId="{A7E0FF7F-4440-4E36-BFC4-F2CD7FED0D51}" type="presParOf" srcId="{4C70458F-0606-4CE9-96F5-6EBF5ADA6282}" destId="{62688EE3-7B1E-4F00-AC15-5545278450E9}" srcOrd="11" destOrd="0" presId="urn:microsoft.com/office/officeart/2005/8/layout/radial6"/>
    <dgm:cxn modelId="{42FCF19D-D992-4F1E-B413-CE41798E5855}" type="presParOf" srcId="{4C70458F-0606-4CE9-96F5-6EBF5ADA6282}" destId="{5392B888-697E-41B4-9F6D-6228E92CE556}" srcOrd="12" destOrd="0" presId="urn:microsoft.com/office/officeart/2005/8/layout/radial6"/>
    <dgm:cxn modelId="{62B43828-A5E0-4564-A321-7C6FDAF45839}" type="presParOf" srcId="{4C70458F-0606-4CE9-96F5-6EBF5ADA6282}" destId="{93151B75-61C7-4B15-AB16-CAC6698AB8A2}" srcOrd="13" destOrd="0" presId="urn:microsoft.com/office/officeart/2005/8/layout/radial6"/>
    <dgm:cxn modelId="{EAD1BFA8-9929-413A-B210-A2DB7E27DBBB}" type="presParOf" srcId="{4C70458F-0606-4CE9-96F5-6EBF5ADA6282}" destId="{9534B9E2-725A-4DEB-AA38-BCBE88C710D9}" srcOrd="14" destOrd="0" presId="urn:microsoft.com/office/officeart/2005/8/layout/radial6"/>
    <dgm:cxn modelId="{37730EDF-BA58-4EFD-9A8B-986CF0ECE19B}" type="presParOf" srcId="{4C70458F-0606-4CE9-96F5-6EBF5ADA6282}" destId="{CE93B744-BC6F-46D2-9406-BF303ABE93FC}" srcOrd="15" destOrd="0" presId="urn:microsoft.com/office/officeart/2005/8/layout/radial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93B744-BC6F-46D2-9406-BF303ABE93FC}">
      <dsp:nvSpPr>
        <dsp:cNvPr id="0" name=""/>
        <dsp:cNvSpPr/>
      </dsp:nvSpPr>
      <dsp:spPr>
        <a:xfrm>
          <a:off x="1334256" y="390953"/>
          <a:ext cx="2634257" cy="2634257"/>
        </a:xfrm>
        <a:prstGeom prst="blockArc">
          <a:avLst>
            <a:gd name="adj1" fmla="val 11939669"/>
            <a:gd name="adj2" fmla="val 16441074"/>
            <a:gd name="adj3" fmla="val 464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392B888-697E-41B4-9F6D-6228E92CE556}">
      <dsp:nvSpPr>
        <dsp:cNvPr id="0" name=""/>
        <dsp:cNvSpPr/>
      </dsp:nvSpPr>
      <dsp:spPr>
        <a:xfrm>
          <a:off x="1340236" y="373160"/>
          <a:ext cx="2634257" cy="2634257"/>
        </a:xfrm>
        <a:prstGeom prst="blockArc">
          <a:avLst>
            <a:gd name="adj1" fmla="val 7462834"/>
            <a:gd name="adj2" fmla="val 11889511"/>
            <a:gd name="adj3" fmla="val 464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377FCDE-D120-48EF-AB8A-A8A25402682B}">
      <dsp:nvSpPr>
        <dsp:cNvPr id="0" name=""/>
        <dsp:cNvSpPr/>
      </dsp:nvSpPr>
      <dsp:spPr>
        <a:xfrm>
          <a:off x="1533043" y="826288"/>
          <a:ext cx="2862068" cy="2395936"/>
        </a:xfrm>
        <a:prstGeom prst="blockArc">
          <a:avLst>
            <a:gd name="adj1" fmla="val 3079717"/>
            <a:gd name="adj2" fmla="val 7640661"/>
            <a:gd name="adj3" fmla="val 464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B044A1A-342D-4554-8DB0-1B8840CE6DC2}">
      <dsp:nvSpPr>
        <dsp:cNvPr id="0" name=""/>
        <dsp:cNvSpPr/>
      </dsp:nvSpPr>
      <dsp:spPr>
        <a:xfrm>
          <a:off x="1566485" y="425618"/>
          <a:ext cx="2634257" cy="2634257"/>
        </a:xfrm>
        <a:prstGeom prst="blockArc">
          <a:avLst>
            <a:gd name="adj1" fmla="val 20647042"/>
            <a:gd name="adj2" fmla="val 3541499"/>
            <a:gd name="adj3" fmla="val 464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01FADAC-8492-423A-B088-609A25113ED6}">
      <dsp:nvSpPr>
        <dsp:cNvPr id="0" name=""/>
        <dsp:cNvSpPr/>
      </dsp:nvSpPr>
      <dsp:spPr>
        <a:xfrm>
          <a:off x="1559242" y="387030"/>
          <a:ext cx="2634257" cy="2634257"/>
        </a:xfrm>
        <a:prstGeom prst="blockArc">
          <a:avLst>
            <a:gd name="adj1" fmla="val 15839036"/>
            <a:gd name="adj2" fmla="val 20440972"/>
            <a:gd name="adj3" fmla="val 464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2D93DD7-F2D3-43A8-97FE-FA70A576A316}">
      <dsp:nvSpPr>
        <dsp:cNvPr id="0" name=""/>
        <dsp:cNvSpPr/>
      </dsp:nvSpPr>
      <dsp:spPr>
        <a:xfrm>
          <a:off x="2126605" y="1104472"/>
          <a:ext cx="1213544" cy="1213544"/>
        </a:xfrm>
        <a:prstGeom prst="ellipse">
          <a:avLst/>
        </a:prstGeom>
        <a:solidFill>
          <a:schemeClr val="accent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AU" sz="1200" kern="1200">
              <a:latin typeface="+mj-lt"/>
            </a:rPr>
            <a:t>Transparency</a:t>
          </a:r>
          <a:r>
            <a:rPr lang="en-AU" sz="1200" kern="1200"/>
            <a:t> </a:t>
          </a:r>
          <a:r>
            <a:rPr lang="en-AU" sz="1200" kern="1200">
              <a:latin typeface="+mj-lt"/>
            </a:rPr>
            <a:t>Framework</a:t>
          </a:r>
        </a:p>
      </dsp:txBody>
      <dsp:txXfrm>
        <a:off x="2304324" y="1282191"/>
        <a:ext cx="858106" cy="858106"/>
      </dsp:txXfrm>
    </dsp:sp>
    <dsp:sp modelId="{0B42D8CB-FC10-49A3-8BB8-285DB0C2BDBB}">
      <dsp:nvSpPr>
        <dsp:cNvPr id="0" name=""/>
        <dsp:cNvSpPr/>
      </dsp:nvSpPr>
      <dsp:spPr>
        <a:xfrm>
          <a:off x="2231881" y="-88015"/>
          <a:ext cx="1019300" cy="102542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AU" sz="900" kern="1200">
              <a:latin typeface="+mj-lt"/>
            </a:rPr>
            <a:t> Chart of Accounts</a:t>
          </a:r>
        </a:p>
      </dsp:txBody>
      <dsp:txXfrm>
        <a:off x="2381154" y="62155"/>
        <a:ext cx="720754" cy="725085"/>
      </dsp:txXfrm>
    </dsp:sp>
    <dsp:sp modelId="{EF711AA3-9A13-4B1B-B839-56C27087F532}">
      <dsp:nvSpPr>
        <dsp:cNvPr id="0" name=""/>
        <dsp:cNvSpPr/>
      </dsp:nvSpPr>
      <dsp:spPr>
        <a:xfrm>
          <a:off x="3538963" y="746917"/>
          <a:ext cx="1103051" cy="1063312"/>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 lastClr="FFFFFF"/>
              </a:solidFill>
              <a:latin typeface="Calibri"/>
              <a:ea typeface="+mn-ea"/>
              <a:cs typeface="+mn-cs"/>
            </a:rPr>
            <a:t>Practical strategies to engage parents </a:t>
          </a:r>
          <a:endParaRPr lang="en-AU" sz="900" kern="1200"/>
        </a:p>
      </dsp:txBody>
      <dsp:txXfrm>
        <a:off x="3700501" y="902635"/>
        <a:ext cx="779975" cy="751876"/>
      </dsp:txXfrm>
    </dsp:sp>
    <dsp:sp modelId="{2CA0A712-E6C2-4554-B22C-0D3FE00E7E54}">
      <dsp:nvSpPr>
        <dsp:cNvPr id="0" name=""/>
        <dsp:cNvSpPr/>
      </dsp:nvSpPr>
      <dsp:spPr>
        <a:xfrm>
          <a:off x="2963360" y="2197402"/>
          <a:ext cx="1103671" cy="1072665"/>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 lastClr="FFFFFF"/>
              </a:solidFill>
              <a:latin typeface="Calibri"/>
              <a:ea typeface="+mn-ea"/>
              <a:cs typeface="+mn-cs"/>
            </a:rPr>
            <a:t>Transparency checklist</a:t>
          </a:r>
        </a:p>
      </dsp:txBody>
      <dsp:txXfrm>
        <a:off x="3124989" y="2354490"/>
        <a:ext cx="780413" cy="758489"/>
      </dsp:txXfrm>
    </dsp:sp>
    <dsp:sp modelId="{CADFD7DB-04B9-454D-AA99-5E323DA2FE09}">
      <dsp:nvSpPr>
        <dsp:cNvPr id="0" name=""/>
        <dsp:cNvSpPr/>
      </dsp:nvSpPr>
      <dsp:spPr>
        <a:xfrm>
          <a:off x="1398987" y="2220078"/>
          <a:ext cx="1063762" cy="1064009"/>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 lastClr="FFFFFF"/>
              </a:solidFill>
              <a:latin typeface="Calibri"/>
              <a:ea typeface="+mn-ea"/>
              <a:cs typeface="+mn-cs"/>
            </a:rPr>
            <a:t>Clear payment categories </a:t>
          </a:r>
        </a:p>
      </dsp:txBody>
      <dsp:txXfrm>
        <a:off x="1554771" y="2375899"/>
        <a:ext cx="752194" cy="752367"/>
      </dsp:txXfrm>
    </dsp:sp>
    <dsp:sp modelId="{93151B75-61C7-4B15-AB16-CAC6698AB8A2}">
      <dsp:nvSpPr>
        <dsp:cNvPr id="0" name=""/>
        <dsp:cNvSpPr/>
      </dsp:nvSpPr>
      <dsp:spPr>
        <a:xfrm>
          <a:off x="903009" y="757335"/>
          <a:ext cx="1063762" cy="1064009"/>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 lastClr="FFFFFF"/>
              </a:solidFill>
              <a:latin typeface="Calibri"/>
              <a:ea typeface="+mn-ea"/>
              <a:cs typeface="+mn-cs"/>
            </a:rPr>
            <a:t>Sharing good practice </a:t>
          </a:r>
        </a:p>
      </dsp:txBody>
      <dsp:txXfrm>
        <a:off x="1058793" y="913156"/>
        <a:ext cx="752194" cy="752367"/>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Pamphlet / Booklet</TermName>
          <TermId xmlns="http://schemas.microsoft.com/office/infopath/2007/PartnerControls">48e269a2-dfe8-4769-952a-34e73334c682</TermId>
        </TermInfo>
      </Terms>
    </a319977fc8504e09982f090ae1d7c602>
    <TaxCatchAll xmlns="cb9114c1-daad-44dd-acad-30f4246641f2">
      <Value>118</Value>
      <Value>95</Value>
      <Value>94</Value>
    </TaxCatchAll>
    <DEECD_Expired xmlns="http://schemas.microsoft.com/sharepoint/v3">false</DEECD_Expired>
    <DEECD_Keywords xmlns="http://schemas.microsoft.com/sharepoint/v3">framework,parent payments, school costs, charges, fees</DEECD_Keywords>
    <PublishingExpirationDate xmlns="http://schemas.microsoft.com/sharepoint/v3" xsi:nil="true"/>
    <DEECD_Description xmlns="http://schemas.microsoft.com/sharepoint/v3">Framework.</DEECD_Description>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Principals</TermName>
          <TermId xmlns="http://schemas.microsoft.com/office/infopath/2007/PartnerControls">a4f56333-bce8-49bd-95df-bc27ddd10ec3</TermId>
        </TermInfo>
      </Term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2.xml><?xml version="1.0" encoding="utf-8"?>
<ds:datastoreItem xmlns:ds="http://schemas.openxmlformats.org/officeDocument/2006/customXml" ds:itemID="{42BA66E8-BEDF-4CC9-A9D0-A0D341F95659}">
  <ds:schemaRefs>
    <ds:schemaRef ds:uri="http://schemas.microsoft.com/office/2006/metadata/properties"/>
    <ds:schemaRef ds:uri="http://purl.org/dc/dcmitype/"/>
    <ds:schemaRef ds:uri="http://schemas.microsoft.com/office/2006/documentManagement/types"/>
    <ds:schemaRef ds:uri="http://purl.org/dc/terms/"/>
    <ds:schemaRef ds:uri="http://purl.org/dc/elements/1.1/"/>
    <ds:schemaRef ds:uri="c10f4a48-0b78-43ad-8a22-6707c806cbc3"/>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CA0D0FC-A961-4979-802C-3D99BFCC55F7}"/>
</file>

<file path=customXml/itemProps4.xml><?xml version="1.0" encoding="utf-8"?>
<ds:datastoreItem xmlns:ds="http://schemas.openxmlformats.org/officeDocument/2006/customXml" ds:itemID="{920CA6C8-7CEE-4E60-A58F-BA8AC80FF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1268</Words>
  <Characters>7230</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PP Transparency Framework</vt:lpstr>
    </vt:vector>
  </TitlesOfParts>
  <Company>DEECD</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Payment Policy Transparency Framework for Schools</dc:title>
  <dc:creator>Dori Maniatakis</dc:creator>
  <cp:lastModifiedBy>Bance, Jennie A</cp:lastModifiedBy>
  <cp:revision>2</cp:revision>
  <dcterms:created xsi:type="dcterms:W3CDTF">2020-04-29T04:21:00Z</dcterms:created>
  <dcterms:modified xsi:type="dcterms:W3CDTF">2020-04-29T04:21:00Z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34;#13.1.1 Outward Facing Policy|c167ca3e-8c60-41a9-853e-4dd20761c000</vt:lpwstr>
  </property>
  <property fmtid="{D5CDD505-2E9C-101B-9397-08002B2CF9AE}" pid="4" name="DET_EDRMS_BusUnit">
    <vt:lpwstr/>
  </property>
  <property fmtid="{D5CDD505-2E9C-101B-9397-08002B2CF9AE}" pid="5" name="DET_EDRMS_SecClass">
    <vt:lpwstr/>
  </property>
  <property fmtid="{D5CDD505-2E9C-101B-9397-08002B2CF9AE}" pid="6" name="_docset_NoMedatataSyncRequired">
    <vt:lpwstr>False</vt:lpwstr>
  </property>
  <property fmtid="{D5CDD505-2E9C-101B-9397-08002B2CF9AE}" pid="7" name="RecordPoint_WorkflowType">
    <vt:lpwstr>ActiveSubmitStub</vt:lpwstr>
  </property>
  <property fmtid="{D5CDD505-2E9C-101B-9397-08002B2CF9AE}" pid="8" name="RecordPoint_ActiveItemUniqueId">
    <vt:lpwstr>{dfea2805-a194-4389-9d93-d367ad5a4e06}</vt:lpwstr>
  </property>
  <property fmtid="{D5CDD505-2E9C-101B-9397-08002B2CF9AE}" pid="9" name="RecordPoint_ActiveItemWebId">
    <vt:lpwstr>{47fe8251-ecf1-42a0-aa87-b8a7e5df83b8}</vt:lpwstr>
  </property>
  <property fmtid="{D5CDD505-2E9C-101B-9397-08002B2CF9AE}" pid="10" name="RecordPoint_ActiveItemSiteId">
    <vt:lpwstr>{03dc8113-b288-4f44-a289-6e7ea0196235}</vt:lpwstr>
  </property>
  <property fmtid="{D5CDD505-2E9C-101B-9397-08002B2CF9AE}" pid="11" name="RecordPoint_ActiveItemListId">
    <vt:lpwstr>{24d4cbab-1b33-4e8b-a1ca-6038b47c2cdf}</vt:lpwstr>
  </property>
  <property fmtid="{D5CDD505-2E9C-101B-9397-08002B2CF9AE}" pid="12" name="RecordPoint_SubmissionDate">
    <vt:lpwstr/>
  </property>
  <property fmtid="{D5CDD505-2E9C-101B-9397-08002B2CF9AE}" pid="13" name="RecordPoint_RecordNumberSubmitted">
    <vt:lpwstr/>
  </property>
  <property fmtid="{D5CDD505-2E9C-101B-9397-08002B2CF9AE}" pid="14" name="RecordPoint_ActiveItemMoved">
    <vt:lpwstr/>
  </property>
  <property fmtid="{D5CDD505-2E9C-101B-9397-08002B2CF9AE}" pid="15" name="RecordPoint_RecordFormat">
    <vt:lpwstr/>
  </property>
  <property fmtid="{D5CDD505-2E9C-101B-9397-08002B2CF9AE}" pid="16" name="RecordPoint_SubmissionCompleted">
    <vt:lpwstr/>
  </property>
  <property fmtid="{D5CDD505-2E9C-101B-9397-08002B2CF9AE}" pid="17" name="Order">
    <vt:r8>1400</vt:r8>
  </property>
  <property fmtid="{D5CDD505-2E9C-101B-9397-08002B2CF9AE}" pid="18" name="RoutingRuleDescription">
    <vt:lpwstr/>
  </property>
  <property fmtid="{D5CDD505-2E9C-101B-9397-08002B2CF9AE}" pid="19" name="xd_Signature">
    <vt:bool>false</vt:bool>
  </property>
  <property fmtid="{D5CDD505-2E9C-101B-9397-08002B2CF9AE}" pid="20" name="xd_ProgID">
    <vt:lpwstr/>
  </property>
  <property fmtid="{D5CDD505-2E9C-101B-9397-08002B2CF9AE}" pid="21" name="_SourceUrl">
    <vt:lpwstr/>
  </property>
  <property fmtid="{D5CDD505-2E9C-101B-9397-08002B2CF9AE}" pid="22" name="_SharedFileIndex">
    <vt:lpwstr/>
  </property>
  <property fmtid="{D5CDD505-2E9C-101B-9397-08002B2CF9AE}" pid="23" name="TemplateUrl">
    <vt:lpwstr/>
  </property>
  <property fmtid="{D5CDD505-2E9C-101B-9397-08002B2CF9AE}" pid="24" name="DEECD_Author">
    <vt:lpwstr>94;#Education|5232e41c-5101-41fe-b638-7d41d1371531</vt:lpwstr>
  </property>
  <property fmtid="{D5CDD505-2E9C-101B-9397-08002B2CF9AE}" pid="25" name="DEECD_SubjectCategory">
    <vt:lpwstr/>
  </property>
  <property fmtid="{D5CDD505-2E9C-101B-9397-08002B2CF9AE}" pid="26" name="DEECD_ItemType">
    <vt:lpwstr>95;#Pamphlet / Booklet|48e269a2-dfe8-4769-952a-34e73334c682</vt:lpwstr>
  </property>
  <property fmtid="{D5CDD505-2E9C-101B-9397-08002B2CF9AE}" pid="27" name="DEECD_Audience">
    <vt:lpwstr>118;#Principals|a4f56333-bce8-49bd-95df-bc27ddd10ec3</vt:lpwstr>
  </property>
</Properties>
</file>