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B8A15" w14:textId="49AE7B4E" w:rsidR="004D1AFF" w:rsidRPr="00D71401" w:rsidRDefault="008C30B5" w:rsidP="000715A7">
      <w:pPr>
        <w:pStyle w:val="ReportTitle"/>
        <w:rPr>
          <w:rFonts w:cs="Arial"/>
          <w:b/>
          <w:caps/>
          <w:color w:val="AF272F"/>
          <w:sz w:val="44"/>
          <w:szCs w:val="44"/>
        </w:rPr>
      </w:pPr>
      <w:bookmarkStart w:id="0" w:name="_GoBack"/>
      <w:bookmarkEnd w:id="0"/>
      <w:r w:rsidRPr="00D71401">
        <w:rPr>
          <w:rFonts w:cs="Arial"/>
          <w:b/>
          <w:caps/>
          <w:color w:val="AF272F"/>
          <w:sz w:val="44"/>
          <w:szCs w:val="44"/>
        </w:rPr>
        <w:t xml:space="preserve">Sponsorship Policy </w:t>
      </w:r>
    </w:p>
    <w:p w14:paraId="384D1D6C" w14:textId="77777777" w:rsidR="00841F2A" w:rsidRPr="00D71401" w:rsidRDefault="008C30B5" w:rsidP="000715A7">
      <w:pPr>
        <w:pStyle w:val="ReportTitle"/>
      </w:pPr>
      <w:r w:rsidRPr="00D71401">
        <w:rPr>
          <w:rFonts w:cs="Arial"/>
          <w:b/>
          <w:caps/>
          <w:color w:val="AF272F"/>
          <w:sz w:val="44"/>
          <w:szCs w:val="44"/>
        </w:rPr>
        <w:t>and Guidelines</w:t>
      </w:r>
    </w:p>
    <w:p w14:paraId="016E9141" w14:textId="41EEE0F4" w:rsidR="00841F2A" w:rsidRPr="00D71401" w:rsidRDefault="00841F2A" w:rsidP="00D84C0F">
      <w:pPr>
        <w:pStyle w:val="ESIntroParagraph"/>
        <w:ind w:left="-567" w:right="4330"/>
        <w:rPr>
          <w:rFonts w:cs="Arial"/>
          <w:color w:val="AF272F"/>
        </w:rPr>
      </w:pPr>
    </w:p>
    <w:p w14:paraId="0438C743" w14:textId="4AD271A3" w:rsidR="00574E7A" w:rsidRPr="00D71401" w:rsidRDefault="000E621A" w:rsidP="00B56D3B">
      <w:pPr>
        <w:pStyle w:val="ESIntroParagraph"/>
        <w:ind w:left="-567" w:right="4330" w:firstLine="567"/>
        <w:rPr>
          <w:rFonts w:cs="Arial"/>
          <w:color w:val="808080" w:themeColor="background1" w:themeShade="80"/>
        </w:rPr>
      </w:pPr>
      <w:r>
        <w:rPr>
          <w:rFonts w:cs="Arial"/>
          <w:color w:val="808080" w:themeColor="background1" w:themeShade="80"/>
        </w:rPr>
        <w:t xml:space="preserve">June </w:t>
      </w:r>
      <w:r w:rsidR="00574E7A" w:rsidRPr="00D71401">
        <w:rPr>
          <w:rFonts w:cs="Arial"/>
          <w:color w:val="808080" w:themeColor="background1" w:themeShade="80"/>
        </w:rPr>
        <w:t>201</w:t>
      </w:r>
      <w:r w:rsidR="00B5221C">
        <w:rPr>
          <w:rFonts w:cs="Arial"/>
          <w:color w:val="808080" w:themeColor="background1" w:themeShade="80"/>
        </w:rPr>
        <w:t>9</w:t>
      </w:r>
    </w:p>
    <w:p w14:paraId="73295D9B" w14:textId="77777777" w:rsidR="00574E7A" w:rsidRPr="00D71401" w:rsidRDefault="00574E7A" w:rsidP="00D84C0F">
      <w:pPr>
        <w:pStyle w:val="ESIntroParagraph"/>
        <w:ind w:left="-567" w:right="4330"/>
        <w:rPr>
          <w:rFonts w:cs="Arial"/>
          <w:color w:val="AF272F"/>
        </w:rPr>
      </w:pPr>
    </w:p>
    <w:p w14:paraId="09C71600" w14:textId="77777777" w:rsidR="00751081" w:rsidRPr="00D71401" w:rsidRDefault="00751081" w:rsidP="00D84C0F">
      <w:pPr>
        <w:pStyle w:val="Heading1"/>
        <w:ind w:left="-567"/>
        <w:rPr>
          <w:rFonts w:cs="Arial"/>
        </w:rPr>
      </w:pPr>
    </w:p>
    <w:p w14:paraId="35A3B7FF" w14:textId="77777777" w:rsidR="00841F2A" w:rsidRPr="00D71401" w:rsidRDefault="00841F2A" w:rsidP="00895870">
      <w:pPr>
        <w:pStyle w:val="ESHeading2"/>
        <w:rPr>
          <w:rFonts w:cs="Arial"/>
        </w:rPr>
        <w:sectPr w:rsidR="00841F2A" w:rsidRPr="00D71401" w:rsidSect="000715A7">
          <w:headerReference w:type="default" r:id="rId12"/>
          <w:pgSz w:w="11900" w:h="16840"/>
          <w:pgMar w:top="854" w:right="737" w:bottom="1304" w:left="1304" w:header="624" w:footer="1134" w:gutter="0"/>
          <w:cols w:space="397"/>
          <w:docGrid w:linePitch="360"/>
        </w:sectPr>
      </w:pPr>
    </w:p>
    <w:p w14:paraId="6C2601C6" w14:textId="3FDC4CBB" w:rsidR="005B3604" w:rsidRPr="00D71401" w:rsidRDefault="00661287" w:rsidP="00DC06E5">
      <w:pPr>
        <w:pStyle w:val="ESHeading2"/>
      </w:pPr>
      <w:bookmarkStart w:id="1" w:name="_Toc7430031"/>
      <w:r w:rsidRPr="00D71401">
        <w:lastRenderedPageBreak/>
        <w:t xml:space="preserve">Governance: </w:t>
      </w:r>
      <w:r w:rsidR="005009CC" w:rsidRPr="00D71401">
        <w:t>Sponsorship</w:t>
      </w:r>
      <w:r w:rsidR="005B5C86" w:rsidRPr="00D71401">
        <w:t xml:space="preserve"> Policy and Guidelines</w:t>
      </w:r>
      <w:bookmarkEnd w:id="1"/>
      <w:r w:rsidR="005B5C86" w:rsidRPr="00D71401">
        <w:t xml:space="preserve"> </w:t>
      </w:r>
    </w:p>
    <w:tbl>
      <w:tblPr>
        <w:tblStyle w:val="TableGrid"/>
        <w:tblW w:w="0" w:type="auto"/>
        <w:tblLook w:val="04A0" w:firstRow="1" w:lastRow="0" w:firstColumn="1" w:lastColumn="0" w:noHBand="0" w:noVBand="1"/>
      </w:tblPr>
      <w:tblGrid>
        <w:gridCol w:w="2830"/>
        <w:gridCol w:w="6514"/>
      </w:tblGrid>
      <w:tr w:rsidR="004E54CB" w:rsidRPr="00D71401" w14:paraId="01AB5F3C" w14:textId="77777777" w:rsidTr="00DC06E5">
        <w:tc>
          <w:tcPr>
            <w:tcW w:w="2830" w:type="dxa"/>
          </w:tcPr>
          <w:p w14:paraId="40162C8C" w14:textId="77777777" w:rsidR="004E54CB" w:rsidRPr="00D71401" w:rsidRDefault="004E54CB" w:rsidP="00DC06E5">
            <w:pPr>
              <w:spacing w:after="60" w:line="240" w:lineRule="auto"/>
              <w:rPr>
                <w:b/>
              </w:rPr>
            </w:pPr>
            <w:r w:rsidRPr="00D71401">
              <w:rPr>
                <w:b/>
              </w:rPr>
              <w:t>Publication date</w:t>
            </w:r>
          </w:p>
        </w:tc>
        <w:tc>
          <w:tcPr>
            <w:tcW w:w="6514" w:type="dxa"/>
          </w:tcPr>
          <w:p w14:paraId="2DB7DD23" w14:textId="17DD0C0B" w:rsidR="004E54CB" w:rsidRPr="00D71401" w:rsidRDefault="000E621A" w:rsidP="000E621A">
            <w:pPr>
              <w:spacing w:after="60" w:line="240" w:lineRule="auto"/>
            </w:pPr>
            <w:r>
              <w:t>June</w:t>
            </w:r>
            <w:r w:rsidR="00CF6D5D">
              <w:t xml:space="preserve"> 2019</w:t>
            </w:r>
            <w:r w:rsidR="00661287" w:rsidRPr="00D71401">
              <w:t xml:space="preserve"> </w:t>
            </w:r>
          </w:p>
        </w:tc>
      </w:tr>
      <w:tr w:rsidR="004E54CB" w:rsidRPr="00D71401" w14:paraId="6C897417" w14:textId="77777777" w:rsidTr="00DC06E5">
        <w:tc>
          <w:tcPr>
            <w:tcW w:w="2830" w:type="dxa"/>
          </w:tcPr>
          <w:p w14:paraId="26713A45" w14:textId="516D460A" w:rsidR="004E54CB" w:rsidRPr="00D71401" w:rsidRDefault="004E54CB" w:rsidP="00DC06E5">
            <w:pPr>
              <w:spacing w:after="60" w:line="240" w:lineRule="auto"/>
              <w:rPr>
                <w:b/>
              </w:rPr>
            </w:pPr>
            <w:r w:rsidRPr="00D71401">
              <w:rPr>
                <w:b/>
              </w:rPr>
              <w:t>Related Legislation</w:t>
            </w:r>
          </w:p>
        </w:tc>
        <w:tc>
          <w:tcPr>
            <w:tcW w:w="6514" w:type="dxa"/>
          </w:tcPr>
          <w:p w14:paraId="60D528C2" w14:textId="27A98734" w:rsidR="004E54CB" w:rsidRPr="00D71401" w:rsidRDefault="00661287" w:rsidP="00DC06E5">
            <w:pPr>
              <w:spacing w:after="60" w:line="240" w:lineRule="auto"/>
            </w:pPr>
            <w:r w:rsidRPr="00D71401">
              <w:t>Financial Management Act 1994</w:t>
            </w:r>
          </w:p>
        </w:tc>
      </w:tr>
      <w:tr w:rsidR="004E54CB" w:rsidRPr="00D71401" w14:paraId="789CB884" w14:textId="77777777" w:rsidTr="00DC06E5">
        <w:tc>
          <w:tcPr>
            <w:tcW w:w="2830" w:type="dxa"/>
          </w:tcPr>
          <w:p w14:paraId="7037797C" w14:textId="77777777" w:rsidR="004E54CB" w:rsidRPr="00D71401" w:rsidRDefault="004E54CB" w:rsidP="00DC06E5">
            <w:pPr>
              <w:spacing w:after="60" w:line="240" w:lineRule="auto"/>
              <w:rPr>
                <w:b/>
              </w:rPr>
            </w:pPr>
            <w:r w:rsidRPr="00D71401">
              <w:rPr>
                <w:b/>
              </w:rPr>
              <w:t>Related policies, procedures, guidelines, standards, frameworks</w:t>
            </w:r>
          </w:p>
        </w:tc>
        <w:tc>
          <w:tcPr>
            <w:tcW w:w="6514" w:type="dxa"/>
          </w:tcPr>
          <w:p w14:paraId="678F3EA4" w14:textId="5E4FDF6F" w:rsidR="00661287" w:rsidRPr="00D71401" w:rsidRDefault="00661287" w:rsidP="00DC06E5">
            <w:pPr>
              <w:spacing w:after="60" w:line="240" w:lineRule="auto"/>
              <w:rPr>
                <w:b/>
              </w:rPr>
            </w:pPr>
            <w:r w:rsidRPr="00D71401">
              <w:rPr>
                <w:b/>
              </w:rPr>
              <w:t xml:space="preserve">Whole of Victorian Government </w:t>
            </w:r>
          </w:p>
          <w:p w14:paraId="1680A01E" w14:textId="3AC49A3A" w:rsidR="00661287" w:rsidRPr="00D71401" w:rsidRDefault="00DC71D5" w:rsidP="00DC06E5">
            <w:pPr>
              <w:spacing w:after="60" w:line="240" w:lineRule="auto"/>
              <w:rPr>
                <w:rStyle w:val="Hyperlink"/>
                <w:lang w:val="en-GB"/>
              </w:rPr>
            </w:pPr>
            <w:hyperlink r:id="rId13" w:history="1">
              <w:r w:rsidR="00661287" w:rsidRPr="00D71401">
                <w:rPr>
                  <w:rStyle w:val="Hyperlink"/>
                  <w:lang w:val="en-GB"/>
                </w:rPr>
                <w:t>Victorian Government Sponsorship Policy: Relevant Legislation and Policies</w:t>
              </w:r>
            </w:hyperlink>
          </w:p>
          <w:p w14:paraId="2FD3B4BE" w14:textId="560BD9B3" w:rsidR="00224662" w:rsidRPr="00D71401" w:rsidRDefault="00DC71D5" w:rsidP="00DC06E5">
            <w:pPr>
              <w:spacing w:after="60" w:line="240" w:lineRule="auto"/>
            </w:pPr>
            <w:hyperlink r:id="rId14" w:history="1">
              <w:r w:rsidR="00224662" w:rsidRPr="00D71401">
                <w:rPr>
                  <w:rStyle w:val="Hyperlink"/>
                </w:rPr>
                <w:t>Code of Conduct for Victorian Public Sector</w:t>
              </w:r>
            </w:hyperlink>
            <w:r w:rsidR="00224662" w:rsidRPr="00D71401">
              <w:t xml:space="preserve"> </w:t>
            </w:r>
          </w:p>
          <w:p w14:paraId="235D642F" w14:textId="3DE9078E" w:rsidR="00224662" w:rsidRPr="00D71401" w:rsidRDefault="00DC71D5" w:rsidP="00DC06E5">
            <w:pPr>
              <w:spacing w:after="60" w:line="240" w:lineRule="auto"/>
              <w:rPr>
                <w:rStyle w:val="Hyperlink"/>
                <w:lang w:val="en-GB"/>
              </w:rPr>
            </w:pPr>
            <w:hyperlink r:id="rId15" w:history="1">
              <w:r w:rsidR="00224662" w:rsidRPr="00D71401">
                <w:rPr>
                  <w:rStyle w:val="Hyperlink"/>
                </w:rPr>
                <w:t>Privacy and Data Protection Act 2014 (Vic)</w:t>
              </w:r>
            </w:hyperlink>
          </w:p>
          <w:p w14:paraId="00022BC6" w14:textId="5A22F26B" w:rsidR="00661287" w:rsidRPr="00D71401" w:rsidRDefault="00661287" w:rsidP="00DC06E5">
            <w:pPr>
              <w:spacing w:after="60" w:line="240" w:lineRule="auto"/>
              <w:rPr>
                <w:b/>
              </w:rPr>
            </w:pPr>
            <w:r w:rsidRPr="00D71401">
              <w:rPr>
                <w:b/>
              </w:rPr>
              <w:t>Department of Education and Training</w:t>
            </w:r>
          </w:p>
          <w:p w14:paraId="38BBA264" w14:textId="1B513C3D" w:rsidR="004E54CB" w:rsidRPr="00D71401" w:rsidRDefault="00DC71D5" w:rsidP="00DC06E5">
            <w:pPr>
              <w:spacing w:after="60" w:line="240" w:lineRule="auto"/>
            </w:pPr>
            <w:hyperlink r:id="rId16" w:anchor="/app/content/2725/support_and_service_(corp)%252Fcommunications%252Fbest_practice_for_communications%252Fsponsorship" w:history="1">
              <w:r w:rsidR="004E54CB" w:rsidRPr="00D71401">
                <w:rPr>
                  <w:rStyle w:val="Hyperlink"/>
                </w:rPr>
                <w:t>SPONSORSHIP: Learn how to provide or seek sponsorship for the Department</w:t>
              </w:r>
            </w:hyperlink>
          </w:p>
          <w:p w14:paraId="1151B9C3" w14:textId="77777777" w:rsidR="004E54CB" w:rsidRPr="00D71401" w:rsidRDefault="00DC71D5" w:rsidP="00DC06E5">
            <w:pPr>
              <w:spacing w:after="60" w:line="240" w:lineRule="auto"/>
            </w:pPr>
            <w:hyperlink r:id="rId17" w:anchor="/app/content/2607/policies_(corporate)%252Fcommunications%252Fcorporate_sponsorship_policy" w:history="1">
              <w:r w:rsidR="004E54CB" w:rsidRPr="00D71401">
                <w:rPr>
                  <w:rStyle w:val="Hyperlink"/>
                </w:rPr>
                <w:t>CORPORATE SPONSORSHIP POLICY: Central framework for sponsorship activities</w:t>
              </w:r>
            </w:hyperlink>
          </w:p>
          <w:p w14:paraId="075022BE" w14:textId="77777777" w:rsidR="004E54CB" w:rsidRPr="00D71401" w:rsidRDefault="00DC71D5" w:rsidP="00DC06E5">
            <w:pPr>
              <w:spacing w:after="60" w:line="240" w:lineRule="auto"/>
            </w:pPr>
            <w:hyperlink r:id="rId18" w:anchor="/app/content/2065/support_and_service_(schools)%252Fmedia_and_communications%252Fsponsorship_and_advertising%252Fsponsorship" w:history="1">
              <w:r w:rsidR="004E54CB" w:rsidRPr="00D71401">
                <w:rPr>
                  <w:rStyle w:val="Hyperlink"/>
                </w:rPr>
                <w:t>SPONSORSHIP: Arrange and manage sponsorship for your school</w:t>
              </w:r>
            </w:hyperlink>
          </w:p>
          <w:p w14:paraId="28518FA4" w14:textId="77777777" w:rsidR="004E54CB" w:rsidRPr="00D71401" w:rsidRDefault="00DC71D5" w:rsidP="00DC06E5">
            <w:pPr>
              <w:spacing w:after="60" w:line="240" w:lineRule="auto"/>
            </w:pPr>
            <w:hyperlink r:id="rId19" w:anchor="/app/content/1750/support_and_service_(corp)%252Ffinance%252Ftax_a-z%252Fdonations_vs_sponsorships" w:history="1">
              <w:r w:rsidR="004E54CB" w:rsidRPr="00D71401">
                <w:rPr>
                  <w:rStyle w:val="Hyperlink"/>
                </w:rPr>
                <w:t>DONATIONS VS SPONSORSHIPS: recognise the difference between donations and sponsorships</w:t>
              </w:r>
            </w:hyperlink>
            <w:r w:rsidR="004E54CB" w:rsidRPr="00D71401">
              <w:t xml:space="preserve"> </w:t>
            </w:r>
          </w:p>
          <w:p w14:paraId="5C005E65" w14:textId="77777777" w:rsidR="004E54CB" w:rsidRPr="00D71401" w:rsidRDefault="00DC71D5" w:rsidP="00DC06E5">
            <w:pPr>
              <w:spacing w:after="60" w:line="240" w:lineRule="auto"/>
            </w:pPr>
            <w:hyperlink r:id="rId20" w:anchor="/app/content/2176/support_and_service_(schools)%252Ffinance_and_accounting%252Ftax_a-z%252Fdonations_and_sponsorship" w:history="1">
              <w:r w:rsidR="004E54CB" w:rsidRPr="00D71401">
                <w:rPr>
                  <w:rStyle w:val="Hyperlink"/>
                </w:rPr>
                <w:t>DONATIONS AND SPONSORSHIP: Manage Goods and Services Tax (GST) on donations and sponsorship</w:t>
              </w:r>
            </w:hyperlink>
          </w:p>
          <w:p w14:paraId="52FC1EEA" w14:textId="77777777" w:rsidR="004E54CB" w:rsidRPr="00D71401" w:rsidRDefault="00DC71D5" w:rsidP="00DC06E5">
            <w:pPr>
              <w:spacing w:after="60" w:line="240" w:lineRule="auto"/>
              <w:rPr>
                <w:rStyle w:val="Hyperlink"/>
              </w:rPr>
            </w:pPr>
            <w:hyperlink r:id="rId21" w:anchor="/app/content/2175/support_and_service_(schools)%252Ffinance_and_accounting%252Ftax_a-z%252Fcommissions_and_sponsorship" w:history="1">
              <w:r w:rsidR="004E54CB" w:rsidRPr="00D71401">
                <w:rPr>
                  <w:rStyle w:val="Hyperlink"/>
                </w:rPr>
                <w:t>COMMISSIONS AND SPONSORSHIP: Apply Goods and Services Tax (GST) to commissions and sponsorship</w:t>
              </w:r>
            </w:hyperlink>
          </w:p>
          <w:p w14:paraId="1B3C6FE1" w14:textId="5C563B62" w:rsidR="001B5EC8" w:rsidRPr="00D71401" w:rsidRDefault="00DC71D5" w:rsidP="00DC06E5">
            <w:pPr>
              <w:spacing w:after="60" w:line="240" w:lineRule="auto"/>
            </w:pPr>
            <w:hyperlink r:id="rId22" w:history="1">
              <w:r w:rsidR="001B5EC8" w:rsidRPr="00D71401">
                <w:rPr>
                  <w:rStyle w:val="Hyperlink"/>
                </w:rPr>
                <w:t>Partnership Policy</w:t>
              </w:r>
            </w:hyperlink>
            <w:r w:rsidR="001B5EC8" w:rsidRPr="00D71401">
              <w:rPr>
                <w:rStyle w:val="Hyperlink"/>
              </w:rPr>
              <w:t xml:space="preserve"> </w:t>
            </w:r>
          </w:p>
        </w:tc>
      </w:tr>
      <w:tr w:rsidR="004E54CB" w:rsidRPr="00D71401" w14:paraId="30F7B757" w14:textId="77777777" w:rsidTr="00DC06E5">
        <w:tc>
          <w:tcPr>
            <w:tcW w:w="2830" w:type="dxa"/>
          </w:tcPr>
          <w:p w14:paraId="00CC7BDF" w14:textId="289CAEEC" w:rsidR="004E54CB" w:rsidRPr="00D71401" w:rsidRDefault="004E54CB" w:rsidP="00DC06E5">
            <w:pPr>
              <w:spacing w:after="60" w:line="240" w:lineRule="auto"/>
              <w:rPr>
                <w:b/>
              </w:rPr>
            </w:pPr>
            <w:r w:rsidRPr="00D71401">
              <w:rPr>
                <w:b/>
              </w:rPr>
              <w:t>Policy officer/s</w:t>
            </w:r>
          </w:p>
        </w:tc>
        <w:tc>
          <w:tcPr>
            <w:tcW w:w="6514" w:type="dxa"/>
          </w:tcPr>
          <w:p w14:paraId="3FB8D608" w14:textId="7C7EB722" w:rsidR="00661287" w:rsidRPr="00D71401" w:rsidRDefault="00661287" w:rsidP="00DC06E5">
            <w:pPr>
              <w:spacing w:after="60" w:line="240" w:lineRule="auto"/>
            </w:pPr>
            <w:r w:rsidRPr="00D71401">
              <w:t xml:space="preserve">Senior Communications Adviser, Strategic Communications </w:t>
            </w:r>
          </w:p>
        </w:tc>
      </w:tr>
      <w:tr w:rsidR="004E54CB" w:rsidRPr="00D71401" w14:paraId="02B68E17" w14:textId="77777777" w:rsidTr="00DC06E5">
        <w:tc>
          <w:tcPr>
            <w:tcW w:w="2830" w:type="dxa"/>
          </w:tcPr>
          <w:p w14:paraId="2A416005" w14:textId="77777777" w:rsidR="004E54CB" w:rsidRPr="00D71401" w:rsidRDefault="004E54CB" w:rsidP="00DC06E5">
            <w:pPr>
              <w:spacing w:after="60" w:line="240" w:lineRule="auto"/>
              <w:rPr>
                <w:b/>
              </w:rPr>
            </w:pPr>
            <w:r w:rsidRPr="00D71401">
              <w:rPr>
                <w:b/>
              </w:rPr>
              <w:t xml:space="preserve">Executive Director/s responsible </w:t>
            </w:r>
          </w:p>
        </w:tc>
        <w:tc>
          <w:tcPr>
            <w:tcW w:w="6514" w:type="dxa"/>
          </w:tcPr>
          <w:p w14:paraId="290D6A5F" w14:textId="2D3E459A" w:rsidR="004E54CB" w:rsidRPr="00D71401" w:rsidRDefault="004E54CB" w:rsidP="00DC06E5">
            <w:pPr>
              <w:spacing w:after="60" w:line="240" w:lineRule="auto"/>
            </w:pPr>
            <w:r w:rsidRPr="00D71401">
              <w:t>Executive Director, Communications</w:t>
            </w:r>
          </w:p>
        </w:tc>
      </w:tr>
      <w:tr w:rsidR="004E54CB" w:rsidRPr="00D71401" w14:paraId="111BB096" w14:textId="77777777" w:rsidTr="00DC06E5">
        <w:tc>
          <w:tcPr>
            <w:tcW w:w="2830" w:type="dxa"/>
          </w:tcPr>
          <w:p w14:paraId="3075B816" w14:textId="77777777" w:rsidR="004E54CB" w:rsidRPr="00D71401" w:rsidRDefault="004E54CB" w:rsidP="00DC06E5">
            <w:pPr>
              <w:spacing w:after="60" w:line="240" w:lineRule="auto"/>
              <w:rPr>
                <w:b/>
              </w:rPr>
            </w:pPr>
            <w:r w:rsidRPr="00D71401">
              <w:rPr>
                <w:b/>
              </w:rPr>
              <w:t xml:space="preserve">Applies to </w:t>
            </w:r>
          </w:p>
        </w:tc>
        <w:tc>
          <w:tcPr>
            <w:tcW w:w="6514" w:type="dxa"/>
          </w:tcPr>
          <w:p w14:paraId="0DA8EE49" w14:textId="751AEA9F" w:rsidR="004E54CB" w:rsidRPr="00D71401" w:rsidRDefault="00661287" w:rsidP="00DC06E5">
            <w:pPr>
              <w:spacing w:after="60" w:line="240" w:lineRule="auto"/>
            </w:pPr>
            <w:r w:rsidRPr="00D71401">
              <w:t xml:space="preserve">Department of Education and Training </w:t>
            </w:r>
            <w:r w:rsidR="00127581" w:rsidRPr="00D71401">
              <w:t>corporate s</w:t>
            </w:r>
            <w:r w:rsidRPr="00D71401">
              <w:t>taff</w:t>
            </w:r>
          </w:p>
          <w:p w14:paraId="71279C03" w14:textId="0D5E7052" w:rsidR="00127581" w:rsidRPr="00D71401" w:rsidRDefault="00127581" w:rsidP="00DC06E5">
            <w:pPr>
              <w:spacing w:after="60" w:line="240" w:lineRule="auto"/>
            </w:pPr>
            <w:r w:rsidRPr="00D71401">
              <w:t xml:space="preserve">Victorian </w:t>
            </w:r>
            <w:r w:rsidR="00CF6D5D">
              <w:t>government schools</w:t>
            </w:r>
          </w:p>
          <w:p w14:paraId="370B4BF0" w14:textId="1450EE98" w:rsidR="00661287" w:rsidRPr="00D71401" w:rsidRDefault="00127581" w:rsidP="00DC06E5">
            <w:pPr>
              <w:spacing w:after="60" w:line="240" w:lineRule="auto"/>
            </w:pPr>
            <w:r w:rsidRPr="00D71401">
              <w:t>Victorian School Building Authority staff</w:t>
            </w:r>
          </w:p>
          <w:p w14:paraId="7B51FEFB" w14:textId="3FC36196" w:rsidR="00127581" w:rsidRPr="00D71401" w:rsidRDefault="00127581" w:rsidP="00DC06E5">
            <w:pPr>
              <w:spacing w:after="60" w:line="240" w:lineRule="auto"/>
            </w:pPr>
            <w:r w:rsidRPr="00D71401">
              <w:t xml:space="preserve">Victorian Registration and Qualifications Authority </w:t>
            </w:r>
            <w:r w:rsidR="0006445B" w:rsidRPr="00D71401">
              <w:t>s</w:t>
            </w:r>
            <w:r w:rsidRPr="00D71401">
              <w:t>taff</w:t>
            </w:r>
          </w:p>
          <w:p w14:paraId="2F23F285" w14:textId="7C6DB2F8" w:rsidR="00127581" w:rsidRPr="00D71401" w:rsidRDefault="00127581" w:rsidP="00DC06E5">
            <w:pPr>
              <w:spacing w:after="60" w:line="240" w:lineRule="auto"/>
            </w:pPr>
            <w:r w:rsidRPr="00D71401">
              <w:t>Victorian Curriculum and Assessment Authority</w:t>
            </w:r>
          </w:p>
        </w:tc>
      </w:tr>
      <w:tr w:rsidR="004E54CB" w:rsidRPr="00D71401" w14:paraId="409C6220" w14:textId="77777777" w:rsidTr="00DC06E5">
        <w:tc>
          <w:tcPr>
            <w:tcW w:w="2830" w:type="dxa"/>
          </w:tcPr>
          <w:p w14:paraId="6E521CEB" w14:textId="77777777" w:rsidR="004E54CB" w:rsidRPr="00D71401" w:rsidRDefault="004E54CB" w:rsidP="00DC06E5">
            <w:pPr>
              <w:spacing w:after="60" w:line="240" w:lineRule="auto"/>
              <w:rPr>
                <w:b/>
              </w:rPr>
            </w:pPr>
            <w:r w:rsidRPr="00D71401">
              <w:rPr>
                <w:b/>
              </w:rPr>
              <w:t xml:space="preserve">Key words </w:t>
            </w:r>
          </w:p>
        </w:tc>
        <w:tc>
          <w:tcPr>
            <w:tcW w:w="6514" w:type="dxa"/>
          </w:tcPr>
          <w:p w14:paraId="5F2C4693" w14:textId="28E9B8A0" w:rsidR="004E54CB" w:rsidRPr="00D71401" w:rsidRDefault="004E54CB" w:rsidP="00DC06E5">
            <w:pPr>
              <w:spacing w:after="60" w:line="240" w:lineRule="auto"/>
            </w:pPr>
            <w:r w:rsidRPr="00D71401">
              <w:t xml:space="preserve">Sponsorship, Governance, Policy, </w:t>
            </w:r>
          </w:p>
        </w:tc>
      </w:tr>
      <w:tr w:rsidR="004E54CB" w:rsidRPr="00D71401" w14:paraId="2E5C2AE9" w14:textId="77777777" w:rsidTr="00DC06E5">
        <w:tc>
          <w:tcPr>
            <w:tcW w:w="2830" w:type="dxa"/>
          </w:tcPr>
          <w:p w14:paraId="4A6D2E9B" w14:textId="77777777" w:rsidR="004E54CB" w:rsidRPr="00D71401" w:rsidRDefault="004E54CB" w:rsidP="00DC06E5">
            <w:pPr>
              <w:spacing w:after="60" w:line="240" w:lineRule="auto"/>
              <w:rPr>
                <w:b/>
              </w:rPr>
            </w:pPr>
            <w:r w:rsidRPr="00D71401">
              <w:rPr>
                <w:b/>
              </w:rPr>
              <w:t xml:space="preserve">Status </w:t>
            </w:r>
          </w:p>
        </w:tc>
        <w:tc>
          <w:tcPr>
            <w:tcW w:w="6514" w:type="dxa"/>
          </w:tcPr>
          <w:p w14:paraId="59A1C700" w14:textId="04060694" w:rsidR="004E54CB" w:rsidRPr="00D71401" w:rsidRDefault="000E621A" w:rsidP="000E621A">
            <w:pPr>
              <w:spacing w:after="60" w:line="240" w:lineRule="auto"/>
            </w:pPr>
            <w:r>
              <w:t>Endorsed</w:t>
            </w:r>
            <w:r w:rsidR="00286A04" w:rsidRPr="00D71401">
              <w:t xml:space="preserve"> </w:t>
            </w:r>
          </w:p>
        </w:tc>
      </w:tr>
      <w:tr w:rsidR="004E54CB" w:rsidRPr="00D71401" w14:paraId="371C4C39" w14:textId="77777777" w:rsidTr="00DC06E5">
        <w:tc>
          <w:tcPr>
            <w:tcW w:w="2830" w:type="dxa"/>
          </w:tcPr>
          <w:p w14:paraId="20E6F34E" w14:textId="77777777" w:rsidR="004E54CB" w:rsidRPr="00D71401" w:rsidRDefault="004E54CB" w:rsidP="00DC06E5">
            <w:pPr>
              <w:spacing w:after="60" w:line="240" w:lineRule="auto"/>
              <w:rPr>
                <w:b/>
              </w:rPr>
            </w:pPr>
            <w:r w:rsidRPr="00D71401">
              <w:rPr>
                <w:b/>
              </w:rPr>
              <w:t xml:space="preserve">Approved by </w:t>
            </w:r>
          </w:p>
        </w:tc>
        <w:tc>
          <w:tcPr>
            <w:tcW w:w="6514" w:type="dxa"/>
          </w:tcPr>
          <w:p w14:paraId="5710B5D3" w14:textId="1943BA80" w:rsidR="004E54CB" w:rsidRPr="00D71401" w:rsidRDefault="000E621A" w:rsidP="00DC06E5">
            <w:pPr>
              <w:spacing w:after="60" w:line="240" w:lineRule="auto"/>
            </w:pPr>
            <w:r>
              <w:t>Secretary</w:t>
            </w:r>
          </w:p>
        </w:tc>
      </w:tr>
      <w:tr w:rsidR="004E54CB" w:rsidRPr="00D71401" w14:paraId="7A051DC0" w14:textId="77777777" w:rsidTr="00DC06E5">
        <w:tc>
          <w:tcPr>
            <w:tcW w:w="2830" w:type="dxa"/>
          </w:tcPr>
          <w:p w14:paraId="53A5081D" w14:textId="77777777" w:rsidR="004E54CB" w:rsidRPr="00D71401" w:rsidRDefault="004E54CB" w:rsidP="00DC06E5">
            <w:pPr>
              <w:spacing w:after="60" w:line="240" w:lineRule="auto"/>
              <w:rPr>
                <w:b/>
              </w:rPr>
            </w:pPr>
            <w:r w:rsidRPr="00D71401">
              <w:rPr>
                <w:b/>
              </w:rPr>
              <w:t>Approval date</w:t>
            </w:r>
          </w:p>
        </w:tc>
        <w:tc>
          <w:tcPr>
            <w:tcW w:w="6514" w:type="dxa"/>
          </w:tcPr>
          <w:p w14:paraId="7D351F77" w14:textId="426EC0E8" w:rsidR="004E54CB" w:rsidRPr="00D71401" w:rsidRDefault="000E621A" w:rsidP="00DC06E5">
            <w:pPr>
              <w:spacing w:after="60" w:line="240" w:lineRule="auto"/>
            </w:pPr>
            <w:r>
              <w:t>24 June 2019</w:t>
            </w:r>
          </w:p>
        </w:tc>
      </w:tr>
      <w:tr w:rsidR="004E54CB" w:rsidRPr="00D71401" w14:paraId="51945FD1" w14:textId="77777777" w:rsidTr="00DC06E5">
        <w:tc>
          <w:tcPr>
            <w:tcW w:w="2830" w:type="dxa"/>
          </w:tcPr>
          <w:p w14:paraId="315342F7" w14:textId="77777777" w:rsidR="004E54CB" w:rsidRPr="00D71401" w:rsidRDefault="004E54CB" w:rsidP="00DC06E5">
            <w:pPr>
              <w:spacing w:after="60" w:line="240" w:lineRule="auto"/>
              <w:rPr>
                <w:b/>
              </w:rPr>
            </w:pPr>
            <w:r w:rsidRPr="00D71401">
              <w:rPr>
                <w:b/>
              </w:rPr>
              <w:t xml:space="preserve">Review date </w:t>
            </w:r>
          </w:p>
        </w:tc>
        <w:tc>
          <w:tcPr>
            <w:tcW w:w="6514" w:type="dxa"/>
          </w:tcPr>
          <w:p w14:paraId="623CCD14" w14:textId="76F0EF9B" w:rsidR="004E54CB" w:rsidRPr="00D71401" w:rsidRDefault="00CF46D9" w:rsidP="00CF46D9">
            <w:pPr>
              <w:spacing w:after="60" w:line="240" w:lineRule="auto"/>
            </w:pPr>
            <w:r>
              <w:t>July</w:t>
            </w:r>
            <w:r w:rsidR="00C1765C" w:rsidRPr="00D71401">
              <w:t xml:space="preserve"> 20</w:t>
            </w:r>
            <w:r>
              <w:t>20</w:t>
            </w:r>
          </w:p>
        </w:tc>
      </w:tr>
    </w:tbl>
    <w:p w14:paraId="0D1F4689" w14:textId="77777777" w:rsidR="005B5C86" w:rsidRPr="00D71401" w:rsidRDefault="005B5C86" w:rsidP="00DC06E5"/>
    <w:p w14:paraId="31A854B1" w14:textId="77777777" w:rsidR="00294D15" w:rsidRPr="00D71401" w:rsidRDefault="00294D15">
      <w:pPr>
        <w:spacing w:after="0" w:line="240" w:lineRule="auto"/>
      </w:pPr>
      <w:r w:rsidRPr="00D71401">
        <w:br w:type="page"/>
      </w:r>
    </w:p>
    <w:p w14:paraId="54F1191C" w14:textId="77777777" w:rsidR="00294D15" w:rsidRPr="00D71401" w:rsidRDefault="00294D15" w:rsidP="00294D15">
      <w:pPr>
        <w:spacing w:after="40"/>
        <w:rPr>
          <w:b/>
          <w:color w:val="AF272F"/>
          <w:sz w:val="44"/>
          <w:szCs w:val="44"/>
        </w:rPr>
      </w:pPr>
      <w:r w:rsidRPr="00D71401">
        <w:rPr>
          <w:b/>
          <w:color w:val="AF272F"/>
          <w:sz w:val="44"/>
          <w:szCs w:val="44"/>
        </w:rPr>
        <w:t>CONTENTS</w:t>
      </w:r>
    </w:p>
    <w:p w14:paraId="405D1ED7" w14:textId="77777777" w:rsidR="00294D15" w:rsidRPr="00D71401" w:rsidRDefault="00294D15" w:rsidP="00294D15">
      <w:pPr>
        <w:spacing w:after="40"/>
        <w:rPr>
          <w:color w:val="7F7F7F" w:themeColor="text1" w:themeTint="80"/>
          <w:sz w:val="13"/>
          <w:szCs w:val="13"/>
        </w:rPr>
      </w:pPr>
    </w:p>
    <w:p w14:paraId="65D5D3B0" w14:textId="1A43B207" w:rsidR="00F018F9" w:rsidRDefault="00294D15">
      <w:pPr>
        <w:pStyle w:val="TOC2"/>
        <w:rPr>
          <w:rFonts w:asciiTheme="minorHAnsi" w:hAnsiTheme="minorHAnsi" w:cstheme="minorBidi"/>
          <w:noProof/>
          <w:color w:val="auto"/>
          <w:sz w:val="22"/>
          <w:szCs w:val="22"/>
          <w:lang w:eastAsia="en-AU"/>
        </w:rPr>
      </w:pPr>
      <w:r w:rsidRPr="00D71401">
        <w:fldChar w:fldCharType="begin"/>
      </w:r>
      <w:r w:rsidRPr="00D71401">
        <w:instrText xml:space="preserve"> TOC \t "ES_Heading 1,1,ES_Heading 2,2,ES_Heading 3,3" </w:instrText>
      </w:r>
      <w:r w:rsidRPr="00D71401">
        <w:fldChar w:fldCharType="separate"/>
      </w:r>
      <w:r w:rsidR="00F018F9">
        <w:rPr>
          <w:noProof/>
        </w:rPr>
        <w:t>Governance: Sponsorship Policy and Guidelines</w:t>
      </w:r>
      <w:r w:rsidR="00F018F9">
        <w:rPr>
          <w:noProof/>
        </w:rPr>
        <w:tab/>
      </w:r>
      <w:r w:rsidR="00F018F9">
        <w:rPr>
          <w:noProof/>
        </w:rPr>
        <w:fldChar w:fldCharType="begin"/>
      </w:r>
      <w:r w:rsidR="00F018F9">
        <w:rPr>
          <w:noProof/>
        </w:rPr>
        <w:instrText xml:space="preserve"> PAGEREF _Toc7430031 \h </w:instrText>
      </w:r>
      <w:r w:rsidR="00F018F9">
        <w:rPr>
          <w:noProof/>
        </w:rPr>
      </w:r>
      <w:r w:rsidR="00F018F9">
        <w:rPr>
          <w:noProof/>
        </w:rPr>
        <w:fldChar w:fldCharType="separate"/>
      </w:r>
      <w:r w:rsidR="000538EC">
        <w:rPr>
          <w:noProof/>
        </w:rPr>
        <w:t>2</w:t>
      </w:r>
      <w:r w:rsidR="00F018F9">
        <w:rPr>
          <w:noProof/>
        </w:rPr>
        <w:fldChar w:fldCharType="end"/>
      </w:r>
    </w:p>
    <w:p w14:paraId="5726F59B" w14:textId="60599C48" w:rsidR="00F018F9" w:rsidRDefault="00F018F9">
      <w:pPr>
        <w:pStyle w:val="TOC1"/>
        <w:rPr>
          <w:rFonts w:asciiTheme="minorHAnsi" w:hAnsiTheme="minorHAnsi" w:cstheme="minorBidi"/>
          <w:b w:val="0"/>
          <w:noProof/>
          <w:color w:val="auto"/>
          <w:sz w:val="22"/>
          <w:szCs w:val="22"/>
          <w:lang w:eastAsia="en-AU"/>
        </w:rPr>
      </w:pPr>
      <w:r>
        <w:rPr>
          <w:noProof/>
        </w:rPr>
        <w:t>How to use this policy</w:t>
      </w:r>
      <w:r>
        <w:rPr>
          <w:noProof/>
        </w:rPr>
        <w:tab/>
      </w:r>
      <w:r>
        <w:rPr>
          <w:noProof/>
        </w:rPr>
        <w:fldChar w:fldCharType="begin"/>
      </w:r>
      <w:r>
        <w:rPr>
          <w:noProof/>
        </w:rPr>
        <w:instrText xml:space="preserve"> PAGEREF _Toc7430032 \h </w:instrText>
      </w:r>
      <w:r>
        <w:rPr>
          <w:noProof/>
        </w:rPr>
      </w:r>
      <w:r>
        <w:rPr>
          <w:noProof/>
        </w:rPr>
        <w:fldChar w:fldCharType="separate"/>
      </w:r>
      <w:r w:rsidR="000538EC">
        <w:rPr>
          <w:noProof/>
        </w:rPr>
        <w:t>4</w:t>
      </w:r>
      <w:r>
        <w:rPr>
          <w:noProof/>
        </w:rPr>
        <w:fldChar w:fldCharType="end"/>
      </w:r>
    </w:p>
    <w:p w14:paraId="0CA92004" w14:textId="2931E7E9" w:rsidR="00F018F9" w:rsidRDefault="00F018F9">
      <w:pPr>
        <w:pStyle w:val="TOC1"/>
        <w:rPr>
          <w:rFonts w:asciiTheme="minorHAnsi" w:hAnsiTheme="minorHAnsi" w:cstheme="minorBidi"/>
          <w:b w:val="0"/>
          <w:noProof/>
          <w:color w:val="auto"/>
          <w:sz w:val="22"/>
          <w:szCs w:val="22"/>
          <w:lang w:eastAsia="en-AU"/>
        </w:rPr>
      </w:pPr>
      <w:r>
        <w:rPr>
          <w:noProof/>
        </w:rPr>
        <w:t>Introduction and purpose</w:t>
      </w:r>
      <w:r>
        <w:rPr>
          <w:noProof/>
        </w:rPr>
        <w:tab/>
      </w:r>
      <w:r>
        <w:rPr>
          <w:noProof/>
        </w:rPr>
        <w:fldChar w:fldCharType="begin"/>
      </w:r>
      <w:r>
        <w:rPr>
          <w:noProof/>
        </w:rPr>
        <w:instrText xml:space="preserve"> PAGEREF _Toc7430033 \h </w:instrText>
      </w:r>
      <w:r>
        <w:rPr>
          <w:noProof/>
        </w:rPr>
      </w:r>
      <w:r>
        <w:rPr>
          <w:noProof/>
        </w:rPr>
        <w:fldChar w:fldCharType="separate"/>
      </w:r>
      <w:r w:rsidR="000538EC">
        <w:rPr>
          <w:noProof/>
        </w:rPr>
        <w:t>4</w:t>
      </w:r>
      <w:r>
        <w:rPr>
          <w:noProof/>
        </w:rPr>
        <w:fldChar w:fldCharType="end"/>
      </w:r>
    </w:p>
    <w:p w14:paraId="4F3DF1B9" w14:textId="1A930200" w:rsidR="00F018F9" w:rsidRDefault="00F018F9">
      <w:pPr>
        <w:pStyle w:val="TOC2"/>
        <w:rPr>
          <w:rFonts w:asciiTheme="minorHAnsi" w:hAnsiTheme="minorHAnsi" w:cstheme="minorBidi"/>
          <w:noProof/>
          <w:color w:val="auto"/>
          <w:sz w:val="22"/>
          <w:szCs w:val="22"/>
          <w:lang w:eastAsia="en-AU"/>
        </w:rPr>
      </w:pPr>
      <w:r>
        <w:rPr>
          <w:noProof/>
        </w:rPr>
        <w:t>Relevant legislation and policies</w:t>
      </w:r>
      <w:r>
        <w:rPr>
          <w:noProof/>
        </w:rPr>
        <w:tab/>
      </w:r>
      <w:r>
        <w:rPr>
          <w:noProof/>
        </w:rPr>
        <w:fldChar w:fldCharType="begin"/>
      </w:r>
      <w:r>
        <w:rPr>
          <w:noProof/>
        </w:rPr>
        <w:instrText xml:space="preserve"> PAGEREF _Toc7430034 \h </w:instrText>
      </w:r>
      <w:r>
        <w:rPr>
          <w:noProof/>
        </w:rPr>
      </w:r>
      <w:r>
        <w:rPr>
          <w:noProof/>
        </w:rPr>
        <w:fldChar w:fldCharType="separate"/>
      </w:r>
      <w:r w:rsidR="000538EC">
        <w:rPr>
          <w:noProof/>
        </w:rPr>
        <w:t>4</w:t>
      </w:r>
      <w:r>
        <w:rPr>
          <w:noProof/>
        </w:rPr>
        <w:fldChar w:fldCharType="end"/>
      </w:r>
    </w:p>
    <w:p w14:paraId="166F2FDC" w14:textId="34713BCA" w:rsidR="00F018F9" w:rsidRDefault="00F018F9">
      <w:pPr>
        <w:pStyle w:val="TOC1"/>
        <w:rPr>
          <w:rFonts w:asciiTheme="minorHAnsi" w:hAnsiTheme="minorHAnsi" w:cstheme="minorBidi"/>
          <w:b w:val="0"/>
          <w:noProof/>
          <w:color w:val="auto"/>
          <w:sz w:val="22"/>
          <w:szCs w:val="22"/>
          <w:lang w:eastAsia="en-AU"/>
        </w:rPr>
      </w:pPr>
      <w:r>
        <w:rPr>
          <w:noProof/>
        </w:rPr>
        <w:t>Definition and Interpretation</w:t>
      </w:r>
      <w:r>
        <w:rPr>
          <w:noProof/>
        </w:rPr>
        <w:tab/>
      </w:r>
      <w:r>
        <w:rPr>
          <w:noProof/>
        </w:rPr>
        <w:fldChar w:fldCharType="begin"/>
      </w:r>
      <w:r>
        <w:rPr>
          <w:noProof/>
        </w:rPr>
        <w:instrText xml:space="preserve"> PAGEREF _Toc7430035 \h </w:instrText>
      </w:r>
      <w:r>
        <w:rPr>
          <w:noProof/>
        </w:rPr>
      </w:r>
      <w:r>
        <w:rPr>
          <w:noProof/>
        </w:rPr>
        <w:fldChar w:fldCharType="separate"/>
      </w:r>
      <w:r w:rsidR="000538EC">
        <w:rPr>
          <w:noProof/>
        </w:rPr>
        <w:t>5</w:t>
      </w:r>
      <w:r>
        <w:rPr>
          <w:noProof/>
        </w:rPr>
        <w:fldChar w:fldCharType="end"/>
      </w:r>
    </w:p>
    <w:p w14:paraId="428BC2BE" w14:textId="26BF6132" w:rsidR="00F018F9" w:rsidRDefault="00F018F9">
      <w:pPr>
        <w:pStyle w:val="TOC1"/>
        <w:rPr>
          <w:rFonts w:asciiTheme="minorHAnsi" w:hAnsiTheme="minorHAnsi" w:cstheme="minorBidi"/>
          <w:b w:val="0"/>
          <w:noProof/>
          <w:color w:val="auto"/>
          <w:sz w:val="22"/>
          <w:szCs w:val="22"/>
          <w:lang w:eastAsia="en-AU"/>
        </w:rPr>
      </w:pPr>
      <w:r>
        <w:rPr>
          <w:noProof/>
        </w:rPr>
        <w:t>Principles of sponsorship</w:t>
      </w:r>
      <w:r>
        <w:rPr>
          <w:noProof/>
        </w:rPr>
        <w:tab/>
      </w:r>
      <w:r>
        <w:rPr>
          <w:noProof/>
        </w:rPr>
        <w:fldChar w:fldCharType="begin"/>
      </w:r>
      <w:r>
        <w:rPr>
          <w:noProof/>
        </w:rPr>
        <w:instrText xml:space="preserve"> PAGEREF _Toc7430036 \h </w:instrText>
      </w:r>
      <w:r>
        <w:rPr>
          <w:noProof/>
        </w:rPr>
      </w:r>
      <w:r>
        <w:rPr>
          <w:noProof/>
        </w:rPr>
        <w:fldChar w:fldCharType="separate"/>
      </w:r>
      <w:r w:rsidR="000538EC">
        <w:rPr>
          <w:noProof/>
        </w:rPr>
        <w:t>6</w:t>
      </w:r>
      <w:r>
        <w:rPr>
          <w:noProof/>
        </w:rPr>
        <w:fldChar w:fldCharType="end"/>
      </w:r>
    </w:p>
    <w:p w14:paraId="06BAD93B" w14:textId="0BA92151" w:rsidR="00F018F9" w:rsidRDefault="00F018F9">
      <w:pPr>
        <w:pStyle w:val="TOC2"/>
        <w:tabs>
          <w:tab w:val="left" w:pos="720"/>
        </w:tabs>
        <w:rPr>
          <w:rFonts w:asciiTheme="minorHAnsi" w:hAnsiTheme="minorHAnsi" w:cstheme="minorBidi"/>
          <w:noProof/>
          <w:color w:val="auto"/>
          <w:sz w:val="22"/>
          <w:szCs w:val="22"/>
          <w:lang w:eastAsia="en-AU"/>
        </w:rPr>
      </w:pPr>
      <w:r>
        <w:rPr>
          <w:noProof/>
        </w:rPr>
        <w:t>1.</w:t>
      </w:r>
      <w:r>
        <w:rPr>
          <w:rFonts w:asciiTheme="minorHAnsi" w:hAnsiTheme="minorHAnsi" w:cstheme="minorBidi"/>
          <w:noProof/>
          <w:color w:val="auto"/>
          <w:sz w:val="22"/>
          <w:szCs w:val="22"/>
          <w:lang w:eastAsia="en-AU"/>
        </w:rPr>
        <w:tab/>
      </w:r>
      <w:r>
        <w:rPr>
          <w:noProof/>
        </w:rPr>
        <w:t>Ensuring probity</w:t>
      </w:r>
      <w:r>
        <w:rPr>
          <w:noProof/>
        </w:rPr>
        <w:tab/>
      </w:r>
      <w:r>
        <w:rPr>
          <w:noProof/>
        </w:rPr>
        <w:fldChar w:fldCharType="begin"/>
      </w:r>
      <w:r>
        <w:rPr>
          <w:noProof/>
        </w:rPr>
        <w:instrText xml:space="preserve"> PAGEREF _Toc7430037 \h </w:instrText>
      </w:r>
      <w:r>
        <w:rPr>
          <w:noProof/>
        </w:rPr>
      </w:r>
      <w:r>
        <w:rPr>
          <w:noProof/>
        </w:rPr>
        <w:fldChar w:fldCharType="separate"/>
      </w:r>
      <w:r w:rsidR="000538EC">
        <w:rPr>
          <w:noProof/>
        </w:rPr>
        <w:t>6</w:t>
      </w:r>
      <w:r>
        <w:rPr>
          <w:noProof/>
        </w:rPr>
        <w:fldChar w:fldCharType="end"/>
      </w:r>
    </w:p>
    <w:p w14:paraId="492C569E" w14:textId="4657DFA4" w:rsidR="00F018F9" w:rsidRDefault="00F018F9">
      <w:pPr>
        <w:pStyle w:val="TOC2"/>
        <w:tabs>
          <w:tab w:val="left" w:pos="720"/>
        </w:tabs>
        <w:rPr>
          <w:rFonts w:asciiTheme="minorHAnsi" w:hAnsiTheme="minorHAnsi" w:cstheme="minorBidi"/>
          <w:noProof/>
          <w:color w:val="auto"/>
          <w:sz w:val="22"/>
          <w:szCs w:val="22"/>
          <w:lang w:eastAsia="en-AU"/>
        </w:rPr>
      </w:pPr>
      <w:r>
        <w:rPr>
          <w:noProof/>
        </w:rPr>
        <w:t>2.</w:t>
      </w:r>
      <w:r>
        <w:rPr>
          <w:rFonts w:asciiTheme="minorHAnsi" w:hAnsiTheme="minorHAnsi" w:cstheme="minorBidi"/>
          <w:noProof/>
          <w:color w:val="auto"/>
          <w:sz w:val="22"/>
          <w:szCs w:val="22"/>
          <w:lang w:eastAsia="en-AU"/>
        </w:rPr>
        <w:tab/>
      </w:r>
      <w:r>
        <w:rPr>
          <w:noProof/>
        </w:rPr>
        <w:t>Achieving efficiency and effectiveness</w:t>
      </w:r>
      <w:r>
        <w:rPr>
          <w:noProof/>
        </w:rPr>
        <w:tab/>
      </w:r>
      <w:r>
        <w:rPr>
          <w:noProof/>
        </w:rPr>
        <w:fldChar w:fldCharType="begin"/>
      </w:r>
      <w:r>
        <w:rPr>
          <w:noProof/>
        </w:rPr>
        <w:instrText xml:space="preserve"> PAGEREF _Toc7430038 \h </w:instrText>
      </w:r>
      <w:r>
        <w:rPr>
          <w:noProof/>
        </w:rPr>
      </w:r>
      <w:r>
        <w:rPr>
          <w:noProof/>
        </w:rPr>
        <w:fldChar w:fldCharType="separate"/>
      </w:r>
      <w:r w:rsidR="000538EC">
        <w:rPr>
          <w:noProof/>
        </w:rPr>
        <w:t>7</w:t>
      </w:r>
      <w:r>
        <w:rPr>
          <w:noProof/>
        </w:rPr>
        <w:fldChar w:fldCharType="end"/>
      </w:r>
    </w:p>
    <w:p w14:paraId="4503CF5A" w14:textId="046FE8EC" w:rsidR="00F018F9" w:rsidRDefault="00F018F9">
      <w:pPr>
        <w:pStyle w:val="TOC2"/>
        <w:tabs>
          <w:tab w:val="left" w:pos="720"/>
        </w:tabs>
        <w:rPr>
          <w:rFonts w:asciiTheme="minorHAnsi" w:hAnsiTheme="minorHAnsi" w:cstheme="minorBidi"/>
          <w:noProof/>
          <w:color w:val="auto"/>
          <w:sz w:val="22"/>
          <w:szCs w:val="22"/>
          <w:lang w:eastAsia="en-AU"/>
        </w:rPr>
      </w:pPr>
      <w:r>
        <w:rPr>
          <w:noProof/>
        </w:rPr>
        <w:t>3.</w:t>
      </w:r>
      <w:r>
        <w:rPr>
          <w:rFonts w:asciiTheme="minorHAnsi" w:hAnsiTheme="minorHAnsi" w:cstheme="minorBidi"/>
          <w:noProof/>
          <w:color w:val="auto"/>
          <w:sz w:val="22"/>
          <w:szCs w:val="22"/>
          <w:lang w:eastAsia="en-AU"/>
        </w:rPr>
        <w:tab/>
      </w:r>
      <w:r>
        <w:rPr>
          <w:noProof/>
        </w:rPr>
        <w:t>Maintaining accountability</w:t>
      </w:r>
      <w:r>
        <w:rPr>
          <w:noProof/>
        </w:rPr>
        <w:tab/>
      </w:r>
      <w:r>
        <w:rPr>
          <w:noProof/>
        </w:rPr>
        <w:fldChar w:fldCharType="begin"/>
      </w:r>
      <w:r>
        <w:rPr>
          <w:noProof/>
        </w:rPr>
        <w:instrText xml:space="preserve"> PAGEREF _Toc7430039 \h </w:instrText>
      </w:r>
      <w:r>
        <w:rPr>
          <w:noProof/>
        </w:rPr>
      </w:r>
      <w:r>
        <w:rPr>
          <w:noProof/>
        </w:rPr>
        <w:fldChar w:fldCharType="separate"/>
      </w:r>
      <w:r w:rsidR="000538EC">
        <w:rPr>
          <w:noProof/>
        </w:rPr>
        <w:t>7</w:t>
      </w:r>
      <w:r>
        <w:rPr>
          <w:noProof/>
        </w:rPr>
        <w:fldChar w:fldCharType="end"/>
      </w:r>
    </w:p>
    <w:p w14:paraId="3E369560" w14:textId="508C7A69" w:rsidR="00F018F9" w:rsidRDefault="00F018F9">
      <w:pPr>
        <w:pStyle w:val="TOC2"/>
        <w:tabs>
          <w:tab w:val="left" w:pos="720"/>
        </w:tabs>
        <w:rPr>
          <w:rFonts w:asciiTheme="minorHAnsi" w:hAnsiTheme="minorHAnsi" w:cstheme="minorBidi"/>
          <w:noProof/>
          <w:color w:val="auto"/>
          <w:sz w:val="22"/>
          <w:szCs w:val="22"/>
          <w:lang w:eastAsia="en-AU"/>
        </w:rPr>
      </w:pPr>
      <w:r>
        <w:rPr>
          <w:noProof/>
        </w:rPr>
        <w:t>4.</w:t>
      </w:r>
      <w:r>
        <w:rPr>
          <w:rFonts w:asciiTheme="minorHAnsi" w:hAnsiTheme="minorHAnsi" w:cstheme="minorBidi"/>
          <w:noProof/>
          <w:color w:val="auto"/>
          <w:sz w:val="22"/>
          <w:szCs w:val="22"/>
          <w:lang w:eastAsia="en-AU"/>
        </w:rPr>
        <w:tab/>
      </w:r>
      <w:r>
        <w:rPr>
          <w:noProof/>
        </w:rPr>
        <w:t>Implementing effective risk management</w:t>
      </w:r>
      <w:r>
        <w:rPr>
          <w:noProof/>
        </w:rPr>
        <w:tab/>
      </w:r>
      <w:r>
        <w:rPr>
          <w:noProof/>
        </w:rPr>
        <w:fldChar w:fldCharType="begin"/>
      </w:r>
      <w:r>
        <w:rPr>
          <w:noProof/>
        </w:rPr>
        <w:instrText xml:space="preserve"> PAGEREF _Toc7430040 \h </w:instrText>
      </w:r>
      <w:r>
        <w:rPr>
          <w:noProof/>
        </w:rPr>
      </w:r>
      <w:r>
        <w:rPr>
          <w:noProof/>
        </w:rPr>
        <w:fldChar w:fldCharType="separate"/>
      </w:r>
      <w:r w:rsidR="000538EC">
        <w:rPr>
          <w:noProof/>
        </w:rPr>
        <w:t>8</w:t>
      </w:r>
      <w:r>
        <w:rPr>
          <w:noProof/>
        </w:rPr>
        <w:fldChar w:fldCharType="end"/>
      </w:r>
    </w:p>
    <w:p w14:paraId="4F0D4A02" w14:textId="2BB78FBD" w:rsidR="00F018F9" w:rsidRDefault="00F018F9">
      <w:pPr>
        <w:pStyle w:val="TOC1"/>
        <w:rPr>
          <w:rFonts w:asciiTheme="minorHAnsi" w:hAnsiTheme="minorHAnsi" w:cstheme="minorBidi"/>
          <w:b w:val="0"/>
          <w:noProof/>
          <w:color w:val="auto"/>
          <w:sz w:val="22"/>
          <w:szCs w:val="22"/>
          <w:lang w:eastAsia="en-AU"/>
        </w:rPr>
      </w:pPr>
      <w:r>
        <w:rPr>
          <w:noProof/>
        </w:rPr>
        <w:t>Benefits and inclusions</w:t>
      </w:r>
      <w:r>
        <w:rPr>
          <w:noProof/>
        </w:rPr>
        <w:tab/>
      </w:r>
      <w:r>
        <w:rPr>
          <w:noProof/>
        </w:rPr>
        <w:fldChar w:fldCharType="begin"/>
      </w:r>
      <w:r>
        <w:rPr>
          <w:noProof/>
        </w:rPr>
        <w:instrText xml:space="preserve"> PAGEREF _Toc7430041 \h </w:instrText>
      </w:r>
      <w:r>
        <w:rPr>
          <w:noProof/>
        </w:rPr>
      </w:r>
      <w:r>
        <w:rPr>
          <w:noProof/>
        </w:rPr>
        <w:fldChar w:fldCharType="separate"/>
      </w:r>
      <w:r w:rsidR="000538EC">
        <w:rPr>
          <w:noProof/>
        </w:rPr>
        <w:t>8</w:t>
      </w:r>
      <w:r>
        <w:rPr>
          <w:noProof/>
        </w:rPr>
        <w:fldChar w:fldCharType="end"/>
      </w:r>
    </w:p>
    <w:p w14:paraId="4BDD092A" w14:textId="1D9D0B31" w:rsidR="00F018F9" w:rsidRDefault="00F018F9">
      <w:pPr>
        <w:pStyle w:val="TOC2"/>
        <w:rPr>
          <w:rFonts w:asciiTheme="minorHAnsi" w:hAnsiTheme="minorHAnsi" w:cstheme="minorBidi"/>
          <w:noProof/>
          <w:color w:val="auto"/>
          <w:sz w:val="22"/>
          <w:szCs w:val="22"/>
          <w:lang w:eastAsia="en-AU"/>
        </w:rPr>
      </w:pPr>
      <w:r>
        <w:rPr>
          <w:noProof/>
        </w:rPr>
        <w:t>Benefits</w:t>
      </w:r>
      <w:r>
        <w:rPr>
          <w:noProof/>
        </w:rPr>
        <w:tab/>
      </w:r>
      <w:r>
        <w:rPr>
          <w:noProof/>
        </w:rPr>
        <w:fldChar w:fldCharType="begin"/>
      </w:r>
      <w:r>
        <w:rPr>
          <w:noProof/>
        </w:rPr>
        <w:instrText xml:space="preserve"> PAGEREF _Toc7430042 \h </w:instrText>
      </w:r>
      <w:r>
        <w:rPr>
          <w:noProof/>
        </w:rPr>
      </w:r>
      <w:r>
        <w:rPr>
          <w:noProof/>
        </w:rPr>
        <w:fldChar w:fldCharType="separate"/>
      </w:r>
      <w:r w:rsidR="000538EC">
        <w:rPr>
          <w:noProof/>
        </w:rPr>
        <w:t>8</w:t>
      </w:r>
      <w:r>
        <w:rPr>
          <w:noProof/>
        </w:rPr>
        <w:fldChar w:fldCharType="end"/>
      </w:r>
    </w:p>
    <w:p w14:paraId="79B5734F" w14:textId="55286C87" w:rsidR="00F018F9" w:rsidRDefault="00F018F9">
      <w:pPr>
        <w:pStyle w:val="TOC2"/>
        <w:rPr>
          <w:rFonts w:asciiTheme="minorHAnsi" w:hAnsiTheme="minorHAnsi" w:cstheme="minorBidi"/>
          <w:noProof/>
          <w:color w:val="auto"/>
          <w:sz w:val="22"/>
          <w:szCs w:val="22"/>
          <w:lang w:eastAsia="en-AU"/>
        </w:rPr>
      </w:pPr>
      <w:r>
        <w:rPr>
          <w:noProof/>
        </w:rPr>
        <w:t>Appropriate acknowledgment</w:t>
      </w:r>
      <w:r>
        <w:rPr>
          <w:noProof/>
        </w:rPr>
        <w:tab/>
      </w:r>
      <w:r>
        <w:rPr>
          <w:noProof/>
        </w:rPr>
        <w:fldChar w:fldCharType="begin"/>
      </w:r>
      <w:r>
        <w:rPr>
          <w:noProof/>
        </w:rPr>
        <w:instrText xml:space="preserve"> PAGEREF _Toc7430043 \h </w:instrText>
      </w:r>
      <w:r>
        <w:rPr>
          <w:noProof/>
        </w:rPr>
      </w:r>
      <w:r>
        <w:rPr>
          <w:noProof/>
        </w:rPr>
        <w:fldChar w:fldCharType="separate"/>
      </w:r>
      <w:r w:rsidR="000538EC">
        <w:rPr>
          <w:noProof/>
        </w:rPr>
        <w:t>9</w:t>
      </w:r>
      <w:r>
        <w:rPr>
          <w:noProof/>
        </w:rPr>
        <w:fldChar w:fldCharType="end"/>
      </w:r>
    </w:p>
    <w:p w14:paraId="4115A2D9" w14:textId="2980EA4F" w:rsidR="00F018F9" w:rsidRDefault="00F018F9">
      <w:pPr>
        <w:pStyle w:val="TOC2"/>
        <w:rPr>
          <w:rFonts w:asciiTheme="minorHAnsi" w:hAnsiTheme="minorHAnsi" w:cstheme="minorBidi"/>
          <w:noProof/>
          <w:color w:val="auto"/>
          <w:sz w:val="22"/>
          <w:szCs w:val="22"/>
          <w:lang w:eastAsia="en-AU"/>
        </w:rPr>
      </w:pPr>
      <w:r>
        <w:rPr>
          <w:noProof/>
        </w:rPr>
        <w:t>Naming rights</w:t>
      </w:r>
      <w:r>
        <w:rPr>
          <w:noProof/>
        </w:rPr>
        <w:tab/>
      </w:r>
      <w:r>
        <w:rPr>
          <w:noProof/>
        </w:rPr>
        <w:fldChar w:fldCharType="begin"/>
      </w:r>
      <w:r>
        <w:rPr>
          <w:noProof/>
        </w:rPr>
        <w:instrText xml:space="preserve"> PAGEREF _Toc7430044 \h </w:instrText>
      </w:r>
      <w:r>
        <w:rPr>
          <w:noProof/>
        </w:rPr>
      </w:r>
      <w:r>
        <w:rPr>
          <w:noProof/>
        </w:rPr>
        <w:fldChar w:fldCharType="separate"/>
      </w:r>
      <w:r w:rsidR="000538EC">
        <w:rPr>
          <w:noProof/>
        </w:rPr>
        <w:t>9</w:t>
      </w:r>
      <w:r>
        <w:rPr>
          <w:noProof/>
        </w:rPr>
        <w:fldChar w:fldCharType="end"/>
      </w:r>
    </w:p>
    <w:p w14:paraId="76153020" w14:textId="715961AC" w:rsidR="00F018F9" w:rsidRDefault="00F018F9">
      <w:pPr>
        <w:pStyle w:val="TOC2"/>
        <w:rPr>
          <w:rFonts w:asciiTheme="minorHAnsi" w:hAnsiTheme="minorHAnsi" w:cstheme="minorBidi"/>
          <w:noProof/>
          <w:color w:val="auto"/>
          <w:sz w:val="22"/>
          <w:szCs w:val="22"/>
          <w:lang w:eastAsia="en-AU"/>
        </w:rPr>
      </w:pPr>
      <w:r>
        <w:rPr>
          <w:noProof/>
        </w:rPr>
        <w:t>State-Wide sponsorship of schools</w:t>
      </w:r>
      <w:r>
        <w:rPr>
          <w:noProof/>
        </w:rPr>
        <w:tab/>
      </w:r>
      <w:r>
        <w:rPr>
          <w:noProof/>
        </w:rPr>
        <w:fldChar w:fldCharType="begin"/>
      </w:r>
      <w:r>
        <w:rPr>
          <w:noProof/>
        </w:rPr>
        <w:instrText xml:space="preserve"> PAGEREF _Toc7430045 \h </w:instrText>
      </w:r>
      <w:r>
        <w:rPr>
          <w:noProof/>
        </w:rPr>
      </w:r>
      <w:r>
        <w:rPr>
          <w:noProof/>
        </w:rPr>
        <w:fldChar w:fldCharType="separate"/>
      </w:r>
      <w:r w:rsidR="000538EC">
        <w:rPr>
          <w:noProof/>
        </w:rPr>
        <w:t>10</w:t>
      </w:r>
      <w:r>
        <w:rPr>
          <w:noProof/>
        </w:rPr>
        <w:fldChar w:fldCharType="end"/>
      </w:r>
    </w:p>
    <w:p w14:paraId="25E43EE7" w14:textId="10F030C7" w:rsidR="00F018F9" w:rsidRDefault="00F018F9">
      <w:pPr>
        <w:pStyle w:val="TOC1"/>
        <w:rPr>
          <w:rFonts w:asciiTheme="minorHAnsi" w:hAnsiTheme="minorHAnsi" w:cstheme="minorBidi"/>
          <w:b w:val="0"/>
          <w:noProof/>
          <w:color w:val="auto"/>
          <w:sz w:val="22"/>
          <w:szCs w:val="22"/>
          <w:lang w:eastAsia="en-AU"/>
        </w:rPr>
      </w:pPr>
      <w:r>
        <w:rPr>
          <w:noProof/>
        </w:rPr>
        <w:t>Approvals and reporting</w:t>
      </w:r>
      <w:r>
        <w:rPr>
          <w:noProof/>
        </w:rPr>
        <w:tab/>
      </w:r>
      <w:r>
        <w:rPr>
          <w:noProof/>
        </w:rPr>
        <w:fldChar w:fldCharType="begin"/>
      </w:r>
      <w:r>
        <w:rPr>
          <w:noProof/>
        </w:rPr>
        <w:instrText xml:space="preserve"> PAGEREF _Toc7430046 \h </w:instrText>
      </w:r>
      <w:r>
        <w:rPr>
          <w:noProof/>
        </w:rPr>
      </w:r>
      <w:r>
        <w:rPr>
          <w:noProof/>
        </w:rPr>
        <w:fldChar w:fldCharType="separate"/>
      </w:r>
      <w:r w:rsidR="000538EC">
        <w:rPr>
          <w:noProof/>
        </w:rPr>
        <w:t>10</w:t>
      </w:r>
      <w:r>
        <w:rPr>
          <w:noProof/>
        </w:rPr>
        <w:fldChar w:fldCharType="end"/>
      </w:r>
    </w:p>
    <w:p w14:paraId="404DE063" w14:textId="3C151912" w:rsidR="00F018F9" w:rsidRDefault="00F018F9">
      <w:pPr>
        <w:pStyle w:val="TOC2"/>
        <w:rPr>
          <w:rFonts w:asciiTheme="minorHAnsi" w:hAnsiTheme="minorHAnsi" w:cstheme="minorBidi"/>
          <w:noProof/>
          <w:color w:val="auto"/>
          <w:sz w:val="22"/>
          <w:szCs w:val="22"/>
          <w:lang w:eastAsia="en-AU"/>
        </w:rPr>
      </w:pPr>
      <w:r>
        <w:rPr>
          <w:noProof/>
        </w:rPr>
        <w:t>Corporate staff</w:t>
      </w:r>
      <w:r>
        <w:rPr>
          <w:noProof/>
        </w:rPr>
        <w:tab/>
      </w:r>
      <w:r>
        <w:rPr>
          <w:noProof/>
        </w:rPr>
        <w:fldChar w:fldCharType="begin"/>
      </w:r>
      <w:r>
        <w:rPr>
          <w:noProof/>
        </w:rPr>
        <w:instrText xml:space="preserve"> PAGEREF _Toc7430047 \h </w:instrText>
      </w:r>
      <w:r>
        <w:rPr>
          <w:noProof/>
        </w:rPr>
      </w:r>
      <w:r>
        <w:rPr>
          <w:noProof/>
        </w:rPr>
        <w:fldChar w:fldCharType="separate"/>
      </w:r>
      <w:r w:rsidR="000538EC">
        <w:rPr>
          <w:noProof/>
        </w:rPr>
        <w:t>10</w:t>
      </w:r>
      <w:r>
        <w:rPr>
          <w:noProof/>
        </w:rPr>
        <w:fldChar w:fldCharType="end"/>
      </w:r>
    </w:p>
    <w:p w14:paraId="06A5FFD9" w14:textId="26217151" w:rsidR="00F018F9" w:rsidRDefault="00F018F9">
      <w:pPr>
        <w:pStyle w:val="TOC2"/>
        <w:rPr>
          <w:rFonts w:asciiTheme="minorHAnsi" w:hAnsiTheme="minorHAnsi" w:cstheme="minorBidi"/>
          <w:noProof/>
          <w:color w:val="auto"/>
          <w:sz w:val="22"/>
          <w:szCs w:val="22"/>
          <w:lang w:eastAsia="en-AU"/>
        </w:rPr>
      </w:pPr>
      <w:r>
        <w:rPr>
          <w:noProof/>
        </w:rPr>
        <w:t>Schools</w:t>
      </w:r>
      <w:r>
        <w:rPr>
          <w:noProof/>
        </w:rPr>
        <w:tab/>
      </w:r>
      <w:r>
        <w:rPr>
          <w:noProof/>
        </w:rPr>
        <w:fldChar w:fldCharType="begin"/>
      </w:r>
      <w:r>
        <w:rPr>
          <w:noProof/>
        </w:rPr>
        <w:instrText xml:space="preserve"> PAGEREF _Toc7430048 \h </w:instrText>
      </w:r>
      <w:r>
        <w:rPr>
          <w:noProof/>
        </w:rPr>
      </w:r>
      <w:r>
        <w:rPr>
          <w:noProof/>
        </w:rPr>
        <w:fldChar w:fldCharType="separate"/>
      </w:r>
      <w:r w:rsidR="000538EC">
        <w:rPr>
          <w:noProof/>
        </w:rPr>
        <w:t>10</w:t>
      </w:r>
      <w:r>
        <w:rPr>
          <w:noProof/>
        </w:rPr>
        <w:fldChar w:fldCharType="end"/>
      </w:r>
    </w:p>
    <w:p w14:paraId="2954DF0E" w14:textId="159624D7" w:rsidR="00F018F9" w:rsidRDefault="00F018F9">
      <w:pPr>
        <w:pStyle w:val="TOC2"/>
        <w:rPr>
          <w:rFonts w:asciiTheme="minorHAnsi" w:hAnsiTheme="minorHAnsi" w:cstheme="minorBidi"/>
          <w:noProof/>
          <w:color w:val="auto"/>
          <w:sz w:val="22"/>
          <w:szCs w:val="22"/>
          <w:lang w:eastAsia="en-AU"/>
        </w:rPr>
      </w:pPr>
      <w:r>
        <w:rPr>
          <w:noProof/>
        </w:rPr>
        <w:t>Finalising contracts and financials</w:t>
      </w:r>
      <w:r>
        <w:rPr>
          <w:noProof/>
        </w:rPr>
        <w:tab/>
      </w:r>
      <w:r>
        <w:rPr>
          <w:noProof/>
        </w:rPr>
        <w:fldChar w:fldCharType="begin"/>
      </w:r>
      <w:r>
        <w:rPr>
          <w:noProof/>
        </w:rPr>
        <w:instrText xml:space="preserve"> PAGEREF _Toc7430049 \h </w:instrText>
      </w:r>
      <w:r>
        <w:rPr>
          <w:noProof/>
        </w:rPr>
      </w:r>
      <w:r>
        <w:rPr>
          <w:noProof/>
        </w:rPr>
        <w:fldChar w:fldCharType="separate"/>
      </w:r>
      <w:r w:rsidR="000538EC">
        <w:rPr>
          <w:noProof/>
        </w:rPr>
        <w:t>11</w:t>
      </w:r>
      <w:r>
        <w:rPr>
          <w:noProof/>
        </w:rPr>
        <w:fldChar w:fldCharType="end"/>
      </w:r>
    </w:p>
    <w:p w14:paraId="37FDF0E8" w14:textId="4C87CBE7" w:rsidR="00F018F9" w:rsidRDefault="00F018F9">
      <w:pPr>
        <w:pStyle w:val="TOC1"/>
        <w:rPr>
          <w:rFonts w:asciiTheme="minorHAnsi" w:hAnsiTheme="minorHAnsi" w:cstheme="minorBidi"/>
          <w:b w:val="0"/>
          <w:noProof/>
          <w:color w:val="auto"/>
          <w:sz w:val="22"/>
          <w:szCs w:val="22"/>
          <w:lang w:eastAsia="en-AU"/>
        </w:rPr>
      </w:pPr>
      <w:r>
        <w:rPr>
          <w:noProof/>
        </w:rPr>
        <w:t>Evaluation</w:t>
      </w:r>
      <w:r>
        <w:rPr>
          <w:noProof/>
        </w:rPr>
        <w:tab/>
      </w:r>
      <w:r>
        <w:rPr>
          <w:noProof/>
        </w:rPr>
        <w:fldChar w:fldCharType="begin"/>
      </w:r>
      <w:r>
        <w:rPr>
          <w:noProof/>
        </w:rPr>
        <w:instrText xml:space="preserve"> PAGEREF _Toc7430050 \h </w:instrText>
      </w:r>
      <w:r>
        <w:rPr>
          <w:noProof/>
        </w:rPr>
      </w:r>
      <w:r>
        <w:rPr>
          <w:noProof/>
        </w:rPr>
        <w:fldChar w:fldCharType="separate"/>
      </w:r>
      <w:r w:rsidR="000538EC">
        <w:rPr>
          <w:noProof/>
        </w:rPr>
        <w:t>11</w:t>
      </w:r>
      <w:r>
        <w:rPr>
          <w:noProof/>
        </w:rPr>
        <w:fldChar w:fldCharType="end"/>
      </w:r>
    </w:p>
    <w:p w14:paraId="240FBF70" w14:textId="56D11CA5" w:rsidR="00F018F9" w:rsidRDefault="00F018F9">
      <w:pPr>
        <w:pStyle w:val="TOC1"/>
        <w:rPr>
          <w:rFonts w:asciiTheme="minorHAnsi" w:hAnsiTheme="minorHAnsi" w:cstheme="minorBidi"/>
          <w:b w:val="0"/>
          <w:noProof/>
          <w:color w:val="auto"/>
          <w:sz w:val="22"/>
          <w:szCs w:val="22"/>
          <w:lang w:eastAsia="en-AU"/>
        </w:rPr>
      </w:pPr>
      <w:r>
        <w:rPr>
          <w:noProof/>
        </w:rPr>
        <w:t>Useful tools and references</w:t>
      </w:r>
      <w:r>
        <w:rPr>
          <w:noProof/>
        </w:rPr>
        <w:tab/>
      </w:r>
      <w:r>
        <w:rPr>
          <w:noProof/>
        </w:rPr>
        <w:fldChar w:fldCharType="begin"/>
      </w:r>
      <w:r>
        <w:rPr>
          <w:noProof/>
        </w:rPr>
        <w:instrText xml:space="preserve"> PAGEREF _Toc7430051 \h </w:instrText>
      </w:r>
      <w:r>
        <w:rPr>
          <w:noProof/>
        </w:rPr>
      </w:r>
      <w:r>
        <w:rPr>
          <w:noProof/>
        </w:rPr>
        <w:fldChar w:fldCharType="separate"/>
      </w:r>
      <w:r w:rsidR="000538EC">
        <w:rPr>
          <w:noProof/>
        </w:rPr>
        <w:t>12</w:t>
      </w:r>
      <w:r>
        <w:rPr>
          <w:noProof/>
        </w:rPr>
        <w:fldChar w:fldCharType="end"/>
      </w:r>
    </w:p>
    <w:p w14:paraId="0B2FE649" w14:textId="7A8CB830" w:rsidR="00F018F9" w:rsidRDefault="00F018F9">
      <w:pPr>
        <w:pStyle w:val="TOC1"/>
        <w:rPr>
          <w:rFonts w:asciiTheme="minorHAnsi" w:hAnsiTheme="minorHAnsi" w:cstheme="minorBidi"/>
          <w:b w:val="0"/>
          <w:noProof/>
          <w:color w:val="auto"/>
          <w:sz w:val="22"/>
          <w:szCs w:val="22"/>
          <w:lang w:eastAsia="en-AU"/>
        </w:rPr>
      </w:pPr>
      <w:r>
        <w:rPr>
          <w:noProof/>
        </w:rPr>
        <w:t>Glossary</w:t>
      </w:r>
      <w:r>
        <w:rPr>
          <w:noProof/>
        </w:rPr>
        <w:tab/>
      </w:r>
      <w:r>
        <w:rPr>
          <w:noProof/>
        </w:rPr>
        <w:fldChar w:fldCharType="begin"/>
      </w:r>
      <w:r>
        <w:rPr>
          <w:noProof/>
        </w:rPr>
        <w:instrText xml:space="preserve"> PAGEREF _Toc7430052 \h </w:instrText>
      </w:r>
      <w:r>
        <w:rPr>
          <w:noProof/>
        </w:rPr>
      </w:r>
      <w:r>
        <w:rPr>
          <w:noProof/>
        </w:rPr>
        <w:fldChar w:fldCharType="separate"/>
      </w:r>
      <w:r w:rsidR="000538EC">
        <w:rPr>
          <w:noProof/>
        </w:rPr>
        <w:t>12</w:t>
      </w:r>
      <w:r>
        <w:rPr>
          <w:noProof/>
        </w:rPr>
        <w:fldChar w:fldCharType="end"/>
      </w:r>
    </w:p>
    <w:p w14:paraId="71576375" w14:textId="0C1D47D4" w:rsidR="00294D15" w:rsidRPr="00D71401" w:rsidRDefault="00294D15" w:rsidP="00294D15">
      <w:pPr>
        <w:pStyle w:val="TOC3"/>
      </w:pPr>
      <w:r w:rsidRPr="00D71401">
        <w:fldChar w:fldCharType="end"/>
      </w:r>
    </w:p>
    <w:p w14:paraId="5B45BE88" w14:textId="77777777" w:rsidR="00294D15" w:rsidRPr="00D71401" w:rsidRDefault="00294D15" w:rsidP="00294D15">
      <w:pPr>
        <w:spacing w:after="0" w:line="240" w:lineRule="auto"/>
      </w:pPr>
      <w:r w:rsidRPr="00D71401">
        <w:br w:type="page"/>
      </w:r>
    </w:p>
    <w:p w14:paraId="0C10B0CF" w14:textId="77777777" w:rsidR="00DB4EEA" w:rsidRPr="00DB4EEA" w:rsidRDefault="00DB4EEA" w:rsidP="00DB4EEA">
      <w:pPr>
        <w:pStyle w:val="ESHeading1"/>
        <w:ind w:left="426" w:hanging="426"/>
      </w:pPr>
      <w:bookmarkStart w:id="2" w:name="_Toc517967113"/>
      <w:bookmarkStart w:id="3" w:name="_Toc517967114"/>
      <w:bookmarkStart w:id="4" w:name="_Toc517967115"/>
      <w:bookmarkStart w:id="5" w:name="_Toc517967116"/>
      <w:bookmarkStart w:id="6" w:name="_Toc517967117"/>
      <w:bookmarkStart w:id="7" w:name="_Toc517967118"/>
      <w:bookmarkStart w:id="8" w:name="_Toc517967119"/>
      <w:bookmarkStart w:id="9" w:name="_Toc517967120"/>
      <w:bookmarkStart w:id="10" w:name="_Toc7430032"/>
      <w:bookmarkStart w:id="11" w:name="_Toc320614044"/>
      <w:bookmarkStart w:id="12" w:name="_Ref329951276"/>
      <w:bookmarkStart w:id="13" w:name="_Ref329951489"/>
      <w:bookmarkStart w:id="14" w:name="_Toc517710855"/>
      <w:bookmarkEnd w:id="2"/>
      <w:bookmarkEnd w:id="3"/>
      <w:bookmarkEnd w:id="4"/>
      <w:bookmarkEnd w:id="5"/>
      <w:bookmarkEnd w:id="6"/>
      <w:bookmarkEnd w:id="7"/>
      <w:bookmarkEnd w:id="8"/>
      <w:bookmarkEnd w:id="9"/>
      <w:r w:rsidRPr="00D71401">
        <w:t>How to use this policy</w:t>
      </w:r>
      <w:bookmarkEnd w:id="10"/>
    </w:p>
    <w:p w14:paraId="775BA0E1" w14:textId="61BD1C73" w:rsidR="00DB4EEA" w:rsidRPr="00D71401" w:rsidRDefault="00DB4EEA" w:rsidP="00DB4EEA">
      <w:pPr>
        <w:pStyle w:val="ESBodyText"/>
      </w:pPr>
      <w:r w:rsidRPr="00D71401">
        <w:t xml:space="preserve">This </w:t>
      </w:r>
      <w:r w:rsidR="000C6626">
        <w:t xml:space="preserve">Sponsorship </w:t>
      </w:r>
      <w:r w:rsidRPr="00D71401">
        <w:t>Policy</w:t>
      </w:r>
      <w:r w:rsidR="000C6626">
        <w:t xml:space="preserve"> and Guidelines and</w:t>
      </w:r>
      <w:r w:rsidRPr="00D71401">
        <w:t xml:space="preserve"> related templates, applies to </w:t>
      </w:r>
      <w:r w:rsidRPr="00D71401">
        <w:rPr>
          <w:b/>
        </w:rPr>
        <w:t>corporate</w:t>
      </w:r>
      <w:r w:rsidRPr="00D71401">
        <w:t xml:space="preserve"> and </w:t>
      </w:r>
      <w:r w:rsidRPr="00D71401">
        <w:rPr>
          <w:b/>
        </w:rPr>
        <w:t>school</w:t>
      </w:r>
      <w:r w:rsidRPr="00D71401">
        <w:t xml:space="preserve"> sponsorship of Departmental </w:t>
      </w:r>
      <w:r w:rsidR="000C6626">
        <w:t xml:space="preserve">and school </w:t>
      </w:r>
      <w:r w:rsidRPr="00D71401">
        <w:t>initiatives (</w:t>
      </w:r>
      <w:r w:rsidRPr="00D71401">
        <w:rPr>
          <w:b/>
        </w:rPr>
        <w:t>incoming</w:t>
      </w:r>
      <w:r w:rsidRPr="00D71401">
        <w:t xml:space="preserve">) and sponsorship provided by the Department </w:t>
      </w:r>
      <w:r w:rsidR="0027660A">
        <w:t xml:space="preserve">and schools </w:t>
      </w:r>
      <w:r w:rsidRPr="00D71401">
        <w:t>to other organisations, initiatives or events (</w:t>
      </w:r>
      <w:r w:rsidRPr="00D71401">
        <w:rPr>
          <w:b/>
        </w:rPr>
        <w:t>outgoing</w:t>
      </w:r>
      <w:r w:rsidRPr="00D71401">
        <w:t xml:space="preserve">). </w:t>
      </w:r>
    </w:p>
    <w:p w14:paraId="1137D3F9" w14:textId="07DF9CA1" w:rsidR="00DB4EEA" w:rsidRPr="00D71401" w:rsidRDefault="00DB4EEA" w:rsidP="00DB4EEA">
      <w:r w:rsidRPr="00D71401">
        <w:t xml:space="preserve">This Policy is designed for use by corporate staff and </w:t>
      </w:r>
      <w:r w:rsidR="00B56D3B">
        <w:t>schools</w:t>
      </w:r>
      <w:r w:rsidRPr="00D71401">
        <w:t xml:space="preserve"> to help manage and assess possible sponsorship opportunities. </w:t>
      </w:r>
    </w:p>
    <w:p w14:paraId="25CBB13B" w14:textId="77777777" w:rsidR="00DB4EEA" w:rsidRPr="00D71401" w:rsidRDefault="00DB4EEA" w:rsidP="00DB4EEA">
      <w:pPr>
        <w:pStyle w:val="ESBodyText"/>
      </w:pPr>
      <w:r w:rsidRPr="00D71401">
        <w:t xml:space="preserve">All relevant templates can be found on </w:t>
      </w:r>
      <w:hyperlink r:id="rId23" w:anchor="/app/content/2725/support_and_service_(corp)%252Fcommunications%252Fadvice_and_guidelines%252Fsponsorship" w:history="1">
        <w:r w:rsidRPr="00D71401">
          <w:rPr>
            <w:rStyle w:val="Hyperlink"/>
          </w:rPr>
          <w:t>Sponsorship page on EduGate</w:t>
        </w:r>
      </w:hyperlink>
      <w:r w:rsidRPr="00D71401">
        <w:t>/School Policy and Advisory Guide</w:t>
      </w:r>
    </w:p>
    <w:p w14:paraId="197E741D" w14:textId="36A22ABB" w:rsidR="008C30B5" w:rsidRPr="00D71401" w:rsidRDefault="00294D15" w:rsidP="00DC06E5">
      <w:pPr>
        <w:pStyle w:val="ESHeading1"/>
        <w:ind w:left="426" w:hanging="426"/>
      </w:pPr>
      <w:bookmarkStart w:id="15" w:name="_Toc7430033"/>
      <w:r w:rsidRPr="00D71401">
        <w:t>I</w:t>
      </w:r>
      <w:r w:rsidR="008C30B5" w:rsidRPr="00D71401">
        <w:t>ntroduction</w:t>
      </w:r>
      <w:bookmarkEnd w:id="11"/>
      <w:bookmarkEnd w:id="12"/>
      <w:bookmarkEnd w:id="13"/>
      <w:bookmarkEnd w:id="14"/>
      <w:r w:rsidR="005009CC" w:rsidRPr="00D71401">
        <w:t xml:space="preserve"> and p</w:t>
      </w:r>
      <w:r w:rsidR="00D151D2" w:rsidRPr="00D71401">
        <w:t>urpose</w:t>
      </w:r>
      <w:bookmarkEnd w:id="15"/>
    </w:p>
    <w:p w14:paraId="606488B2" w14:textId="2E8FB9B4" w:rsidR="004D05E9" w:rsidRPr="00D71401" w:rsidRDefault="00F8421E" w:rsidP="00F25397">
      <w:pPr>
        <w:pStyle w:val="ESBodyText"/>
      </w:pPr>
      <w:r w:rsidRPr="00D71401">
        <w:t xml:space="preserve">Sponsorship </w:t>
      </w:r>
      <w:r w:rsidR="00720526">
        <w:t>can provide a</w:t>
      </w:r>
      <w:r w:rsidRPr="00D71401">
        <w:t xml:space="preserve"> mutually beneficial and purposeful </w:t>
      </w:r>
      <w:r w:rsidR="00720526">
        <w:t>relationship</w:t>
      </w:r>
      <w:r w:rsidRPr="00D71401">
        <w:t xml:space="preserve"> between organisations/busin</w:t>
      </w:r>
      <w:r w:rsidR="00F41CF7">
        <w:t xml:space="preserve">esses and Victorian Government schools, the Department </w:t>
      </w:r>
      <w:r w:rsidRPr="00D71401">
        <w:t xml:space="preserve">and </w:t>
      </w:r>
      <w:r w:rsidR="00F41CF7">
        <w:t>a</w:t>
      </w:r>
      <w:r w:rsidRPr="00D71401">
        <w:t xml:space="preserve">gencies, </w:t>
      </w:r>
      <w:r w:rsidR="00720526">
        <w:t>contributing</w:t>
      </w:r>
      <w:r w:rsidRPr="00D71401">
        <w:t xml:space="preserve"> to strong school and corporate communities. </w:t>
      </w:r>
      <w:r w:rsidR="004D05E9" w:rsidRPr="00D71401">
        <w:t xml:space="preserve">Well-managed sponsorship arrangements can provide an effective way of increasing awareness of messages, policies and initiatives, communicating Department goals and building stakeholder relationships, helping you communicate with specific audiences within the community. </w:t>
      </w:r>
    </w:p>
    <w:p w14:paraId="45B083A0" w14:textId="5566A7BA" w:rsidR="00044A04" w:rsidRPr="00D71401" w:rsidRDefault="000D6F39" w:rsidP="00F25397">
      <w:pPr>
        <w:pStyle w:val="ESBodyText"/>
      </w:pPr>
      <w:r w:rsidRPr="00D71401">
        <w:t>The Department of Education and Training</w:t>
      </w:r>
      <w:r w:rsidR="00661287" w:rsidRPr="00D71401">
        <w:t>’s</w:t>
      </w:r>
      <w:r w:rsidRPr="00D71401">
        <w:t xml:space="preserve"> (the Department)</w:t>
      </w:r>
      <w:r w:rsidR="00661287" w:rsidRPr="00D71401">
        <w:t xml:space="preserve"> Sponsorship Policy and Guidelines (Policy) </w:t>
      </w:r>
      <w:r w:rsidR="004E54CB" w:rsidRPr="00D71401">
        <w:t xml:space="preserve">provides </w:t>
      </w:r>
      <w:r w:rsidRPr="00D71401">
        <w:t xml:space="preserve">guidance on sponsorship activities undertaken by the Department, Victorian </w:t>
      </w:r>
      <w:r w:rsidR="003055CD" w:rsidRPr="00D71401">
        <w:t>G</w:t>
      </w:r>
      <w:r w:rsidRPr="00D71401">
        <w:t xml:space="preserve">overnment </w:t>
      </w:r>
      <w:r w:rsidR="00F41CF7">
        <w:t>s</w:t>
      </w:r>
      <w:r w:rsidRPr="00D71401">
        <w:t>chools</w:t>
      </w:r>
      <w:r w:rsidR="00CF46D9">
        <w:t xml:space="preserve">, </w:t>
      </w:r>
      <w:r w:rsidR="004318E8">
        <w:t xml:space="preserve">the </w:t>
      </w:r>
      <w:r w:rsidR="00CF46D9">
        <w:t xml:space="preserve">Victorian Curriculum and Assessment Authority and the Victorian Registration and Qualifications Authority. </w:t>
      </w:r>
    </w:p>
    <w:p w14:paraId="70C62848" w14:textId="6BDB6699" w:rsidR="005B5604" w:rsidRPr="00D71401" w:rsidRDefault="00044A04" w:rsidP="00F25397">
      <w:pPr>
        <w:pStyle w:val="ESBodyText"/>
      </w:pPr>
      <w:r w:rsidRPr="00D71401">
        <w:t xml:space="preserve">For the purposes of this policy, any references to the Department or Departmental staff includes Victorian Government schools, staff and any contractors working on their behalf. </w:t>
      </w:r>
    </w:p>
    <w:p w14:paraId="07C30C24" w14:textId="77777777" w:rsidR="008C30B5" w:rsidRPr="00D71401" w:rsidRDefault="008C30B5" w:rsidP="00DC06E5">
      <w:pPr>
        <w:pStyle w:val="ESHeading2"/>
      </w:pPr>
      <w:bookmarkStart w:id="16" w:name="_Toc320614045"/>
      <w:bookmarkStart w:id="17" w:name="_Ref329951420"/>
      <w:bookmarkStart w:id="18" w:name="_Toc7430034"/>
      <w:r w:rsidRPr="00D71401">
        <w:t>Relevant legislation and policies</w:t>
      </w:r>
      <w:bookmarkEnd w:id="16"/>
      <w:bookmarkEnd w:id="17"/>
      <w:bookmarkEnd w:id="18"/>
    </w:p>
    <w:p w14:paraId="60B58410" w14:textId="6F3CAC66" w:rsidR="008C30B5" w:rsidRPr="00D71401" w:rsidRDefault="003055CD" w:rsidP="00F25397">
      <w:pPr>
        <w:pStyle w:val="ESBodyText"/>
      </w:pPr>
      <w:r w:rsidRPr="00D71401">
        <w:t xml:space="preserve">This Policy aligns with </w:t>
      </w:r>
      <w:r w:rsidR="000D6F39" w:rsidRPr="00D71401">
        <w:t xml:space="preserve">the </w:t>
      </w:r>
      <w:r w:rsidRPr="00D71401">
        <w:t xml:space="preserve">Whole of Victorian Government (WOVG) </w:t>
      </w:r>
      <w:hyperlink r:id="rId24" w:history="1">
        <w:r w:rsidR="00BC38BA" w:rsidRPr="00D71401">
          <w:rPr>
            <w:rStyle w:val="Hyperlink"/>
            <w:i/>
            <w:lang w:val="en-GB"/>
          </w:rPr>
          <w:t>Victorian Government Sponsorship Policy: Relevant Legislation and Policies</w:t>
        </w:r>
      </w:hyperlink>
      <w:r w:rsidR="008C30B5" w:rsidRPr="00D71401">
        <w:t xml:space="preserve"> </w:t>
      </w:r>
      <w:r w:rsidR="000D6F39" w:rsidRPr="00D71401">
        <w:t>and s</w:t>
      </w:r>
      <w:r w:rsidR="008C30B5" w:rsidRPr="00D71401">
        <w:t xml:space="preserve">ets out details of legislation and other policies relevant to Government sponsorship. </w:t>
      </w:r>
      <w:bookmarkStart w:id="19" w:name="_Toc320614046"/>
      <w:bookmarkStart w:id="20" w:name="_Ref329951429"/>
    </w:p>
    <w:p w14:paraId="6461BCD8" w14:textId="2FEEE0B2" w:rsidR="00535A85" w:rsidRPr="00D71401" w:rsidRDefault="00535A85" w:rsidP="00F25397">
      <w:pPr>
        <w:pStyle w:val="ESBodyText"/>
      </w:pPr>
      <w:r w:rsidRPr="00D71401">
        <w:t xml:space="preserve">The </w:t>
      </w:r>
      <w:r w:rsidR="00B56D3B">
        <w:t xml:space="preserve">WOVG policy sets the </w:t>
      </w:r>
      <w:r w:rsidRPr="00D71401">
        <w:t>overarching principles of sponsorship</w:t>
      </w:r>
      <w:r w:rsidR="00B56D3B">
        <w:t xml:space="preserve"> management</w:t>
      </w:r>
      <w:r w:rsidRPr="00D71401">
        <w:t>:</w:t>
      </w:r>
    </w:p>
    <w:p w14:paraId="14968A15" w14:textId="3241FFC7" w:rsidR="00535A85" w:rsidRPr="00D71401" w:rsidRDefault="00535A85" w:rsidP="0038317F">
      <w:pPr>
        <w:pStyle w:val="ListParagraph"/>
        <w:numPr>
          <w:ilvl w:val="0"/>
          <w:numId w:val="7"/>
        </w:numPr>
        <w:spacing w:line="240" w:lineRule="auto"/>
        <w:ind w:left="426" w:hanging="426"/>
      </w:pPr>
      <w:r w:rsidRPr="00D71401">
        <w:t>Ensuring probity</w:t>
      </w:r>
      <w:r w:rsidR="005009CC" w:rsidRPr="00D71401">
        <w:t>.</w:t>
      </w:r>
    </w:p>
    <w:p w14:paraId="6E3BF269" w14:textId="438A006C" w:rsidR="00535A85" w:rsidRPr="00D71401" w:rsidRDefault="00535A85" w:rsidP="0038317F">
      <w:pPr>
        <w:pStyle w:val="ListParagraph"/>
        <w:numPr>
          <w:ilvl w:val="0"/>
          <w:numId w:val="7"/>
        </w:numPr>
        <w:spacing w:line="240" w:lineRule="auto"/>
        <w:ind w:left="426" w:hanging="426"/>
      </w:pPr>
      <w:r w:rsidRPr="00D71401">
        <w:t>Achieving efficiency and effectiveness</w:t>
      </w:r>
      <w:r w:rsidR="005009CC" w:rsidRPr="00D71401">
        <w:t>.</w:t>
      </w:r>
    </w:p>
    <w:p w14:paraId="0CCF9B7C" w14:textId="1ABB1DBF" w:rsidR="00535A85" w:rsidRPr="00D71401" w:rsidRDefault="00535A85" w:rsidP="0038317F">
      <w:pPr>
        <w:pStyle w:val="ListParagraph"/>
        <w:numPr>
          <w:ilvl w:val="0"/>
          <w:numId w:val="7"/>
        </w:numPr>
        <w:spacing w:line="240" w:lineRule="auto"/>
        <w:ind w:left="426" w:hanging="426"/>
      </w:pPr>
      <w:r w:rsidRPr="00D71401">
        <w:t xml:space="preserve">Maintaining </w:t>
      </w:r>
      <w:r w:rsidR="006A3506" w:rsidRPr="00D71401">
        <w:t xml:space="preserve">transparency and </w:t>
      </w:r>
      <w:r w:rsidRPr="00D71401">
        <w:t>accountability</w:t>
      </w:r>
      <w:r w:rsidR="005009CC" w:rsidRPr="00D71401">
        <w:t>.</w:t>
      </w:r>
    </w:p>
    <w:p w14:paraId="138CA8E9" w14:textId="2FFB5735" w:rsidR="00535A85" w:rsidRPr="00D71401" w:rsidRDefault="00535A85" w:rsidP="0038317F">
      <w:pPr>
        <w:pStyle w:val="ListParagraph"/>
        <w:numPr>
          <w:ilvl w:val="0"/>
          <w:numId w:val="7"/>
        </w:numPr>
        <w:spacing w:line="240" w:lineRule="auto"/>
        <w:ind w:left="426" w:hanging="426"/>
      </w:pPr>
      <w:r w:rsidRPr="00D71401">
        <w:t>Implementing effective risk management</w:t>
      </w:r>
      <w:r w:rsidR="00DC06E5" w:rsidRPr="00D71401">
        <w:t>.</w:t>
      </w:r>
    </w:p>
    <w:p w14:paraId="0FD838EF" w14:textId="77777777" w:rsidR="00CF6D5D" w:rsidRDefault="00CF6D5D">
      <w:pPr>
        <w:spacing w:after="0" w:line="240" w:lineRule="auto"/>
        <w:rPr>
          <w:rFonts w:eastAsiaTheme="majorEastAsia"/>
          <w:b/>
          <w:color w:val="AF272F"/>
          <w:spacing w:val="5"/>
          <w:kern w:val="28"/>
          <w:sz w:val="28"/>
          <w:szCs w:val="52"/>
          <w:lang w:val="en-US"/>
        </w:rPr>
      </w:pPr>
      <w:bookmarkStart w:id="21" w:name="_Toc320614047"/>
      <w:bookmarkStart w:id="22" w:name="_Ref329951476"/>
      <w:bookmarkStart w:id="23" w:name="_Toc517710856"/>
      <w:bookmarkEnd w:id="19"/>
      <w:bookmarkEnd w:id="20"/>
      <w:r>
        <w:br w:type="page"/>
      </w:r>
    </w:p>
    <w:p w14:paraId="7A41F5C0" w14:textId="5F3E6BAD" w:rsidR="008C30B5" w:rsidRPr="00D71401" w:rsidRDefault="008C30B5" w:rsidP="00DC06E5">
      <w:pPr>
        <w:pStyle w:val="ESHeading1"/>
        <w:ind w:left="426" w:hanging="426"/>
      </w:pPr>
      <w:bookmarkStart w:id="24" w:name="_Toc7430035"/>
      <w:r w:rsidRPr="00D71401">
        <w:t>Definition</w:t>
      </w:r>
      <w:bookmarkEnd w:id="21"/>
      <w:bookmarkEnd w:id="22"/>
      <w:bookmarkEnd w:id="23"/>
      <w:r w:rsidR="00F018F9">
        <w:t xml:space="preserve"> and Interpretation</w:t>
      </w:r>
      <w:bookmarkEnd w:id="24"/>
    </w:p>
    <w:p w14:paraId="255E21C8" w14:textId="5C1A20C0" w:rsidR="00F14B9C" w:rsidRPr="00B93C69" w:rsidRDefault="005009CC" w:rsidP="00B93C69">
      <w:r w:rsidRPr="00D71401">
        <w:t>Sponsorship</w:t>
      </w:r>
      <w:r w:rsidR="001A1218" w:rsidRPr="00D71401">
        <w:t xml:space="preserve"> is the act of </w:t>
      </w:r>
      <w:r w:rsidR="00213846" w:rsidRPr="00D71401">
        <w:t>supporting an event or organisation financially</w:t>
      </w:r>
      <w:r w:rsidR="0057060E" w:rsidRPr="00D71401">
        <w:t>,</w:t>
      </w:r>
      <w:r w:rsidR="00213846" w:rsidRPr="00D71401">
        <w:t xml:space="preserve"> through the provision of products, services or activities</w:t>
      </w:r>
      <w:r w:rsidR="0057060E" w:rsidRPr="00D71401">
        <w:t>,</w:t>
      </w:r>
      <w:r w:rsidR="00213846" w:rsidRPr="00D71401">
        <w:t xml:space="preserve"> in exchange for </w:t>
      </w:r>
      <w:r w:rsidR="001A1218" w:rsidRPr="00D71401">
        <w:rPr>
          <w:b/>
        </w:rPr>
        <w:t>rights</w:t>
      </w:r>
      <w:r w:rsidR="001A1218" w:rsidRPr="00D71401">
        <w:t xml:space="preserve"> </w:t>
      </w:r>
      <w:r w:rsidR="0064147B" w:rsidRPr="00D71401">
        <w:t xml:space="preserve">(including naming rights) </w:t>
      </w:r>
      <w:r w:rsidR="001A1218" w:rsidRPr="00D71401">
        <w:t xml:space="preserve">or </w:t>
      </w:r>
      <w:r w:rsidR="0064147B" w:rsidRPr="00D71401">
        <w:t xml:space="preserve">certain specified </w:t>
      </w:r>
      <w:r w:rsidR="0064147B" w:rsidRPr="00D71401">
        <w:rPr>
          <w:b/>
        </w:rPr>
        <w:t>benefits</w:t>
      </w:r>
      <w:r w:rsidR="0057060E" w:rsidRPr="00D71401">
        <w:rPr>
          <w:b/>
        </w:rPr>
        <w:t xml:space="preserve"> </w:t>
      </w:r>
      <w:r w:rsidR="0057060E" w:rsidRPr="00D71401">
        <w:t>(</w:t>
      </w:r>
      <w:r w:rsidR="0064147B" w:rsidRPr="00D71401">
        <w:t>such as logo placement or public acknowledgement</w:t>
      </w:r>
      <w:r w:rsidR="0057060E" w:rsidRPr="00D71401">
        <w:t>)</w:t>
      </w:r>
      <w:r w:rsidR="00213846" w:rsidRPr="00D71401">
        <w:t>.</w:t>
      </w:r>
      <w:r w:rsidR="008F51A2" w:rsidRPr="00D71401">
        <w:t xml:space="preserve"> </w:t>
      </w:r>
      <w:r w:rsidR="00F14B9C">
        <w:t>The WOVG sponsorship policy includes communication and branding partnerships (such as awards events having a media partnership</w:t>
      </w:r>
      <w:r w:rsidR="00B93C69">
        <w:t>) at the corporate level.</w:t>
      </w:r>
    </w:p>
    <w:p w14:paraId="73FAF5FE" w14:textId="4E20A970" w:rsidR="001A1218" w:rsidRDefault="009B59F8" w:rsidP="00F25397">
      <w:pPr>
        <w:pStyle w:val="ESBodyText"/>
      </w:pPr>
      <w:r w:rsidRPr="00D71401">
        <w:t>The individual, group or business</w:t>
      </w:r>
      <w:r w:rsidR="001A1218" w:rsidRPr="00D71401">
        <w:t xml:space="preserve"> </w:t>
      </w:r>
      <w:r w:rsidRPr="00D71401">
        <w:t xml:space="preserve">that provides the support is known as a </w:t>
      </w:r>
      <w:r w:rsidRPr="00D71401">
        <w:rPr>
          <w:b/>
        </w:rPr>
        <w:t>sponsor</w:t>
      </w:r>
      <w:r w:rsidRPr="00D71401">
        <w:t>, and t</w:t>
      </w:r>
      <w:r w:rsidR="001A1218" w:rsidRPr="00D71401">
        <w:t xml:space="preserve">he rights or benefits typically relate to the sponsor's </w:t>
      </w:r>
      <w:r w:rsidRPr="00D71401">
        <w:t xml:space="preserve">own </w:t>
      </w:r>
      <w:r w:rsidR="001A1218" w:rsidRPr="00D71401">
        <w:t>reputation management or communication objectives.</w:t>
      </w:r>
    </w:p>
    <w:p w14:paraId="66EAB4F4" w14:textId="3E823BE8" w:rsidR="00B56D3B" w:rsidRPr="00D71401" w:rsidRDefault="00B56D3B" w:rsidP="00B56D3B">
      <w:pPr>
        <w:pStyle w:val="ESBodyText"/>
      </w:pPr>
      <w:r w:rsidRPr="00D71401">
        <w:rPr>
          <w:b/>
        </w:rPr>
        <w:t>Incoming</w:t>
      </w:r>
      <w:r>
        <w:rPr>
          <w:b/>
        </w:rPr>
        <w:t xml:space="preserve"> sponsorship is </w:t>
      </w:r>
      <w:r>
        <w:t>w</w:t>
      </w:r>
      <w:r w:rsidRPr="00D71401">
        <w:rPr>
          <w:rFonts w:hint="eastAsia"/>
        </w:rPr>
        <w:t xml:space="preserve">here an external organisation provides financial or in-kind support for a Department </w:t>
      </w:r>
      <w:r>
        <w:t xml:space="preserve">or school </w:t>
      </w:r>
      <w:r w:rsidRPr="00D71401">
        <w:rPr>
          <w:rFonts w:hint="eastAsia"/>
        </w:rPr>
        <w:t>initiative, event or program.</w:t>
      </w:r>
    </w:p>
    <w:p w14:paraId="56111457" w14:textId="0AE75030" w:rsidR="00B56D3B" w:rsidRPr="00D71401" w:rsidRDefault="00B56D3B" w:rsidP="00B56D3B">
      <w:pPr>
        <w:pStyle w:val="ESBodyText"/>
      </w:pPr>
      <w:r w:rsidRPr="00D71401">
        <w:rPr>
          <w:b/>
        </w:rPr>
        <w:t>Outgoing</w:t>
      </w:r>
      <w:r>
        <w:rPr>
          <w:b/>
        </w:rPr>
        <w:t xml:space="preserve"> sponsorship </w:t>
      </w:r>
      <w:r>
        <w:t>is w</w:t>
      </w:r>
      <w:r>
        <w:rPr>
          <w:rFonts w:hint="eastAsia"/>
        </w:rPr>
        <w:t>here the Department</w:t>
      </w:r>
      <w:r>
        <w:t xml:space="preserve">, or a school, </w:t>
      </w:r>
      <w:r w:rsidRPr="00D71401">
        <w:rPr>
          <w:rFonts w:hint="eastAsia"/>
        </w:rPr>
        <w:t>provides financial or in-kind support to an external organisation for their initiative, event or program.</w:t>
      </w:r>
    </w:p>
    <w:p w14:paraId="25F1EBA6" w14:textId="40B96777" w:rsidR="00213846" w:rsidRPr="00D71401" w:rsidRDefault="00C6587B" w:rsidP="00F25397">
      <w:pPr>
        <w:pStyle w:val="ESBodyText"/>
        <w:rPr>
          <w:lang w:val="en-GB"/>
        </w:rPr>
      </w:pPr>
      <w:r w:rsidRPr="00D71401">
        <w:rPr>
          <w:lang w:val="en-GB"/>
        </w:rPr>
        <w:t xml:space="preserve">Sponsorship does </w:t>
      </w:r>
      <w:r w:rsidRPr="00D71401">
        <w:rPr>
          <w:b/>
          <w:lang w:val="en-GB"/>
        </w:rPr>
        <w:t>not</w:t>
      </w:r>
      <w:r w:rsidRPr="00D71401">
        <w:rPr>
          <w:lang w:val="en-GB"/>
        </w:rPr>
        <w:t xml:space="preserve"> include</w:t>
      </w:r>
      <w:r w:rsidR="00B56D3B">
        <w:rPr>
          <w:lang w:val="en-GB"/>
        </w:rPr>
        <w:t>:</w:t>
      </w:r>
    </w:p>
    <w:p w14:paraId="316D4DAD" w14:textId="73BBBD10" w:rsidR="00213846" w:rsidRPr="00D71401" w:rsidRDefault="00DC71D5" w:rsidP="0038317F">
      <w:pPr>
        <w:pStyle w:val="ListParagraph"/>
        <w:numPr>
          <w:ilvl w:val="0"/>
          <w:numId w:val="8"/>
        </w:numPr>
      </w:pPr>
      <w:hyperlink r:id="rId25" w:history="1">
        <w:r w:rsidR="00213846" w:rsidRPr="00D71401">
          <w:rPr>
            <w:rStyle w:val="Hyperlink"/>
            <w:b/>
          </w:rPr>
          <w:t>donations</w:t>
        </w:r>
      </w:hyperlink>
      <w:r w:rsidR="00213846" w:rsidRPr="00D71401">
        <w:t xml:space="preserve"> to (or from) </w:t>
      </w:r>
      <w:r w:rsidR="00AF1EAA" w:rsidRPr="00D71401">
        <w:t xml:space="preserve">schools, agencies or corporate business units </w:t>
      </w:r>
      <w:r w:rsidR="00213846" w:rsidRPr="00D71401">
        <w:t xml:space="preserve">of money, goods or services </w:t>
      </w:r>
    </w:p>
    <w:p w14:paraId="7BDB864E" w14:textId="44D7CEC4" w:rsidR="00AF1EAA" w:rsidRPr="00D71401" w:rsidRDefault="00AF1EAA" w:rsidP="0038317F">
      <w:pPr>
        <w:pStyle w:val="ListParagraph"/>
        <w:numPr>
          <w:ilvl w:val="0"/>
          <w:numId w:val="8"/>
        </w:numPr>
      </w:pPr>
      <w:r w:rsidRPr="00D71401">
        <w:rPr>
          <w:b/>
        </w:rPr>
        <w:t xml:space="preserve">philanthropic </w:t>
      </w:r>
      <w:r w:rsidRPr="00D71401">
        <w:t>efforts by the Department such as donating money to a charity, or volunteering effort</w:t>
      </w:r>
      <w:r w:rsidR="008D1DEF" w:rsidRPr="00D71401">
        <w:t>s</w:t>
      </w:r>
    </w:p>
    <w:p w14:paraId="335A8949" w14:textId="6AC45303" w:rsidR="00C6587B" w:rsidRPr="00D71401" w:rsidRDefault="00213846" w:rsidP="0038317F">
      <w:pPr>
        <w:pStyle w:val="ListParagraph"/>
        <w:numPr>
          <w:ilvl w:val="0"/>
          <w:numId w:val="8"/>
        </w:numPr>
      </w:pPr>
      <w:r w:rsidRPr="00D71401">
        <w:t xml:space="preserve">the </w:t>
      </w:r>
      <w:r w:rsidR="00C6587B" w:rsidRPr="00D71401">
        <w:rPr>
          <w:rStyle w:val="Strong"/>
          <w:lang w:val="en-GB"/>
        </w:rPr>
        <w:t>sale</w:t>
      </w:r>
      <w:r w:rsidR="00C6587B" w:rsidRPr="00D71401">
        <w:rPr>
          <w:lang w:val="en-GB"/>
        </w:rPr>
        <w:t xml:space="preserve"> of advertising space, editorial comment, or advertorials</w:t>
      </w:r>
      <w:r w:rsidR="00C6587B" w:rsidRPr="00D71401">
        <w:rPr>
          <w:lang w:val="en-US"/>
        </w:rPr>
        <w:t xml:space="preserve"> (refer to </w:t>
      </w:r>
      <w:hyperlink r:id="rId26" w:anchor="/app/content/2753/support_and_service_(corp)%252Fcommunications%252Fadvice_and_guidelines%252Fadvertising" w:history="1">
        <w:r w:rsidR="00C54935" w:rsidRPr="00D71401">
          <w:rPr>
            <w:rStyle w:val="Hyperlink"/>
            <w:lang w:val="en-GB"/>
          </w:rPr>
          <w:t>Departmental Advertising Advice</w:t>
        </w:r>
      </w:hyperlink>
      <w:r w:rsidR="00C6587B" w:rsidRPr="00D71401">
        <w:t>)</w:t>
      </w:r>
    </w:p>
    <w:p w14:paraId="2E36488D" w14:textId="675C1276" w:rsidR="00AF1EAA" w:rsidRPr="00D71401" w:rsidRDefault="00FD5613" w:rsidP="0038317F">
      <w:pPr>
        <w:pStyle w:val="ListParagraph"/>
        <w:numPr>
          <w:ilvl w:val="0"/>
          <w:numId w:val="8"/>
        </w:numPr>
        <w:rPr>
          <w:lang w:val="en-GB"/>
        </w:rPr>
      </w:pPr>
      <w:r w:rsidRPr="00D71401">
        <w:rPr>
          <w:rStyle w:val="Strong"/>
          <w:lang w:val="en-GB"/>
        </w:rPr>
        <w:t>grants</w:t>
      </w:r>
      <w:r w:rsidR="00C6587B" w:rsidRPr="00D71401">
        <w:rPr>
          <w:rStyle w:val="Strong"/>
          <w:lang w:val="en-GB"/>
        </w:rPr>
        <w:t xml:space="preserve"> </w:t>
      </w:r>
      <w:r w:rsidR="00AD01E3">
        <w:rPr>
          <w:lang w:val="en-GB"/>
        </w:rPr>
        <w:t xml:space="preserve">discretionary funding provided to external individuals or organisations for a specific purpose directed at achieving goals and objectives consistent with government policy, where the grant recipient is selected on merit against a set of criteria  </w:t>
      </w:r>
    </w:p>
    <w:p w14:paraId="79119052" w14:textId="6B886781" w:rsidR="00FD5613" w:rsidRPr="00D71401" w:rsidRDefault="00FD5613" w:rsidP="0038317F">
      <w:pPr>
        <w:pStyle w:val="ListParagraph"/>
        <w:numPr>
          <w:ilvl w:val="0"/>
          <w:numId w:val="8"/>
        </w:numPr>
        <w:rPr>
          <w:lang w:val="en-GB"/>
        </w:rPr>
      </w:pPr>
      <w:r w:rsidRPr="00D71401">
        <w:rPr>
          <w:rStyle w:val="Strong"/>
          <w:lang w:val="en-GB"/>
        </w:rPr>
        <w:t>bequests</w:t>
      </w:r>
      <w:r w:rsidRPr="00D71401">
        <w:rPr>
          <w:lang w:val="en-GB"/>
        </w:rPr>
        <w:t xml:space="preserve"> which impose no obligations on the recipient and offer little or no rights or benefits to the provider</w:t>
      </w:r>
    </w:p>
    <w:p w14:paraId="281EF79A" w14:textId="77777777" w:rsidR="00103ECB" w:rsidRPr="00103ECB" w:rsidRDefault="008C30B5" w:rsidP="0038317F">
      <w:pPr>
        <w:pStyle w:val="ListParagraph"/>
        <w:numPr>
          <w:ilvl w:val="0"/>
          <w:numId w:val="8"/>
        </w:numPr>
        <w:rPr>
          <w:lang w:val="en-US"/>
        </w:rPr>
      </w:pPr>
      <w:r w:rsidRPr="00D71401">
        <w:rPr>
          <w:b/>
          <w:lang w:val="en-US"/>
        </w:rPr>
        <w:t>joint</w:t>
      </w:r>
      <w:r w:rsidRPr="00D71401">
        <w:rPr>
          <w:lang w:val="en-US"/>
        </w:rPr>
        <w:t xml:space="preserve"> </w:t>
      </w:r>
      <w:r w:rsidRPr="00D71401">
        <w:rPr>
          <w:b/>
          <w:lang w:val="en-US"/>
        </w:rPr>
        <w:t>ventures</w:t>
      </w:r>
      <w:r w:rsidR="00C6587B" w:rsidRPr="00D71401">
        <w:rPr>
          <w:lang w:val="en-US"/>
        </w:rPr>
        <w:t xml:space="preserve"> or </w:t>
      </w:r>
      <w:r w:rsidRPr="00D71401">
        <w:rPr>
          <w:b/>
          <w:lang w:val="en-US"/>
        </w:rPr>
        <w:t>consultancies</w:t>
      </w:r>
      <w:r w:rsidR="00C6587B" w:rsidRPr="00D71401">
        <w:rPr>
          <w:lang w:val="en-US"/>
        </w:rPr>
        <w:t>.</w:t>
      </w:r>
      <w:r w:rsidR="00103ECB" w:rsidRPr="00103ECB">
        <w:t xml:space="preserve"> </w:t>
      </w:r>
    </w:p>
    <w:p w14:paraId="62F9D7EC" w14:textId="265F308F" w:rsidR="000E278B" w:rsidRPr="006E409C" w:rsidRDefault="000E278B">
      <w:pPr>
        <w:spacing w:after="0" w:line="240" w:lineRule="auto"/>
      </w:pPr>
    </w:p>
    <w:p w14:paraId="58163C92" w14:textId="4FAD5FD1" w:rsidR="00F47AEC" w:rsidRDefault="000E278B">
      <w:pPr>
        <w:spacing w:after="0" w:line="240" w:lineRule="auto"/>
        <w:rPr>
          <w:b/>
        </w:rPr>
      </w:pPr>
      <w:r>
        <w:rPr>
          <w:b/>
        </w:rPr>
        <w:t>School sponsorship</w:t>
      </w:r>
      <w:r w:rsidR="00F47AEC" w:rsidRPr="00B15498">
        <w:rPr>
          <w:b/>
        </w:rPr>
        <w:t xml:space="preserve"> </w:t>
      </w:r>
    </w:p>
    <w:p w14:paraId="0B140E75" w14:textId="2760B776" w:rsidR="00C14014" w:rsidRDefault="00C14014">
      <w:pPr>
        <w:spacing w:after="0" w:line="240" w:lineRule="auto"/>
        <w:rPr>
          <w:b/>
        </w:rPr>
      </w:pPr>
    </w:p>
    <w:p w14:paraId="346BB8EB" w14:textId="11019FBE" w:rsidR="00C14014" w:rsidRDefault="006E409C" w:rsidP="00C14014">
      <w:pPr>
        <w:spacing w:after="0" w:line="240" w:lineRule="auto"/>
      </w:pPr>
      <w:r>
        <w:t xml:space="preserve">In this Policy, </w:t>
      </w:r>
      <w:r w:rsidRPr="006E409C">
        <w:rPr>
          <w:b/>
        </w:rPr>
        <w:t>schools</w:t>
      </w:r>
      <w:r>
        <w:t xml:space="preserve"> </w:t>
      </w:r>
      <w:r w:rsidR="00C14014">
        <w:t>is taken to</w:t>
      </w:r>
      <w:r w:rsidR="00B15498">
        <w:t xml:space="preserve"> mean school-based staff (including the principal of a school in their capacity as </w:t>
      </w:r>
      <w:r w:rsidR="00F332C8">
        <w:t>executive officer of a school council</w:t>
      </w:r>
      <w:r w:rsidR="00B15498">
        <w:t xml:space="preserve">) implementing sponsorship decisions for a school council. </w:t>
      </w:r>
    </w:p>
    <w:p w14:paraId="131493AC" w14:textId="5E6F9F5D" w:rsidR="00F47AEC" w:rsidRDefault="00F47AEC">
      <w:pPr>
        <w:spacing w:after="0" w:line="240" w:lineRule="auto"/>
      </w:pPr>
    </w:p>
    <w:p w14:paraId="5F40E6D3" w14:textId="4D54A1F4" w:rsidR="00C14014" w:rsidRDefault="00B15498">
      <w:pPr>
        <w:spacing w:after="0" w:line="240" w:lineRule="auto"/>
      </w:pPr>
      <w:r>
        <w:t>This is because s</w:t>
      </w:r>
      <w:r w:rsidR="00F47AEC">
        <w:t xml:space="preserve">ponsorship is </w:t>
      </w:r>
      <w:r>
        <w:t>considered a function undertaken by a</w:t>
      </w:r>
      <w:r w:rsidR="00F47AEC">
        <w:t xml:space="preserve"> school c</w:t>
      </w:r>
      <w:r>
        <w:t>ouncil</w:t>
      </w:r>
      <w:r w:rsidR="00F47AEC">
        <w:t xml:space="preserve"> under Part 2.3 of the </w:t>
      </w:r>
      <w:r w:rsidR="00F47AEC" w:rsidRPr="00B15498">
        <w:rPr>
          <w:i/>
        </w:rPr>
        <w:t>Education and Training Reform Act 2006</w:t>
      </w:r>
      <w:r w:rsidR="00947B13">
        <w:rPr>
          <w:i/>
        </w:rPr>
        <w:t xml:space="preserve"> </w:t>
      </w:r>
      <w:r w:rsidR="00947B13">
        <w:t>(ETRA)</w:t>
      </w:r>
      <w:r w:rsidR="00F47AEC">
        <w:t xml:space="preserve">. </w:t>
      </w:r>
    </w:p>
    <w:p w14:paraId="3FF6DF7E" w14:textId="37A97349" w:rsidR="00F47AEC" w:rsidRDefault="00F47AEC">
      <w:pPr>
        <w:spacing w:after="0" w:line="240" w:lineRule="auto"/>
      </w:pPr>
    </w:p>
    <w:p w14:paraId="0652BE81" w14:textId="7B096612" w:rsidR="00CF6D5D" w:rsidRDefault="009F5E8A">
      <w:pPr>
        <w:spacing w:after="0" w:line="240" w:lineRule="auto"/>
        <w:rPr>
          <w:rFonts w:eastAsiaTheme="majorEastAsia"/>
          <w:b/>
          <w:color w:val="AF272F"/>
          <w:spacing w:val="5"/>
          <w:kern w:val="28"/>
          <w:sz w:val="28"/>
          <w:szCs w:val="52"/>
          <w:lang w:val="en-US"/>
        </w:rPr>
      </w:pPr>
      <w:r>
        <w:t>Compl</w:t>
      </w:r>
      <w:r w:rsidR="00467072">
        <w:t>iance</w:t>
      </w:r>
      <w:r>
        <w:t xml:space="preserve"> with this policy is mandatory under the Finance Manual for Victorian Government Schools </w:t>
      </w:r>
      <w:r w:rsidR="00467072">
        <w:t>(see s</w:t>
      </w:r>
      <w:r>
        <w:t>ection 9.8 – Locally Raised Funds – Sponsorship</w:t>
      </w:r>
      <w:r w:rsidR="00467072">
        <w:t>)</w:t>
      </w:r>
      <w:r>
        <w:t>.</w:t>
      </w:r>
      <w:r w:rsidR="00CF6D5D">
        <w:br w:type="page"/>
      </w:r>
    </w:p>
    <w:p w14:paraId="0A86B3EE" w14:textId="54BA3366" w:rsidR="009E47A5" w:rsidRPr="00D71401" w:rsidRDefault="009E47A5">
      <w:pPr>
        <w:pStyle w:val="ESHeading1"/>
      </w:pPr>
      <w:bookmarkStart w:id="25" w:name="_Toc7430036"/>
      <w:r w:rsidRPr="00D71401">
        <w:t>Principles of sponsorship</w:t>
      </w:r>
      <w:bookmarkEnd w:id="25"/>
    </w:p>
    <w:p w14:paraId="6DE89C5E" w14:textId="4179D733" w:rsidR="009E47A5" w:rsidRPr="00D71401" w:rsidRDefault="003E2BB6" w:rsidP="00F25397">
      <w:pPr>
        <w:pStyle w:val="ESBodyText"/>
      </w:pPr>
      <w:r w:rsidRPr="00D71401">
        <w:t xml:space="preserve">The </w:t>
      </w:r>
      <w:r w:rsidR="009E47A5" w:rsidRPr="00D71401">
        <w:t>Department</w:t>
      </w:r>
      <w:r w:rsidR="000C6626">
        <w:t xml:space="preserve"> and schools</w:t>
      </w:r>
      <w:r w:rsidR="009E47A5" w:rsidRPr="00D71401">
        <w:t xml:space="preserve"> </w:t>
      </w:r>
      <w:r w:rsidR="002A2C15">
        <w:t>must</w:t>
      </w:r>
      <w:r w:rsidRPr="00D71401">
        <w:t xml:space="preserve"> </w:t>
      </w:r>
      <w:r w:rsidR="009E47A5" w:rsidRPr="00D71401">
        <w:t>only engage in sponsorship activity that</w:t>
      </w:r>
      <w:r w:rsidRPr="00D71401">
        <w:t xml:space="preserve"> meets </w:t>
      </w:r>
      <w:r w:rsidRPr="00D71401">
        <w:rPr>
          <w:lang w:val="en-GB"/>
        </w:rPr>
        <w:t>one</w:t>
      </w:r>
      <w:r w:rsidRPr="00D71401">
        <w:t xml:space="preserve"> or more of the following</w:t>
      </w:r>
      <w:r w:rsidR="009E47A5" w:rsidRPr="00D71401">
        <w:t>:</w:t>
      </w:r>
    </w:p>
    <w:p w14:paraId="0FC3BA69" w14:textId="320997D7" w:rsidR="009E47A5" w:rsidRPr="00D71401" w:rsidRDefault="00EA6CB1" w:rsidP="0038317F">
      <w:pPr>
        <w:pStyle w:val="ListParagraph"/>
        <w:numPr>
          <w:ilvl w:val="0"/>
          <w:numId w:val="8"/>
        </w:numPr>
      </w:pPr>
      <w:r w:rsidRPr="00D71401">
        <w:t>p</w:t>
      </w:r>
      <w:r w:rsidR="006F46FD" w:rsidRPr="00D71401">
        <w:t>romotes</w:t>
      </w:r>
      <w:r w:rsidRPr="00D71401">
        <w:t xml:space="preserve"> and</w:t>
      </w:r>
      <w:r w:rsidR="006F46FD" w:rsidRPr="00D71401">
        <w:t xml:space="preserve"> </w:t>
      </w:r>
      <w:r w:rsidR="009E47A5" w:rsidRPr="00D71401">
        <w:t>improves educational outcomes</w:t>
      </w:r>
    </w:p>
    <w:p w14:paraId="62D31626" w14:textId="645C8C8D" w:rsidR="009E47A5" w:rsidRPr="00D71401" w:rsidRDefault="009E47A5" w:rsidP="0038317F">
      <w:pPr>
        <w:pStyle w:val="ListParagraph"/>
        <w:numPr>
          <w:ilvl w:val="0"/>
          <w:numId w:val="8"/>
        </w:numPr>
      </w:pPr>
      <w:r w:rsidRPr="00D71401">
        <w:t xml:space="preserve">supports </w:t>
      </w:r>
      <w:r w:rsidR="006F46FD" w:rsidRPr="00D71401">
        <w:t xml:space="preserve">corporate </w:t>
      </w:r>
      <w:r w:rsidRPr="00D71401">
        <w:t>and school goals</w:t>
      </w:r>
      <w:r w:rsidR="006F46FD" w:rsidRPr="00D71401">
        <w:t xml:space="preserve"> and objectives </w:t>
      </w:r>
    </w:p>
    <w:p w14:paraId="7880BC64" w14:textId="4DA220DD" w:rsidR="006F46FD" w:rsidRPr="00D71401" w:rsidRDefault="006F46FD" w:rsidP="0038317F">
      <w:pPr>
        <w:pStyle w:val="ListParagraph"/>
        <w:numPr>
          <w:ilvl w:val="0"/>
          <w:numId w:val="8"/>
        </w:numPr>
      </w:pPr>
      <w:r w:rsidRPr="00D71401">
        <w:t xml:space="preserve">increases effectiveness of Departmental strategic </w:t>
      </w:r>
      <w:r w:rsidRPr="00D71401">
        <w:rPr>
          <w:lang w:val="en-GB"/>
        </w:rPr>
        <w:t>programs</w:t>
      </w:r>
    </w:p>
    <w:p w14:paraId="16D4F4B8" w14:textId="029872F3" w:rsidR="00731783" w:rsidRPr="00D71401" w:rsidRDefault="006F46FD" w:rsidP="0038317F">
      <w:pPr>
        <w:pStyle w:val="ListParagraph"/>
        <w:numPr>
          <w:ilvl w:val="0"/>
          <w:numId w:val="8"/>
        </w:numPr>
      </w:pPr>
      <w:r w:rsidRPr="00D71401">
        <w:t>engages or builds relationships with key stakeholders</w:t>
      </w:r>
    </w:p>
    <w:p w14:paraId="541DB615" w14:textId="65B3DE3C" w:rsidR="006671DB" w:rsidRPr="00D71401" w:rsidRDefault="006F46FD" w:rsidP="0038317F">
      <w:pPr>
        <w:pStyle w:val="ListParagraph"/>
        <w:numPr>
          <w:ilvl w:val="0"/>
          <w:numId w:val="8"/>
        </w:numPr>
      </w:pPr>
      <w:r w:rsidRPr="00D71401">
        <w:t>communicate</w:t>
      </w:r>
      <w:r w:rsidR="00690377" w:rsidRPr="00D71401">
        <w:t>s</w:t>
      </w:r>
      <w:r w:rsidRPr="00D71401">
        <w:t xml:space="preserve"> key messages to target audiences</w:t>
      </w:r>
      <w:r w:rsidR="00731783" w:rsidRPr="00D71401">
        <w:t>.</w:t>
      </w:r>
      <w:r w:rsidRPr="00D71401">
        <w:t xml:space="preserve"> </w:t>
      </w:r>
    </w:p>
    <w:p w14:paraId="0DD50FC8" w14:textId="6FF2DF00" w:rsidR="005C2413" w:rsidRPr="00D71401" w:rsidRDefault="007412AD" w:rsidP="00571E6B">
      <w:pPr>
        <w:pStyle w:val="Heading3"/>
      </w:pPr>
      <w:bookmarkStart w:id="26" w:name="_Toc517967125"/>
      <w:bookmarkEnd w:id="26"/>
      <w:r w:rsidRPr="00D71401">
        <w:t xml:space="preserve">Determining if sponsorship is appropriate </w:t>
      </w:r>
    </w:p>
    <w:p w14:paraId="39AFBC27" w14:textId="3901AF2F" w:rsidR="000C1B54" w:rsidRPr="00D71401" w:rsidRDefault="000C1B54" w:rsidP="00F25397">
      <w:pPr>
        <w:pStyle w:val="ESBodyText"/>
      </w:pPr>
      <w:r w:rsidRPr="00D71401">
        <w:t xml:space="preserve">The Department, including schools, receive </w:t>
      </w:r>
      <w:r w:rsidR="00F41CF7">
        <w:t>man</w:t>
      </w:r>
      <w:r w:rsidR="00B56D3B">
        <w:t>y</w:t>
      </w:r>
      <w:r w:rsidRPr="00D71401">
        <w:t xml:space="preserve"> requests for incoming and outgoing sponsorship.</w:t>
      </w:r>
      <w:r w:rsidR="00E064A9" w:rsidRPr="00D71401">
        <w:t xml:space="preserve"> Not all approaches to engage in sponsorship ar</w:t>
      </w:r>
      <w:r w:rsidR="00B56D3B">
        <w:t>rangement need to be considered. If you decide to consider a sponsorship the information in this policy and guidelines document will help you assess whether the request is appropriate.</w:t>
      </w:r>
    </w:p>
    <w:p w14:paraId="1DEFBA5A" w14:textId="1F9D72D1" w:rsidR="009F60B2" w:rsidRPr="00D71401" w:rsidRDefault="009F60B2" w:rsidP="0038317F">
      <w:pPr>
        <w:pStyle w:val="ESHeading2"/>
        <w:numPr>
          <w:ilvl w:val="0"/>
          <w:numId w:val="11"/>
        </w:numPr>
      </w:pPr>
      <w:bookmarkStart w:id="27" w:name="_Toc517710863"/>
      <w:bookmarkStart w:id="28" w:name="_Toc7430037"/>
      <w:r w:rsidRPr="00D71401">
        <w:t>Ensur</w:t>
      </w:r>
      <w:r w:rsidR="00571E6B" w:rsidRPr="00D71401">
        <w:t>ing</w:t>
      </w:r>
      <w:r w:rsidRPr="00D71401">
        <w:t xml:space="preserve"> probity</w:t>
      </w:r>
      <w:bookmarkEnd w:id="27"/>
      <w:bookmarkEnd w:id="28"/>
    </w:p>
    <w:p w14:paraId="41CB366F" w14:textId="50A84DFC" w:rsidR="00B41BA1" w:rsidRPr="00D71401" w:rsidRDefault="00B41BA1" w:rsidP="00571E6B">
      <w:pPr>
        <w:pStyle w:val="Heading3"/>
        <w:ind w:left="360"/>
      </w:pPr>
      <w:r w:rsidRPr="00D71401">
        <w:t>Appropriate activity</w:t>
      </w:r>
    </w:p>
    <w:p w14:paraId="7F57E094" w14:textId="1C30E68E" w:rsidR="00B41BA1" w:rsidRPr="00D71401" w:rsidRDefault="00180BD8" w:rsidP="006562BC">
      <w:pPr>
        <w:pStyle w:val="ESBodyText"/>
        <w:ind w:left="357"/>
      </w:pPr>
      <w:r w:rsidRPr="00D71401">
        <w:t>The Department</w:t>
      </w:r>
      <w:r w:rsidR="000C6626">
        <w:t xml:space="preserve"> and schools</w:t>
      </w:r>
      <w:r w:rsidRPr="00D71401">
        <w:t xml:space="preserve"> must not </w:t>
      </w:r>
      <w:r w:rsidR="00B41BA1" w:rsidRPr="00D71401">
        <w:t xml:space="preserve">engage in sponsorship that </w:t>
      </w:r>
      <w:r w:rsidRPr="00D71401">
        <w:t xml:space="preserve">is </w:t>
      </w:r>
      <w:r w:rsidR="00B41BA1" w:rsidRPr="00D71401">
        <w:t>inappropriate, either through association or activity</w:t>
      </w:r>
      <w:r w:rsidR="00680FB3" w:rsidRPr="00D71401">
        <w:t xml:space="preserve">, and the following </w:t>
      </w:r>
      <w:r w:rsidR="00B41BA1" w:rsidRPr="00D71401">
        <w:t>activit</w:t>
      </w:r>
      <w:r w:rsidR="00690377" w:rsidRPr="00D71401">
        <w:t>ies/</w:t>
      </w:r>
      <w:r w:rsidR="00B41BA1" w:rsidRPr="00D71401">
        <w:t xml:space="preserve">organisations </w:t>
      </w:r>
      <w:r w:rsidR="00680FB3" w:rsidRPr="00D71401">
        <w:t xml:space="preserve">should not be </w:t>
      </w:r>
      <w:r w:rsidR="00680FB3" w:rsidRPr="00D71401">
        <w:rPr>
          <w:lang w:val="en-GB"/>
        </w:rPr>
        <w:t>considered</w:t>
      </w:r>
      <w:r w:rsidR="00680FB3" w:rsidRPr="00D71401">
        <w:t xml:space="preserve"> </w:t>
      </w:r>
      <w:r w:rsidR="00B41BA1" w:rsidRPr="00D71401">
        <w:t>for sponsorship:</w:t>
      </w:r>
    </w:p>
    <w:p w14:paraId="694F9323" w14:textId="55E538D0" w:rsidR="00B41BA1" w:rsidRPr="00D71401" w:rsidRDefault="00B41BA1" w:rsidP="0038317F">
      <w:pPr>
        <w:pStyle w:val="ListParagraph"/>
        <w:numPr>
          <w:ilvl w:val="0"/>
          <w:numId w:val="8"/>
        </w:numPr>
        <w:ind w:left="720"/>
        <w:rPr>
          <w:lang w:eastAsia="en-AU"/>
        </w:rPr>
      </w:pPr>
      <w:r w:rsidRPr="00D71401">
        <w:rPr>
          <w:lang w:eastAsia="en-AU"/>
        </w:rPr>
        <w:t xml:space="preserve">activities </w:t>
      </w:r>
      <w:r w:rsidRPr="00D71401">
        <w:t>aimed</w:t>
      </w:r>
      <w:r w:rsidRPr="00D71401">
        <w:rPr>
          <w:lang w:eastAsia="en-AU"/>
        </w:rPr>
        <w:t xml:space="preserve"> at delivering or replacing core </w:t>
      </w:r>
      <w:r w:rsidR="00BE1F11" w:rsidRPr="00D71401">
        <w:rPr>
          <w:lang w:eastAsia="en-AU"/>
        </w:rPr>
        <w:t>Departmental</w:t>
      </w:r>
      <w:r w:rsidR="00680FB3" w:rsidRPr="00D71401">
        <w:rPr>
          <w:lang w:eastAsia="en-AU"/>
        </w:rPr>
        <w:t xml:space="preserve">, school </w:t>
      </w:r>
      <w:r w:rsidRPr="00D71401">
        <w:rPr>
          <w:lang w:eastAsia="en-AU"/>
        </w:rPr>
        <w:t xml:space="preserve">or agency services </w:t>
      </w:r>
    </w:p>
    <w:p w14:paraId="50939360" w14:textId="66065716" w:rsidR="0065401A" w:rsidRDefault="00B41BA1" w:rsidP="0038317F">
      <w:pPr>
        <w:pStyle w:val="ListParagraph"/>
        <w:numPr>
          <w:ilvl w:val="0"/>
          <w:numId w:val="8"/>
        </w:numPr>
        <w:ind w:left="720"/>
        <w:rPr>
          <w:lang w:eastAsia="en-AU"/>
        </w:rPr>
      </w:pPr>
      <w:r w:rsidRPr="00D71401">
        <w:t>activities</w:t>
      </w:r>
      <w:r w:rsidRPr="00D71401">
        <w:rPr>
          <w:lang w:eastAsia="en-AU"/>
        </w:rPr>
        <w:t xml:space="preserve"> or sponsorship partners whose values, products, purposes or objectives are inconsistent with </w:t>
      </w:r>
      <w:r w:rsidR="00731783" w:rsidRPr="00D71401">
        <w:rPr>
          <w:lang w:eastAsia="en-AU"/>
        </w:rPr>
        <w:t>the Department</w:t>
      </w:r>
      <w:r w:rsidR="003B605E" w:rsidRPr="00D71401">
        <w:rPr>
          <w:lang w:eastAsia="en-AU"/>
        </w:rPr>
        <w:t>’</w:t>
      </w:r>
      <w:r w:rsidR="00731783" w:rsidRPr="00D71401">
        <w:rPr>
          <w:lang w:eastAsia="en-AU"/>
        </w:rPr>
        <w:t xml:space="preserve">s </w:t>
      </w:r>
      <w:r w:rsidRPr="00D71401">
        <w:rPr>
          <w:lang w:eastAsia="en-AU"/>
        </w:rPr>
        <w:t>policies, v</w:t>
      </w:r>
      <w:r w:rsidR="00B56D3B">
        <w:rPr>
          <w:lang w:eastAsia="en-AU"/>
        </w:rPr>
        <w:t>alues, priorities or objectives.</w:t>
      </w:r>
    </w:p>
    <w:p w14:paraId="1FC26142" w14:textId="3F0737FC" w:rsidR="0065401A" w:rsidRPr="006D1BC5" w:rsidRDefault="0065401A" w:rsidP="0038317F">
      <w:pPr>
        <w:pStyle w:val="ListParagraph"/>
        <w:numPr>
          <w:ilvl w:val="0"/>
          <w:numId w:val="8"/>
        </w:numPr>
        <w:ind w:left="720"/>
        <w:rPr>
          <w:lang w:eastAsia="en-AU"/>
        </w:rPr>
      </w:pPr>
      <w:r w:rsidRPr="006D1BC5">
        <w:rPr>
          <w:lang w:eastAsia="en-AU"/>
        </w:rPr>
        <w:t xml:space="preserve">political parties, tobacco companies, gaming venues, companies </w:t>
      </w:r>
      <w:r w:rsidR="00020CD6" w:rsidRPr="00020CD6">
        <w:rPr>
          <w:lang w:eastAsia="en-AU"/>
        </w:rPr>
        <w:t>involved in the sale or promotion of alcohol</w:t>
      </w:r>
      <w:r w:rsidRPr="006D1BC5">
        <w:rPr>
          <w:lang w:eastAsia="en-AU"/>
        </w:rPr>
        <w:t xml:space="preserve">, </w:t>
      </w:r>
      <w:r w:rsidR="00020CD6">
        <w:t>or</w:t>
      </w:r>
      <w:r w:rsidRPr="006D1BC5">
        <w:rPr>
          <w:lang w:eastAsia="en-AU"/>
        </w:rPr>
        <w:t xml:space="preserve"> involved in the sale/promotion of firearms</w:t>
      </w:r>
    </w:p>
    <w:p w14:paraId="129E5F70" w14:textId="77777777" w:rsidR="00B41BA1" w:rsidRPr="00D71401" w:rsidRDefault="00B41BA1" w:rsidP="0038317F">
      <w:pPr>
        <w:pStyle w:val="ListParagraph"/>
        <w:numPr>
          <w:ilvl w:val="0"/>
          <w:numId w:val="8"/>
        </w:numPr>
        <w:ind w:left="720"/>
        <w:rPr>
          <w:lang w:eastAsia="en-AU"/>
        </w:rPr>
      </w:pPr>
      <w:r w:rsidRPr="00D71401">
        <w:t>companies</w:t>
      </w:r>
      <w:r w:rsidRPr="00D71401">
        <w:rPr>
          <w:lang w:eastAsia="en-AU"/>
        </w:rPr>
        <w:t xml:space="preserve"> that encourage unhealthy food choices by young people</w:t>
      </w:r>
    </w:p>
    <w:p w14:paraId="60C00AA0" w14:textId="77777777" w:rsidR="00B41BA1" w:rsidRPr="00D71401" w:rsidRDefault="00B41BA1" w:rsidP="0038317F">
      <w:pPr>
        <w:pStyle w:val="ListParagraph"/>
        <w:numPr>
          <w:ilvl w:val="0"/>
          <w:numId w:val="8"/>
        </w:numPr>
        <w:ind w:left="720"/>
        <w:rPr>
          <w:lang w:eastAsia="en-AU"/>
        </w:rPr>
      </w:pPr>
      <w:r w:rsidRPr="00D71401">
        <w:t>religious</w:t>
      </w:r>
      <w:r w:rsidRPr="00D71401">
        <w:rPr>
          <w:lang w:eastAsia="en-AU"/>
        </w:rPr>
        <w:t xml:space="preserve"> organisations or religious activities </w:t>
      </w:r>
    </w:p>
    <w:p w14:paraId="42648C25" w14:textId="77453975" w:rsidR="00B41BA1" w:rsidRPr="00D71401" w:rsidRDefault="00D67890" w:rsidP="0038317F">
      <w:pPr>
        <w:pStyle w:val="ListParagraph"/>
        <w:numPr>
          <w:ilvl w:val="0"/>
          <w:numId w:val="8"/>
        </w:numPr>
        <w:ind w:left="720"/>
        <w:rPr>
          <w:lang w:eastAsia="en-AU"/>
        </w:rPr>
      </w:pPr>
      <w:r>
        <w:rPr>
          <w:lang w:eastAsia="en-AU"/>
        </w:rPr>
        <w:t xml:space="preserve">unregistered </w:t>
      </w:r>
      <w:r w:rsidR="00B41BA1" w:rsidRPr="00D71401">
        <w:rPr>
          <w:lang w:eastAsia="en-AU"/>
        </w:rPr>
        <w:t>charities and not-for-profit organisations</w:t>
      </w:r>
      <w:r w:rsidR="006A3506" w:rsidRPr="00D71401">
        <w:rPr>
          <w:lang w:eastAsia="en-AU"/>
        </w:rPr>
        <w:t xml:space="preserve">, </w:t>
      </w:r>
      <w:r w:rsidR="00B41BA1" w:rsidRPr="00D71401">
        <w:rPr>
          <w:lang w:eastAsia="en-AU"/>
        </w:rPr>
        <w:t>including those not registered with the Australian Charities and Not-for-profits Commission</w:t>
      </w:r>
    </w:p>
    <w:p w14:paraId="26613020" w14:textId="77777777" w:rsidR="00B41BA1" w:rsidRPr="00D71401" w:rsidRDefault="00B41BA1" w:rsidP="0038317F">
      <w:pPr>
        <w:pStyle w:val="ListParagraph"/>
        <w:numPr>
          <w:ilvl w:val="0"/>
          <w:numId w:val="8"/>
        </w:numPr>
        <w:ind w:left="720"/>
        <w:rPr>
          <w:lang w:eastAsia="en-AU"/>
        </w:rPr>
      </w:pPr>
      <w:r w:rsidRPr="00D71401">
        <w:t>organisations</w:t>
      </w:r>
      <w:r w:rsidRPr="00D71401">
        <w:rPr>
          <w:lang w:eastAsia="en-AU"/>
        </w:rPr>
        <w:t xml:space="preserve"> or companies that are financially unsound or unstable (see section on implementing effective risk management) </w:t>
      </w:r>
    </w:p>
    <w:p w14:paraId="797FF671" w14:textId="3C699051" w:rsidR="00B41BA1" w:rsidRPr="00D71401" w:rsidRDefault="00B41BA1" w:rsidP="0038317F">
      <w:pPr>
        <w:pStyle w:val="ListParagraph"/>
        <w:numPr>
          <w:ilvl w:val="0"/>
          <w:numId w:val="8"/>
        </w:numPr>
        <w:ind w:left="720"/>
        <w:rPr>
          <w:lang w:eastAsia="en-AU"/>
        </w:rPr>
      </w:pPr>
      <w:r w:rsidRPr="00D71401">
        <w:t>agencies</w:t>
      </w:r>
      <w:r w:rsidRPr="00D71401">
        <w:rPr>
          <w:lang w:eastAsia="en-AU"/>
        </w:rPr>
        <w:t xml:space="preserve"> with inspectorial or regulatory powers over </w:t>
      </w:r>
      <w:r w:rsidR="00731783" w:rsidRPr="00D71401">
        <w:rPr>
          <w:lang w:eastAsia="en-AU"/>
        </w:rPr>
        <w:t>the Department</w:t>
      </w:r>
      <w:r w:rsidR="003B605E" w:rsidRPr="00D71401">
        <w:rPr>
          <w:lang w:eastAsia="en-AU"/>
        </w:rPr>
        <w:t xml:space="preserve"> </w:t>
      </w:r>
    </w:p>
    <w:p w14:paraId="3D1E3D72" w14:textId="5E8719FC" w:rsidR="00B41BA1" w:rsidRPr="00D71401" w:rsidRDefault="00B41BA1" w:rsidP="0038317F">
      <w:pPr>
        <w:pStyle w:val="ListParagraph"/>
        <w:numPr>
          <w:ilvl w:val="0"/>
          <w:numId w:val="8"/>
        </w:numPr>
        <w:ind w:left="720"/>
        <w:rPr>
          <w:lang w:eastAsia="en-AU"/>
        </w:rPr>
      </w:pPr>
      <w:r w:rsidRPr="00D71401">
        <w:rPr>
          <w:lang w:eastAsia="en-AU"/>
        </w:rPr>
        <w:t xml:space="preserve">any </w:t>
      </w:r>
      <w:r w:rsidRPr="00D71401">
        <w:t>activity</w:t>
      </w:r>
      <w:r w:rsidRPr="00D71401">
        <w:rPr>
          <w:lang w:eastAsia="en-AU"/>
        </w:rPr>
        <w:t xml:space="preserve"> or organisation seeking for </w:t>
      </w:r>
      <w:r w:rsidR="00731783" w:rsidRPr="00D71401">
        <w:rPr>
          <w:lang w:eastAsia="en-AU"/>
        </w:rPr>
        <w:t xml:space="preserve">the Department </w:t>
      </w:r>
      <w:r w:rsidRPr="00D71401">
        <w:rPr>
          <w:lang w:eastAsia="en-AU"/>
        </w:rPr>
        <w:t xml:space="preserve">to directly endorse or promote its products and/or services </w:t>
      </w:r>
    </w:p>
    <w:p w14:paraId="4C280393" w14:textId="55E12E9D" w:rsidR="00B41BA1" w:rsidRPr="00D71401" w:rsidRDefault="00B41BA1" w:rsidP="0038317F">
      <w:pPr>
        <w:pStyle w:val="ListParagraph"/>
        <w:numPr>
          <w:ilvl w:val="0"/>
          <w:numId w:val="8"/>
        </w:numPr>
        <w:ind w:left="720"/>
        <w:rPr>
          <w:iCs/>
        </w:rPr>
      </w:pPr>
      <w:r w:rsidRPr="00D71401">
        <w:rPr>
          <w:lang w:eastAsia="en-AU"/>
        </w:rPr>
        <w:t xml:space="preserve">any </w:t>
      </w:r>
      <w:r w:rsidRPr="00D71401">
        <w:t>activity</w:t>
      </w:r>
      <w:r w:rsidRPr="00D71401">
        <w:rPr>
          <w:lang w:eastAsia="en-AU"/>
        </w:rPr>
        <w:t xml:space="preserve"> in breach of the </w:t>
      </w:r>
      <w:hyperlink r:id="rId27" w:history="1">
        <w:r w:rsidRPr="00D71401">
          <w:rPr>
            <w:rStyle w:val="Hyperlink"/>
            <w:lang w:val="en-GB"/>
          </w:rPr>
          <w:t xml:space="preserve">Code of Conduct for Victorian Public Sector </w:t>
        </w:r>
        <w:r w:rsidR="00E74991">
          <w:rPr>
            <w:rStyle w:val="Hyperlink"/>
            <w:lang w:val="en-GB"/>
          </w:rPr>
          <w:t>E</w:t>
        </w:r>
        <w:r w:rsidRPr="00D71401">
          <w:rPr>
            <w:rStyle w:val="Hyperlink"/>
            <w:lang w:val="en-GB"/>
          </w:rPr>
          <w:t>mployees</w:t>
        </w:r>
      </w:hyperlink>
      <w:r w:rsidR="00DC06E5" w:rsidRPr="00D71401">
        <w:rPr>
          <w:rStyle w:val="Hyperlink"/>
          <w:color w:val="auto"/>
          <w:u w:val="none"/>
          <w:lang w:val="en-GB"/>
        </w:rPr>
        <w:t>.</w:t>
      </w:r>
      <w:r w:rsidRPr="00D71401">
        <w:rPr>
          <w:rStyle w:val="Hyperlink"/>
          <w:color w:val="auto"/>
          <w:lang w:val="en-GB"/>
        </w:rPr>
        <w:t xml:space="preserve"> </w:t>
      </w:r>
    </w:p>
    <w:p w14:paraId="4C52C57B" w14:textId="3ABBAE6F" w:rsidR="00442BB5" w:rsidRPr="00D71401" w:rsidRDefault="00442BB5" w:rsidP="006562BC">
      <w:pPr>
        <w:pStyle w:val="ESBodyText"/>
        <w:ind w:left="357"/>
        <w:rPr>
          <w:lang w:eastAsia="en-AU"/>
        </w:rPr>
      </w:pPr>
      <w:r w:rsidRPr="00D71401">
        <w:rPr>
          <w:lang w:eastAsia="en-AU"/>
        </w:rPr>
        <w:t xml:space="preserve">Commercial organisations can be considered for </w:t>
      </w:r>
      <w:r w:rsidRPr="00D71401">
        <w:rPr>
          <w:b/>
          <w:lang w:eastAsia="en-AU"/>
        </w:rPr>
        <w:t>incoming</w:t>
      </w:r>
      <w:r w:rsidRPr="00D71401">
        <w:rPr>
          <w:lang w:eastAsia="en-AU"/>
        </w:rPr>
        <w:t xml:space="preserve"> sponsorships if the organisation is not associated </w:t>
      </w:r>
      <w:r w:rsidR="00DC06E5" w:rsidRPr="00D71401">
        <w:rPr>
          <w:lang w:eastAsia="en-AU"/>
        </w:rPr>
        <w:t>with an</w:t>
      </w:r>
      <w:r w:rsidRPr="00D71401">
        <w:rPr>
          <w:lang w:eastAsia="en-AU"/>
        </w:rPr>
        <w:t xml:space="preserve"> </w:t>
      </w:r>
      <w:r w:rsidRPr="00D71401">
        <w:t>inappropriate</w:t>
      </w:r>
      <w:r w:rsidRPr="00D71401">
        <w:rPr>
          <w:lang w:eastAsia="en-AU"/>
        </w:rPr>
        <w:t xml:space="preserve"> activity listed above. </w:t>
      </w:r>
    </w:p>
    <w:p w14:paraId="77D37E7B" w14:textId="61163B62" w:rsidR="00D25BDE" w:rsidRPr="00D71401" w:rsidRDefault="00B41BA1" w:rsidP="006562BC">
      <w:pPr>
        <w:pStyle w:val="ESBodyText"/>
        <w:ind w:left="357"/>
        <w:rPr>
          <w:lang w:eastAsia="en-AU"/>
        </w:rPr>
      </w:pPr>
      <w:r w:rsidRPr="00D71401">
        <w:rPr>
          <w:iCs/>
        </w:rPr>
        <w:t xml:space="preserve">For </w:t>
      </w:r>
      <w:r w:rsidRPr="00D71401">
        <w:rPr>
          <w:b/>
          <w:iCs/>
        </w:rPr>
        <w:t>outgoing</w:t>
      </w:r>
      <w:r w:rsidRPr="00D71401">
        <w:rPr>
          <w:iCs/>
        </w:rPr>
        <w:t xml:space="preserve"> </w:t>
      </w:r>
      <w:r w:rsidRPr="00D71401">
        <w:t>sponsorships</w:t>
      </w:r>
      <w:r w:rsidR="00D25BDE" w:rsidRPr="00D71401">
        <w:rPr>
          <w:iCs/>
        </w:rPr>
        <w:t>,</w:t>
      </w:r>
      <w:r w:rsidRPr="00D71401">
        <w:rPr>
          <w:iCs/>
        </w:rPr>
        <w:t xml:space="preserve"> </w:t>
      </w:r>
      <w:r w:rsidR="00731783" w:rsidRPr="00D71401">
        <w:rPr>
          <w:iCs/>
        </w:rPr>
        <w:t xml:space="preserve">commercial </w:t>
      </w:r>
      <w:r w:rsidRPr="00D71401">
        <w:rPr>
          <w:lang w:eastAsia="en-AU"/>
        </w:rPr>
        <w:t xml:space="preserve">organisations </w:t>
      </w:r>
      <w:r w:rsidR="0056771D">
        <w:rPr>
          <w:lang w:eastAsia="en-AU"/>
        </w:rPr>
        <w:t xml:space="preserve">(excluding media organisations) </w:t>
      </w:r>
      <w:r w:rsidRPr="00D71401">
        <w:rPr>
          <w:lang w:eastAsia="en-AU"/>
        </w:rPr>
        <w:t>are not considered suitable candidates fo</w:t>
      </w:r>
      <w:r w:rsidR="00967211" w:rsidRPr="00D71401">
        <w:rPr>
          <w:lang w:eastAsia="en-AU"/>
        </w:rPr>
        <w:t>r the Department</w:t>
      </w:r>
      <w:r w:rsidR="00F41CF7">
        <w:rPr>
          <w:lang w:eastAsia="en-AU"/>
        </w:rPr>
        <w:t>.</w:t>
      </w:r>
      <w:r w:rsidR="00967211" w:rsidRPr="00D71401">
        <w:rPr>
          <w:lang w:eastAsia="en-AU"/>
        </w:rPr>
        <w:t xml:space="preserve"> </w:t>
      </w:r>
    </w:p>
    <w:p w14:paraId="04AE5A50" w14:textId="30F0F6BF" w:rsidR="000200C6" w:rsidRPr="00D71401" w:rsidRDefault="000200C6" w:rsidP="00571E6B">
      <w:pPr>
        <w:pStyle w:val="Heading3"/>
        <w:ind w:left="360"/>
      </w:pPr>
      <w:r w:rsidRPr="00D71401">
        <w:t xml:space="preserve">Open and effective competition </w:t>
      </w:r>
    </w:p>
    <w:p w14:paraId="487F3814" w14:textId="7B84796A" w:rsidR="00442BB5" w:rsidRPr="00D71401" w:rsidRDefault="000200C6" w:rsidP="006562BC">
      <w:pPr>
        <w:pStyle w:val="ESBodyText"/>
        <w:ind w:left="357"/>
      </w:pPr>
      <w:r w:rsidRPr="00D71401">
        <w:t xml:space="preserve">Open and effective competition is a key principle underpinning </w:t>
      </w:r>
      <w:r w:rsidR="00442BB5" w:rsidRPr="00D71401">
        <w:t xml:space="preserve">Departmental activities, and </w:t>
      </w:r>
      <w:r w:rsidR="00BB5002" w:rsidRPr="00D71401">
        <w:t xml:space="preserve">potential </w:t>
      </w:r>
      <w:r w:rsidR="00731783" w:rsidRPr="00D71401">
        <w:t>sponsor</w:t>
      </w:r>
      <w:r w:rsidR="00BB5002" w:rsidRPr="00D71401">
        <w:t xml:space="preserve">s for </w:t>
      </w:r>
      <w:r w:rsidR="00731783" w:rsidRPr="00D71401">
        <w:t xml:space="preserve">the Department, agencies or schools should be </w:t>
      </w:r>
      <w:r w:rsidR="00BB5002" w:rsidRPr="00D71401">
        <w:t xml:space="preserve">given a genuine opportunity </w:t>
      </w:r>
      <w:r w:rsidR="00442BB5" w:rsidRPr="00D71401">
        <w:t>to be selected</w:t>
      </w:r>
      <w:r w:rsidR="00BB5002" w:rsidRPr="00D71401">
        <w:t xml:space="preserve">. </w:t>
      </w:r>
    </w:p>
    <w:p w14:paraId="6A6CB815" w14:textId="574588A2" w:rsidR="00442BB5" w:rsidRDefault="009C7342" w:rsidP="006562BC">
      <w:pPr>
        <w:pStyle w:val="ESBodyText"/>
        <w:ind w:left="357"/>
      </w:pPr>
      <w:r>
        <w:t xml:space="preserve">If you receive a request for either incoming or outgoing sponsorships, part of your consideration should be evaluating whether there are other organisations in the sector or your local community who should also be given the opportunity. </w:t>
      </w:r>
    </w:p>
    <w:p w14:paraId="306F768C" w14:textId="1E9FA02B" w:rsidR="00F244CA" w:rsidRDefault="00F244CA" w:rsidP="006562BC">
      <w:pPr>
        <w:pStyle w:val="ESBodyText"/>
        <w:ind w:left="357"/>
      </w:pPr>
    </w:p>
    <w:p w14:paraId="6CD04F82" w14:textId="03909B4F" w:rsidR="00F244CA" w:rsidRDefault="00F244CA" w:rsidP="006562BC">
      <w:pPr>
        <w:pStyle w:val="ESBodyText"/>
        <w:ind w:left="357"/>
      </w:pPr>
    </w:p>
    <w:p w14:paraId="5DA2D919" w14:textId="411F3FCF" w:rsidR="00CF6D5D" w:rsidRDefault="00CF6D5D" w:rsidP="006562BC">
      <w:pPr>
        <w:pStyle w:val="ESBodyText"/>
        <w:ind w:left="357"/>
      </w:pPr>
    </w:p>
    <w:p w14:paraId="66DFC230" w14:textId="5BDA822B" w:rsidR="00CF6D5D" w:rsidRDefault="00CF6D5D" w:rsidP="006562BC">
      <w:pPr>
        <w:pStyle w:val="ESBodyText"/>
        <w:ind w:left="357"/>
      </w:pPr>
    </w:p>
    <w:p w14:paraId="68C0938B" w14:textId="77777777" w:rsidR="00CF6D5D" w:rsidRDefault="00CF6D5D" w:rsidP="006562BC">
      <w:pPr>
        <w:pStyle w:val="ESBodyText"/>
        <w:ind w:left="357"/>
      </w:pPr>
    </w:p>
    <w:p w14:paraId="69E88A10" w14:textId="68D3AE0E" w:rsidR="000200C6" w:rsidRPr="00D71401" w:rsidRDefault="000200C6" w:rsidP="00571E6B">
      <w:pPr>
        <w:pStyle w:val="Heading3"/>
        <w:ind w:left="360"/>
      </w:pPr>
      <w:r w:rsidRPr="00D71401">
        <w:t xml:space="preserve">Ethical behaviour and fair dealing </w:t>
      </w:r>
    </w:p>
    <w:p w14:paraId="138813C7" w14:textId="12D347AB" w:rsidR="009D7306" w:rsidRPr="00D71401" w:rsidRDefault="009D7306" w:rsidP="006562BC">
      <w:pPr>
        <w:pStyle w:val="ESBodyText"/>
        <w:ind w:left="357"/>
      </w:pPr>
      <w:r w:rsidRPr="00D71401">
        <w:t xml:space="preserve">Participation in sponsorship (including those with advertising) should not place undue pressure on </w:t>
      </w:r>
      <w:r w:rsidR="00967211" w:rsidRPr="00D71401">
        <w:t xml:space="preserve">employees, parents, </w:t>
      </w:r>
      <w:r w:rsidRPr="00D71401">
        <w:t xml:space="preserve">students </w:t>
      </w:r>
      <w:r w:rsidR="00967211" w:rsidRPr="00D71401">
        <w:t xml:space="preserve">or school communities </w:t>
      </w:r>
      <w:r w:rsidRPr="00D71401">
        <w:t>to purchase particular good</w:t>
      </w:r>
      <w:r w:rsidR="00967211" w:rsidRPr="00D71401">
        <w:t>s</w:t>
      </w:r>
      <w:r w:rsidRPr="00D71401">
        <w:t xml:space="preserve"> or services, subscribe to particular beliefs or attitudes, or undertake certain activities or actions. </w:t>
      </w:r>
    </w:p>
    <w:p w14:paraId="01B88BF7" w14:textId="06B9A039" w:rsidR="009D7306" w:rsidRPr="00D71401" w:rsidRDefault="00D621C4" w:rsidP="006562BC">
      <w:pPr>
        <w:pStyle w:val="ESBodyText"/>
        <w:ind w:left="357"/>
      </w:pPr>
      <w:r w:rsidRPr="00D71401">
        <w:t>Everyone involved in making decisions about or managing sponsorships must behave ethically and fairly</w:t>
      </w:r>
      <w:r w:rsidR="00224662" w:rsidRPr="00D71401">
        <w:t xml:space="preserve"> and</w:t>
      </w:r>
      <w:r w:rsidR="009D7306" w:rsidRPr="00D71401">
        <w:t xml:space="preserve">: </w:t>
      </w:r>
    </w:p>
    <w:p w14:paraId="1540ABFC" w14:textId="626CFC76" w:rsidR="00D621C4" w:rsidRPr="00D71401" w:rsidRDefault="00D621C4" w:rsidP="0038317F">
      <w:pPr>
        <w:pStyle w:val="ListParagraph"/>
        <w:numPr>
          <w:ilvl w:val="0"/>
          <w:numId w:val="8"/>
        </w:numPr>
        <w:ind w:left="720"/>
      </w:pPr>
      <w:r w:rsidRPr="00D71401">
        <w:t xml:space="preserve">declare </w:t>
      </w:r>
      <w:r w:rsidR="00E74991">
        <w:t xml:space="preserve">and avoid </w:t>
      </w:r>
      <w:r w:rsidRPr="00D71401">
        <w:t>conflicts of interest</w:t>
      </w:r>
    </w:p>
    <w:p w14:paraId="51181187" w14:textId="41BD41A3" w:rsidR="00D621C4" w:rsidRPr="00D71401" w:rsidRDefault="00D621C4" w:rsidP="0038317F">
      <w:pPr>
        <w:pStyle w:val="ListParagraph"/>
        <w:numPr>
          <w:ilvl w:val="0"/>
          <w:numId w:val="8"/>
        </w:numPr>
        <w:ind w:left="720"/>
      </w:pPr>
      <w:r w:rsidRPr="00D71401">
        <w:t xml:space="preserve">refuse gifts, invitations to events and functions, or other favours if offered as part of sponsorship </w:t>
      </w:r>
      <w:r w:rsidR="00224662" w:rsidRPr="00D71401">
        <w:t>negotiations</w:t>
      </w:r>
    </w:p>
    <w:p w14:paraId="22363E83" w14:textId="12EC022D" w:rsidR="00D621C4" w:rsidRPr="00D71401" w:rsidRDefault="00D621C4" w:rsidP="0038317F">
      <w:pPr>
        <w:pStyle w:val="ListParagraph"/>
        <w:numPr>
          <w:ilvl w:val="0"/>
          <w:numId w:val="8"/>
        </w:numPr>
        <w:ind w:left="720"/>
      </w:pPr>
      <w:r w:rsidRPr="00D71401">
        <w:t>maintain confidentiality with respect to commercial-in-confidence, intellectual property issues, matters under negotiation and any other confidential information</w:t>
      </w:r>
    </w:p>
    <w:p w14:paraId="263ED504" w14:textId="787D517C" w:rsidR="00224662" w:rsidRPr="00D71401" w:rsidRDefault="00224662" w:rsidP="0038317F">
      <w:pPr>
        <w:pStyle w:val="ListParagraph"/>
        <w:numPr>
          <w:ilvl w:val="0"/>
          <w:numId w:val="8"/>
        </w:numPr>
        <w:ind w:left="720"/>
      </w:pPr>
      <w:r w:rsidRPr="00D71401">
        <w:t xml:space="preserve">maintain high standards of </w:t>
      </w:r>
      <w:r w:rsidR="00967211" w:rsidRPr="00D71401">
        <w:t xml:space="preserve">transparency and </w:t>
      </w:r>
      <w:r w:rsidRPr="00D71401">
        <w:t>accountability</w:t>
      </w:r>
    </w:p>
    <w:p w14:paraId="08943818" w14:textId="77777777" w:rsidR="00E74991" w:rsidRDefault="00224662" w:rsidP="0038317F">
      <w:pPr>
        <w:pStyle w:val="ListParagraph"/>
        <w:numPr>
          <w:ilvl w:val="0"/>
          <w:numId w:val="8"/>
        </w:numPr>
        <w:ind w:left="720"/>
      </w:pPr>
      <w:r w:rsidRPr="00D71401">
        <w:t>names or addresses of Departmental, school or agency employees</w:t>
      </w:r>
      <w:r w:rsidR="00967211" w:rsidRPr="00D71401">
        <w:t xml:space="preserve"> or school council members</w:t>
      </w:r>
      <w:r w:rsidRPr="00D71401">
        <w:t xml:space="preserve"> </w:t>
      </w:r>
      <w:r w:rsidR="00D67890">
        <w:t xml:space="preserve">or students and their families </w:t>
      </w:r>
      <w:r w:rsidRPr="00D71401">
        <w:t>must not be provided to an organisation or business as a benefit of sponsorship</w:t>
      </w:r>
    </w:p>
    <w:p w14:paraId="16124EE0" w14:textId="4F096144" w:rsidR="00D621C4" w:rsidRPr="00D71401" w:rsidRDefault="00E74991" w:rsidP="0038317F">
      <w:pPr>
        <w:pStyle w:val="ListParagraph"/>
        <w:numPr>
          <w:ilvl w:val="0"/>
          <w:numId w:val="8"/>
        </w:numPr>
        <w:ind w:left="720"/>
      </w:pPr>
      <w:r>
        <w:rPr>
          <w:lang w:eastAsia="en-AU"/>
        </w:rPr>
        <w:t>comply with</w:t>
      </w:r>
      <w:r w:rsidRPr="00D71401">
        <w:rPr>
          <w:lang w:eastAsia="en-AU"/>
        </w:rPr>
        <w:t xml:space="preserve"> the </w:t>
      </w:r>
      <w:hyperlink r:id="rId28" w:history="1">
        <w:r w:rsidRPr="00D71401">
          <w:rPr>
            <w:rStyle w:val="Hyperlink"/>
            <w:lang w:val="en-GB"/>
          </w:rPr>
          <w:t>Code of Condu</w:t>
        </w:r>
        <w:r>
          <w:rPr>
            <w:rStyle w:val="Hyperlink"/>
            <w:lang w:val="en-GB"/>
          </w:rPr>
          <w:t>ct for Victorian Public Sector E</w:t>
        </w:r>
        <w:r w:rsidRPr="00D71401">
          <w:rPr>
            <w:rStyle w:val="Hyperlink"/>
            <w:lang w:val="en-GB"/>
          </w:rPr>
          <w:t>mployees</w:t>
        </w:r>
      </w:hyperlink>
      <w:r w:rsidR="00224662" w:rsidRPr="00D71401">
        <w:t>.</w:t>
      </w:r>
    </w:p>
    <w:p w14:paraId="04E3A705" w14:textId="3B165811" w:rsidR="00FF0B75" w:rsidRPr="00D71401" w:rsidRDefault="00D71401" w:rsidP="0038317F">
      <w:pPr>
        <w:pStyle w:val="ESHeading2"/>
        <w:numPr>
          <w:ilvl w:val="0"/>
          <w:numId w:val="11"/>
        </w:numPr>
      </w:pPr>
      <w:bookmarkStart w:id="29" w:name="_Toc320614054"/>
      <w:bookmarkStart w:id="30" w:name="_Ref329951563"/>
      <w:bookmarkStart w:id="31" w:name="_Ref330200513"/>
      <w:bookmarkStart w:id="32" w:name="_Toc7430038"/>
      <w:r>
        <w:t>Achieving e</w:t>
      </w:r>
      <w:r w:rsidR="00FF0B75" w:rsidRPr="00D71401">
        <w:t xml:space="preserve">fficiency and </w:t>
      </w:r>
      <w:r>
        <w:t>e</w:t>
      </w:r>
      <w:r w:rsidR="00FF0B75" w:rsidRPr="00D71401">
        <w:t>ffectiveness</w:t>
      </w:r>
      <w:bookmarkEnd w:id="29"/>
      <w:bookmarkEnd w:id="30"/>
      <w:bookmarkEnd w:id="31"/>
      <w:bookmarkEnd w:id="32"/>
      <w:r w:rsidR="00FF0B75" w:rsidRPr="00D71401">
        <w:t xml:space="preserve"> </w:t>
      </w:r>
    </w:p>
    <w:p w14:paraId="2C8B13CE" w14:textId="77777777" w:rsidR="00FF0B75" w:rsidRPr="00D71401" w:rsidRDefault="00FF0B75" w:rsidP="00FF0B75">
      <w:pPr>
        <w:pStyle w:val="Heading3"/>
        <w:ind w:left="360"/>
      </w:pPr>
      <w:r w:rsidRPr="00D71401">
        <w:t xml:space="preserve">Value for money </w:t>
      </w:r>
    </w:p>
    <w:p w14:paraId="6E838705" w14:textId="6CC02861" w:rsidR="00FF0B75" w:rsidRPr="00D71401" w:rsidRDefault="00FF0B75" w:rsidP="006562BC">
      <w:pPr>
        <w:pStyle w:val="ESBodyText"/>
        <w:ind w:left="357"/>
      </w:pPr>
      <w:r w:rsidRPr="00D71401">
        <w:t xml:space="preserve">Value for money is not necessarily about the highest or lowest dollar amount, but rather the best possible outcome that can be achieved using the available resources. For example, a sponsorship proposal may demonstrate good value for money because it </w:t>
      </w:r>
      <w:r w:rsidR="009C7342">
        <w:t xml:space="preserve">helps you reach a </w:t>
      </w:r>
      <w:r w:rsidRPr="00D71401">
        <w:t xml:space="preserve">key audience or because it offers an extremely low risk activity or association. </w:t>
      </w:r>
    </w:p>
    <w:p w14:paraId="3CB9E76D" w14:textId="54666E51" w:rsidR="00FF0B75" w:rsidRPr="00D71401" w:rsidRDefault="00FF0B75" w:rsidP="006562BC">
      <w:pPr>
        <w:pStyle w:val="ESBodyText"/>
        <w:ind w:left="357"/>
      </w:pPr>
      <w:r w:rsidRPr="00D71401">
        <w:t xml:space="preserve">Another issue to consider is duplication across the Department and Government. It may not be efficient if two or more divisions within the Department are providing sponsorship to the same organisation. </w:t>
      </w:r>
      <w:r w:rsidR="009C7342">
        <w:t>It is best practice to ask sponsors who their current sponsors are (or who else they are sponsoring).</w:t>
      </w:r>
    </w:p>
    <w:p w14:paraId="42F02826" w14:textId="1C940DE6" w:rsidR="00FF0B75" w:rsidRPr="00D71401" w:rsidRDefault="00FF0B75" w:rsidP="006562BC">
      <w:pPr>
        <w:pStyle w:val="ESBodyText"/>
        <w:ind w:left="357"/>
      </w:pPr>
      <w:r w:rsidRPr="00D71401">
        <w:t xml:space="preserve">It </w:t>
      </w:r>
      <w:r w:rsidR="006562BC" w:rsidRPr="00D71401">
        <w:t>is</w:t>
      </w:r>
      <w:r w:rsidRPr="00D71401">
        <w:t xml:space="preserve"> useful to know if another school, agency or division is attempting to secure sponsorship fro</w:t>
      </w:r>
      <w:r w:rsidR="006562BC" w:rsidRPr="00D71401">
        <w:t xml:space="preserve">m the same organisation as </w:t>
      </w:r>
      <w:r w:rsidR="00F41CF7">
        <w:t>you, which is why all corporate</w:t>
      </w:r>
      <w:r w:rsidR="006562BC" w:rsidRPr="00D71401">
        <w:t xml:space="preserve"> and high-value school sponsorships</w:t>
      </w:r>
      <w:r w:rsidR="00F41CF7">
        <w:t xml:space="preserve"> (see below for thresholds)</w:t>
      </w:r>
      <w:r w:rsidR="006562BC" w:rsidRPr="00D71401">
        <w:t xml:space="preserve"> need to be registered on a sponsorship register, managed by the Department’s Communications Division.</w:t>
      </w:r>
    </w:p>
    <w:p w14:paraId="09074A58" w14:textId="4165A7FA" w:rsidR="00FF0B75" w:rsidRPr="00D71401" w:rsidRDefault="00FF0B75" w:rsidP="0038317F">
      <w:pPr>
        <w:pStyle w:val="ESHeading2"/>
        <w:numPr>
          <w:ilvl w:val="0"/>
          <w:numId w:val="11"/>
        </w:numPr>
      </w:pPr>
      <w:bookmarkStart w:id="33" w:name="_Toc7430039"/>
      <w:r w:rsidRPr="00D71401">
        <w:t>M</w:t>
      </w:r>
      <w:r w:rsidR="00D71401">
        <w:t>aintaining a</w:t>
      </w:r>
      <w:r w:rsidRPr="00D71401">
        <w:t>ccountability</w:t>
      </w:r>
      <w:bookmarkEnd w:id="33"/>
    </w:p>
    <w:p w14:paraId="09993F5A" w14:textId="77777777" w:rsidR="002B11C0" w:rsidRPr="00D71401" w:rsidRDefault="002B11C0" w:rsidP="002B11C0">
      <w:pPr>
        <w:pStyle w:val="Heading3"/>
        <w:ind w:left="360"/>
      </w:pPr>
      <w:r w:rsidRPr="00D71401">
        <w:t>Corporate staff</w:t>
      </w:r>
    </w:p>
    <w:p w14:paraId="572022E8" w14:textId="77777777" w:rsidR="002B11C0" w:rsidRPr="00D71401" w:rsidRDefault="002B11C0" w:rsidP="006562BC">
      <w:pPr>
        <w:pStyle w:val="ESBodyText"/>
        <w:ind w:left="357"/>
      </w:pPr>
      <w:r w:rsidRPr="00D71401">
        <w:t>All corporate sponsorship activities must be approved by the Executive Director of the relevant division and then reported to the Communications Division prior to implementation by completing the</w:t>
      </w:r>
      <w:r w:rsidRPr="00D71401">
        <w:rPr>
          <w:i/>
        </w:rPr>
        <w:t xml:space="preserve"> Sponsorship Declaration Form</w:t>
      </w:r>
      <w:r w:rsidRPr="00D71401">
        <w:t>.</w:t>
      </w:r>
    </w:p>
    <w:p w14:paraId="01B05157" w14:textId="351DF36F" w:rsidR="002B11C0" w:rsidRPr="00D71401" w:rsidRDefault="002B11C0" w:rsidP="006562BC">
      <w:pPr>
        <w:pStyle w:val="ESBodyText"/>
        <w:ind w:left="357"/>
      </w:pPr>
      <w:r w:rsidRPr="00D71401">
        <w:t xml:space="preserve">Staff need to attach any relevant documentation that </w:t>
      </w:r>
      <w:r w:rsidR="0047398F">
        <w:t xml:space="preserve">assisted them in </w:t>
      </w:r>
      <w:r w:rsidR="00F25397" w:rsidRPr="00D71401">
        <w:t xml:space="preserve">assessing and approving the proposal </w:t>
      </w:r>
      <w:r w:rsidRPr="00D71401">
        <w:t>– such as a sponsorship prospectus</w:t>
      </w:r>
      <w:r w:rsidR="0047398F">
        <w:t xml:space="preserve"> and</w:t>
      </w:r>
      <w:r w:rsidRPr="00D71401">
        <w:t xml:space="preserve"> business case</w:t>
      </w:r>
      <w:r w:rsidR="0047398F">
        <w:t xml:space="preserve">. If the Sponsor requires naming rights of a government asset, event or initiative, ministerial approval must be sought. </w:t>
      </w:r>
    </w:p>
    <w:p w14:paraId="642D2EBA" w14:textId="77777777" w:rsidR="002B11C0" w:rsidRPr="00D71401" w:rsidRDefault="002B11C0" w:rsidP="002B11C0">
      <w:pPr>
        <w:pStyle w:val="Heading3"/>
        <w:ind w:left="360"/>
      </w:pPr>
      <w:r w:rsidRPr="00D71401">
        <w:t xml:space="preserve">Schools </w:t>
      </w:r>
    </w:p>
    <w:p w14:paraId="79593CFE" w14:textId="559CDF31" w:rsidR="007F2132" w:rsidRPr="00D71401" w:rsidRDefault="002B11C0" w:rsidP="006562BC">
      <w:pPr>
        <w:pStyle w:val="ESBodyText"/>
        <w:ind w:left="357"/>
      </w:pPr>
      <w:r w:rsidRPr="00D71401">
        <w:t xml:space="preserve">Detailed guidance on process steps, required approval levels and recording requirements is contained within the Schools Sponsorship Procedure document, which </w:t>
      </w:r>
      <w:r w:rsidR="00153C87">
        <w:t xml:space="preserve">must </w:t>
      </w:r>
      <w:r w:rsidRPr="00D71401">
        <w:t>be read and followed in</w:t>
      </w:r>
      <w:r w:rsidR="00F25397" w:rsidRPr="00D71401">
        <w:t xml:space="preserve"> conjunction with this Policy, and:</w:t>
      </w:r>
    </w:p>
    <w:p w14:paraId="65815A4C" w14:textId="6586D7E1" w:rsidR="00E900EA" w:rsidRPr="00D71401" w:rsidRDefault="00F25397" w:rsidP="0038317F">
      <w:pPr>
        <w:pStyle w:val="ListParagraph"/>
        <w:numPr>
          <w:ilvl w:val="0"/>
          <w:numId w:val="12"/>
        </w:numPr>
        <w:spacing w:after="0"/>
      </w:pPr>
      <w:r w:rsidRPr="00D71401">
        <w:t>s</w:t>
      </w:r>
      <w:r w:rsidR="00E900EA" w:rsidRPr="00D71401">
        <w:t>chools must maintain and record their own sponsorship register for all sponsorships</w:t>
      </w:r>
    </w:p>
    <w:p w14:paraId="2E720EEB" w14:textId="38C199A5" w:rsidR="00E900EA" w:rsidRPr="00D71401" w:rsidRDefault="00F25397" w:rsidP="0038317F">
      <w:pPr>
        <w:pStyle w:val="ListParagraph"/>
        <w:numPr>
          <w:ilvl w:val="0"/>
          <w:numId w:val="12"/>
        </w:numPr>
        <w:spacing w:after="0"/>
      </w:pPr>
      <w:r w:rsidRPr="00D71401">
        <w:t>a</w:t>
      </w:r>
      <w:r w:rsidR="00E900EA" w:rsidRPr="00D71401">
        <w:t xml:space="preserve">ll sponsorships above $25,000 </w:t>
      </w:r>
      <w:r w:rsidR="000F6C15">
        <w:t>need to</w:t>
      </w:r>
      <w:r w:rsidR="00153C87">
        <w:t xml:space="preserve"> </w:t>
      </w:r>
      <w:r w:rsidR="00E900EA" w:rsidRPr="00D71401">
        <w:t>be approved by Region</w:t>
      </w:r>
      <w:r w:rsidR="00F41CF7">
        <w:t>al Director</w:t>
      </w:r>
      <w:r w:rsidR="00676888">
        <w:t xml:space="preserve"> and</w:t>
      </w:r>
      <w:r w:rsidR="00F41CF7">
        <w:t xml:space="preserve"> Executive Director, </w:t>
      </w:r>
      <w:r w:rsidR="00E900EA" w:rsidRPr="00D71401">
        <w:t xml:space="preserve">Communications and submitted to the </w:t>
      </w:r>
      <w:r w:rsidR="00D67890">
        <w:t xml:space="preserve">Strategic </w:t>
      </w:r>
      <w:r w:rsidR="00E900EA" w:rsidRPr="00D71401">
        <w:t xml:space="preserve">Communications </w:t>
      </w:r>
      <w:r w:rsidR="00D67890">
        <w:t>branch</w:t>
      </w:r>
      <w:r w:rsidR="00E900EA" w:rsidRPr="00D71401">
        <w:t xml:space="preserve"> </w:t>
      </w:r>
      <w:hyperlink r:id="rId29" w:history="1">
        <w:r w:rsidR="00D67890">
          <w:rPr>
            <w:rStyle w:val="Hyperlink"/>
          </w:rPr>
          <w:t>sponsorship@edumail.vic.gov.au</w:t>
        </w:r>
      </w:hyperlink>
    </w:p>
    <w:p w14:paraId="68B32A21" w14:textId="6E9AE28D" w:rsidR="00E900EA" w:rsidRPr="00D71401" w:rsidRDefault="00F25397" w:rsidP="0038317F">
      <w:pPr>
        <w:pStyle w:val="ListParagraph"/>
        <w:numPr>
          <w:ilvl w:val="0"/>
          <w:numId w:val="12"/>
        </w:numPr>
        <w:spacing w:after="0"/>
      </w:pPr>
      <w:r w:rsidRPr="00D71401">
        <w:t>i</w:t>
      </w:r>
      <w:r w:rsidR="00E900EA" w:rsidRPr="00D71401">
        <w:t>f the Sponsor requires the naming rights of a government asset, event or initiative the Communications team must be informed an</w:t>
      </w:r>
      <w:r w:rsidR="007F2132" w:rsidRPr="00D71401">
        <w:t>d</w:t>
      </w:r>
      <w:r w:rsidR="00E900EA" w:rsidRPr="00D71401">
        <w:t xml:space="preserve"> ministerial approval sought</w:t>
      </w:r>
    </w:p>
    <w:p w14:paraId="3C642F3F" w14:textId="5E34E7C4" w:rsidR="00E900EA" w:rsidRPr="00D71401" w:rsidRDefault="00F25397" w:rsidP="0038317F">
      <w:pPr>
        <w:pStyle w:val="ListParagraph"/>
        <w:numPr>
          <w:ilvl w:val="0"/>
          <w:numId w:val="12"/>
        </w:numPr>
        <w:spacing w:after="0"/>
      </w:pPr>
      <w:r w:rsidRPr="00D71401">
        <w:t>s</w:t>
      </w:r>
      <w:r w:rsidR="00E900EA" w:rsidRPr="00D71401">
        <w:t>chools being approached with requests to advertise state-wide or country</w:t>
      </w:r>
      <w:r w:rsidR="00F41CF7">
        <w:t>-</w:t>
      </w:r>
      <w:r w:rsidR="00E900EA" w:rsidRPr="00D71401">
        <w:t xml:space="preserve">wide corporate sponsorships </w:t>
      </w:r>
      <w:r w:rsidR="007F2132" w:rsidRPr="00D71401">
        <w:t>need to</w:t>
      </w:r>
      <w:r w:rsidR="00E900EA" w:rsidRPr="00D71401">
        <w:t xml:space="preserve"> refer these requests to the Communications </w:t>
      </w:r>
      <w:r w:rsidR="007F2132" w:rsidRPr="00D71401">
        <w:t>Division.</w:t>
      </w:r>
    </w:p>
    <w:p w14:paraId="376F4EEC" w14:textId="0988ABE8" w:rsidR="00E900EA" w:rsidRPr="00D71401" w:rsidRDefault="00FF0B75" w:rsidP="0038317F">
      <w:pPr>
        <w:pStyle w:val="ESHeading2"/>
        <w:numPr>
          <w:ilvl w:val="0"/>
          <w:numId w:val="11"/>
        </w:numPr>
      </w:pPr>
      <w:bookmarkStart w:id="34" w:name="_Toc7430040"/>
      <w:r w:rsidRPr="00D71401">
        <w:t xml:space="preserve">Implementing </w:t>
      </w:r>
      <w:r w:rsidR="00D71401">
        <w:t>e</w:t>
      </w:r>
      <w:r w:rsidRPr="00D71401">
        <w:t xml:space="preserve">ffective </w:t>
      </w:r>
      <w:r w:rsidR="00D71401">
        <w:t>r</w:t>
      </w:r>
      <w:r w:rsidRPr="00D71401">
        <w:t xml:space="preserve">isk </w:t>
      </w:r>
      <w:r w:rsidR="00D71401">
        <w:t>m</w:t>
      </w:r>
      <w:r w:rsidRPr="00D71401">
        <w:t>anagement</w:t>
      </w:r>
      <w:bookmarkEnd w:id="34"/>
      <w:r w:rsidR="00E900EA" w:rsidRPr="00D71401">
        <w:t xml:space="preserve"> </w:t>
      </w:r>
    </w:p>
    <w:p w14:paraId="7B492D37" w14:textId="7AE84676" w:rsidR="00AC37E9" w:rsidRPr="00D71401" w:rsidRDefault="00AC37E9" w:rsidP="006562BC">
      <w:pPr>
        <w:pStyle w:val="ESBodyText"/>
        <w:ind w:left="357"/>
      </w:pPr>
      <w:r w:rsidRPr="00D71401">
        <w:t xml:space="preserve">Weighing up the </w:t>
      </w:r>
      <w:r w:rsidR="00224662" w:rsidRPr="00D71401">
        <w:t xml:space="preserve">benefits and </w:t>
      </w:r>
      <w:r w:rsidRPr="00D71401">
        <w:t>risks of sponsorship</w:t>
      </w:r>
      <w:r w:rsidR="00E900EA" w:rsidRPr="00D71401">
        <w:t xml:space="preserve"> should </w:t>
      </w:r>
      <w:r w:rsidR="007F2132" w:rsidRPr="00D71401">
        <w:t xml:space="preserve">be considered when deciding if your school or business unit will proceed with a sponsorship. </w:t>
      </w:r>
    </w:p>
    <w:p w14:paraId="211F736C" w14:textId="0DC82B48" w:rsidR="00B41BA1" w:rsidRPr="00D71401" w:rsidRDefault="00B41BA1" w:rsidP="004D05E9">
      <w:pPr>
        <w:pStyle w:val="Heading3"/>
        <w:ind w:left="360"/>
      </w:pPr>
      <w:bookmarkStart w:id="35" w:name="_Toc320614051"/>
      <w:bookmarkStart w:id="36" w:name="_Ref329951531"/>
      <w:r w:rsidRPr="00D71401">
        <w:t>Risks</w:t>
      </w:r>
    </w:p>
    <w:p w14:paraId="4E9BBA0B" w14:textId="5D24051B" w:rsidR="00B41BA1" w:rsidRPr="00D71401" w:rsidRDefault="00B41BA1" w:rsidP="006562BC">
      <w:pPr>
        <w:pStyle w:val="ESBodyText"/>
        <w:ind w:left="357"/>
      </w:pPr>
      <w:r w:rsidRPr="00D71401">
        <w:t>The risks of sponsorship</w:t>
      </w:r>
      <w:r w:rsidR="0052529B" w:rsidRPr="00D71401">
        <w:t xml:space="preserve"> can</w:t>
      </w:r>
      <w:r w:rsidRPr="00D71401">
        <w:t xml:space="preserve"> include:</w:t>
      </w:r>
    </w:p>
    <w:p w14:paraId="473D2099" w14:textId="77777777" w:rsidR="00B41BA1" w:rsidRPr="00D71401" w:rsidRDefault="00B41BA1" w:rsidP="0038317F">
      <w:pPr>
        <w:pStyle w:val="ListParagraph"/>
        <w:numPr>
          <w:ilvl w:val="0"/>
          <w:numId w:val="8"/>
        </w:numPr>
        <w:ind w:left="720"/>
        <w:rPr>
          <w:lang w:eastAsia="en-AU"/>
        </w:rPr>
      </w:pPr>
      <w:r w:rsidRPr="00D71401">
        <w:t>perceptions</w:t>
      </w:r>
      <w:r w:rsidRPr="00D71401">
        <w:rPr>
          <w:lang w:eastAsia="en-AU"/>
        </w:rPr>
        <w:t xml:space="preserve"> of improper conduct</w:t>
      </w:r>
    </w:p>
    <w:p w14:paraId="0F1856F1" w14:textId="30984277" w:rsidR="00B41BA1" w:rsidRPr="00D71401" w:rsidRDefault="00B41BA1" w:rsidP="0038317F">
      <w:pPr>
        <w:pStyle w:val="ListParagraph"/>
        <w:numPr>
          <w:ilvl w:val="0"/>
          <w:numId w:val="8"/>
        </w:numPr>
        <w:ind w:left="720"/>
      </w:pPr>
      <w:r w:rsidRPr="00D71401">
        <w:t xml:space="preserve">the potential to </w:t>
      </w:r>
      <w:r w:rsidR="00DC06E5" w:rsidRPr="00D71401">
        <w:t>embarrass</w:t>
      </w:r>
      <w:r w:rsidRPr="00D71401">
        <w:t xml:space="preserve"> </w:t>
      </w:r>
      <w:r w:rsidR="002F4E1C" w:rsidRPr="00D71401">
        <w:t xml:space="preserve">the Department, agency or school </w:t>
      </w:r>
      <w:r w:rsidRPr="00D71401">
        <w:t xml:space="preserve">through associating </w:t>
      </w:r>
      <w:r w:rsidR="00967211" w:rsidRPr="00D71401">
        <w:t xml:space="preserve">them or </w:t>
      </w:r>
      <w:r w:rsidR="002F4E1C" w:rsidRPr="00D71401">
        <w:t xml:space="preserve">their </w:t>
      </w:r>
      <w:r w:rsidRPr="00D71401">
        <w:t xml:space="preserve">activity with an inappropriate sponsor or one of poor repute. </w:t>
      </w:r>
      <w:r w:rsidRPr="00D71401">
        <w:rPr>
          <w:lang w:eastAsia="en-AU"/>
        </w:rPr>
        <w:t>This may be reconsidered if sponsorship is intentionally sought from or by a company seeking to rebuild i</w:t>
      </w:r>
      <w:r w:rsidR="00AF4B54" w:rsidRPr="00D71401">
        <w:rPr>
          <w:lang w:eastAsia="en-AU"/>
        </w:rPr>
        <w:t xml:space="preserve">ts reputation. </w:t>
      </w:r>
      <w:r w:rsidRPr="00D71401">
        <w:t>To prevent this risk, appropriate review should be sought when considering sponsorship agreements which may have potential for reputational damage</w:t>
      </w:r>
    </w:p>
    <w:p w14:paraId="33CC085C" w14:textId="77777777" w:rsidR="00B41BA1" w:rsidRPr="00D71401" w:rsidRDefault="00B41BA1" w:rsidP="0038317F">
      <w:pPr>
        <w:pStyle w:val="ListParagraph"/>
        <w:numPr>
          <w:ilvl w:val="0"/>
          <w:numId w:val="8"/>
        </w:numPr>
        <w:ind w:left="720"/>
        <w:rPr>
          <w:lang w:eastAsia="en-AU"/>
        </w:rPr>
      </w:pPr>
      <w:r w:rsidRPr="00D71401">
        <w:rPr>
          <w:lang w:eastAsia="en-AU"/>
        </w:rPr>
        <w:t xml:space="preserve">in the </w:t>
      </w:r>
      <w:r w:rsidRPr="00D71401">
        <w:t>case</w:t>
      </w:r>
      <w:r w:rsidRPr="00D71401">
        <w:rPr>
          <w:lang w:eastAsia="en-AU"/>
        </w:rPr>
        <w:t xml:space="preserve"> of incoming sponsorship, undertaking an activity on the basis of the promise of corporate sponsorship which then does not materialise</w:t>
      </w:r>
    </w:p>
    <w:p w14:paraId="35697CBA" w14:textId="1847B381" w:rsidR="00B41BA1" w:rsidRPr="00D71401" w:rsidRDefault="00B41BA1" w:rsidP="0038317F">
      <w:pPr>
        <w:pStyle w:val="ListParagraph"/>
        <w:numPr>
          <w:ilvl w:val="0"/>
          <w:numId w:val="8"/>
        </w:numPr>
        <w:ind w:left="720"/>
        <w:rPr>
          <w:lang w:eastAsia="en-AU"/>
        </w:rPr>
      </w:pPr>
      <w:r w:rsidRPr="00D71401">
        <w:t>breaching</w:t>
      </w:r>
      <w:r w:rsidRPr="00D71401">
        <w:rPr>
          <w:lang w:eastAsia="en-AU"/>
        </w:rPr>
        <w:t xml:space="preserve"> Government accounting requirements</w:t>
      </w:r>
      <w:r w:rsidR="00062FA5">
        <w:rPr>
          <w:lang w:eastAsia="en-AU"/>
        </w:rPr>
        <w:t xml:space="preserve"> (see </w:t>
      </w:r>
      <w:r w:rsidR="00062FA5">
        <w:rPr>
          <w:b/>
        </w:rPr>
        <w:t>Approving and Reporting</w:t>
      </w:r>
      <w:r w:rsidR="00062FA5">
        <w:t>)</w:t>
      </w:r>
    </w:p>
    <w:p w14:paraId="2AE2B41A" w14:textId="7CF13F91" w:rsidR="00B41BA1" w:rsidRPr="00D71401" w:rsidRDefault="00B41BA1" w:rsidP="0038317F">
      <w:pPr>
        <w:pStyle w:val="ListParagraph"/>
        <w:numPr>
          <w:ilvl w:val="0"/>
          <w:numId w:val="8"/>
        </w:numPr>
        <w:ind w:left="720"/>
        <w:rPr>
          <w:lang w:eastAsia="en-AU"/>
        </w:rPr>
      </w:pPr>
      <w:r w:rsidRPr="00D71401">
        <w:rPr>
          <w:lang w:eastAsia="en-AU"/>
        </w:rPr>
        <w:t xml:space="preserve">in the case of incoming sponsorship, underestimating the value to potential corporate sponsors of sponsoring </w:t>
      </w:r>
      <w:r w:rsidR="002F4E1C" w:rsidRPr="00D71401">
        <w:t xml:space="preserve">Department, agency or school </w:t>
      </w:r>
      <w:r w:rsidRPr="00D71401">
        <w:t>activities</w:t>
      </w:r>
      <w:r w:rsidRPr="00D71401">
        <w:rPr>
          <w:lang w:eastAsia="en-AU"/>
        </w:rPr>
        <w:t xml:space="preserve"> and initiatives </w:t>
      </w:r>
    </w:p>
    <w:p w14:paraId="56241CB1" w14:textId="30B5B373" w:rsidR="00B41BA1" w:rsidRPr="00D71401" w:rsidRDefault="00B41BA1" w:rsidP="0038317F">
      <w:pPr>
        <w:pStyle w:val="ListParagraph"/>
        <w:numPr>
          <w:ilvl w:val="0"/>
          <w:numId w:val="8"/>
        </w:numPr>
        <w:ind w:left="720"/>
        <w:rPr>
          <w:lang w:eastAsia="en-AU"/>
        </w:rPr>
      </w:pPr>
      <w:r w:rsidRPr="00D71401">
        <w:rPr>
          <w:lang w:eastAsia="en-AU"/>
        </w:rPr>
        <w:t>that the sponsorship is not cost-effective, in the cas</w:t>
      </w:r>
      <w:r w:rsidR="00F41CF7">
        <w:rPr>
          <w:lang w:eastAsia="en-AU"/>
        </w:rPr>
        <w:t>e of outgoing sponsorship</w:t>
      </w:r>
    </w:p>
    <w:p w14:paraId="38A80B79" w14:textId="5E9E5C8D" w:rsidR="000C1B54" w:rsidRPr="00D71401" w:rsidRDefault="00B41BA1" w:rsidP="0038317F">
      <w:pPr>
        <w:pStyle w:val="ListParagraph"/>
        <w:numPr>
          <w:ilvl w:val="0"/>
          <w:numId w:val="8"/>
        </w:numPr>
        <w:ind w:left="720"/>
        <w:rPr>
          <w:lang w:eastAsia="en-AU"/>
        </w:rPr>
      </w:pPr>
      <w:r w:rsidRPr="00D71401">
        <w:rPr>
          <w:lang w:eastAsia="en-AU"/>
        </w:rPr>
        <w:t>financial risks of involvement with a sponsorship partner which may include risk of financial insolvency or lack of adequate insurance.</w:t>
      </w:r>
    </w:p>
    <w:bookmarkEnd w:id="35"/>
    <w:bookmarkEnd w:id="36"/>
    <w:p w14:paraId="19987959" w14:textId="77777777" w:rsidR="00852384" w:rsidRPr="00D71401" w:rsidRDefault="00852384" w:rsidP="00F25397">
      <w:pPr>
        <w:pStyle w:val="Heading3"/>
        <w:ind w:left="360"/>
      </w:pPr>
      <w:r w:rsidRPr="00D71401">
        <w:t xml:space="preserve">Managing risk </w:t>
      </w:r>
    </w:p>
    <w:p w14:paraId="3F02A006" w14:textId="39CD87C4" w:rsidR="00852384" w:rsidRPr="00D71401" w:rsidRDefault="006562BC" w:rsidP="0038317F">
      <w:pPr>
        <w:pStyle w:val="Heading3"/>
        <w:numPr>
          <w:ilvl w:val="0"/>
          <w:numId w:val="13"/>
        </w:numPr>
        <w:spacing w:after="80"/>
        <w:rPr>
          <w:b w:val="0"/>
          <w:sz w:val="18"/>
        </w:rPr>
      </w:pPr>
      <w:r w:rsidRPr="00D71401">
        <w:rPr>
          <w:sz w:val="18"/>
        </w:rPr>
        <w:t xml:space="preserve">Appropriate association </w:t>
      </w:r>
      <w:r w:rsidRPr="00D71401">
        <w:rPr>
          <w:b w:val="0"/>
          <w:sz w:val="18"/>
        </w:rPr>
        <w:t>—</w:t>
      </w:r>
      <w:r w:rsidRPr="00D71401">
        <w:rPr>
          <w:sz w:val="18"/>
        </w:rPr>
        <w:t xml:space="preserve"> </w:t>
      </w:r>
      <w:r w:rsidRPr="00D71401">
        <w:rPr>
          <w:b w:val="0"/>
          <w:sz w:val="18"/>
        </w:rPr>
        <w:t>t</w:t>
      </w:r>
      <w:r w:rsidR="00852384" w:rsidRPr="00D71401">
        <w:rPr>
          <w:b w:val="0"/>
          <w:sz w:val="18"/>
        </w:rPr>
        <w:t xml:space="preserve">o assess the level of risk associated with a proposed sponsorship, </w:t>
      </w:r>
      <w:r w:rsidR="005D2786" w:rsidRPr="00D71401">
        <w:rPr>
          <w:b w:val="0"/>
          <w:sz w:val="18"/>
        </w:rPr>
        <w:t>you will need</w:t>
      </w:r>
      <w:r w:rsidR="00852384" w:rsidRPr="00D71401">
        <w:rPr>
          <w:b w:val="0"/>
          <w:sz w:val="18"/>
        </w:rPr>
        <w:t xml:space="preserve"> to conduct a risk assessment. </w:t>
      </w:r>
      <w:r w:rsidR="00DC06E5" w:rsidRPr="00D71401">
        <w:rPr>
          <w:b w:val="0"/>
          <w:sz w:val="18"/>
        </w:rPr>
        <w:t xml:space="preserve">The </w:t>
      </w:r>
      <w:r w:rsidR="00852384" w:rsidRPr="00D71401">
        <w:rPr>
          <w:b w:val="0"/>
          <w:i/>
          <w:sz w:val="18"/>
        </w:rPr>
        <w:t>Assessing Sponsorship Checklist</w:t>
      </w:r>
      <w:r w:rsidR="00852384" w:rsidRPr="00D71401">
        <w:rPr>
          <w:b w:val="0"/>
          <w:sz w:val="18"/>
        </w:rPr>
        <w:t xml:space="preserve"> provides a useful set of criteria to follow when </w:t>
      </w:r>
      <w:r w:rsidR="005D2786" w:rsidRPr="00D71401">
        <w:rPr>
          <w:b w:val="0"/>
          <w:sz w:val="18"/>
        </w:rPr>
        <w:t>doing this</w:t>
      </w:r>
      <w:r w:rsidR="00852384" w:rsidRPr="00D71401">
        <w:rPr>
          <w:b w:val="0"/>
          <w:sz w:val="18"/>
        </w:rPr>
        <w:t>.</w:t>
      </w:r>
    </w:p>
    <w:p w14:paraId="0A39C8D7" w14:textId="35083D51" w:rsidR="005D2786" w:rsidRPr="00D71401" w:rsidRDefault="00852384" w:rsidP="0038317F">
      <w:pPr>
        <w:pStyle w:val="Heading3"/>
        <w:numPr>
          <w:ilvl w:val="0"/>
          <w:numId w:val="13"/>
        </w:numPr>
        <w:spacing w:after="80"/>
        <w:rPr>
          <w:b w:val="0"/>
          <w:sz w:val="18"/>
        </w:rPr>
      </w:pPr>
      <w:r w:rsidRPr="00D71401">
        <w:rPr>
          <w:sz w:val="18"/>
        </w:rPr>
        <w:t>F</w:t>
      </w:r>
      <w:r w:rsidR="006562BC" w:rsidRPr="00D71401">
        <w:rPr>
          <w:sz w:val="18"/>
        </w:rPr>
        <w:t xml:space="preserve">inancial risk </w:t>
      </w:r>
      <w:r w:rsidR="006562BC" w:rsidRPr="00D71401">
        <w:rPr>
          <w:b w:val="0"/>
          <w:sz w:val="18"/>
        </w:rPr>
        <w:t>—</w:t>
      </w:r>
      <w:r w:rsidR="006562BC" w:rsidRPr="00D71401">
        <w:rPr>
          <w:sz w:val="18"/>
        </w:rPr>
        <w:t xml:space="preserve"> </w:t>
      </w:r>
      <w:r w:rsidR="006562BC" w:rsidRPr="00D71401">
        <w:rPr>
          <w:b w:val="0"/>
          <w:sz w:val="18"/>
        </w:rPr>
        <w:t>y</w:t>
      </w:r>
      <w:r w:rsidR="005D2786" w:rsidRPr="00D71401">
        <w:rPr>
          <w:b w:val="0"/>
          <w:sz w:val="18"/>
        </w:rPr>
        <w:t>ou need to ensure that potential sponsors pose no financial risk to the Department/school/agency as a result of the sponsorship arrangement</w:t>
      </w:r>
      <w:r w:rsidR="003E5DCC" w:rsidRPr="00D71401">
        <w:rPr>
          <w:b w:val="0"/>
          <w:sz w:val="18"/>
        </w:rPr>
        <w:t xml:space="preserve">. </w:t>
      </w:r>
      <w:r w:rsidR="00E420AD" w:rsidRPr="00D71401">
        <w:rPr>
          <w:b w:val="0"/>
          <w:sz w:val="18"/>
        </w:rPr>
        <w:t>For lower-value sponsorships, t</w:t>
      </w:r>
      <w:r w:rsidR="003E5DCC" w:rsidRPr="00D71401">
        <w:rPr>
          <w:b w:val="0"/>
          <w:sz w:val="18"/>
        </w:rPr>
        <w:t>his can</w:t>
      </w:r>
      <w:r w:rsidR="0031190E" w:rsidRPr="00D71401">
        <w:rPr>
          <w:b w:val="0"/>
          <w:sz w:val="18"/>
        </w:rPr>
        <w:t xml:space="preserve"> simply</w:t>
      </w:r>
      <w:r w:rsidR="003E5DCC" w:rsidRPr="00D71401">
        <w:rPr>
          <w:b w:val="0"/>
          <w:sz w:val="18"/>
        </w:rPr>
        <w:t xml:space="preserve"> be a declaration from the potential sponsor that confirms:</w:t>
      </w:r>
    </w:p>
    <w:p w14:paraId="737C4B94" w14:textId="2FF968C6" w:rsidR="003E5DCC" w:rsidRPr="00D71401" w:rsidRDefault="003E5DCC" w:rsidP="0038317F">
      <w:pPr>
        <w:pStyle w:val="ListParagraph"/>
        <w:numPr>
          <w:ilvl w:val="1"/>
          <w:numId w:val="8"/>
        </w:numPr>
        <w:rPr>
          <w:lang w:eastAsia="en-AU"/>
        </w:rPr>
      </w:pPr>
      <w:r w:rsidRPr="00D71401">
        <w:rPr>
          <w:lang w:eastAsia="en-AU"/>
        </w:rPr>
        <w:t xml:space="preserve">they have </w:t>
      </w:r>
      <w:r w:rsidRPr="00D71401">
        <w:t>sufficient</w:t>
      </w:r>
      <w:r w:rsidRPr="00D71401">
        <w:rPr>
          <w:lang w:eastAsia="en-AU"/>
        </w:rPr>
        <w:t xml:space="preserve"> financial resources to deliver the goods or services described in the sponsorship agreement </w:t>
      </w:r>
    </w:p>
    <w:p w14:paraId="026C67A7" w14:textId="1160C3A0" w:rsidR="003E5DCC" w:rsidRPr="00D71401" w:rsidRDefault="003E5DCC" w:rsidP="0038317F">
      <w:pPr>
        <w:pStyle w:val="ListParagraph"/>
        <w:numPr>
          <w:ilvl w:val="1"/>
          <w:numId w:val="8"/>
        </w:numPr>
        <w:rPr>
          <w:lang w:eastAsia="en-AU"/>
        </w:rPr>
      </w:pPr>
      <w:r w:rsidRPr="00D71401">
        <w:rPr>
          <w:lang w:eastAsia="en-AU"/>
        </w:rPr>
        <w:t>they are not subject to any current or impending legal action that could impact on the</w:t>
      </w:r>
      <w:r w:rsidR="00E420AD" w:rsidRPr="00D71401">
        <w:rPr>
          <w:lang w:eastAsia="en-AU"/>
        </w:rPr>
        <w:t xml:space="preserve">ir capacity to deliver their agreed </w:t>
      </w:r>
      <w:r w:rsidR="00E420AD" w:rsidRPr="00D71401">
        <w:t>sponsorship</w:t>
      </w:r>
      <w:r w:rsidR="00E420AD" w:rsidRPr="00D71401">
        <w:rPr>
          <w:lang w:eastAsia="en-AU"/>
        </w:rPr>
        <w:t>.</w:t>
      </w:r>
    </w:p>
    <w:p w14:paraId="1364138B" w14:textId="3CA4852C" w:rsidR="00193CA6" w:rsidRPr="00D71401" w:rsidRDefault="005B13FB" w:rsidP="00DC06E5">
      <w:pPr>
        <w:pStyle w:val="ESHeading1"/>
        <w:ind w:left="426" w:hanging="426"/>
      </w:pPr>
      <w:bookmarkStart w:id="37" w:name="_Toc320614052"/>
      <w:bookmarkStart w:id="38" w:name="_Ref329951540"/>
      <w:bookmarkStart w:id="39" w:name="_Toc517710866"/>
      <w:bookmarkStart w:id="40" w:name="_Toc7430041"/>
      <w:bookmarkEnd w:id="37"/>
      <w:bookmarkEnd w:id="38"/>
      <w:r w:rsidRPr="00D71401">
        <w:t>B</w:t>
      </w:r>
      <w:r w:rsidR="002B3BA0" w:rsidRPr="00D71401">
        <w:t>enefits</w:t>
      </w:r>
      <w:r w:rsidR="00193CA6" w:rsidRPr="00D71401">
        <w:t xml:space="preserve"> and inclusions</w:t>
      </w:r>
      <w:bookmarkEnd w:id="39"/>
      <w:bookmarkEnd w:id="40"/>
      <w:r w:rsidR="005257F4" w:rsidRPr="00D71401">
        <w:t xml:space="preserve"> </w:t>
      </w:r>
    </w:p>
    <w:p w14:paraId="4EF88EBF" w14:textId="77777777" w:rsidR="00F25397" w:rsidRPr="00D71401" w:rsidRDefault="00F25397" w:rsidP="00F25397">
      <w:pPr>
        <w:pStyle w:val="ESHeading2"/>
      </w:pPr>
      <w:bookmarkStart w:id="41" w:name="_Toc7430042"/>
      <w:r w:rsidRPr="00D71401">
        <w:t>Benefits</w:t>
      </w:r>
      <w:bookmarkEnd w:id="41"/>
    </w:p>
    <w:p w14:paraId="3089264E" w14:textId="77777777" w:rsidR="00F25397" w:rsidRPr="00D71401" w:rsidRDefault="00F25397" w:rsidP="00F25397">
      <w:pPr>
        <w:pStyle w:val="ESBodyText"/>
      </w:pPr>
      <w:r w:rsidRPr="00D71401">
        <w:t>The benefits of incoming sponsorship include providing resources or services, either directly as cash sponsorship or indirectly as in-kind sponsorship. This may:</w:t>
      </w:r>
    </w:p>
    <w:p w14:paraId="188F4DEA" w14:textId="77777777" w:rsidR="00F25397" w:rsidRPr="00D71401" w:rsidRDefault="00F25397" w:rsidP="0038317F">
      <w:pPr>
        <w:pStyle w:val="ListParagraph"/>
        <w:numPr>
          <w:ilvl w:val="0"/>
          <w:numId w:val="8"/>
        </w:numPr>
        <w:rPr>
          <w:lang w:eastAsia="en-AU"/>
        </w:rPr>
      </w:pPr>
      <w:r w:rsidRPr="00D71401">
        <w:t>reduce</w:t>
      </w:r>
      <w:r w:rsidRPr="00D71401">
        <w:rPr>
          <w:lang w:eastAsia="en-AU"/>
        </w:rPr>
        <w:t xml:space="preserve"> the costs to the Department/school/agency of performing a particular activity or allow for enhanced program delivery and/or expansion</w:t>
      </w:r>
    </w:p>
    <w:p w14:paraId="4CACB9BD" w14:textId="77777777" w:rsidR="00F25397" w:rsidRPr="00D71401" w:rsidRDefault="00F25397" w:rsidP="0038317F">
      <w:pPr>
        <w:pStyle w:val="ListParagraph"/>
        <w:numPr>
          <w:ilvl w:val="0"/>
          <w:numId w:val="8"/>
        </w:numPr>
        <w:rPr>
          <w:lang w:eastAsia="en-AU"/>
        </w:rPr>
      </w:pPr>
      <w:r w:rsidRPr="00D71401">
        <w:t>provide</w:t>
      </w:r>
      <w:r w:rsidRPr="00D71401">
        <w:rPr>
          <w:lang w:eastAsia="en-AU"/>
        </w:rPr>
        <w:t xml:space="preserve"> funding for publications, conferences or other special activities that promote a particular program or initiative</w:t>
      </w:r>
    </w:p>
    <w:p w14:paraId="195E5630" w14:textId="77777777" w:rsidR="00F25397" w:rsidRPr="00D71401" w:rsidRDefault="00F25397" w:rsidP="0038317F">
      <w:pPr>
        <w:pStyle w:val="ListParagraph"/>
        <w:numPr>
          <w:ilvl w:val="0"/>
          <w:numId w:val="8"/>
        </w:numPr>
        <w:rPr>
          <w:lang w:eastAsia="en-AU"/>
        </w:rPr>
      </w:pPr>
      <w:r w:rsidRPr="00D71401">
        <w:t>provide</w:t>
      </w:r>
      <w:r w:rsidRPr="00D71401">
        <w:rPr>
          <w:lang w:eastAsia="en-AU"/>
        </w:rPr>
        <w:t xml:space="preserve"> the Department/school/agency with an opportunity to develop better working relationships with stakeholders and the wider community</w:t>
      </w:r>
    </w:p>
    <w:p w14:paraId="531D30B3" w14:textId="77777777" w:rsidR="00F25397" w:rsidRPr="00D71401" w:rsidRDefault="00F25397" w:rsidP="0038317F">
      <w:pPr>
        <w:pStyle w:val="ListParagraph"/>
        <w:numPr>
          <w:ilvl w:val="0"/>
          <w:numId w:val="8"/>
        </w:numPr>
        <w:rPr>
          <w:lang w:eastAsia="en-AU"/>
        </w:rPr>
      </w:pPr>
      <w:r w:rsidRPr="00D71401">
        <w:t>promote</w:t>
      </w:r>
      <w:r w:rsidRPr="00D71401">
        <w:rPr>
          <w:lang w:eastAsia="en-AU"/>
        </w:rPr>
        <w:t xml:space="preserve"> the public profile, increasing community awareness, of a program, initiative or activity to a wider-than-normal audience.</w:t>
      </w:r>
    </w:p>
    <w:p w14:paraId="21E224E3" w14:textId="0D3D0284" w:rsidR="00F25397" w:rsidRPr="00D71401" w:rsidRDefault="00F25397" w:rsidP="00F25397">
      <w:pPr>
        <w:pStyle w:val="ESBodyText"/>
      </w:pPr>
      <w:r w:rsidRPr="00D71401">
        <w:t xml:space="preserve">The key </w:t>
      </w:r>
      <w:r w:rsidRPr="00D71401">
        <w:rPr>
          <w:lang w:val="en-GB"/>
        </w:rPr>
        <w:t>benefits</w:t>
      </w:r>
      <w:r w:rsidRPr="00D71401">
        <w:t xml:space="preserve"> of outgoing sponsorship (provided by the Department/school/agency) are to:</w:t>
      </w:r>
    </w:p>
    <w:p w14:paraId="7BADD47B" w14:textId="77777777" w:rsidR="00F25397" w:rsidRPr="00D71401" w:rsidRDefault="00F25397" w:rsidP="0038317F">
      <w:pPr>
        <w:pStyle w:val="ListParagraph"/>
        <w:numPr>
          <w:ilvl w:val="0"/>
          <w:numId w:val="8"/>
        </w:numPr>
        <w:rPr>
          <w:lang w:eastAsia="en-AU"/>
        </w:rPr>
      </w:pPr>
      <w:r w:rsidRPr="00D71401">
        <w:t>increase</w:t>
      </w:r>
      <w:r w:rsidRPr="00D71401">
        <w:rPr>
          <w:lang w:eastAsia="en-AU"/>
        </w:rPr>
        <w:t xml:space="preserve"> the Department’s exposure to its key target audiences</w:t>
      </w:r>
    </w:p>
    <w:p w14:paraId="56BD5F7A" w14:textId="77777777" w:rsidR="00F25397" w:rsidRPr="00D71401" w:rsidRDefault="00F25397" w:rsidP="0038317F">
      <w:pPr>
        <w:pStyle w:val="ListParagraph"/>
        <w:numPr>
          <w:ilvl w:val="0"/>
          <w:numId w:val="8"/>
        </w:numPr>
        <w:rPr>
          <w:lang w:eastAsia="en-AU"/>
        </w:rPr>
      </w:pPr>
      <w:r w:rsidRPr="00D71401">
        <w:t>enhance</w:t>
      </w:r>
      <w:r w:rsidRPr="00D71401">
        <w:rPr>
          <w:lang w:eastAsia="en-AU"/>
        </w:rPr>
        <w:t xml:space="preserve"> the Department’s image </w:t>
      </w:r>
    </w:p>
    <w:p w14:paraId="3A04C1A2" w14:textId="77777777" w:rsidR="00F25397" w:rsidRPr="00D71401" w:rsidRDefault="00F25397" w:rsidP="0038317F">
      <w:pPr>
        <w:pStyle w:val="ListParagraph"/>
        <w:numPr>
          <w:ilvl w:val="0"/>
          <w:numId w:val="8"/>
        </w:numPr>
      </w:pPr>
      <w:r w:rsidRPr="00D71401">
        <w:t>increase</w:t>
      </w:r>
      <w:r w:rsidRPr="00D71401">
        <w:rPr>
          <w:lang w:eastAsia="en-AU"/>
        </w:rPr>
        <w:t xml:space="preserve"> awareness of the Department and its work.</w:t>
      </w:r>
    </w:p>
    <w:p w14:paraId="014E6AC8" w14:textId="4A8B4B09" w:rsidR="000344DB" w:rsidRPr="00D71401" w:rsidRDefault="000344DB" w:rsidP="00E53CCF">
      <w:pPr>
        <w:pStyle w:val="ESBodyText"/>
        <w:rPr>
          <w:lang w:val="en"/>
        </w:rPr>
      </w:pPr>
      <w:r w:rsidRPr="00D71401">
        <w:rPr>
          <w:lang w:val="en"/>
        </w:rPr>
        <w:t xml:space="preserve">Once a business decision has been made that an outgoing or incoming sponsorship is appropriate, </w:t>
      </w:r>
      <w:r w:rsidR="00B24F88" w:rsidRPr="00D71401">
        <w:rPr>
          <w:lang w:val="en"/>
        </w:rPr>
        <w:t xml:space="preserve">you </w:t>
      </w:r>
      <w:r w:rsidRPr="00D71401">
        <w:rPr>
          <w:lang w:val="en"/>
        </w:rPr>
        <w:t>should:</w:t>
      </w:r>
    </w:p>
    <w:p w14:paraId="38631F5F" w14:textId="326B6CD0" w:rsidR="00E53CCF" w:rsidRPr="00D71401" w:rsidRDefault="00E53CCF" w:rsidP="0038317F">
      <w:pPr>
        <w:pStyle w:val="ListParagraph"/>
        <w:numPr>
          <w:ilvl w:val="0"/>
          <w:numId w:val="8"/>
        </w:numPr>
      </w:pPr>
      <w:r w:rsidRPr="00D71401">
        <w:t>request a sponsorship proposal</w:t>
      </w:r>
      <w:r w:rsidR="00852384" w:rsidRPr="00D71401">
        <w:t xml:space="preserve"> from the </w:t>
      </w:r>
      <w:r w:rsidR="00852384" w:rsidRPr="00D71401">
        <w:rPr>
          <w:b/>
        </w:rPr>
        <w:t>incoming</w:t>
      </w:r>
      <w:r w:rsidR="00852384" w:rsidRPr="00D71401">
        <w:t xml:space="preserve"> proposed sponsor</w:t>
      </w:r>
      <w:r w:rsidRPr="00D71401">
        <w:t>, the proposal should have clear objectives, key performance criteria and an evaluation plan</w:t>
      </w:r>
    </w:p>
    <w:p w14:paraId="4DB75980" w14:textId="1D2CC0D7" w:rsidR="00E53CCF" w:rsidRDefault="00E53CCF" w:rsidP="0038317F">
      <w:pPr>
        <w:pStyle w:val="ListParagraph"/>
        <w:numPr>
          <w:ilvl w:val="0"/>
          <w:numId w:val="8"/>
        </w:numPr>
      </w:pPr>
      <w:r w:rsidRPr="00D71401">
        <w:t xml:space="preserve">using the </w:t>
      </w:r>
      <w:r w:rsidR="00D1767A" w:rsidRPr="00D71401">
        <w:t xml:space="preserve">Assessing Sponsorship Checklist, </w:t>
      </w:r>
      <w:r w:rsidR="00CC42BE" w:rsidRPr="00D71401">
        <w:t>analyse</w:t>
      </w:r>
      <w:r w:rsidRPr="00D71401">
        <w:t xml:space="preserve"> the risks, costs and benefits of the sp</w:t>
      </w:r>
      <w:r w:rsidR="00062FA5">
        <w:t>onsorship</w:t>
      </w:r>
    </w:p>
    <w:p w14:paraId="58EEACA1" w14:textId="725A0FE7" w:rsidR="00062FA5" w:rsidRPr="00D71401" w:rsidRDefault="00062FA5" w:rsidP="0038317F">
      <w:pPr>
        <w:pStyle w:val="ListParagraph"/>
        <w:numPr>
          <w:ilvl w:val="0"/>
          <w:numId w:val="8"/>
        </w:numPr>
      </w:pPr>
      <w:r>
        <w:t>seek appropriate approval and recording of the sponsorship as per this policy.</w:t>
      </w:r>
    </w:p>
    <w:p w14:paraId="498475B3" w14:textId="4D0B127C" w:rsidR="00193CA6" w:rsidRPr="00D71401" w:rsidRDefault="008B606A" w:rsidP="00193CA6">
      <w:pPr>
        <w:pStyle w:val="ESHeading2"/>
      </w:pPr>
      <w:bookmarkStart w:id="42" w:name="_Toc7430043"/>
      <w:bookmarkStart w:id="43" w:name="_Toc320614055"/>
      <w:bookmarkStart w:id="44" w:name="_Ref329951602"/>
      <w:r w:rsidRPr="00D71401">
        <w:t xml:space="preserve">Appropriate </w:t>
      </w:r>
      <w:r w:rsidR="00F25397" w:rsidRPr="00D71401">
        <w:t>a</w:t>
      </w:r>
      <w:r w:rsidR="005009CC" w:rsidRPr="00D71401">
        <w:t>cknowledgment</w:t>
      </w:r>
      <w:bookmarkEnd w:id="42"/>
      <w:r w:rsidRPr="00D71401">
        <w:t xml:space="preserve"> </w:t>
      </w:r>
    </w:p>
    <w:p w14:paraId="576F0860" w14:textId="703A99CD" w:rsidR="0010367F" w:rsidRPr="00D71401" w:rsidRDefault="00F92F84" w:rsidP="00F25397">
      <w:pPr>
        <w:pStyle w:val="ESBodyText"/>
      </w:pPr>
      <w:bookmarkStart w:id="45" w:name="_Toc517710868"/>
      <w:r w:rsidRPr="00D71401">
        <w:t>I</w:t>
      </w:r>
      <w:r w:rsidR="0010367F" w:rsidRPr="00D71401">
        <w:t xml:space="preserve">f a </w:t>
      </w:r>
      <w:r w:rsidR="00F16652" w:rsidRPr="00D71401">
        <w:t xml:space="preserve">business </w:t>
      </w:r>
      <w:r w:rsidR="0010367F" w:rsidRPr="00D71401">
        <w:t xml:space="preserve">seeking sponsorship is offering a </w:t>
      </w:r>
      <w:r w:rsidR="00520973" w:rsidRPr="00D71401">
        <w:t>p</w:t>
      </w:r>
      <w:r w:rsidR="0010367F" w:rsidRPr="00D71401">
        <w:t>ackage of benefits</w:t>
      </w:r>
      <w:r w:rsidR="00F16652" w:rsidRPr="00D71401">
        <w:t>,</w:t>
      </w:r>
      <w:r w:rsidR="0010367F" w:rsidRPr="00D71401">
        <w:t xml:space="preserve"> there may be an opportunity for </w:t>
      </w:r>
      <w:r w:rsidRPr="00D71401">
        <w:t xml:space="preserve">the </w:t>
      </w:r>
      <w:r w:rsidRPr="00D71401">
        <w:rPr>
          <w:lang w:val="en-GB"/>
        </w:rPr>
        <w:t>Department</w:t>
      </w:r>
      <w:r w:rsidRPr="00D71401">
        <w:t xml:space="preserve">/school/agency </w:t>
      </w:r>
      <w:r w:rsidR="0010367F" w:rsidRPr="00D71401">
        <w:t>to negotiate what is on offer.</w:t>
      </w:r>
    </w:p>
    <w:p w14:paraId="26502281" w14:textId="748BD16A" w:rsidR="00520973" w:rsidRPr="00D71401" w:rsidRDefault="00520973" w:rsidP="00520973">
      <w:pPr>
        <w:pStyle w:val="ESBodyText"/>
        <w:rPr>
          <w:lang w:val="en"/>
        </w:rPr>
      </w:pPr>
      <w:r w:rsidRPr="00D71401">
        <w:rPr>
          <w:lang w:val="en"/>
        </w:rPr>
        <w:t xml:space="preserve">The level of acknowledgement provided to sponsors should be consistent with the level of sponsorship. </w:t>
      </w:r>
      <w:r w:rsidRPr="00D71401">
        <w:rPr>
          <w:lang w:val="en-GB"/>
        </w:rPr>
        <w:t>Acknowledgment</w:t>
      </w:r>
      <w:r w:rsidRPr="00D71401">
        <w:rPr>
          <w:lang w:val="en"/>
        </w:rPr>
        <w:t xml:space="preserve"> must be in a form that </w:t>
      </w:r>
      <w:r w:rsidR="00F41CF7">
        <w:rPr>
          <w:lang w:val="en"/>
        </w:rPr>
        <w:t>is</w:t>
      </w:r>
      <w:r w:rsidRPr="00D71401">
        <w:rPr>
          <w:lang w:val="en"/>
        </w:rPr>
        <w:t xml:space="preserve"> associated with positively enhancing education outcomes and the public image of the </w:t>
      </w:r>
      <w:r w:rsidR="00A46D5B" w:rsidRPr="00D71401">
        <w:rPr>
          <w:lang w:val="en"/>
        </w:rPr>
        <w:t>Department</w:t>
      </w:r>
      <w:r w:rsidRPr="00D71401">
        <w:rPr>
          <w:lang w:val="en"/>
        </w:rPr>
        <w:t xml:space="preserve"> must be considered at all times.</w:t>
      </w:r>
    </w:p>
    <w:p w14:paraId="79A4391A" w14:textId="1E297A3A" w:rsidR="00193CA6" w:rsidRPr="00D71401" w:rsidRDefault="00193CA6" w:rsidP="00F25397">
      <w:pPr>
        <w:pStyle w:val="Heading3"/>
      </w:pPr>
      <w:r w:rsidRPr="00D71401">
        <w:t>Incoming sponsorships</w:t>
      </w:r>
      <w:bookmarkEnd w:id="45"/>
    </w:p>
    <w:p w14:paraId="651A8F7D" w14:textId="78921F6A" w:rsidR="00F92F84" w:rsidRPr="00D71401" w:rsidRDefault="00F92F84" w:rsidP="00F92F84">
      <w:pPr>
        <w:pStyle w:val="ESBodyText"/>
        <w:rPr>
          <w:lang w:val="en"/>
        </w:rPr>
      </w:pPr>
      <w:r w:rsidRPr="00D71401">
        <w:rPr>
          <w:lang w:val="en-GB"/>
        </w:rPr>
        <w:t>Acknowledgement</w:t>
      </w:r>
      <w:r w:rsidRPr="00D71401">
        <w:rPr>
          <w:lang w:val="en"/>
        </w:rPr>
        <w:t xml:space="preserve"> </w:t>
      </w:r>
      <w:r w:rsidR="001E1722" w:rsidRPr="00D71401">
        <w:rPr>
          <w:lang w:val="en"/>
        </w:rPr>
        <w:t>should not be seen to</w:t>
      </w:r>
      <w:r w:rsidR="00D1767A" w:rsidRPr="00D71401">
        <w:rPr>
          <w:lang w:val="en"/>
        </w:rPr>
        <w:t xml:space="preserve"> endorse the sponsor, their services </w:t>
      </w:r>
      <w:r w:rsidRPr="00D71401">
        <w:rPr>
          <w:lang w:val="en"/>
        </w:rPr>
        <w:t>or products</w:t>
      </w:r>
      <w:r w:rsidR="00520973" w:rsidRPr="00D71401">
        <w:rPr>
          <w:lang w:val="en"/>
        </w:rPr>
        <w:t>, and can include:</w:t>
      </w:r>
    </w:p>
    <w:p w14:paraId="397D81C7" w14:textId="77777777" w:rsidR="00193CA6" w:rsidRPr="00D71401" w:rsidRDefault="00193CA6" w:rsidP="0038317F">
      <w:pPr>
        <w:pStyle w:val="ListParagraph"/>
        <w:numPr>
          <w:ilvl w:val="0"/>
          <w:numId w:val="8"/>
        </w:numPr>
      </w:pPr>
      <w:r w:rsidRPr="00D71401">
        <w:t>placement of a plaque or notice in a format that has the prior approval of the sponsor, for the duration of a sponsored activity or for an agreed period of time</w:t>
      </w:r>
    </w:p>
    <w:p w14:paraId="1EE88F5A" w14:textId="77777777" w:rsidR="00193CA6" w:rsidRPr="00D71401" w:rsidRDefault="00193CA6" w:rsidP="0038317F">
      <w:pPr>
        <w:pStyle w:val="ListParagraph"/>
        <w:numPr>
          <w:ilvl w:val="0"/>
          <w:numId w:val="8"/>
        </w:numPr>
      </w:pPr>
      <w:r w:rsidRPr="00D71401">
        <w:t>public display at functions of temporary signage acknowledging the sponsorship</w:t>
      </w:r>
    </w:p>
    <w:p w14:paraId="5AD0444A" w14:textId="77777777" w:rsidR="00193CA6" w:rsidRPr="00D71401" w:rsidRDefault="00193CA6" w:rsidP="0038317F">
      <w:pPr>
        <w:pStyle w:val="ListParagraph"/>
        <w:numPr>
          <w:ilvl w:val="0"/>
          <w:numId w:val="8"/>
        </w:numPr>
      </w:pPr>
      <w:r w:rsidRPr="00D71401">
        <w:t>acknowledgement of the sponsorship in newsletters (e.g. advertisement) or speeches</w:t>
      </w:r>
    </w:p>
    <w:p w14:paraId="02D8A780" w14:textId="77777777" w:rsidR="00193CA6" w:rsidRPr="00D71401" w:rsidRDefault="00193CA6" w:rsidP="0038317F">
      <w:pPr>
        <w:pStyle w:val="ListParagraph"/>
        <w:numPr>
          <w:ilvl w:val="0"/>
          <w:numId w:val="8"/>
        </w:numPr>
      </w:pPr>
      <w:r w:rsidRPr="00D71401">
        <w:t>a letter of appreciation to the sponsor</w:t>
      </w:r>
    </w:p>
    <w:p w14:paraId="4C9E7A18" w14:textId="5D7BE728" w:rsidR="00193CA6" w:rsidRPr="00D71401" w:rsidRDefault="00193CA6" w:rsidP="0038317F">
      <w:pPr>
        <w:pStyle w:val="ListParagraph"/>
        <w:numPr>
          <w:ilvl w:val="0"/>
          <w:numId w:val="8"/>
        </w:numPr>
      </w:pPr>
      <w:r w:rsidRPr="00D71401">
        <w:t xml:space="preserve">inclusion of a </w:t>
      </w:r>
      <w:r w:rsidR="001C201D" w:rsidRPr="00D71401">
        <w:t>by-line</w:t>
      </w:r>
      <w:r w:rsidRPr="00D71401">
        <w:t>, forward or advertisement from the sponsor in a school’s prospectus, magazine or other publication</w:t>
      </w:r>
    </w:p>
    <w:p w14:paraId="76BEC515" w14:textId="043A3670" w:rsidR="00193CA6" w:rsidRPr="00D71401" w:rsidRDefault="00193CA6" w:rsidP="0038317F">
      <w:pPr>
        <w:pStyle w:val="ListParagraph"/>
        <w:numPr>
          <w:ilvl w:val="0"/>
          <w:numId w:val="8"/>
        </w:numPr>
      </w:pPr>
      <w:r w:rsidRPr="00D71401">
        <w:t>attendance by the sponsor at school functions and an opportunity to make an address or present an award.</w:t>
      </w:r>
    </w:p>
    <w:p w14:paraId="61CAD1AE" w14:textId="77777777" w:rsidR="00193CA6" w:rsidRPr="00D71401" w:rsidRDefault="00193CA6" w:rsidP="00F25397">
      <w:pPr>
        <w:pStyle w:val="Heading3"/>
      </w:pPr>
      <w:bookmarkStart w:id="46" w:name="_Toc517710869"/>
      <w:r w:rsidRPr="00D71401">
        <w:t>Outgoing sponsorships</w:t>
      </w:r>
      <w:bookmarkEnd w:id="46"/>
    </w:p>
    <w:p w14:paraId="37726247" w14:textId="6B282A67" w:rsidR="00193CA6" w:rsidRPr="00D71401" w:rsidRDefault="00193CA6" w:rsidP="00F25397">
      <w:pPr>
        <w:pStyle w:val="ESBodyText"/>
      </w:pPr>
      <w:r w:rsidRPr="00D71401">
        <w:t xml:space="preserve">A </w:t>
      </w:r>
      <w:r w:rsidRPr="00D71401">
        <w:rPr>
          <w:lang w:val="en-GB"/>
        </w:rPr>
        <w:t>typical</w:t>
      </w:r>
      <w:r w:rsidRPr="00D71401">
        <w:t xml:space="preserve"> package for outgoing sponsorship </w:t>
      </w:r>
      <w:r w:rsidR="008B606A" w:rsidRPr="00D71401">
        <w:t xml:space="preserve">can </w:t>
      </w:r>
      <w:r w:rsidRPr="00D71401">
        <w:t>include:</w:t>
      </w:r>
    </w:p>
    <w:p w14:paraId="3A310C05" w14:textId="77777777" w:rsidR="00193CA6" w:rsidRPr="00D71401" w:rsidRDefault="00193CA6" w:rsidP="0038317F">
      <w:pPr>
        <w:pStyle w:val="ListParagraph"/>
        <w:numPr>
          <w:ilvl w:val="0"/>
          <w:numId w:val="8"/>
        </w:numPr>
      </w:pPr>
      <w:r w:rsidRPr="00D71401">
        <w:t>public acknowledgements</w:t>
      </w:r>
    </w:p>
    <w:p w14:paraId="06A6E793" w14:textId="77777777" w:rsidR="00193CA6" w:rsidRPr="00D71401" w:rsidRDefault="00193CA6" w:rsidP="0038317F">
      <w:pPr>
        <w:pStyle w:val="ListParagraph"/>
        <w:numPr>
          <w:ilvl w:val="0"/>
          <w:numId w:val="8"/>
        </w:numPr>
      </w:pPr>
      <w:r w:rsidRPr="00D71401">
        <w:t>logo placement and signage</w:t>
      </w:r>
    </w:p>
    <w:p w14:paraId="4C0E9804" w14:textId="5C895175" w:rsidR="00193CA6" w:rsidRPr="00D71401" w:rsidRDefault="00193CA6" w:rsidP="0038317F">
      <w:pPr>
        <w:pStyle w:val="ListParagraph"/>
        <w:numPr>
          <w:ilvl w:val="0"/>
          <w:numId w:val="8"/>
        </w:numPr>
      </w:pPr>
      <w:r w:rsidRPr="00D71401">
        <w:t>speaking engagement</w:t>
      </w:r>
      <w:r w:rsidR="00C1765C" w:rsidRPr="00D71401">
        <w:t>s</w:t>
      </w:r>
    </w:p>
    <w:p w14:paraId="66EAB255" w14:textId="77777777" w:rsidR="00193CA6" w:rsidRPr="00D71401" w:rsidRDefault="00193CA6" w:rsidP="0038317F">
      <w:pPr>
        <w:pStyle w:val="ListParagraph"/>
        <w:numPr>
          <w:ilvl w:val="0"/>
          <w:numId w:val="8"/>
        </w:numPr>
      </w:pPr>
      <w:r w:rsidRPr="00D71401">
        <w:t>social media posts</w:t>
      </w:r>
    </w:p>
    <w:p w14:paraId="54C861C3" w14:textId="77777777" w:rsidR="00193CA6" w:rsidRPr="00D71401" w:rsidRDefault="00193CA6" w:rsidP="0038317F">
      <w:pPr>
        <w:pStyle w:val="ListParagraph"/>
        <w:numPr>
          <w:ilvl w:val="0"/>
          <w:numId w:val="8"/>
        </w:numPr>
      </w:pPr>
      <w:r w:rsidRPr="00D71401">
        <w:t xml:space="preserve">advertising. </w:t>
      </w:r>
    </w:p>
    <w:p w14:paraId="265B4B7C" w14:textId="70A6ECC2" w:rsidR="00193CA6" w:rsidRPr="00D71401" w:rsidRDefault="008B606A" w:rsidP="005B13FB">
      <w:pPr>
        <w:pStyle w:val="ESBodyText"/>
      </w:pPr>
      <w:r w:rsidRPr="00D71401">
        <w:t>O</w:t>
      </w:r>
      <w:r w:rsidR="00193CA6" w:rsidRPr="00D71401">
        <w:t xml:space="preserve">ther benefits </w:t>
      </w:r>
      <w:r w:rsidRPr="00D71401">
        <w:t xml:space="preserve">can </w:t>
      </w:r>
      <w:r w:rsidR="00193CA6" w:rsidRPr="00D71401">
        <w:t>includ</w:t>
      </w:r>
      <w:r w:rsidR="00520973" w:rsidRPr="00D71401">
        <w:t>e</w:t>
      </w:r>
      <w:r w:rsidR="00193CA6" w:rsidRPr="00D71401">
        <w:t>:</w:t>
      </w:r>
    </w:p>
    <w:p w14:paraId="054DE40A" w14:textId="77777777" w:rsidR="00CC42BE" w:rsidRPr="00D71401" w:rsidRDefault="00CC42BE" w:rsidP="0038317F">
      <w:pPr>
        <w:pStyle w:val="ListParagraph"/>
        <w:numPr>
          <w:ilvl w:val="0"/>
          <w:numId w:val="8"/>
        </w:numPr>
      </w:pPr>
      <w:r w:rsidRPr="00D71401">
        <w:t>naming rights</w:t>
      </w:r>
    </w:p>
    <w:p w14:paraId="176B9F21" w14:textId="244401C6" w:rsidR="00193CA6" w:rsidRPr="00D71401" w:rsidRDefault="00193CA6" w:rsidP="0038317F">
      <w:pPr>
        <w:pStyle w:val="ListParagraph"/>
        <w:numPr>
          <w:ilvl w:val="0"/>
          <w:numId w:val="8"/>
        </w:numPr>
      </w:pPr>
      <w:r w:rsidRPr="00D71401">
        <w:t xml:space="preserve">access to mailing lists </w:t>
      </w:r>
    </w:p>
    <w:p w14:paraId="16C4689E" w14:textId="77777777" w:rsidR="00193CA6" w:rsidRPr="00D71401" w:rsidRDefault="00193CA6" w:rsidP="0038317F">
      <w:pPr>
        <w:pStyle w:val="ListParagraph"/>
        <w:numPr>
          <w:ilvl w:val="0"/>
          <w:numId w:val="8"/>
        </w:numPr>
      </w:pPr>
      <w:r w:rsidRPr="00D71401">
        <w:t>placement and promotion of web links</w:t>
      </w:r>
    </w:p>
    <w:p w14:paraId="07EE2EA6" w14:textId="77777777" w:rsidR="00193CA6" w:rsidRPr="00D71401" w:rsidRDefault="00193CA6" w:rsidP="0038317F">
      <w:pPr>
        <w:pStyle w:val="ListParagraph"/>
        <w:numPr>
          <w:ilvl w:val="0"/>
          <w:numId w:val="8"/>
        </w:numPr>
      </w:pPr>
      <w:r w:rsidRPr="00D71401">
        <w:t>media and</w:t>
      </w:r>
      <w:r w:rsidR="002F0F88" w:rsidRPr="00D71401">
        <w:t xml:space="preserve"> </w:t>
      </w:r>
      <w:r w:rsidRPr="00D71401">
        <w:t xml:space="preserve">publicity </w:t>
      </w:r>
    </w:p>
    <w:p w14:paraId="57804116" w14:textId="77777777" w:rsidR="00193CA6" w:rsidRPr="00D71401" w:rsidRDefault="00193CA6" w:rsidP="0038317F">
      <w:pPr>
        <w:pStyle w:val="ListParagraph"/>
        <w:numPr>
          <w:ilvl w:val="0"/>
          <w:numId w:val="8"/>
        </w:numPr>
      </w:pPr>
      <w:r w:rsidRPr="00D71401">
        <w:t>opportunities to network</w:t>
      </w:r>
    </w:p>
    <w:p w14:paraId="6E4DDE54" w14:textId="77777777" w:rsidR="00193CA6" w:rsidRPr="00D71401" w:rsidRDefault="00193CA6" w:rsidP="0038317F">
      <w:pPr>
        <w:pStyle w:val="ListParagraph"/>
        <w:numPr>
          <w:ilvl w:val="0"/>
          <w:numId w:val="8"/>
        </w:numPr>
      </w:pPr>
      <w:r w:rsidRPr="00D71401">
        <w:t>placement of articles in targeted publications</w:t>
      </w:r>
    </w:p>
    <w:p w14:paraId="3C572797" w14:textId="77777777" w:rsidR="00193CA6" w:rsidRPr="00D71401" w:rsidRDefault="00193CA6" w:rsidP="0038317F">
      <w:pPr>
        <w:pStyle w:val="ListParagraph"/>
        <w:numPr>
          <w:ilvl w:val="0"/>
          <w:numId w:val="8"/>
        </w:numPr>
      </w:pPr>
      <w:r w:rsidRPr="00D71401">
        <w:t xml:space="preserve">competitions. </w:t>
      </w:r>
    </w:p>
    <w:p w14:paraId="7696950F" w14:textId="7C0EC3A5" w:rsidR="00193CA6" w:rsidRPr="00D71401" w:rsidRDefault="00193CA6" w:rsidP="00F25397">
      <w:pPr>
        <w:pStyle w:val="ESBodyText"/>
      </w:pPr>
      <w:r w:rsidRPr="00D71401">
        <w:t xml:space="preserve">Assigning a dollar value to each benefit can be difficult and should be done on a case-by-case basis. Much depends on the nature of the sponsored organisation, the relationship between the organisation and </w:t>
      </w:r>
      <w:r w:rsidR="008B606A" w:rsidRPr="00D71401">
        <w:t>the Department/school/agency</w:t>
      </w:r>
      <w:r w:rsidRPr="00D71401">
        <w:t xml:space="preserve">, and the potential ‘value add’ of each benefit. For example, there may be unforeseen benefits such as increased awareness of your message through word of mouth or access to social media networks with </w:t>
      </w:r>
      <w:r w:rsidR="00CC42BE" w:rsidRPr="00D71401">
        <w:t xml:space="preserve">a </w:t>
      </w:r>
      <w:r w:rsidRPr="00D71401">
        <w:t xml:space="preserve">significant number of followers. </w:t>
      </w:r>
    </w:p>
    <w:p w14:paraId="721EB8F6" w14:textId="27998799" w:rsidR="005C2413" w:rsidRPr="00D71401" w:rsidRDefault="005C2413" w:rsidP="00193CA6">
      <w:pPr>
        <w:pStyle w:val="ESHeading2"/>
        <w:rPr>
          <w:lang w:eastAsia="en-AU"/>
        </w:rPr>
      </w:pPr>
      <w:bookmarkStart w:id="47" w:name="_Toc517710872"/>
      <w:bookmarkStart w:id="48" w:name="_Toc7430044"/>
      <w:bookmarkEnd w:id="43"/>
      <w:bookmarkEnd w:id="44"/>
      <w:r w:rsidRPr="00D71401">
        <w:t>Naming rights</w:t>
      </w:r>
      <w:bookmarkEnd w:id="47"/>
      <w:bookmarkEnd w:id="48"/>
    </w:p>
    <w:p w14:paraId="1FAAA413" w14:textId="1608F8A7" w:rsidR="005C2413" w:rsidRPr="00D71401" w:rsidRDefault="005C2413" w:rsidP="00F25397">
      <w:pPr>
        <w:pStyle w:val="ESBodyText"/>
        <w:rPr>
          <w:lang w:eastAsia="en-AU"/>
        </w:rPr>
      </w:pPr>
      <w:r w:rsidRPr="00D71401">
        <w:rPr>
          <w:lang w:eastAsia="en-AU"/>
        </w:rPr>
        <w:t xml:space="preserve">Naming rights refers to, in addition to other rights and benefits of sponsorship, </w:t>
      </w:r>
      <w:r w:rsidR="00114231" w:rsidRPr="00D71401">
        <w:rPr>
          <w:lang w:eastAsia="en-AU"/>
        </w:rPr>
        <w:t xml:space="preserve">a sponsor </w:t>
      </w:r>
      <w:r w:rsidRPr="00D71401">
        <w:rPr>
          <w:lang w:eastAsia="en-AU"/>
        </w:rPr>
        <w:t>has negotiated to have their name added as a prefix to the sponsored activity.</w:t>
      </w:r>
    </w:p>
    <w:p w14:paraId="706541F1" w14:textId="1183A1D2" w:rsidR="00BA7D3B" w:rsidRPr="00D71401" w:rsidRDefault="005C2413" w:rsidP="00F25397">
      <w:pPr>
        <w:pStyle w:val="ESBodyText"/>
      </w:pPr>
      <w:r w:rsidRPr="00D71401">
        <w:t xml:space="preserve">Careful consideration must be given to the potential financial, legal, marketing and branding implications of agreeing to grant </w:t>
      </w:r>
      <w:r w:rsidRPr="00D71401">
        <w:rPr>
          <w:lang w:val="en-GB"/>
        </w:rPr>
        <w:t>naming</w:t>
      </w:r>
      <w:r w:rsidRPr="00D71401">
        <w:t xml:space="preserve"> rights. </w:t>
      </w:r>
    </w:p>
    <w:p w14:paraId="3059665A" w14:textId="36160A59" w:rsidR="003B605E" w:rsidRPr="00D71401" w:rsidRDefault="005C2413" w:rsidP="00F25397">
      <w:pPr>
        <w:pStyle w:val="ESBodyText"/>
      </w:pPr>
      <w:r w:rsidRPr="00D71401">
        <w:t xml:space="preserve">The approval of the relevant Minister must be obtained for any sponsorship agreement that </w:t>
      </w:r>
      <w:r w:rsidR="00CC42BE" w:rsidRPr="00D71401">
        <w:t>gives</w:t>
      </w:r>
      <w:r w:rsidRPr="00D71401">
        <w:t xml:space="preserve"> naming rights for a </w:t>
      </w:r>
      <w:r w:rsidRPr="00D71401">
        <w:rPr>
          <w:lang w:val="en-GB"/>
        </w:rPr>
        <w:t>Governmental</w:t>
      </w:r>
      <w:r w:rsidRPr="00D71401">
        <w:t xml:space="preserve"> asset</w:t>
      </w:r>
      <w:r w:rsidR="003B605E" w:rsidRPr="00D71401">
        <w:t xml:space="preserve"> (such as a school building)</w:t>
      </w:r>
      <w:r w:rsidRPr="00D71401">
        <w:t xml:space="preserve">, event or initiative </w:t>
      </w:r>
      <w:r w:rsidR="00CC42BE" w:rsidRPr="00D71401">
        <w:t xml:space="preserve">to an external </w:t>
      </w:r>
      <w:r w:rsidRPr="00D71401">
        <w:t xml:space="preserve">organisation. The approval of the Secretary must be obtained for any sponsorship agreement that involves the Department </w:t>
      </w:r>
      <w:r w:rsidR="00CC42BE" w:rsidRPr="00D71401">
        <w:t xml:space="preserve">obtaining </w:t>
      </w:r>
      <w:r w:rsidRPr="00D71401">
        <w:t>naming rights for an exte</w:t>
      </w:r>
      <w:r w:rsidR="00CC42BE" w:rsidRPr="00D71401">
        <w:t xml:space="preserve">rnal asset, event or initiative. </w:t>
      </w:r>
    </w:p>
    <w:p w14:paraId="33B97F5B" w14:textId="70C470E5" w:rsidR="003B605E" w:rsidRDefault="003B605E" w:rsidP="00F25397">
      <w:pPr>
        <w:pStyle w:val="ESBodyText"/>
      </w:pPr>
      <w:r w:rsidRPr="00D71401">
        <w:t xml:space="preserve">Sponsorship </w:t>
      </w:r>
      <w:r w:rsidRPr="00D71401">
        <w:rPr>
          <w:lang w:val="en-GB"/>
        </w:rPr>
        <w:t>arrangements</w:t>
      </w:r>
      <w:r w:rsidRPr="00D71401">
        <w:t xml:space="preserve"> relating to naming rights must have explicit end dates.</w:t>
      </w:r>
    </w:p>
    <w:p w14:paraId="3B2BF46F" w14:textId="2B0AB20A" w:rsidR="002429D6" w:rsidRPr="00D71401" w:rsidRDefault="002429D6" w:rsidP="00F25397">
      <w:pPr>
        <w:pStyle w:val="ESBodyText"/>
      </w:pPr>
      <w:r>
        <w:t>Speak to the Communications Division for advice if your sponsorship proposal includes naming rights.</w:t>
      </w:r>
    </w:p>
    <w:p w14:paraId="0AF7C027" w14:textId="05E2D720" w:rsidR="003703E6" w:rsidRPr="00D71401" w:rsidRDefault="005009CC" w:rsidP="003703E6">
      <w:pPr>
        <w:pStyle w:val="ESHeading2"/>
      </w:pPr>
      <w:bookmarkStart w:id="49" w:name="_Toc517710873"/>
      <w:bookmarkStart w:id="50" w:name="_Toc7430045"/>
      <w:bookmarkStart w:id="51" w:name="_Toc320614056"/>
      <w:bookmarkStart w:id="52" w:name="_Ref329951611"/>
      <w:r w:rsidRPr="00D71401">
        <w:t>State</w:t>
      </w:r>
      <w:r w:rsidR="002536B4" w:rsidRPr="00D71401">
        <w:t>-</w:t>
      </w:r>
      <w:r w:rsidRPr="00D71401">
        <w:t xml:space="preserve">Wide </w:t>
      </w:r>
      <w:r w:rsidR="003703E6" w:rsidRPr="00D71401">
        <w:t>sponsorship of schools</w:t>
      </w:r>
      <w:bookmarkEnd w:id="49"/>
      <w:bookmarkEnd w:id="50"/>
    </w:p>
    <w:p w14:paraId="5D935DDA" w14:textId="011B69A3" w:rsidR="003703E6" w:rsidRPr="00D71401" w:rsidRDefault="003703E6" w:rsidP="00F25397">
      <w:pPr>
        <w:pStyle w:val="ESBodyText"/>
      </w:pPr>
      <w:r w:rsidRPr="00D71401">
        <w:t xml:space="preserve">There are a number of </w:t>
      </w:r>
      <w:r w:rsidR="00CC42BE" w:rsidRPr="00D71401">
        <w:t xml:space="preserve">state-wide or country-wide </w:t>
      </w:r>
      <w:r w:rsidRPr="00D71401">
        <w:t>corporate sponsor</w:t>
      </w:r>
      <w:r w:rsidR="00CC42BE" w:rsidRPr="00D71401">
        <w:t>ships that affect</w:t>
      </w:r>
      <w:r w:rsidRPr="00D71401">
        <w:t xml:space="preserve"> local schools. </w:t>
      </w:r>
      <w:r w:rsidR="00286A04" w:rsidRPr="00D71401">
        <w:t>For e</w:t>
      </w:r>
      <w:r w:rsidRPr="00D71401">
        <w:t>xamples</w:t>
      </w:r>
      <w:r w:rsidR="00286A04" w:rsidRPr="00D71401">
        <w:t xml:space="preserve">, </w:t>
      </w:r>
      <w:r w:rsidRPr="00D71401">
        <w:t xml:space="preserve">regular </w:t>
      </w:r>
      <w:r w:rsidRPr="00D71401">
        <w:rPr>
          <w:lang w:val="en-GB"/>
        </w:rPr>
        <w:t>promotions</w:t>
      </w:r>
      <w:r w:rsidRPr="00D71401">
        <w:t xml:space="preserve"> run by major supermarket chains and banks. </w:t>
      </w:r>
    </w:p>
    <w:p w14:paraId="5BF7D349" w14:textId="64AF63ED" w:rsidR="00F16652" w:rsidRPr="00D71401" w:rsidRDefault="003703E6" w:rsidP="00F25397">
      <w:pPr>
        <w:pStyle w:val="ESBodyText"/>
        <w:rPr>
          <w:lang w:eastAsia="en-AU"/>
        </w:rPr>
      </w:pPr>
      <w:r w:rsidRPr="00D71401">
        <w:rPr>
          <w:lang w:eastAsia="en-AU"/>
        </w:rPr>
        <w:t>Schools being approached with requests to advertise these promo</w:t>
      </w:r>
      <w:r w:rsidR="00CC42BE" w:rsidRPr="00D71401">
        <w:rPr>
          <w:lang w:eastAsia="en-AU"/>
        </w:rPr>
        <w:t>tions to their school community</w:t>
      </w:r>
      <w:r w:rsidRPr="00D71401">
        <w:rPr>
          <w:lang w:eastAsia="en-AU"/>
        </w:rPr>
        <w:t xml:space="preserve"> </w:t>
      </w:r>
      <w:r w:rsidR="00286A04" w:rsidRPr="00D71401">
        <w:rPr>
          <w:lang w:eastAsia="en-AU"/>
        </w:rPr>
        <w:t xml:space="preserve">need to </w:t>
      </w:r>
      <w:r w:rsidRPr="00D71401">
        <w:rPr>
          <w:lang w:eastAsia="en-AU"/>
        </w:rPr>
        <w:t xml:space="preserve">refer the requests to the </w:t>
      </w:r>
      <w:r w:rsidRPr="00D71401">
        <w:rPr>
          <w:lang w:val="en-GB"/>
        </w:rPr>
        <w:t>Communications</w:t>
      </w:r>
      <w:r w:rsidRPr="00D71401">
        <w:rPr>
          <w:lang w:eastAsia="en-AU"/>
        </w:rPr>
        <w:t xml:space="preserve"> Division</w:t>
      </w:r>
      <w:r w:rsidR="000C6626">
        <w:rPr>
          <w:lang w:eastAsia="en-AU"/>
        </w:rPr>
        <w:t xml:space="preserve"> (</w:t>
      </w:r>
      <w:hyperlink r:id="rId30" w:history="1">
        <w:r w:rsidR="000C6626" w:rsidRPr="004A11A9">
          <w:rPr>
            <w:rStyle w:val="Hyperlink"/>
            <w:lang w:eastAsia="en-AU"/>
          </w:rPr>
          <w:t>sponsorship@edumail.vic.gov.au</w:t>
        </w:r>
      </w:hyperlink>
      <w:r w:rsidR="000C6626">
        <w:rPr>
          <w:lang w:eastAsia="en-AU"/>
        </w:rPr>
        <w:t xml:space="preserve"> )</w:t>
      </w:r>
      <w:r w:rsidRPr="00D71401">
        <w:rPr>
          <w:lang w:eastAsia="en-AU"/>
        </w:rPr>
        <w:t xml:space="preserve">. </w:t>
      </w:r>
    </w:p>
    <w:p w14:paraId="23FCD38A" w14:textId="36A45511" w:rsidR="001C201D" w:rsidRPr="00D71401" w:rsidRDefault="003703E6" w:rsidP="00F25397">
      <w:pPr>
        <w:pStyle w:val="ESBodyText"/>
        <w:rPr>
          <w:lang w:eastAsia="en-AU"/>
        </w:rPr>
      </w:pPr>
      <w:r w:rsidRPr="00D71401">
        <w:rPr>
          <w:lang w:eastAsia="en-AU"/>
        </w:rPr>
        <w:t xml:space="preserve">In some </w:t>
      </w:r>
      <w:r w:rsidRPr="00D71401">
        <w:rPr>
          <w:lang w:val="en-GB"/>
        </w:rPr>
        <w:t>instances</w:t>
      </w:r>
      <w:r w:rsidRPr="00D71401">
        <w:rPr>
          <w:lang w:eastAsia="en-AU"/>
        </w:rPr>
        <w:t>, the Department may enter into an agreement with an entity to apply to all schools.</w:t>
      </w:r>
    </w:p>
    <w:p w14:paraId="7395BF18" w14:textId="00CCF225" w:rsidR="00193CA6" w:rsidRPr="00D71401" w:rsidRDefault="00114231">
      <w:pPr>
        <w:pStyle w:val="ESHeading1"/>
      </w:pPr>
      <w:bookmarkStart w:id="53" w:name="_Toc517710874"/>
      <w:bookmarkStart w:id="54" w:name="_Toc7430046"/>
      <w:r w:rsidRPr="00D71401">
        <w:t>Approvals</w:t>
      </w:r>
      <w:r w:rsidR="001B64E8" w:rsidRPr="00D71401">
        <w:t xml:space="preserve"> and </w:t>
      </w:r>
      <w:r w:rsidR="00193CA6" w:rsidRPr="00D71401">
        <w:t>reporting</w:t>
      </w:r>
      <w:bookmarkEnd w:id="53"/>
      <w:bookmarkEnd w:id="54"/>
    </w:p>
    <w:p w14:paraId="52D0E212" w14:textId="564295AB" w:rsidR="0083105E" w:rsidRPr="00D71401" w:rsidRDefault="0083105E" w:rsidP="00114231">
      <w:pPr>
        <w:pStyle w:val="ESHeading2"/>
      </w:pPr>
      <w:bookmarkStart w:id="55" w:name="_Toc517710870"/>
      <w:bookmarkStart w:id="56" w:name="_Toc517710875"/>
      <w:bookmarkStart w:id="57" w:name="_Toc7430047"/>
      <w:bookmarkEnd w:id="55"/>
      <w:r w:rsidRPr="00D71401">
        <w:t>Corporate staff</w:t>
      </w:r>
      <w:bookmarkEnd w:id="56"/>
      <w:bookmarkEnd w:id="57"/>
    </w:p>
    <w:p w14:paraId="74189B94" w14:textId="041337FC" w:rsidR="000C1B54" w:rsidRPr="00D71401" w:rsidRDefault="0083105E" w:rsidP="00F25397">
      <w:pPr>
        <w:pStyle w:val="ESBodyText"/>
      </w:pPr>
      <w:r w:rsidRPr="00D71401">
        <w:t xml:space="preserve">All corporate sponsorship activities must be approved by the Executive Director of the relevant division and then reported to the </w:t>
      </w:r>
      <w:r w:rsidRPr="00D71401">
        <w:rPr>
          <w:lang w:val="en-GB"/>
        </w:rPr>
        <w:t>Communications</w:t>
      </w:r>
      <w:r w:rsidRPr="00D71401">
        <w:t xml:space="preserve"> D</w:t>
      </w:r>
      <w:r w:rsidR="00CC42BE" w:rsidRPr="00D71401">
        <w:t>ivision prior to implementation</w:t>
      </w:r>
      <w:r w:rsidRPr="00D71401">
        <w:t xml:space="preserve"> by completing the</w:t>
      </w:r>
      <w:r w:rsidRPr="00D71401">
        <w:rPr>
          <w:i/>
        </w:rPr>
        <w:t xml:space="preserve"> Sponsorship Declaration Fo</w:t>
      </w:r>
      <w:r w:rsidR="00AF4B54" w:rsidRPr="00D71401">
        <w:rPr>
          <w:i/>
        </w:rPr>
        <w:t>rm</w:t>
      </w:r>
      <w:r w:rsidR="000C1B54" w:rsidRPr="00D71401">
        <w:t>.</w:t>
      </w:r>
    </w:p>
    <w:p w14:paraId="16AFA5C1" w14:textId="77777777" w:rsidR="00C56591" w:rsidRPr="00D71401" w:rsidRDefault="00C56591" w:rsidP="00F25397">
      <w:pPr>
        <w:pStyle w:val="ESBodyText"/>
      </w:pPr>
      <w:r w:rsidRPr="00D71401">
        <w:t xml:space="preserve">Once completed, the declaration form, and any relevant attachments, should be sent via email </w:t>
      </w:r>
      <w:r w:rsidRPr="00D71401">
        <w:rPr>
          <w:lang w:eastAsia="en-AU"/>
        </w:rPr>
        <w:t>(</w:t>
      </w:r>
      <w:hyperlink r:id="rId31" w:history="1">
        <w:r w:rsidRPr="00D71401">
          <w:rPr>
            <w:rStyle w:val="Hyperlink"/>
            <w:lang w:eastAsia="en-AU"/>
          </w:rPr>
          <w:t>sponsorship@edumail.vic.gov.au</w:t>
        </w:r>
      </w:hyperlink>
      <w:r w:rsidRPr="00D71401">
        <w:t xml:space="preserve">) to the </w:t>
      </w:r>
      <w:r w:rsidRPr="00D71401">
        <w:rPr>
          <w:lang w:val="en-GB"/>
        </w:rPr>
        <w:t>Strategic</w:t>
      </w:r>
      <w:r w:rsidRPr="00D71401">
        <w:t xml:space="preserve"> Communications Branch, Communications Division who will record the details on the Department’s Sponsorship Register. </w:t>
      </w:r>
    </w:p>
    <w:p w14:paraId="1A1CA0A3" w14:textId="5863373A" w:rsidR="0083105E" w:rsidRPr="00D71401" w:rsidRDefault="0083105E" w:rsidP="00F25397">
      <w:pPr>
        <w:pStyle w:val="ESBodyText"/>
        <w:rPr>
          <w:lang w:eastAsia="en-AU"/>
        </w:rPr>
      </w:pPr>
      <w:r w:rsidRPr="00D71401">
        <w:rPr>
          <w:lang w:eastAsia="en-AU"/>
        </w:rPr>
        <w:t xml:space="preserve">The following </w:t>
      </w:r>
      <w:r w:rsidRPr="00D71401">
        <w:rPr>
          <w:lang w:val="en-GB"/>
        </w:rPr>
        <w:t>information</w:t>
      </w:r>
      <w:r w:rsidRPr="00D71401">
        <w:rPr>
          <w:lang w:eastAsia="en-AU"/>
        </w:rPr>
        <w:t xml:space="preserve"> is recorded </w:t>
      </w:r>
      <w:r w:rsidR="002A6675" w:rsidRPr="00D71401">
        <w:rPr>
          <w:lang w:eastAsia="en-AU"/>
        </w:rPr>
        <w:t xml:space="preserve">by </w:t>
      </w:r>
      <w:r w:rsidRPr="00D71401">
        <w:rPr>
          <w:lang w:eastAsia="en-AU"/>
        </w:rPr>
        <w:t xml:space="preserve">the </w:t>
      </w:r>
      <w:r w:rsidRPr="00D71401">
        <w:rPr>
          <w:i/>
          <w:lang w:eastAsia="en-AU"/>
        </w:rPr>
        <w:t>Sponsorship Declaration Form</w:t>
      </w:r>
      <w:r w:rsidRPr="00D71401">
        <w:rPr>
          <w:lang w:eastAsia="en-AU"/>
        </w:rPr>
        <w:t xml:space="preserve">: </w:t>
      </w:r>
    </w:p>
    <w:p w14:paraId="574B4509" w14:textId="77777777" w:rsidR="0083105E" w:rsidRPr="00D71401" w:rsidRDefault="0083105E" w:rsidP="0038317F">
      <w:pPr>
        <w:pStyle w:val="ListParagraph"/>
        <w:numPr>
          <w:ilvl w:val="0"/>
          <w:numId w:val="8"/>
        </w:numPr>
      </w:pPr>
      <w:r w:rsidRPr="00D71401">
        <w:t>name of sponsorship</w:t>
      </w:r>
    </w:p>
    <w:p w14:paraId="7DA45078" w14:textId="77777777" w:rsidR="0083105E" w:rsidRPr="00D71401" w:rsidRDefault="0083105E" w:rsidP="0038317F">
      <w:pPr>
        <w:pStyle w:val="ListParagraph"/>
        <w:numPr>
          <w:ilvl w:val="0"/>
          <w:numId w:val="8"/>
        </w:numPr>
      </w:pPr>
      <w:r w:rsidRPr="00D71401">
        <w:t xml:space="preserve">recipient’s name </w:t>
      </w:r>
    </w:p>
    <w:p w14:paraId="23B00282" w14:textId="77777777" w:rsidR="0083105E" w:rsidRPr="00D71401" w:rsidRDefault="0083105E" w:rsidP="0038317F">
      <w:pPr>
        <w:pStyle w:val="ListParagraph"/>
        <w:numPr>
          <w:ilvl w:val="0"/>
          <w:numId w:val="8"/>
        </w:numPr>
      </w:pPr>
      <w:r w:rsidRPr="00D71401">
        <w:t>sponsor’s name and organisation</w:t>
      </w:r>
    </w:p>
    <w:p w14:paraId="325CF2E5" w14:textId="77777777" w:rsidR="0083105E" w:rsidRPr="00D71401" w:rsidRDefault="0083105E" w:rsidP="0038317F">
      <w:pPr>
        <w:pStyle w:val="ListParagraph"/>
        <w:numPr>
          <w:ilvl w:val="0"/>
          <w:numId w:val="8"/>
        </w:numPr>
      </w:pPr>
      <w:r w:rsidRPr="00D71401">
        <w:t>purpose/intended use of sponsorship</w:t>
      </w:r>
    </w:p>
    <w:p w14:paraId="32DF017A" w14:textId="77777777" w:rsidR="0083105E" w:rsidRPr="00D71401" w:rsidRDefault="0083105E" w:rsidP="0038317F">
      <w:pPr>
        <w:pStyle w:val="ListParagraph"/>
        <w:numPr>
          <w:ilvl w:val="0"/>
          <w:numId w:val="8"/>
        </w:numPr>
      </w:pPr>
      <w:r w:rsidRPr="00D71401">
        <w:t>description and estimated value</w:t>
      </w:r>
    </w:p>
    <w:p w14:paraId="30486755" w14:textId="77777777" w:rsidR="0083105E" w:rsidRPr="00D71401" w:rsidRDefault="0083105E" w:rsidP="0038317F">
      <w:pPr>
        <w:pStyle w:val="ListParagraph"/>
        <w:numPr>
          <w:ilvl w:val="0"/>
          <w:numId w:val="8"/>
        </w:numPr>
      </w:pPr>
      <w:r w:rsidRPr="00D71401">
        <w:t>timing and duration of arrangement</w:t>
      </w:r>
    </w:p>
    <w:p w14:paraId="64B102B1" w14:textId="77777777" w:rsidR="0083105E" w:rsidRPr="00D71401" w:rsidRDefault="0083105E" w:rsidP="0038317F">
      <w:pPr>
        <w:pStyle w:val="ListParagraph"/>
        <w:numPr>
          <w:ilvl w:val="0"/>
          <w:numId w:val="8"/>
        </w:numPr>
      </w:pPr>
      <w:r w:rsidRPr="00D71401">
        <w:t>decision regarding sponsorship</w:t>
      </w:r>
    </w:p>
    <w:p w14:paraId="75C11FD5" w14:textId="77777777" w:rsidR="0083105E" w:rsidRPr="00D71401" w:rsidRDefault="0083105E" w:rsidP="0038317F">
      <w:pPr>
        <w:pStyle w:val="ListParagraph"/>
        <w:numPr>
          <w:ilvl w:val="0"/>
          <w:numId w:val="8"/>
        </w:numPr>
      </w:pPr>
      <w:r w:rsidRPr="00D71401">
        <w:t>signature of authorised delegate.</w:t>
      </w:r>
    </w:p>
    <w:p w14:paraId="6D0A903C" w14:textId="77777777" w:rsidR="0083105E" w:rsidRPr="00D71401" w:rsidRDefault="0083105E" w:rsidP="006A48B9">
      <w:pPr>
        <w:pStyle w:val="ESHeading2"/>
      </w:pPr>
      <w:bookmarkStart w:id="58" w:name="_Toc517710876"/>
      <w:bookmarkStart w:id="59" w:name="_Toc7430048"/>
      <w:r w:rsidRPr="00D71401">
        <w:t>Schools</w:t>
      </w:r>
      <w:bookmarkEnd w:id="58"/>
      <w:bookmarkEnd w:id="59"/>
      <w:r w:rsidRPr="00D71401">
        <w:t xml:space="preserve"> </w:t>
      </w:r>
    </w:p>
    <w:p w14:paraId="39325BBC" w14:textId="7EDF08E1" w:rsidR="001B5EC8" w:rsidRPr="00D71401" w:rsidRDefault="001B5EC8" w:rsidP="00F25397">
      <w:pPr>
        <w:pStyle w:val="ESBodyText"/>
      </w:pPr>
      <w:r w:rsidRPr="00D71401">
        <w:t xml:space="preserve">Detailed guidance on process steps, required approval levels and recording requirements is contained within the Schools Sponsorship Procedure document, which </w:t>
      </w:r>
      <w:r w:rsidR="00153C87">
        <w:t>must</w:t>
      </w:r>
      <w:r w:rsidR="00153C87" w:rsidRPr="00D71401">
        <w:t xml:space="preserve"> </w:t>
      </w:r>
      <w:r w:rsidRPr="00D71401">
        <w:t>be read and followed in</w:t>
      </w:r>
      <w:r w:rsidR="00F8421E" w:rsidRPr="00D71401">
        <w:t xml:space="preserve"> conjunction with this Policy. Below is a summary of the approvals required at various sponsorship levels. </w:t>
      </w:r>
    </w:p>
    <w:tbl>
      <w:tblPr>
        <w:tblStyle w:val="ListTable3-Accent1"/>
        <w:tblW w:w="0" w:type="auto"/>
        <w:tblInd w:w="5" w:type="dxa"/>
        <w:tblLook w:val="04A0" w:firstRow="1" w:lastRow="0" w:firstColumn="1" w:lastColumn="0" w:noHBand="0" w:noVBand="1"/>
      </w:tblPr>
      <w:tblGrid>
        <w:gridCol w:w="1854"/>
        <w:gridCol w:w="3947"/>
        <w:gridCol w:w="3533"/>
      </w:tblGrid>
      <w:tr w:rsidR="00F8421E" w:rsidRPr="00D71401" w14:paraId="171627C8" w14:textId="77777777" w:rsidTr="00F8421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54" w:type="dxa"/>
          </w:tcPr>
          <w:p w14:paraId="175E31C8" w14:textId="7269671F" w:rsidR="00F8421E" w:rsidRPr="00D71401" w:rsidRDefault="00D41443" w:rsidP="00C4628B">
            <w:pPr>
              <w:spacing w:after="0"/>
            </w:pPr>
            <w:r>
              <w:t>Incoming s</w:t>
            </w:r>
            <w:r w:rsidR="00F8421E" w:rsidRPr="00D71401">
              <w:t>ponsorship value</w:t>
            </w:r>
          </w:p>
        </w:tc>
        <w:tc>
          <w:tcPr>
            <w:tcW w:w="3947" w:type="dxa"/>
          </w:tcPr>
          <w:p w14:paraId="13A881E7" w14:textId="77777777" w:rsidR="00F8421E" w:rsidRPr="00D71401" w:rsidRDefault="00F8421E" w:rsidP="00C4628B">
            <w:pPr>
              <w:spacing w:after="0"/>
              <w:cnfStyle w:val="100000000000" w:firstRow="1" w:lastRow="0" w:firstColumn="0" w:lastColumn="0" w:oddVBand="0" w:evenVBand="0" w:oddHBand="0" w:evenHBand="0" w:firstRowFirstColumn="0" w:firstRowLastColumn="0" w:lastRowFirstColumn="0" w:lastRowLastColumn="0"/>
            </w:pPr>
            <w:r w:rsidRPr="00D71401">
              <w:t>Approved by:</w:t>
            </w:r>
          </w:p>
        </w:tc>
        <w:tc>
          <w:tcPr>
            <w:tcW w:w="3533" w:type="dxa"/>
          </w:tcPr>
          <w:p w14:paraId="428C2FE4" w14:textId="77777777" w:rsidR="00F8421E" w:rsidRPr="00D71401" w:rsidRDefault="00F8421E" w:rsidP="00C4628B">
            <w:pPr>
              <w:spacing w:after="0"/>
              <w:cnfStyle w:val="100000000000" w:firstRow="1" w:lastRow="0" w:firstColumn="0" w:lastColumn="0" w:oddVBand="0" w:evenVBand="0" w:oddHBand="0" w:evenHBand="0" w:firstRowFirstColumn="0" w:firstRowLastColumn="0" w:lastRowFirstColumn="0" w:lastRowLastColumn="0"/>
            </w:pPr>
            <w:r w:rsidRPr="00D71401">
              <w:t>Sponsorship register</w:t>
            </w:r>
          </w:p>
        </w:tc>
      </w:tr>
      <w:tr w:rsidR="00F8421E" w:rsidRPr="00D71401" w14:paraId="40D84EA3" w14:textId="77777777" w:rsidTr="00F84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4" w:type="dxa"/>
          </w:tcPr>
          <w:p w14:paraId="4800D0FD" w14:textId="0CC82B7C" w:rsidR="00F8421E" w:rsidRPr="00D71401" w:rsidRDefault="00D41443" w:rsidP="00D41443">
            <w:pPr>
              <w:spacing w:after="0"/>
            </w:pPr>
            <w:r>
              <w:t>Equal to or less than</w:t>
            </w:r>
            <w:r w:rsidR="00F8421E" w:rsidRPr="00D71401">
              <w:t xml:space="preserve"> $25</w:t>
            </w:r>
            <w:r>
              <w:t>,000</w:t>
            </w:r>
          </w:p>
        </w:tc>
        <w:tc>
          <w:tcPr>
            <w:tcW w:w="3947" w:type="dxa"/>
          </w:tcPr>
          <w:p w14:paraId="625E4FA0" w14:textId="61B8BA0E" w:rsidR="00F8421E" w:rsidRPr="00D71401" w:rsidRDefault="00D41443" w:rsidP="00C4628B">
            <w:pPr>
              <w:spacing w:after="0"/>
              <w:cnfStyle w:val="000000100000" w:firstRow="0" w:lastRow="0" w:firstColumn="0" w:lastColumn="0" w:oddVBand="0" w:evenVBand="0" w:oddHBand="1" w:evenHBand="0" w:firstRowFirstColumn="0" w:firstRowLastColumn="0" w:lastRowFirstColumn="0" w:lastRowLastColumn="0"/>
            </w:pPr>
            <w:r>
              <w:t>School Council</w:t>
            </w:r>
          </w:p>
        </w:tc>
        <w:tc>
          <w:tcPr>
            <w:tcW w:w="3533" w:type="dxa"/>
          </w:tcPr>
          <w:p w14:paraId="5721A589" w14:textId="77777777" w:rsidR="00F8421E" w:rsidRPr="00D71401" w:rsidRDefault="00F8421E" w:rsidP="00C4628B">
            <w:pPr>
              <w:spacing w:after="0"/>
              <w:cnfStyle w:val="000000100000" w:firstRow="0" w:lastRow="0" w:firstColumn="0" w:lastColumn="0" w:oddVBand="0" w:evenVBand="0" w:oddHBand="1" w:evenHBand="0" w:firstRowFirstColumn="0" w:firstRowLastColumn="0" w:lastRowFirstColumn="0" w:lastRowLastColumn="0"/>
            </w:pPr>
            <w:r w:rsidRPr="00D71401">
              <w:t>School register</w:t>
            </w:r>
          </w:p>
        </w:tc>
      </w:tr>
      <w:tr w:rsidR="00F41CF7" w:rsidRPr="00D71401" w14:paraId="7C5FED7F" w14:textId="77777777" w:rsidTr="00217EB3">
        <w:trPr>
          <w:trHeight w:val="720"/>
        </w:trPr>
        <w:tc>
          <w:tcPr>
            <w:cnfStyle w:val="001000000000" w:firstRow="0" w:lastRow="0" w:firstColumn="1" w:lastColumn="0" w:oddVBand="0" w:evenVBand="0" w:oddHBand="0" w:evenHBand="0" w:firstRowFirstColumn="0" w:firstRowLastColumn="0" w:lastRowFirstColumn="0" w:lastRowLastColumn="0"/>
            <w:tcW w:w="1854" w:type="dxa"/>
          </w:tcPr>
          <w:p w14:paraId="454DA333" w14:textId="5C1A5813" w:rsidR="00F41CF7" w:rsidRPr="00F41CF7" w:rsidRDefault="00D41443" w:rsidP="00D41443">
            <w:pPr>
              <w:spacing w:after="0"/>
              <w:rPr>
                <w:b w:val="0"/>
                <w:bCs w:val="0"/>
              </w:rPr>
            </w:pPr>
            <w:r>
              <w:t>Greater than</w:t>
            </w:r>
            <w:r w:rsidR="00F41CF7" w:rsidRPr="00D71401">
              <w:t xml:space="preserve"> $25</w:t>
            </w:r>
            <w:r>
              <w:t>,000</w:t>
            </w:r>
          </w:p>
        </w:tc>
        <w:tc>
          <w:tcPr>
            <w:tcW w:w="3947" w:type="dxa"/>
          </w:tcPr>
          <w:p w14:paraId="6144A4CD" w14:textId="77777777" w:rsidR="00F41CF7" w:rsidRPr="00D71401" w:rsidRDefault="00F41CF7" w:rsidP="00C4628B">
            <w:pPr>
              <w:spacing w:after="0"/>
              <w:cnfStyle w:val="000000000000" w:firstRow="0" w:lastRow="0" w:firstColumn="0" w:lastColumn="0" w:oddVBand="0" w:evenVBand="0" w:oddHBand="0" w:evenHBand="0" w:firstRowFirstColumn="0" w:firstRowLastColumn="0" w:lastRowFirstColumn="0" w:lastRowLastColumn="0"/>
            </w:pPr>
            <w:r w:rsidRPr="00D71401">
              <w:t>School Council</w:t>
            </w:r>
          </w:p>
          <w:p w14:paraId="2173499B" w14:textId="77777777" w:rsidR="00F41CF7" w:rsidRPr="00D71401" w:rsidRDefault="00F41CF7" w:rsidP="00C4628B">
            <w:pPr>
              <w:spacing w:after="0"/>
              <w:cnfStyle w:val="000000000000" w:firstRow="0" w:lastRow="0" w:firstColumn="0" w:lastColumn="0" w:oddVBand="0" w:evenVBand="0" w:oddHBand="0" w:evenHBand="0" w:firstRowFirstColumn="0" w:firstRowLastColumn="0" w:lastRowFirstColumn="0" w:lastRowLastColumn="0"/>
            </w:pPr>
            <w:r w:rsidRPr="00D71401">
              <w:t>Regional Director</w:t>
            </w:r>
          </w:p>
          <w:p w14:paraId="4E7AA927" w14:textId="5EDB7FD2" w:rsidR="00F41CF7" w:rsidRPr="00D71401" w:rsidRDefault="00F41CF7" w:rsidP="00C4628B">
            <w:pPr>
              <w:spacing w:after="0"/>
              <w:cnfStyle w:val="000000000000" w:firstRow="0" w:lastRow="0" w:firstColumn="0" w:lastColumn="0" w:oddVBand="0" w:evenVBand="0" w:oddHBand="0" w:evenHBand="0" w:firstRowFirstColumn="0" w:firstRowLastColumn="0" w:lastRowFirstColumn="0" w:lastRowLastColumn="0"/>
            </w:pPr>
            <w:r w:rsidRPr="00D71401">
              <w:t>Executive Director, Communications Division</w:t>
            </w:r>
          </w:p>
        </w:tc>
        <w:tc>
          <w:tcPr>
            <w:tcW w:w="3533" w:type="dxa"/>
          </w:tcPr>
          <w:p w14:paraId="52B81DE6" w14:textId="761CF2AB" w:rsidR="00F41CF7" w:rsidRPr="00D71401" w:rsidRDefault="00F41CF7" w:rsidP="00D71401">
            <w:pPr>
              <w:spacing w:after="0"/>
              <w:cnfStyle w:val="000000000000" w:firstRow="0" w:lastRow="0" w:firstColumn="0" w:lastColumn="0" w:oddVBand="0" w:evenVBand="0" w:oddHBand="0" w:evenHBand="0" w:firstRowFirstColumn="0" w:firstRowLastColumn="0" w:lastRowFirstColumn="0" w:lastRowLastColumn="0"/>
            </w:pPr>
            <w:r w:rsidRPr="00D71401">
              <w:t>School register, and</w:t>
            </w:r>
            <w:r>
              <w:t xml:space="preserve"> </w:t>
            </w:r>
            <w:r w:rsidRPr="00D71401">
              <w:t>Central Department register via Communications Division</w:t>
            </w:r>
          </w:p>
        </w:tc>
      </w:tr>
    </w:tbl>
    <w:p w14:paraId="0EB5C4FE" w14:textId="529687B2" w:rsidR="00F8421E" w:rsidRDefault="00F8421E" w:rsidP="00F8421E"/>
    <w:p w14:paraId="1B04D505" w14:textId="77777777" w:rsidR="0011113B" w:rsidRDefault="0011113B" w:rsidP="00F8421E"/>
    <w:p w14:paraId="20A0585A" w14:textId="77777777" w:rsidR="0011113B" w:rsidRDefault="0011113B">
      <w:pPr>
        <w:spacing w:after="0" w:line="240" w:lineRule="auto"/>
      </w:pPr>
      <w:r>
        <w:br w:type="page"/>
      </w:r>
    </w:p>
    <w:tbl>
      <w:tblPr>
        <w:tblStyle w:val="ListTable3-Accent1"/>
        <w:tblW w:w="0" w:type="auto"/>
        <w:tblLook w:val="04A0" w:firstRow="1" w:lastRow="0" w:firstColumn="1" w:lastColumn="0" w:noHBand="0" w:noVBand="1"/>
      </w:tblPr>
      <w:tblGrid>
        <w:gridCol w:w="1854"/>
        <w:gridCol w:w="22"/>
        <w:gridCol w:w="4073"/>
        <w:gridCol w:w="3395"/>
      </w:tblGrid>
      <w:tr w:rsidR="00F8421E" w:rsidRPr="00D71401" w14:paraId="55B3DF12" w14:textId="77777777" w:rsidTr="00F41CF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76" w:type="dxa"/>
            <w:gridSpan w:val="2"/>
          </w:tcPr>
          <w:p w14:paraId="6E52FC8B" w14:textId="77777777" w:rsidR="00F8421E" w:rsidRPr="00D71401" w:rsidRDefault="00F8421E" w:rsidP="00C4628B">
            <w:pPr>
              <w:spacing w:after="0"/>
            </w:pPr>
            <w:r w:rsidRPr="00D71401">
              <w:t>Outgoing Sponsorship value</w:t>
            </w:r>
          </w:p>
        </w:tc>
        <w:tc>
          <w:tcPr>
            <w:tcW w:w="4073" w:type="dxa"/>
          </w:tcPr>
          <w:p w14:paraId="00AF4A26" w14:textId="77777777" w:rsidR="00F8421E" w:rsidRPr="00D71401" w:rsidRDefault="00F8421E" w:rsidP="00C4628B">
            <w:pPr>
              <w:spacing w:after="0"/>
              <w:cnfStyle w:val="100000000000" w:firstRow="1" w:lastRow="0" w:firstColumn="0" w:lastColumn="0" w:oddVBand="0" w:evenVBand="0" w:oddHBand="0" w:evenHBand="0" w:firstRowFirstColumn="0" w:firstRowLastColumn="0" w:lastRowFirstColumn="0" w:lastRowLastColumn="0"/>
            </w:pPr>
            <w:r w:rsidRPr="00D71401">
              <w:t>Approved by:</w:t>
            </w:r>
          </w:p>
        </w:tc>
        <w:tc>
          <w:tcPr>
            <w:tcW w:w="3395" w:type="dxa"/>
          </w:tcPr>
          <w:p w14:paraId="5FBC4BC6" w14:textId="77777777" w:rsidR="00F8421E" w:rsidRPr="00D71401" w:rsidRDefault="00F8421E" w:rsidP="00C4628B">
            <w:pPr>
              <w:spacing w:after="0"/>
              <w:cnfStyle w:val="100000000000" w:firstRow="1" w:lastRow="0" w:firstColumn="0" w:lastColumn="0" w:oddVBand="0" w:evenVBand="0" w:oddHBand="0" w:evenHBand="0" w:firstRowFirstColumn="0" w:firstRowLastColumn="0" w:lastRowFirstColumn="0" w:lastRowLastColumn="0"/>
            </w:pPr>
            <w:r w:rsidRPr="00D71401">
              <w:t>Sponsorship register</w:t>
            </w:r>
          </w:p>
        </w:tc>
      </w:tr>
      <w:tr w:rsidR="00D41443" w:rsidRPr="00D71401" w14:paraId="6E894FF0" w14:textId="77777777" w:rsidTr="00F41C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6" w:type="dxa"/>
            <w:gridSpan w:val="2"/>
          </w:tcPr>
          <w:p w14:paraId="7081894E" w14:textId="2CC9C5B0" w:rsidR="00D41443" w:rsidRPr="00D71401" w:rsidRDefault="00D41443" w:rsidP="00D41443">
            <w:pPr>
              <w:spacing w:after="0"/>
            </w:pPr>
            <w:r>
              <w:t>Equal to or less than</w:t>
            </w:r>
            <w:r w:rsidRPr="00D71401">
              <w:t xml:space="preserve"> $25</w:t>
            </w:r>
            <w:r>
              <w:t>,000</w:t>
            </w:r>
          </w:p>
        </w:tc>
        <w:tc>
          <w:tcPr>
            <w:tcW w:w="4073" w:type="dxa"/>
          </w:tcPr>
          <w:p w14:paraId="347D7863" w14:textId="59FD8C8D" w:rsidR="00D41443" w:rsidRPr="00D71401" w:rsidRDefault="00D41443" w:rsidP="00D41443">
            <w:pPr>
              <w:spacing w:after="0"/>
              <w:cnfStyle w:val="000000100000" w:firstRow="0" w:lastRow="0" w:firstColumn="0" w:lastColumn="0" w:oddVBand="0" w:evenVBand="0" w:oddHBand="1" w:evenHBand="0" w:firstRowFirstColumn="0" w:firstRowLastColumn="0" w:lastRowFirstColumn="0" w:lastRowLastColumn="0"/>
            </w:pPr>
            <w:r>
              <w:t>Align with school financial delegation approval limits.</w:t>
            </w:r>
          </w:p>
        </w:tc>
        <w:tc>
          <w:tcPr>
            <w:tcW w:w="3395" w:type="dxa"/>
          </w:tcPr>
          <w:p w14:paraId="4C803BF7" w14:textId="77777777" w:rsidR="00D41443" w:rsidRPr="00D71401" w:rsidRDefault="00D41443" w:rsidP="00D41443">
            <w:pPr>
              <w:spacing w:after="0"/>
              <w:cnfStyle w:val="000000100000" w:firstRow="0" w:lastRow="0" w:firstColumn="0" w:lastColumn="0" w:oddVBand="0" w:evenVBand="0" w:oddHBand="1" w:evenHBand="0" w:firstRowFirstColumn="0" w:firstRowLastColumn="0" w:lastRowFirstColumn="0" w:lastRowLastColumn="0"/>
            </w:pPr>
            <w:r w:rsidRPr="00D71401">
              <w:t>School register</w:t>
            </w:r>
          </w:p>
        </w:tc>
      </w:tr>
      <w:tr w:rsidR="00D41443" w:rsidRPr="00D71401" w14:paraId="17A479D1" w14:textId="77777777" w:rsidTr="00F41CF7">
        <w:trPr>
          <w:trHeight w:val="720"/>
        </w:trPr>
        <w:tc>
          <w:tcPr>
            <w:cnfStyle w:val="001000000000" w:firstRow="0" w:lastRow="0" w:firstColumn="1" w:lastColumn="0" w:oddVBand="0" w:evenVBand="0" w:oddHBand="0" w:evenHBand="0" w:firstRowFirstColumn="0" w:firstRowLastColumn="0" w:lastRowFirstColumn="0" w:lastRowLastColumn="0"/>
            <w:tcW w:w="1854" w:type="dxa"/>
          </w:tcPr>
          <w:p w14:paraId="5A97F0B2" w14:textId="03430C54" w:rsidR="00D41443" w:rsidRPr="00F41CF7" w:rsidRDefault="00D41443" w:rsidP="00D41443">
            <w:pPr>
              <w:spacing w:after="0"/>
              <w:rPr>
                <w:b w:val="0"/>
                <w:bCs w:val="0"/>
              </w:rPr>
            </w:pPr>
            <w:r>
              <w:t>Greater than</w:t>
            </w:r>
            <w:r w:rsidRPr="00D71401">
              <w:t xml:space="preserve"> $25</w:t>
            </w:r>
            <w:r>
              <w:t>,000</w:t>
            </w:r>
          </w:p>
        </w:tc>
        <w:tc>
          <w:tcPr>
            <w:tcW w:w="4095" w:type="dxa"/>
            <w:gridSpan w:val="2"/>
          </w:tcPr>
          <w:p w14:paraId="6859B6EB" w14:textId="0853D9A7" w:rsidR="00D41443" w:rsidRPr="00D71401" w:rsidRDefault="00D41443" w:rsidP="00D41443">
            <w:pPr>
              <w:spacing w:after="0"/>
              <w:cnfStyle w:val="000000000000" w:firstRow="0" w:lastRow="0" w:firstColumn="0" w:lastColumn="0" w:oddVBand="0" w:evenVBand="0" w:oddHBand="0" w:evenHBand="0" w:firstRowFirstColumn="0" w:firstRowLastColumn="0" w:lastRowFirstColumn="0" w:lastRowLastColumn="0"/>
            </w:pPr>
            <w:r>
              <w:t>Align with school financial delegation approval limits.</w:t>
            </w:r>
          </w:p>
        </w:tc>
        <w:tc>
          <w:tcPr>
            <w:tcW w:w="3395" w:type="dxa"/>
          </w:tcPr>
          <w:p w14:paraId="54CB55B9" w14:textId="77777777" w:rsidR="00D41443" w:rsidRPr="00D71401" w:rsidRDefault="00D41443" w:rsidP="00D41443">
            <w:pPr>
              <w:spacing w:after="0"/>
              <w:cnfStyle w:val="000000000000" w:firstRow="0" w:lastRow="0" w:firstColumn="0" w:lastColumn="0" w:oddVBand="0" w:evenVBand="0" w:oddHBand="0" w:evenHBand="0" w:firstRowFirstColumn="0" w:firstRowLastColumn="0" w:lastRowFirstColumn="0" w:lastRowLastColumn="0"/>
            </w:pPr>
            <w:r w:rsidRPr="00D71401">
              <w:t>School register, and</w:t>
            </w:r>
            <w:r>
              <w:t xml:space="preserve"> </w:t>
            </w:r>
            <w:r w:rsidRPr="00D71401">
              <w:t>Central Department register via Communications Division</w:t>
            </w:r>
          </w:p>
        </w:tc>
      </w:tr>
    </w:tbl>
    <w:p w14:paraId="2CD16406" w14:textId="77777777" w:rsidR="0083105E" w:rsidRPr="00D71401" w:rsidRDefault="0083105E" w:rsidP="0083105E">
      <w:pPr>
        <w:pStyle w:val="ESHeading2"/>
      </w:pPr>
      <w:bookmarkStart w:id="60" w:name="_Toc517710877"/>
      <w:bookmarkStart w:id="61" w:name="_Toc7430049"/>
      <w:r w:rsidRPr="00D71401">
        <w:t>Finalising contracts and financials</w:t>
      </w:r>
      <w:bookmarkEnd w:id="60"/>
      <w:bookmarkEnd w:id="61"/>
    </w:p>
    <w:p w14:paraId="77F70B53" w14:textId="20E75EC3" w:rsidR="0083105E" w:rsidRPr="00D71401" w:rsidRDefault="0083105E" w:rsidP="00F25397">
      <w:pPr>
        <w:pStyle w:val="ESBodyText"/>
      </w:pPr>
      <w:r w:rsidRPr="00D71401">
        <w:t>Once the necessary approvals and agreement</w:t>
      </w:r>
      <w:r w:rsidR="0053737C" w:rsidRPr="00D71401">
        <w:t xml:space="preserve">s are all in place, </w:t>
      </w:r>
      <w:r w:rsidRPr="00D71401">
        <w:t>a confirmation letter and contract</w:t>
      </w:r>
      <w:r w:rsidR="0006398A" w:rsidRPr="00D71401">
        <w:t xml:space="preserve"> are </w:t>
      </w:r>
      <w:r w:rsidRPr="00D71401">
        <w:t xml:space="preserve">required from </w:t>
      </w:r>
      <w:r w:rsidR="00BF23FF" w:rsidRPr="00D71401">
        <w:t>the Department/School/Agency</w:t>
      </w:r>
      <w:r w:rsidRPr="00D71401">
        <w:t xml:space="preserve">. </w:t>
      </w:r>
    </w:p>
    <w:p w14:paraId="5B7A647D" w14:textId="71C10DDA" w:rsidR="0083105E" w:rsidRPr="00D71401" w:rsidRDefault="0083105E" w:rsidP="00F25397">
      <w:pPr>
        <w:pStyle w:val="ESBodyText"/>
      </w:pPr>
      <w:r w:rsidRPr="00D71401">
        <w:t>Templates for sponsorship engagement letters and contracts (for under $2</w:t>
      </w:r>
      <w:r w:rsidR="00F1772F" w:rsidRPr="00D71401">
        <w:t>5</w:t>
      </w:r>
      <w:r w:rsidRPr="00D71401">
        <w:t>,000 and $2</w:t>
      </w:r>
      <w:r w:rsidR="00F1772F" w:rsidRPr="00D71401">
        <w:t>5</w:t>
      </w:r>
      <w:r w:rsidRPr="00D71401">
        <w:t>,000</w:t>
      </w:r>
      <w:r w:rsidR="006D1973" w:rsidRPr="00D71401">
        <w:t xml:space="preserve"> and over</w:t>
      </w:r>
      <w:r w:rsidRPr="00D71401">
        <w:t>) are available from eduGate</w:t>
      </w:r>
      <w:r w:rsidR="00BF23FF" w:rsidRPr="00D71401">
        <w:t>/</w:t>
      </w:r>
      <w:hyperlink r:id="rId32" w:history="1">
        <w:r w:rsidR="001B5EC8" w:rsidRPr="00D71401">
          <w:rPr>
            <w:rStyle w:val="Hyperlink"/>
          </w:rPr>
          <w:t>School Policy and Advisory Guide</w:t>
        </w:r>
      </w:hyperlink>
      <w:r w:rsidRPr="00D71401">
        <w:t xml:space="preserve"> and should be provided to the </w:t>
      </w:r>
      <w:r w:rsidR="0053737C" w:rsidRPr="00D71401">
        <w:t xml:space="preserve">sponsoring or </w:t>
      </w:r>
      <w:r w:rsidRPr="00D71401">
        <w:t>sponsored organisation, with a copy held on file.</w:t>
      </w:r>
    </w:p>
    <w:p w14:paraId="016DFAA3" w14:textId="6B51A388" w:rsidR="0083105E" w:rsidRPr="00D71401" w:rsidRDefault="0083105E" w:rsidP="00F25397">
      <w:pPr>
        <w:pStyle w:val="ESBodyText"/>
      </w:pPr>
      <w:r w:rsidRPr="00D71401">
        <w:t>Financial sponsorships should be treated like any other</w:t>
      </w:r>
      <w:r w:rsidR="0053737C" w:rsidRPr="00D71401">
        <w:t xml:space="preserve"> outgoing</w:t>
      </w:r>
      <w:r w:rsidRPr="00D71401">
        <w:t xml:space="preserve"> financial arrangement and established departmental financial management policies and processes must be followed. </w:t>
      </w:r>
    </w:p>
    <w:p w14:paraId="50E4E6C2" w14:textId="1613093F" w:rsidR="0083105E" w:rsidRPr="00D71401" w:rsidRDefault="00062FA5" w:rsidP="0083105E">
      <w:r>
        <w:rPr>
          <w:b/>
        </w:rPr>
        <w:t xml:space="preserve">Corporate </w:t>
      </w:r>
      <w:r>
        <w:t>s</w:t>
      </w:r>
      <w:r w:rsidR="0083105E" w:rsidRPr="00D71401">
        <w:t>ponsorships are to be recorded in Oracle against either of the following charge codes*:</w:t>
      </w:r>
    </w:p>
    <w:p w14:paraId="78758481" w14:textId="77777777" w:rsidR="0083105E" w:rsidRPr="00D71401" w:rsidRDefault="0083105E" w:rsidP="0038317F">
      <w:pPr>
        <w:pStyle w:val="ListParagraph"/>
        <w:numPr>
          <w:ilvl w:val="0"/>
          <w:numId w:val="8"/>
        </w:numPr>
      </w:pPr>
      <w:r w:rsidRPr="00D71401">
        <w:t>Incoming sponsorships – 79893 (Incoming Sponsorship Revenue)</w:t>
      </w:r>
    </w:p>
    <w:p w14:paraId="4F693582" w14:textId="77777777" w:rsidR="0083105E" w:rsidRPr="00D71401" w:rsidRDefault="0083105E" w:rsidP="0038317F">
      <w:pPr>
        <w:pStyle w:val="ListParagraph"/>
        <w:numPr>
          <w:ilvl w:val="0"/>
          <w:numId w:val="8"/>
        </w:numPr>
      </w:pPr>
      <w:r w:rsidRPr="00D71401">
        <w:t>Outgoing sponsorships – 84667 (Sponsorship to External Organisations).</w:t>
      </w:r>
    </w:p>
    <w:p w14:paraId="1236A4C1" w14:textId="6253AAA5" w:rsidR="0083105E" w:rsidRPr="00D71401" w:rsidRDefault="0083105E" w:rsidP="006A48B9">
      <w:pPr>
        <w:pStyle w:val="NormalWeb"/>
        <w:shd w:val="clear" w:color="auto" w:fill="FFFFFF"/>
        <w:spacing w:after="120"/>
        <w:rPr>
          <w:rFonts w:ascii="Arial" w:hAnsi="Arial" w:cs="Arial"/>
          <w:b/>
          <w:sz w:val="18"/>
          <w:szCs w:val="18"/>
        </w:rPr>
      </w:pPr>
      <w:r w:rsidRPr="00D71401">
        <w:rPr>
          <w:rFonts w:ascii="Arial" w:hAnsi="Arial" w:cs="Arial"/>
          <w:b/>
          <w:sz w:val="18"/>
          <w:szCs w:val="18"/>
        </w:rPr>
        <w:t>For schools:</w:t>
      </w:r>
    </w:p>
    <w:p w14:paraId="555B4280" w14:textId="77777777" w:rsidR="0083105E" w:rsidRPr="00D71401" w:rsidRDefault="0083105E" w:rsidP="0038317F">
      <w:pPr>
        <w:pStyle w:val="ListParagraph"/>
        <w:numPr>
          <w:ilvl w:val="0"/>
          <w:numId w:val="8"/>
        </w:numPr>
      </w:pPr>
      <w:r w:rsidRPr="00D71401">
        <w:t>record incoming sponsorship funds in Cases21 as 74580 – Other Locally Raised Funds</w:t>
      </w:r>
    </w:p>
    <w:p w14:paraId="6B0A8DE6" w14:textId="12FE1EFF" w:rsidR="0083105E" w:rsidRPr="00D71401" w:rsidRDefault="0083105E" w:rsidP="006562BC">
      <w:pPr>
        <w:pStyle w:val="ESBodyText"/>
      </w:pPr>
      <w:r w:rsidRPr="00D71401">
        <w:t xml:space="preserve">In addition to formal processes, it is worth keeping in regular contact with your sponsorship partner to assess </w:t>
      </w:r>
      <w:r w:rsidR="0053737C" w:rsidRPr="00D71401">
        <w:t>and maintain</w:t>
      </w:r>
      <w:r w:rsidRPr="00D71401">
        <w:t xml:space="preserve"> the sponsorship relationship. </w:t>
      </w:r>
    </w:p>
    <w:p w14:paraId="7E53D6DE" w14:textId="167DE730" w:rsidR="00971A6B" w:rsidRPr="00D71401" w:rsidRDefault="00971A6B" w:rsidP="003D33BF">
      <w:pPr>
        <w:pStyle w:val="Heading3"/>
      </w:pPr>
      <w:r w:rsidRPr="00D71401">
        <w:t xml:space="preserve">Tax implications </w:t>
      </w:r>
    </w:p>
    <w:p w14:paraId="66C5A385" w14:textId="77777777" w:rsidR="00971A6B" w:rsidRPr="00D71401" w:rsidRDefault="00971A6B" w:rsidP="006562BC">
      <w:pPr>
        <w:pStyle w:val="ESBodyText"/>
        <w:rPr>
          <w:lang w:val="en-US"/>
        </w:rPr>
      </w:pPr>
      <w:r w:rsidRPr="00D71401">
        <w:t xml:space="preserve">If the Department or a school receives sponsorship in a form of cash payment, the received funds are subject to GST. </w:t>
      </w:r>
      <w:r w:rsidRPr="00D71401">
        <w:rPr>
          <w:lang w:val="en-US"/>
        </w:rPr>
        <w:t xml:space="preserve">The following examples illustrate the types of </w:t>
      </w:r>
      <w:r w:rsidRPr="00D71401">
        <w:rPr>
          <w:lang w:val="en-GB"/>
        </w:rPr>
        <w:t>sponsorships</w:t>
      </w:r>
      <w:r w:rsidRPr="00D71401">
        <w:rPr>
          <w:lang w:val="en-US"/>
        </w:rPr>
        <w:t xml:space="preserve"> where a GST liability would arise.</w:t>
      </w:r>
    </w:p>
    <w:p w14:paraId="237B8A12" w14:textId="54CBE417" w:rsidR="006562BC" w:rsidRPr="00D71401" w:rsidRDefault="00971A6B" w:rsidP="0038317F">
      <w:pPr>
        <w:pStyle w:val="ListParagraph"/>
        <w:numPr>
          <w:ilvl w:val="0"/>
          <w:numId w:val="8"/>
        </w:numPr>
        <w:rPr>
          <w:lang w:val="en-US"/>
        </w:rPr>
      </w:pPr>
      <w:r w:rsidRPr="00D71401">
        <w:rPr>
          <w:lang w:val="en-US"/>
        </w:rPr>
        <w:t xml:space="preserve">A </w:t>
      </w:r>
      <w:r w:rsidRPr="00D71401">
        <w:t>company</w:t>
      </w:r>
      <w:r w:rsidRPr="00D71401">
        <w:rPr>
          <w:lang w:val="en-US"/>
        </w:rPr>
        <w:t xml:space="preserve"> </w:t>
      </w:r>
      <w:r w:rsidR="00062FA5">
        <w:rPr>
          <w:lang w:val="en-US"/>
        </w:rPr>
        <w:t>gives</w:t>
      </w:r>
      <w:r w:rsidRPr="00D71401">
        <w:rPr>
          <w:lang w:val="en-US"/>
        </w:rPr>
        <w:t xml:space="preserve"> money for a scholarship and the name of the company is included on all written material about the scholarship — the benefit to the sponsor is a form of advertising.</w:t>
      </w:r>
    </w:p>
    <w:p w14:paraId="0FF7FC1D" w14:textId="2C3FB7D1" w:rsidR="00971A6B" w:rsidRPr="00D71401" w:rsidRDefault="00971A6B" w:rsidP="0038317F">
      <w:pPr>
        <w:pStyle w:val="ListParagraph"/>
        <w:numPr>
          <w:ilvl w:val="0"/>
          <w:numId w:val="8"/>
        </w:numPr>
        <w:rPr>
          <w:lang w:val="en-US"/>
        </w:rPr>
      </w:pPr>
      <w:r w:rsidRPr="00D71401">
        <w:rPr>
          <w:lang w:val="en-US"/>
        </w:rPr>
        <w:t xml:space="preserve">An </w:t>
      </w:r>
      <w:r w:rsidRPr="00D71401">
        <w:t>organisation</w:t>
      </w:r>
      <w:r w:rsidRPr="00D71401">
        <w:rPr>
          <w:lang w:val="en-US"/>
        </w:rPr>
        <w:t xml:space="preserve"> buys rights or benefits from the Department, including naming rights for an event or program. The rights or benefits typically relate to the sponsor’s reputation, management or communication objectives and are delivered through </w:t>
      </w:r>
      <w:r w:rsidRPr="00D71401">
        <w:rPr>
          <w:lang w:val="en-GB"/>
        </w:rPr>
        <w:t>associating</w:t>
      </w:r>
      <w:r w:rsidRPr="00D71401">
        <w:rPr>
          <w:lang w:val="en-US"/>
        </w:rPr>
        <w:t xml:space="preserve"> its name, products, services or activities with the Department.</w:t>
      </w:r>
    </w:p>
    <w:p w14:paraId="39DA8304" w14:textId="77777777" w:rsidR="003D33BF" w:rsidRPr="00D71401" w:rsidRDefault="003D33BF" w:rsidP="003D33BF">
      <w:pPr>
        <w:pStyle w:val="ESHeading1"/>
        <w:ind w:left="426" w:hanging="426"/>
      </w:pPr>
      <w:bookmarkStart w:id="62" w:name="_Toc517710879"/>
      <w:bookmarkStart w:id="63" w:name="_Toc7430050"/>
      <w:r w:rsidRPr="00D71401">
        <w:t>Evaluation</w:t>
      </w:r>
      <w:bookmarkEnd w:id="62"/>
      <w:bookmarkEnd w:id="63"/>
    </w:p>
    <w:p w14:paraId="2F1E1320" w14:textId="2AF3B53F" w:rsidR="00D012F5" w:rsidRDefault="006D1E25" w:rsidP="0038317F">
      <w:pPr>
        <w:numPr>
          <w:ilvl w:val="0"/>
          <w:numId w:val="14"/>
        </w:numPr>
        <w:autoSpaceDE w:val="0"/>
        <w:autoSpaceDN w:val="0"/>
        <w:spacing w:line="240" w:lineRule="auto"/>
        <w:rPr>
          <w:color w:val="000000"/>
        </w:rPr>
      </w:pPr>
      <w:r w:rsidRPr="006D1E25">
        <w:rPr>
          <w:color w:val="000000"/>
        </w:rPr>
        <w:t>S</w:t>
      </w:r>
      <w:r>
        <w:rPr>
          <w:color w:val="000000"/>
        </w:rPr>
        <w:t xml:space="preserve">chools sponsorships valued greater than $25,000 and all corporate </w:t>
      </w:r>
      <w:r w:rsidR="00D012F5">
        <w:rPr>
          <w:color w:val="000000"/>
        </w:rPr>
        <w:t xml:space="preserve">sponsorships (incoming and outgoing) </w:t>
      </w:r>
      <w:r w:rsidR="00B5221C">
        <w:rPr>
          <w:color w:val="000000"/>
        </w:rPr>
        <w:t xml:space="preserve">should </w:t>
      </w:r>
      <w:r w:rsidR="00D012F5">
        <w:rPr>
          <w:color w:val="000000"/>
        </w:rPr>
        <w:t xml:space="preserve">be evaluated when concluded and their outcomes documented within three months (and/or within the same financial year). </w:t>
      </w:r>
    </w:p>
    <w:p w14:paraId="4969682F" w14:textId="77777777" w:rsidR="00D012F5" w:rsidRPr="00D012F5" w:rsidRDefault="00D012F5" w:rsidP="00D012F5">
      <w:pPr>
        <w:pStyle w:val="Heading3"/>
        <w:spacing w:before="0" w:line="240" w:lineRule="auto"/>
        <w:rPr>
          <w:color w:val="auto"/>
          <w:sz w:val="18"/>
        </w:rPr>
      </w:pPr>
      <w:r w:rsidRPr="00D71401">
        <w:rPr>
          <w:b w:val="0"/>
          <w:color w:val="auto"/>
          <w:sz w:val="18"/>
        </w:rPr>
        <w:t>All evaluation and reporting forms are available at the</w:t>
      </w:r>
      <w:r>
        <w:rPr>
          <w:b w:val="0"/>
          <w:color w:val="auto"/>
          <w:sz w:val="18"/>
        </w:rPr>
        <w:t xml:space="preserve"> </w:t>
      </w:r>
      <w:r w:rsidRPr="00D012F5">
        <w:rPr>
          <w:color w:val="auto"/>
          <w:sz w:val="18"/>
        </w:rPr>
        <w:t xml:space="preserve">Edugate Sponsorship page for corporate and the Sponsorship School Policy and Advisory page for schools.  </w:t>
      </w:r>
    </w:p>
    <w:p w14:paraId="4DB69F61" w14:textId="449519A8" w:rsidR="003D33BF" w:rsidRDefault="003D33BF" w:rsidP="003D33BF">
      <w:pPr>
        <w:pStyle w:val="Heading3"/>
        <w:spacing w:before="0" w:line="240" w:lineRule="auto"/>
        <w:rPr>
          <w:rStyle w:val="Hyperlink"/>
          <w:b w:val="0"/>
          <w:sz w:val="18"/>
        </w:rPr>
      </w:pPr>
      <w:r w:rsidRPr="00D71401">
        <w:rPr>
          <w:b w:val="0"/>
          <w:color w:val="auto"/>
          <w:sz w:val="18"/>
        </w:rPr>
        <w:t xml:space="preserve">Copies of the completed evaluation forms </w:t>
      </w:r>
      <w:r w:rsidR="00B5221C">
        <w:rPr>
          <w:b w:val="0"/>
          <w:color w:val="auto"/>
          <w:sz w:val="18"/>
        </w:rPr>
        <w:t>are to</w:t>
      </w:r>
      <w:r w:rsidR="00B5221C" w:rsidRPr="00D71401">
        <w:rPr>
          <w:b w:val="0"/>
          <w:color w:val="auto"/>
          <w:sz w:val="18"/>
        </w:rPr>
        <w:t xml:space="preserve"> </w:t>
      </w:r>
      <w:r w:rsidRPr="00D71401">
        <w:rPr>
          <w:b w:val="0"/>
          <w:color w:val="auto"/>
          <w:sz w:val="18"/>
        </w:rPr>
        <w:t xml:space="preserve">be provided to the Communications Division for all </w:t>
      </w:r>
      <w:r w:rsidRPr="00D71401">
        <w:rPr>
          <w:color w:val="auto"/>
          <w:sz w:val="18"/>
        </w:rPr>
        <w:t xml:space="preserve">corporate </w:t>
      </w:r>
      <w:r w:rsidRPr="00D71401">
        <w:rPr>
          <w:b w:val="0"/>
          <w:color w:val="auto"/>
          <w:sz w:val="18"/>
        </w:rPr>
        <w:t xml:space="preserve">sponsorships. For more information, contact the Communications Division at </w:t>
      </w:r>
      <w:hyperlink r:id="rId33" w:history="1">
        <w:r w:rsidRPr="00D71401">
          <w:rPr>
            <w:rStyle w:val="Hyperlink"/>
            <w:b w:val="0"/>
            <w:sz w:val="18"/>
          </w:rPr>
          <w:t>sponsorship@edumail.vic.gov.au</w:t>
        </w:r>
      </w:hyperlink>
    </w:p>
    <w:p w14:paraId="2BA6871F" w14:textId="01050975" w:rsidR="00F436BE" w:rsidRDefault="00062FA5" w:rsidP="00F436BE">
      <w:r>
        <w:t>Evaluations are used to update guidance and are used to inform future sponsorship decisions. Please note that some details of your evaluation may be shared with others in the Department who may be seeking a sponsorship with the same organisation.</w:t>
      </w:r>
    </w:p>
    <w:p w14:paraId="74CB9180" w14:textId="77777777" w:rsidR="00F436BE" w:rsidRDefault="00F436BE">
      <w:pPr>
        <w:spacing w:after="0" w:line="240" w:lineRule="auto"/>
      </w:pPr>
      <w:r>
        <w:br w:type="page"/>
      </w:r>
    </w:p>
    <w:p w14:paraId="720D22A1" w14:textId="77777777" w:rsidR="003D33BF" w:rsidRPr="00D71401" w:rsidRDefault="003D33BF" w:rsidP="003D33BF">
      <w:pPr>
        <w:pStyle w:val="ESHeading1"/>
        <w:ind w:left="426" w:hanging="426"/>
      </w:pPr>
      <w:bookmarkStart w:id="64" w:name="_Toc320614059"/>
      <w:bookmarkStart w:id="65" w:name="_Ref329951644"/>
      <w:bookmarkStart w:id="66" w:name="_Toc517710880"/>
      <w:bookmarkStart w:id="67" w:name="_Toc7430051"/>
      <w:r w:rsidRPr="00D71401">
        <w:t>Useful tools and references</w:t>
      </w:r>
      <w:bookmarkEnd w:id="64"/>
      <w:bookmarkEnd w:id="65"/>
      <w:bookmarkEnd w:id="66"/>
      <w:bookmarkEnd w:id="67"/>
      <w:r w:rsidRPr="00D71401">
        <w:t xml:space="preserve"> </w:t>
      </w:r>
    </w:p>
    <w:p w14:paraId="434E9731" w14:textId="77777777" w:rsidR="00ED0679" w:rsidRDefault="00062FA5" w:rsidP="003D33BF">
      <w:r>
        <w:t xml:space="preserve">A </w:t>
      </w:r>
      <w:r>
        <w:rPr>
          <w:b/>
        </w:rPr>
        <w:t xml:space="preserve">Corporate Sponsorship Procudure </w:t>
      </w:r>
      <w:r>
        <w:t xml:space="preserve">and </w:t>
      </w:r>
      <w:r>
        <w:rPr>
          <w:b/>
        </w:rPr>
        <w:t xml:space="preserve">Schools Sponsorship Procedure </w:t>
      </w:r>
      <w:r>
        <w:t>document have been created to summarise the policy a</w:t>
      </w:r>
      <w:r w:rsidR="00ED0679">
        <w:t>nd guidelines and assist with assessing sponsorships.</w:t>
      </w:r>
    </w:p>
    <w:p w14:paraId="4AEDDC86" w14:textId="77777777" w:rsidR="00ED0679" w:rsidRDefault="00ED0679" w:rsidP="00ED0679">
      <w:r>
        <w:t>In addition to this, a</w:t>
      </w:r>
      <w:r w:rsidR="003D33BF" w:rsidRPr="00D71401">
        <w:t xml:space="preserve"> range of links, templates and related documents are available in </w:t>
      </w:r>
      <w:r w:rsidR="00D012F5">
        <w:t xml:space="preserve">the </w:t>
      </w:r>
      <w:r w:rsidR="00D012F5" w:rsidRPr="00D012F5">
        <w:t>Edugate Sponsorship page for corporate and the Sponsorship School Policy and Advisory page for schools</w:t>
      </w:r>
      <w:r>
        <w:t xml:space="preserve">. The documents include: </w:t>
      </w:r>
    </w:p>
    <w:p w14:paraId="13892F9C" w14:textId="150A65BE" w:rsidR="003D33BF" w:rsidRPr="00D71401" w:rsidRDefault="003D33BF" w:rsidP="00ED0679">
      <w:pPr>
        <w:pStyle w:val="ListParagraph"/>
        <w:numPr>
          <w:ilvl w:val="0"/>
          <w:numId w:val="15"/>
        </w:numPr>
      </w:pPr>
      <w:r w:rsidRPr="00D71401">
        <w:t xml:space="preserve">Assessing sponsorship checklist </w:t>
      </w:r>
    </w:p>
    <w:p w14:paraId="10F430BE" w14:textId="77777777" w:rsidR="003D33BF" w:rsidRPr="00D71401" w:rsidRDefault="003D33BF" w:rsidP="00ED0679">
      <w:pPr>
        <w:pStyle w:val="ListParagraph"/>
        <w:numPr>
          <w:ilvl w:val="0"/>
          <w:numId w:val="15"/>
        </w:numPr>
      </w:pPr>
      <w:r w:rsidRPr="00D71401">
        <w:t xml:space="preserve">Sponsorship Business Case Template </w:t>
      </w:r>
    </w:p>
    <w:p w14:paraId="02FE9DED" w14:textId="77777777" w:rsidR="003D33BF" w:rsidRPr="00D71401" w:rsidRDefault="003D33BF" w:rsidP="00ED0679">
      <w:pPr>
        <w:pStyle w:val="ListParagraph"/>
        <w:numPr>
          <w:ilvl w:val="0"/>
          <w:numId w:val="15"/>
        </w:numPr>
      </w:pPr>
      <w:r w:rsidRPr="00D71401">
        <w:t xml:space="preserve">Sponsorship Agreement Template </w:t>
      </w:r>
    </w:p>
    <w:p w14:paraId="7CFD49B6" w14:textId="77777777" w:rsidR="003D33BF" w:rsidRPr="00D71401" w:rsidRDefault="003D33BF" w:rsidP="00ED0679">
      <w:pPr>
        <w:pStyle w:val="ListParagraph"/>
        <w:numPr>
          <w:ilvl w:val="0"/>
          <w:numId w:val="15"/>
        </w:numPr>
      </w:pPr>
      <w:r w:rsidRPr="00D71401">
        <w:t>Incoming Sponsorship Engagement letter</w:t>
      </w:r>
    </w:p>
    <w:p w14:paraId="1C01C94D" w14:textId="77777777" w:rsidR="003D33BF" w:rsidRPr="00D71401" w:rsidRDefault="003D33BF" w:rsidP="00ED0679">
      <w:pPr>
        <w:pStyle w:val="ListParagraph"/>
        <w:numPr>
          <w:ilvl w:val="0"/>
          <w:numId w:val="15"/>
        </w:numPr>
      </w:pPr>
      <w:r w:rsidRPr="00D71401">
        <w:t>Outgoing Sponsorship Engagement Letter</w:t>
      </w:r>
    </w:p>
    <w:p w14:paraId="0B945509" w14:textId="77777777" w:rsidR="003D33BF" w:rsidRPr="00D71401" w:rsidRDefault="003D33BF" w:rsidP="00ED0679">
      <w:pPr>
        <w:pStyle w:val="ListParagraph"/>
        <w:numPr>
          <w:ilvl w:val="0"/>
          <w:numId w:val="15"/>
        </w:numPr>
      </w:pPr>
      <w:r w:rsidRPr="00D71401">
        <w:t>Sponsorship Declaration Form</w:t>
      </w:r>
    </w:p>
    <w:p w14:paraId="548EE760" w14:textId="77777777" w:rsidR="003D33BF" w:rsidRPr="00D71401" w:rsidRDefault="003D33BF" w:rsidP="00ED0679">
      <w:pPr>
        <w:pStyle w:val="ListParagraph"/>
        <w:numPr>
          <w:ilvl w:val="0"/>
          <w:numId w:val="15"/>
        </w:numPr>
      </w:pPr>
      <w:r w:rsidRPr="00D71401">
        <w:t xml:space="preserve">Sponsorship Evaluation and Feedback Letter  </w:t>
      </w:r>
    </w:p>
    <w:p w14:paraId="094F350E" w14:textId="77777777" w:rsidR="003D33BF" w:rsidRPr="00D71401" w:rsidRDefault="003D33BF" w:rsidP="00ED0679">
      <w:pPr>
        <w:pStyle w:val="ListParagraph"/>
        <w:numPr>
          <w:ilvl w:val="0"/>
          <w:numId w:val="15"/>
        </w:numPr>
      </w:pPr>
      <w:r w:rsidRPr="00D71401">
        <w:t xml:space="preserve">Post Sponsorship Evaluation Report </w:t>
      </w:r>
    </w:p>
    <w:p w14:paraId="3EB31222" w14:textId="34514DD9" w:rsidR="003D33BF" w:rsidRPr="00D71401" w:rsidRDefault="003D33BF" w:rsidP="00ED0679">
      <w:pPr>
        <w:pStyle w:val="ListParagraph"/>
        <w:numPr>
          <w:ilvl w:val="0"/>
          <w:numId w:val="15"/>
        </w:numPr>
      </w:pPr>
      <w:r w:rsidRPr="00D71401">
        <w:t xml:space="preserve">Incoming </w:t>
      </w:r>
      <w:r w:rsidR="00D012F5">
        <w:t xml:space="preserve">Sponsorship </w:t>
      </w:r>
      <w:r w:rsidRPr="00D71401">
        <w:t>Evaluation Form</w:t>
      </w:r>
    </w:p>
    <w:p w14:paraId="76CB7718" w14:textId="77777777" w:rsidR="003D33BF" w:rsidRPr="00D71401" w:rsidRDefault="003D33BF" w:rsidP="00ED0679">
      <w:pPr>
        <w:pStyle w:val="ListParagraph"/>
        <w:numPr>
          <w:ilvl w:val="0"/>
          <w:numId w:val="15"/>
        </w:numPr>
      </w:pPr>
      <w:r w:rsidRPr="00D71401">
        <w:t>Outgoing Sponsorship Evaluation Form</w:t>
      </w:r>
    </w:p>
    <w:p w14:paraId="76A4BE44" w14:textId="77777777" w:rsidR="003D33BF" w:rsidRPr="00D71401" w:rsidRDefault="003D33BF" w:rsidP="003D33BF">
      <w:r w:rsidRPr="00D71401">
        <w:t xml:space="preserve">Queries relating to the application of this Policy, and the management and assessment of sponsorship activity, can be directed to </w:t>
      </w:r>
      <w:hyperlink r:id="rId34" w:history="1">
        <w:r w:rsidRPr="00D71401">
          <w:rPr>
            <w:rStyle w:val="Hyperlink"/>
          </w:rPr>
          <w:t>sponsorship@edumail.vic.gov.au</w:t>
        </w:r>
      </w:hyperlink>
      <w:bookmarkStart w:id="68" w:name="_Toc320614060"/>
      <w:bookmarkStart w:id="69" w:name="_Ref329951653"/>
      <w:bookmarkEnd w:id="68"/>
      <w:bookmarkEnd w:id="69"/>
    </w:p>
    <w:p w14:paraId="23404BF9" w14:textId="37C90F10" w:rsidR="000D6F39" w:rsidRPr="00D71401" w:rsidRDefault="000D6F39" w:rsidP="00DC06E5">
      <w:pPr>
        <w:pStyle w:val="ESHeading1"/>
        <w:ind w:left="426" w:hanging="426"/>
      </w:pPr>
      <w:bookmarkStart w:id="70" w:name="_Toc7430052"/>
      <w:bookmarkEnd w:id="51"/>
      <w:bookmarkEnd w:id="52"/>
      <w:r w:rsidRPr="00D71401">
        <w:t>Glossary</w:t>
      </w:r>
      <w:bookmarkEnd w:id="70"/>
    </w:p>
    <w:tbl>
      <w:tblPr>
        <w:tblStyle w:val="TableGrid"/>
        <w:tblW w:w="0" w:type="auto"/>
        <w:tblLook w:val="04A0" w:firstRow="1" w:lastRow="0" w:firstColumn="1" w:lastColumn="0" w:noHBand="0" w:noVBand="1"/>
      </w:tblPr>
      <w:tblGrid>
        <w:gridCol w:w="1980"/>
        <w:gridCol w:w="7364"/>
      </w:tblGrid>
      <w:tr w:rsidR="00F16652" w:rsidRPr="00D71401" w14:paraId="2132C702" w14:textId="77777777" w:rsidTr="008700CE">
        <w:trPr>
          <w:cantSplit/>
        </w:trPr>
        <w:tc>
          <w:tcPr>
            <w:tcW w:w="1980" w:type="dxa"/>
          </w:tcPr>
          <w:p w14:paraId="725DF272" w14:textId="1BBC6FFD" w:rsidR="00F16652" w:rsidRPr="00D71401" w:rsidRDefault="00F16652" w:rsidP="003F4A75">
            <w:pPr>
              <w:pStyle w:val="ESBodyText"/>
              <w:rPr>
                <w:b/>
              </w:rPr>
            </w:pPr>
            <w:r w:rsidRPr="00D71401">
              <w:rPr>
                <w:b/>
              </w:rPr>
              <w:t>Advertising</w:t>
            </w:r>
          </w:p>
        </w:tc>
        <w:tc>
          <w:tcPr>
            <w:tcW w:w="7364" w:type="dxa"/>
          </w:tcPr>
          <w:p w14:paraId="192AFCD9" w14:textId="49B64D90" w:rsidR="00F16652" w:rsidRPr="00D71401" w:rsidRDefault="00F16652">
            <w:pPr>
              <w:pStyle w:val="ESBodyText"/>
            </w:pPr>
            <w:r w:rsidRPr="00D71401">
              <w:t xml:space="preserve">Advertising is an arrangement where a company purchases spaces for an agreed price to advertise their product or service and there are no additional benefits to the advertiser. For example, a company pays a school to buy space in a newsletter or magazine, or a billboard at a sporting event. </w:t>
            </w:r>
          </w:p>
        </w:tc>
      </w:tr>
      <w:tr w:rsidR="00520973" w:rsidRPr="00D71401" w14:paraId="65505DC1" w14:textId="77777777" w:rsidTr="008700CE">
        <w:trPr>
          <w:cantSplit/>
        </w:trPr>
        <w:tc>
          <w:tcPr>
            <w:tcW w:w="1980" w:type="dxa"/>
          </w:tcPr>
          <w:p w14:paraId="0B515DA6" w14:textId="5FFFD34C" w:rsidR="00520973" w:rsidRPr="00D71401" w:rsidRDefault="00520973" w:rsidP="003F4A75">
            <w:pPr>
              <w:pStyle w:val="ESBodyText"/>
              <w:rPr>
                <w:b/>
              </w:rPr>
            </w:pPr>
            <w:r w:rsidRPr="00D71401">
              <w:rPr>
                <w:b/>
              </w:rPr>
              <w:t>Bartering</w:t>
            </w:r>
          </w:p>
        </w:tc>
        <w:tc>
          <w:tcPr>
            <w:tcW w:w="7364" w:type="dxa"/>
          </w:tcPr>
          <w:p w14:paraId="4B826B04" w14:textId="5F7338A1" w:rsidR="00520973" w:rsidRPr="00D71401" w:rsidRDefault="00520973">
            <w:pPr>
              <w:pStyle w:val="ESBodyText"/>
            </w:pPr>
            <w:r w:rsidRPr="00D71401">
              <w:t>See ‘In-kind’ definition</w:t>
            </w:r>
          </w:p>
        </w:tc>
      </w:tr>
      <w:tr w:rsidR="00F16652" w:rsidRPr="00D71401" w14:paraId="1D611072" w14:textId="77777777" w:rsidTr="008700CE">
        <w:trPr>
          <w:cantSplit/>
        </w:trPr>
        <w:tc>
          <w:tcPr>
            <w:tcW w:w="1980" w:type="dxa"/>
          </w:tcPr>
          <w:p w14:paraId="340957B7" w14:textId="743306D8" w:rsidR="00F16652" w:rsidRPr="00D71401" w:rsidRDefault="00F16652" w:rsidP="003F4A75">
            <w:pPr>
              <w:pStyle w:val="ESBodyText"/>
              <w:rPr>
                <w:b/>
              </w:rPr>
            </w:pPr>
            <w:bookmarkStart w:id="71" w:name="_Toc517967138"/>
            <w:r w:rsidRPr="00D71401">
              <w:rPr>
                <w:b/>
              </w:rPr>
              <w:t>Benefits</w:t>
            </w:r>
            <w:bookmarkEnd w:id="71"/>
            <w:r w:rsidRPr="00D71401">
              <w:rPr>
                <w:b/>
              </w:rPr>
              <w:t xml:space="preserve"> </w:t>
            </w:r>
          </w:p>
        </w:tc>
        <w:tc>
          <w:tcPr>
            <w:tcW w:w="7364" w:type="dxa"/>
          </w:tcPr>
          <w:p w14:paraId="6576E5F7" w14:textId="44562FFF" w:rsidR="00F16652" w:rsidRPr="00D71401" w:rsidRDefault="00F16652">
            <w:pPr>
              <w:pStyle w:val="ESBodyText"/>
            </w:pPr>
            <w:r w:rsidRPr="00D71401">
              <w:t>Benefits refers to what the Department receives or provides for its sponsorship investment and any additional or potential value.</w:t>
            </w:r>
          </w:p>
        </w:tc>
      </w:tr>
      <w:tr w:rsidR="00F16652" w:rsidRPr="00D71401" w14:paraId="693E6985" w14:textId="77777777" w:rsidTr="008700CE">
        <w:trPr>
          <w:cantSplit/>
        </w:trPr>
        <w:tc>
          <w:tcPr>
            <w:tcW w:w="1980" w:type="dxa"/>
          </w:tcPr>
          <w:p w14:paraId="2FC0A57B" w14:textId="0DD5D2BC" w:rsidR="00F16652" w:rsidRPr="00D71401" w:rsidRDefault="00F16652" w:rsidP="003F4A75">
            <w:pPr>
              <w:pStyle w:val="ESBodyText"/>
              <w:rPr>
                <w:b/>
              </w:rPr>
            </w:pPr>
            <w:r w:rsidRPr="00D71401">
              <w:rPr>
                <w:b/>
              </w:rPr>
              <w:t>Bequests</w:t>
            </w:r>
          </w:p>
        </w:tc>
        <w:tc>
          <w:tcPr>
            <w:tcW w:w="7364" w:type="dxa"/>
          </w:tcPr>
          <w:p w14:paraId="0C991EC7" w14:textId="7E06337B" w:rsidR="00F16652" w:rsidRPr="00D71401" w:rsidRDefault="00F16652">
            <w:pPr>
              <w:pStyle w:val="ESBodyText"/>
            </w:pPr>
            <w:r w:rsidRPr="00D71401">
              <w:t>Transfer of personal property—such as cash, securities or other assets—upon the owner's death, as specified in their will.</w:t>
            </w:r>
          </w:p>
        </w:tc>
      </w:tr>
      <w:tr w:rsidR="00F16652" w:rsidRPr="00D71401" w14:paraId="5504D85D" w14:textId="77777777" w:rsidTr="008700CE">
        <w:trPr>
          <w:cantSplit/>
        </w:trPr>
        <w:tc>
          <w:tcPr>
            <w:tcW w:w="1980" w:type="dxa"/>
          </w:tcPr>
          <w:p w14:paraId="1A62FA1F" w14:textId="2D343314" w:rsidR="00F16652" w:rsidRPr="00D71401" w:rsidRDefault="00F16652" w:rsidP="003F4A75">
            <w:pPr>
              <w:pStyle w:val="ESBodyText"/>
              <w:rPr>
                <w:b/>
              </w:rPr>
            </w:pPr>
            <w:r w:rsidRPr="00D71401">
              <w:rPr>
                <w:b/>
              </w:rPr>
              <w:t>Consultancies</w:t>
            </w:r>
          </w:p>
        </w:tc>
        <w:tc>
          <w:tcPr>
            <w:tcW w:w="7364" w:type="dxa"/>
          </w:tcPr>
          <w:p w14:paraId="7AB15187" w14:textId="77777777" w:rsidR="00F16652" w:rsidRPr="00D71401" w:rsidRDefault="00F16652" w:rsidP="00DC06E5">
            <w:pPr>
              <w:pStyle w:val="ESBodyText"/>
            </w:pPr>
            <w:r w:rsidRPr="00D71401">
              <w:t>A consultancy is a particular type of contract that is implemented primarily to perform a discrete task for an entity that facilitates decision making through:</w:t>
            </w:r>
          </w:p>
          <w:p w14:paraId="7F919775" w14:textId="77777777" w:rsidR="00F16652" w:rsidRPr="00D71401" w:rsidRDefault="00F16652" w:rsidP="0038317F">
            <w:pPr>
              <w:pStyle w:val="ESBulletsinTable"/>
              <w:numPr>
                <w:ilvl w:val="0"/>
                <w:numId w:val="8"/>
              </w:numPr>
            </w:pPr>
            <w:r w:rsidRPr="00D71401">
              <w:t>provision of expert analysis and advice; and/or</w:t>
            </w:r>
          </w:p>
          <w:p w14:paraId="03833734" w14:textId="0A8DCE1B" w:rsidR="00F16652" w:rsidRPr="00D71401" w:rsidRDefault="00F16652" w:rsidP="0038317F">
            <w:pPr>
              <w:pStyle w:val="ESBulletsinTable"/>
              <w:numPr>
                <w:ilvl w:val="0"/>
                <w:numId w:val="8"/>
              </w:numPr>
            </w:pPr>
            <w:r w:rsidRPr="00D71401">
              <w:t>development of a written report or other intellectual output.</w:t>
            </w:r>
          </w:p>
        </w:tc>
      </w:tr>
      <w:tr w:rsidR="00F16652" w:rsidRPr="00D71401" w14:paraId="376619DA" w14:textId="77777777" w:rsidTr="008700CE">
        <w:trPr>
          <w:cantSplit/>
        </w:trPr>
        <w:tc>
          <w:tcPr>
            <w:tcW w:w="1980" w:type="dxa"/>
          </w:tcPr>
          <w:p w14:paraId="35ED5076" w14:textId="35AB862A" w:rsidR="00F16652" w:rsidRPr="00D71401" w:rsidRDefault="00F16652" w:rsidP="003F4A75">
            <w:pPr>
              <w:pStyle w:val="ESBodyText"/>
              <w:rPr>
                <w:b/>
              </w:rPr>
            </w:pPr>
            <w:r w:rsidRPr="00D71401">
              <w:rPr>
                <w:b/>
              </w:rPr>
              <w:t>Donations</w:t>
            </w:r>
          </w:p>
        </w:tc>
        <w:tc>
          <w:tcPr>
            <w:tcW w:w="7364" w:type="dxa"/>
          </w:tcPr>
          <w:p w14:paraId="0B3B4A1B" w14:textId="77777777" w:rsidR="00F16652" w:rsidRPr="00D71401" w:rsidRDefault="00F16652" w:rsidP="00DC06E5">
            <w:pPr>
              <w:pStyle w:val="ESBodyText"/>
            </w:pPr>
            <w:r w:rsidRPr="00D71401">
              <w:t xml:space="preserve">A donation is a one-off untied gift that has no requirement for benefits in return. </w:t>
            </w:r>
          </w:p>
          <w:p w14:paraId="7C9698D0" w14:textId="77777777" w:rsidR="00F16652" w:rsidRPr="00D71401" w:rsidRDefault="00F16652" w:rsidP="00DC06E5">
            <w:pPr>
              <w:pStyle w:val="ESBodyText"/>
            </w:pPr>
            <w:r w:rsidRPr="00D71401">
              <w:t>If the donor receive more than ‘mere recognition’ (i.e. advertising), the donation must be treated as a sponsorship.</w:t>
            </w:r>
          </w:p>
          <w:p w14:paraId="38716DCE" w14:textId="77777777" w:rsidR="00F16652" w:rsidRPr="00D71401" w:rsidRDefault="00F16652" w:rsidP="00DC06E5">
            <w:pPr>
              <w:pStyle w:val="ESBodyText"/>
            </w:pPr>
            <w:r w:rsidRPr="00D71401">
              <w:rPr>
                <w:b/>
              </w:rPr>
              <w:t>Examples of donations</w:t>
            </w:r>
          </w:p>
          <w:p w14:paraId="728E569E" w14:textId="77777777" w:rsidR="00F16652" w:rsidRPr="00D71401" w:rsidRDefault="00F16652" w:rsidP="00DC06E5">
            <w:pPr>
              <w:pStyle w:val="ESBodyText"/>
            </w:pPr>
            <w:r w:rsidRPr="00D71401">
              <w:t>Examples of donations include:</w:t>
            </w:r>
          </w:p>
          <w:p w14:paraId="599DE2FC" w14:textId="77777777" w:rsidR="00F16652" w:rsidRPr="00D71401" w:rsidRDefault="00F16652" w:rsidP="0038317F">
            <w:pPr>
              <w:pStyle w:val="ESBulletsinTable"/>
              <w:numPr>
                <w:ilvl w:val="0"/>
                <w:numId w:val="9"/>
              </w:numPr>
            </w:pPr>
            <w:r w:rsidRPr="00D71401">
              <w:t xml:space="preserve">The Department is given $2000 by a former student’s accounting firm with no requirement to provide any goods or services in return. The firm is mentioned on an honour board as having donated the money. </w:t>
            </w:r>
          </w:p>
          <w:p w14:paraId="1919B37E" w14:textId="77777777" w:rsidR="00F16652" w:rsidRPr="00D71401" w:rsidRDefault="00F16652" w:rsidP="0038317F">
            <w:pPr>
              <w:pStyle w:val="ESBulletsinTable"/>
              <w:numPr>
                <w:ilvl w:val="0"/>
                <w:numId w:val="9"/>
              </w:numPr>
            </w:pPr>
            <w:r w:rsidRPr="00D71401">
              <w:t xml:space="preserve">The Department is given timber by the local hardware store to rebuild a stage at the local school. No goods and services are requested in return, no payment is requested for the timber. </w:t>
            </w:r>
          </w:p>
          <w:p w14:paraId="6C348F30" w14:textId="06946A20" w:rsidR="00F16652" w:rsidRPr="00D71401" w:rsidRDefault="00F16652" w:rsidP="0038317F">
            <w:pPr>
              <w:pStyle w:val="ESBulletsinTable"/>
              <w:numPr>
                <w:ilvl w:val="0"/>
                <w:numId w:val="9"/>
              </w:numPr>
            </w:pPr>
            <w:r w:rsidRPr="00D71401">
              <w:t>The Department raises money for a particular charity (i.e. Red Nose Day, Royal Children’s Hospital) and wishes to donate this money. The Department should retain sufficient documentation (charity flyer, charity acknowledgement) to support the payment.</w:t>
            </w:r>
          </w:p>
        </w:tc>
      </w:tr>
      <w:tr w:rsidR="00F16652" w:rsidRPr="00D71401" w14:paraId="2E515F7F" w14:textId="77777777" w:rsidTr="008700CE">
        <w:trPr>
          <w:cantSplit/>
        </w:trPr>
        <w:tc>
          <w:tcPr>
            <w:tcW w:w="1980" w:type="dxa"/>
          </w:tcPr>
          <w:p w14:paraId="62FA8BF2" w14:textId="79ED3EF5" w:rsidR="00F16652" w:rsidRPr="00D71401" w:rsidRDefault="00F16652" w:rsidP="003F4A75">
            <w:pPr>
              <w:pStyle w:val="ESBodyText"/>
              <w:rPr>
                <w:b/>
              </w:rPr>
            </w:pPr>
            <w:r w:rsidRPr="00D71401">
              <w:rPr>
                <w:b/>
              </w:rPr>
              <w:t>Grants</w:t>
            </w:r>
          </w:p>
        </w:tc>
        <w:tc>
          <w:tcPr>
            <w:tcW w:w="7364" w:type="dxa"/>
          </w:tcPr>
          <w:p w14:paraId="40D7B541" w14:textId="6E201E51" w:rsidR="00F16652" w:rsidRPr="00D71401" w:rsidRDefault="00F16652">
            <w:pPr>
              <w:pStyle w:val="ESBodyText"/>
            </w:pPr>
            <w:r w:rsidRPr="00D71401">
              <w:t>Discretionary funding provided to external individuals or organisations for a specified purpose directed at achieving goals and objectives consistent with government policy, where the grant recipient is selected on merit against a set of criteria.</w:t>
            </w:r>
          </w:p>
        </w:tc>
      </w:tr>
      <w:tr w:rsidR="00F16652" w:rsidRPr="00D71401" w14:paraId="588008ED" w14:textId="77777777" w:rsidTr="008700CE">
        <w:trPr>
          <w:cantSplit/>
        </w:trPr>
        <w:tc>
          <w:tcPr>
            <w:tcW w:w="1980" w:type="dxa"/>
          </w:tcPr>
          <w:p w14:paraId="02C95FA9" w14:textId="3C87353C" w:rsidR="00F16652" w:rsidRPr="00D71401" w:rsidRDefault="00520973" w:rsidP="003F4A75">
            <w:pPr>
              <w:pStyle w:val="ESBodyText"/>
              <w:rPr>
                <w:b/>
              </w:rPr>
            </w:pPr>
            <w:r w:rsidRPr="00D71401">
              <w:rPr>
                <w:b/>
              </w:rPr>
              <w:t>In-k</w:t>
            </w:r>
            <w:r w:rsidR="00F16652" w:rsidRPr="00D71401">
              <w:rPr>
                <w:b/>
              </w:rPr>
              <w:t>ind Support</w:t>
            </w:r>
            <w:r w:rsidRPr="00D71401">
              <w:rPr>
                <w:b/>
              </w:rPr>
              <w:t xml:space="preserve"> (also Bartering)</w:t>
            </w:r>
          </w:p>
        </w:tc>
        <w:tc>
          <w:tcPr>
            <w:tcW w:w="7364" w:type="dxa"/>
          </w:tcPr>
          <w:p w14:paraId="026785AE" w14:textId="4DD4086B" w:rsidR="00F16652" w:rsidRPr="00D71401" w:rsidRDefault="00F16652">
            <w:pPr>
              <w:pStyle w:val="ESBodyText"/>
            </w:pPr>
            <w:r w:rsidRPr="00D71401">
              <w:t xml:space="preserve">This kind of sponsorship is where a sponsor provides services or goods instead of cash. Sometimes this is called ‘value in kind’ or ‘contra’ sponsorship. </w:t>
            </w:r>
          </w:p>
        </w:tc>
      </w:tr>
      <w:tr w:rsidR="00F16652" w:rsidRPr="00D71401" w14:paraId="171185EF" w14:textId="77777777" w:rsidTr="008700CE">
        <w:trPr>
          <w:cantSplit/>
        </w:trPr>
        <w:tc>
          <w:tcPr>
            <w:tcW w:w="1980" w:type="dxa"/>
          </w:tcPr>
          <w:p w14:paraId="42E35D16" w14:textId="25080C62" w:rsidR="00F16652" w:rsidRPr="00D71401" w:rsidRDefault="00F16652" w:rsidP="003F4A75">
            <w:pPr>
              <w:pStyle w:val="ESBodyText"/>
              <w:rPr>
                <w:b/>
              </w:rPr>
            </w:pPr>
            <w:r w:rsidRPr="00D71401">
              <w:rPr>
                <w:b/>
              </w:rPr>
              <w:t>Joint ventures</w:t>
            </w:r>
          </w:p>
        </w:tc>
        <w:tc>
          <w:tcPr>
            <w:tcW w:w="7364" w:type="dxa"/>
          </w:tcPr>
          <w:p w14:paraId="2776E3E5" w14:textId="7E74BE8A" w:rsidR="00F16652" w:rsidRPr="00D71401" w:rsidRDefault="00CC42BE" w:rsidP="00CC42BE">
            <w:pPr>
              <w:pStyle w:val="ESBodyText"/>
            </w:pPr>
            <w:r w:rsidRPr="00D71401">
              <w:t>A joint venture is a business arrangement where two or more parties agree to pool their resources for the purpose of accomplishing a specific task.</w:t>
            </w:r>
          </w:p>
        </w:tc>
      </w:tr>
      <w:tr w:rsidR="00F16652" w:rsidRPr="00D71401" w14:paraId="78D279F7" w14:textId="77777777" w:rsidTr="008700CE">
        <w:trPr>
          <w:cantSplit/>
        </w:trPr>
        <w:tc>
          <w:tcPr>
            <w:tcW w:w="1980" w:type="dxa"/>
          </w:tcPr>
          <w:p w14:paraId="4F40ABF8" w14:textId="6C74D50B" w:rsidR="00F16652" w:rsidRPr="00D71401" w:rsidRDefault="00F16652" w:rsidP="00DC06E5">
            <w:pPr>
              <w:pStyle w:val="ESBodyText"/>
            </w:pPr>
            <w:r w:rsidRPr="00D71401">
              <w:rPr>
                <w:b/>
              </w:rPr>
              <w:t>Naming rights</w:t>
            </w:r>
          </w:p>
        </w:tc>
        <w:tc>
          <w:tcPr>
            <w:tcW w:w="7364" w:type="dxa"/>
          </w:tcPr>
          <w:p w14:paraId="7F1236EF" w14:textId="013877C8" w:rsidR="00F16652" w:rsidRPr="00D71401" w:rsidRDefault="00F16652" w:rsidP="00DC06E5">
            <w:pPr>
              <w:pStyle w:val="ESBodyText"/>
              <w:rPr>
                <w:lang w:eastAsia="en-AU"/>
              </w:rPr>
            </w:pPr>
            <w:r w:rsidRPr="00D71401">
              <w:rPr>
                <w:lang w:eastAsia="en-AU"/>
              </w:rPr>
              <w:t>Naming rights refers to a form of sponsorship where a sponsor, in addition to other rights and benefits of sponsorship, has negotiated to have their name added as a prefix to the sponsored activity.</w:t>
            </w:r>
          </w:p>
        </w:tc>
      </w:tr>
      <w:tr w:rsidR="00F16652" w:rsidRPr="00D71401" w14:paraId="252E4A72" w14:textId="77777777" w:rsidTr="008700CE">
        <w:trPr>
          <w:cantSplit/>
        </w:trPr>
        <w:tc>
          <w:tcPr>
            <w:tcW w:w="1980" w:type="dxa"/>
          </w:tcPr>
          <w:p w14:paraId="5A658CC4" w14:textId="33840145" w:rsidR="00F16652" w:rsidRPr="00D71401" w:rsidRDefault="00F16652" w:rsidP="00DC06E5">
            <w:pPr>
              <w:pStyle w:val="ESBodyText"/>
            </w:pPr>
            <w:r w:rsidRPr="00D71401">
              <w:rPr>
                <w:b/>
              </w:rPr>
              <w:t>Partnership arrangements</w:t>
            </w:r>
          </w:p>
        </w:tc>
        <w:tc>
          <w:tcPr>
            <w:tcW w:w="7364" w:type="dxa"/>
          </w:tcPr>
          <w:p w14:paraId="2A769788" w14:textId="60053118" w:rsidR="00B93C69" w:rsidRDefault="00E7671F" w:rsidP="00E4581D">
            <w:r>
              <w:t xml:space="preserve">For the purpose of this policy, a partnership is defined as a </w:t>
            </w:r>
            <w:r w:rsidRPr="00567FE8">
              <w:t>relationship</w:t>
            </w:r>
            <w:r>
              <w:t xml:space="preserve"> between </w:t>
            </w:r>
            <w:r w:rsidRPr="00D71401">
              <w:t xml:space="preserve">two or more </w:t>
            </w:r>
            <w:r>
              <w:t>organisations</w:t>
            </w:r>
            <w:r w:rsidRPr="00D71401">
              <w:t xml:space="preserve"> </w:t>
            </w:r>
            <w:r>
              <w:t xml:space="preserve">around communications and branding, for example, </w:t>
            </w:r>
            <w:r w:rsidRPr="00E7671F">
              <w:t>awards events having a me</w:t>
            </w:r>
            <w:r>
              <w:t>dia partnership</w:t>
            </w:r>
            <w:r w:rsidR="00F46A08">
              <w:t xml:space="preserve"> at the corporate level. </w:t>
            </w:r>
          </w:p>
          <w:p w14:paraId="04D61D4A" w14:textId="045EF6CF" w:rsidR="001B5EC8" w:rsidRPr="00D71401" w:rsidRDefault="00E7671F" w:rsidP="00E4581D">
            <w:r w:rsidRPr="00E7671F">
              <w:rPr>
                <w:i/>
              </w:rPr>
              <w:t>There are a number of different types of partnership and schools and corporate staff may need to see</w:t>
            </w:r>
            <w:r w:rsidR="00720526">
              <w:rPr>
                <w:i/>
              </w:rPr>
              <w:t>k</w:t>
            </w:r>
            <w:r w:rsidRPr="00E7671F">
              <w:rPr>
                <w:i/>
              </w:rPr>
              <w:t xml:space="preserve"> advice to ensure they are applying the definition of partnership correctly. </w:t>
            </w:r>
          </w:p>
        </w:tc>
      </w:tr>
      <w:tr w:rsidR="00F16652" w:rsidRPr="00D71401" w14:paraId="22302B2A" w14:textId="77777777" w:rsidTr="008700CE">
        <w:trPr>
          <w:cantSplit/>
        </w:trPr>
        <w:tc>
          <w:tcPr>
            <w:tcW w:w="1980" w:type="dxa"/>
          </w:tcPr>
          <w:p w14:paraId="631FCAA8" w14:textId="71189835" w:rsidR="00F16652" w:rsidRPr="00D71401" w:rsidRDefault="00F16652" w:rsidP="00DC06E5">
            <w:pPr>
              <w:pStyle w:val="ESBodyText"/>
            </w:pPr>
            <w:r w:rsidRPr="00D71401">
              <w:rPr>
                <w:b/>
              </w:rPr>
              <w:t xml:space="preserve">Philanthropy </w:t>
            </w:r>
          </w:p>
        </w:tc>
        <w:tc>
          <w:tcPr>
            <w:tcW w:w="7364" w:type="dxa"/>
          </w:tcPr>
          <w:p w14:paraId="55AE7E4D" w14:textId="2109F7BF" w:rsidR="00F16652" w:rsidRPr="00D71401" w:rsidRDefault="00F16652" w:rsidP="00DC06E5">
            <w:pPr>
              <w:pStyle w:val="ESBodyText"/>
            </w:pPr>
            <w:r w:rsidRPr="00D71401">
              <w:t xml:space="preserve">Philanthropy is seen as involving charitable giving to human causes on a large scale. Acts of philanthropy include donating money to a charity, volunteering at a local shelter, or raising money to donate to cancer research. </w:t>
            </w:r>
          </w:p>
        </w:tc>
      </w:tr>
      <w:tr w:rsidR="00F16652" w14:paraId="110C81F2" w14:textId="77777777" w:rsidTr="008700CE">
        <w:trPr>
          <w:cantSplit/>
        </w:trPr>
        <w:tc>
          <w:tcPr>
            <w:tcW w:w="1980" w:type="dxa"/>
          </w:tcPr>
          <w:p w14:paraId="37503902" w14:textId="7FB91868" w:rsidR="00F16652" w:rsidRPr="00D71401" w:rsidRDefault="00F16652" w:rsidP="00DC06E5">
            <w:pPr>
              <w:pStyle w:val="ESBodyText"/>
            </w:pPr>
            <w:r w:rsidRPr="00D71401">
              <w:rPr>
                <w:b/>
              </w:rPr>
              <w:t>Sponsorship</w:t>
            </w:r>
          </w:p>
        </w:tc>
        <w:tc>
          <w:tcPr>
            <w:tcW w:w="7364" w:type="dxa"/>
          </w:tcPr>
          <w:p w14:paraId="510ECAE0" w14:textId="77777777" w:rsidR="00F16652" w:rsidRPr="00D71401" w:rsidRDefault="00F16652" w:rsidP="00DC06E5">
            <w:pPr>
              <w:pStyle w:val="ESBodyText"/>
            </w:pPr>
            <w:r w:rsidRPr="00D71401">
              <w:t xml:space="preserve">The sponsor provides a contribution of money or in-kind support in return for certain specified benefits, such as logo placement, public acknowledgement etc. Sponsorship is therefore not philanthropic and is not a donation. (see section 3. Definition for more detail) </w:t>
            </w:r>
          </w:p>
          <w:p w14:paraId="3F89CC51" w14:textId="13CB9064" w:rsidR="00F16652" w:rsidRPr="00D71401" w:rsidRDefault="005009CC" w:rsidP="00DC06E5">
            <w:pPr>
              <w:pStyle w:val="ESBodyText"/>
            </w:pPr>
            <w:r w:rsidRPr="00D71401">
              <w:rPr>
                <w:b/>
              </w:rPr>
              <w:t>Incoming</w:t>
            </w:r>
          </w:p>
          <w:p w14:paraId="24700A35" w14:textId="77777777" w:rsidR="00F16652" w:rsidRPr="00D71401" w:rsidRDefault="00F16652" w:rsidP="00DC06E5">
            <w:pPr>
              <w:pStyle w:val="ESBodyText"/>
            </w:pPr>
            <w:r w:rsidRPr="00D71401">
              <w:t>W</w:t>
            </w:r>
            <w:r w:rsidRPr="00D71401">
              <w:rPr>
                <w:rFonts w:hint="eastAsia"/>
              </w:rPr>
              <w:t>here an external organisation provides financial or in-kind support for a Department initiative, event or program.</w:t>
            </w:r>
          </w:p>
          <w:p w14:paraId="7944515E" w14:textId="3884DEEB" w:rsidR="00F16652" w:rsidRPr="00D71401" w:rsidRDefault="005009CC" w:rsidP="00DC06E5">
            <w:pPr>
              <w:pStyle w:val="ESBodyText"/>
            </w:pPr>
            <w:r w:rsidRPr="00D71401">
              <w:rPr>
                <w:b/>
              </w:rPr>
              <w:t>Outgoing</w:t>
            </w:r>
          </w:p>
          <w:p w14:paraId="1BA7D7BF" w14:textId="29B31154" w:rsidR="00F16652" w:rsidRPr="00D71401" w:rsidRDefault="00F16652" w:rsidP="00DC06E5">
            <w:pPr>
              <w:pStyle w:val="ESBodyText"/>
            </w:pPr>
            <w:r w:rsidRPr="00D71401">
              <w:t>W</w:t>
            </w:r>
            <w:r w:rsidRPr="00D71401">
              <w:rPr>
                <w:rFonts w:hint="eastAsia"/>
              </w:rPr>
              <w:t>here the Department provides financial or in-kind support to an external organisation for their initiative, event or program.</w:t>
            </w:r>
          </w:p>
        </w:tc>
      </w:tr>
    </w:tbl>
    <w:p w14:paraId="65B034FE" w14:textId="64A6A909" w:rsidR="00C32896" w:rsidRDefault="00C32896" w:rsidP="001B5EC8">
      <w:pPr>
        <w:spacing w:after="0" w:line="240" w:lineRule="auto"/>
      </w:pPr>
    </w:p>
    <w:sectPr w:rsidR="00C32896" w:rsidSect="0011113B">
      <w:headerReference w:type="default" r:id="rId35"/>
      <w:footerReference w:type="default" r:id="rId36"/>
      <w:headerReference w:type="first" r:id="rId37"/>
      <w:footerReference w:type="first" r:id="rId38"/>
      <w:pgSz w:w="11900" w:h="16840"/>
      <w:pgMar w:top="2268" w:right="1242" w:bottom="1134" w:left="1276" w:header="624" w:footer="406"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E1C49" w14:textId="77777777" w:rsidR="00AF4F4E" w:rsidRDefault="00AF4F4E" w:rsidP="008766A4">
      <w:r>
        <w:separator/>
      </w:r>
    </w:p>
  </w:endnote>
  <w:endnote w:type="continuationSeparator" w:id="0">
    <w:p w14:paraId="03A13B5E" w14:textId="77777777" w:rsidR="00AF4F4E" w:rsidRDefault="00AF4F4E" w:rsidP="008766A4">
      <w:r>
        <w:continuationSeparator/>
      </w:r>
    </w:p>
  </w:endnote>
  <w:endnote w:type="continuationNotice" w:id="1">
    <w:p w14:paraId="5779E5AA" w14:textId="77777777" w:rsidR="00AF4F4E" w:rsidRDefault="00AF4F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useo Sans 100">
    <w:altName w:val="Museo Sans 100"/>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80BE6" w14:textId="2E89B9E4" w:rsidR="000A7A06" w:rsidRPr="003E29B5" w:rsidRDefault="000A7A06" w:rsidP="00461AAE">
    <w:pPr>
      <w:spacing w:before="200" w:after="40"/>
    </w:pPr>
    <w:r w:rsidRPr="0091155B">
      <w:rPr>
        <w:noProof/>
        <w:color w:val="AF272F"/>
        <w:sz w:val="15"/>
        <w:lang w:eastAsia="en-AU"/>
      </w:rPr>
      <w:drawing>
        <wp:anchor distT="0" distB="0" distL="114300" distR="114300" simplePos="0" relativeHeight="251658752" behindDoc="1" locked="0" layoutInCell="1" allowOverlap="1" wp14:anchorId="67420BC7" wp14:editId="6BCACE6C">
          <wp:simplePos x="0" y="0"/>
          <wp:positionH relativeFrom="page">
            <wp:posOffset>-22225</wp:posOffset>
          </wp:positionH>
          <wp:positionV relativeFrom="page">
            <wp:posOffset>9855200</wp:posOffset>
          </wp:positionV>
          <wp:extent cx="7526655" cy="72199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6655" cy="721995"/>
                  </a:xfrm>
                  <a:prstGeom prst="rect">
                    <a:avLst/>
                  </a:prstGeom>
                </pic:spPr>
              </pic:pic>
            </a:graphicData>
          </a:graphic>
          <wp14:sizeRelH relativeFrom="margin">
            <wp14:pctWidth>0</wp14:pctWidth>
          </wp14:sizeRelH>
        </wp:anchor>
      </w:drawing>
    </w:r>
    <w:r w:rsidRPr="0091155B">
      <w:rPr>
        <w:color w:val="AF272F"/>
        <w:sz w:val="15"/>
      </w:rPr>
      <w:t>Sponsorship Policy and Guidelines</w:t>
    </w:r>
    <w:r>
      <w:rPr>
        <w:color w:val="AF272F"/>
        <w:sz w:val="15"/>
      </w:rPr>
      <w:br/>
    </w:r>
    <w:sdt>
      <w:sdtPr>
        <w:rPr>
          <w:color w:val="AF272F"/>
          <w:sz w:val="15"/>
        </w:rPr>
        <w:id w:val="1896241794"/>
        <w:docPartObj>
          <w:docPartGallery w:val="Page Numbers (Bottom of Page)"/>
          <w:docPartUnique/>
        </w:docPartObj>
      </w:sdtPr>
      <w:sdtEndPr/>
      <w:sdtContent>
        <w:r w:rsidRPr="0091155B">
          <w:rPr>
            <w:color w:val="AF272F"/>
            <w:sz w:val="15"/>
          </w:rPr>
          <w:t xml:space="preserve">Page </w:t>
        </w:r>
        <w:r w:rsidRPr="0091155B">
          <w:rPr>
            <w:color w:val="AF272F"/>
            <w:sz w:val="15"/>
          </w:rPr>
          <w:fldChar w:fldCharType="begin"/>
        </w:r>
        <w:r w:rsidRPr="007B2B29">
          <w:rPr>
            <w:rFonts w:eastAsia="Arial" w:cs="Times New Roman"/>
            <w:color w:val="AF272F"/>
            <w:sz w:val="15"/>
            <w:szCs w:val="15"/>
          </w:rPr>
          <w:instrText xml:space="preserve"> PAGE   \* MERGEFORMAT </w:instrText>
        </w:r>
        <w:r w:rsidRPr="0091155B">
          <w:rPr>
            <w:color w:val="AF272F"/>
            <w:sz w:val="15"/>
          </w:rPr>
          <w:fldChar w:fldCharType="separate"/>
        </w:r>
        <w:r w:rsidR="00DC71D5">
          <w:rPr>
            <w:rFonts w:eastAsia="Arial" w:cs="Times New Roman"/>
            <w:noProof/>
            <w:color w:val="AF272F"/>
            <w:sz w:val="15"/>
            <w:szCs w:val="15"/>
          </w:rPr>
          <w:t>2</w:t>
        </w:r>
        <w:r w:rsidRPr="0091155B">
          <w:rPr>
            <w:color w:val="AF272F"/>
            <w:sz w:val="15"/>
          </w:rPr>
          <w:fldChar w:fldCharType="end"/>
        </w:r>
      </w:sdtContent>
    </w:sdt>
    <w:r w:rsidRPr="003E29B5">
      <w:rPr>
        <w:noProof/>
      </w:rPr>
      <w:t xml:space="preserve"> </w:t>
    </w:r>
    <w:r w:rsidRPr="0091155B">
      <w:rPr>
        <w:noProof/>
        <w:lang w:eastAsia="en-AU"/>
      </w:rPr>
      <w:drawing>
        <wp:anchor distT="0" distB="0" distL="114300" distR="114300" simplePos="0" relativeHeight="251656704" behindDoc="1" locked="0" layoutInCell="1" allowOverlap="1" wp14:anchorId="5E5DEC1C" wp14:editId="5437D725">
          <wp:simplePos x="0" y="0"/>
          <wp:positionH relativeFrom="page">
            <wp:posOffset>53975</wp:posOffset>
          </wp:positionH>
          <wp:positionV relativeFrom="page">
            <wp:posOffset>9950450</wp:posOffset>
          </wp:positionV>
          <wp:extent cx="7527279" cy="72237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79F69" w14:textId="77777777" w:rsidR="000A7A06" w:rsidRDefault="000A7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E947F" w14:textId="77777777" w:rsidR="00AF4F4E" w:rsidRDefault="00AF4F4E" w:rsidP="008766A4">
      <w:r>
        <w:separator/>
      </w:r>
    </w:p>
  </w:footnote>
  <w:footnote w:type="continuationSeparator" w:id="0">
    <w:p w14:paraId="3A564B06" w14:textId="77777777" w:rsidR="00AF4F4E" w:rsidRDefault="00AF4F4E" w:rsidP="008766A4">
      <w:r>
        <w:continuationSeparator/>
      </w:r>
    </w:p>
  </w:footnote>
  <w:footnote w:type="continuationNotice" w:id="1">
    <w:p w14:paraId="726CCBD2" w14:textId="77777777" w:rsidR="00AF4F4E" w:rsidRDefault="00AF4F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822E6" w14:textId="77777777" w:rsidR="000A7A06" w:rsidRDefault="000A7A06" w:rsidP="004D1AFF">
    <w:pPr>
      <w:pStyle w:val="Header"/>
      <w:tabs>
        <w:tab w:val="clear" w:pos="4513"/>
        <w:tab w:val="clear" w:pos="9026"/>
        <w:tab w:val="left" w:pos="1425"/>
      </w:tabs>
    </w:pPr>
    <w:r w:rsidRPr="0091155B">
      <w:rPr>
        <w:noProof/>
        <w:lang w:eastAsia="en-AU"/>
      </w:rPr>
      <w:drawing>
        <wp:anchor distT="0" distB="0" distL="114300" distR="114300" simplePos="0" relativeHeight="251659776" behindDoc="1" locked="0" layoutInCell="1" allowOverlap="1" wp14:anchorId="7DC59352" wp14:editId="5B59D796">
          <wp:simplePos x="0" y="0"/>
          <wp:positionH relativeFrom="page">
            <wp:posOffset>0</wp:posOffset>
          </wp:positionH>
          <wp:positionV relativeFrom="page">
            <wp:posOffset>9080</wp:posOffset>
          </wp:positionV>
          <wp:extent cx="7560000" cy="10692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covers_portrait_generic.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tab/>
    </w:r>
  </w:p>
  <w:p w14:paraId="06DFB510" w14:textId="77777777" w:rsidR="000A7A06" w:rsidRDefault="000A7A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7AF6E" w14:textId="77777777" w:rsidR="000A7A06" w:rsidRPr="003E29B5" w:rsidRDefault="000A7A06" w:rsidP="008766A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A67D2" w14:textId="77777777" w:rsidR="000A7A06" w:rsidRDefault="000A7A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83"/>
    <w:multiLevelType w:val="singleLevel"/>
    <w:tmpl w:val="8572FC50"/>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1BB0EDA"/>
    <w:multiLevelType w:val="hybridMultilevel"/>
    <w:tmpl w:val="05A29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371B35"/>
    <w:multiLevelType w:val="hybridMultilevel"/>
    <w:tmpl w:val="43E03F3E"/>
    <w:lvl w:ilvl="0" w:tplc="F56267EE">
      <w:start w:val="1"/>
      <w:numFmt w:val="bullet"/>
      <w:pStyle w:val="BodyTextIndent"/>
      <w:lvlText w:val=""/>
      <w:lvlJc w:val="left"/>
      <w:pPr>
        <w:ind w:left="1077" w:hanging="360"/>
      </w:pPr>
      <w:rPr>
        <w:rFonts w:ascii="Symbol" w:hAnsi="Symbol" w:hint="default"/>
        <w:color w:val="44697D"/>
      </w:rPr>
    </w:lvl>
    <w:lvl w:ilvl="1" w:tplc="C1CC3560">
      <w:start w:val="1"/>
      <w:numFmt w:val="decimal"/>
      <w:lvlText w:val="%2."/>
      <w:lvlJc w:val="left"/>
      <w:pPr>
        <w:tabs>
          <w:tab w:val="num" w:pos="720"/>
        </w:tabs>
        <w:ind w:left="720" w:hanging="360"/>
      </w:pPr>
      <w:rPr>
        <w:rFonts w:hint="default"/>
        <w:color w:val="auto"/>
        <w:szCs w:val="2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B414C6"/>
    <w:multiLevelType w:val="hybridMultilevel"/>
    <w:tmpl w:val="E29E43D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AC112E6"/>
    <w:multiLevelType w:val="hybridMultilevel"/>
    <w:tmpl w:val="9B883E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5916E22"/>
    <w:multiLevelType w:val="hybridMultilevel"/>
    <w:tmpl w:val="6252722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1F52DB"/>
    <w:multiLevelType w:val="hybridMultilevel"/>
    <w:tmpl w:val="A9D4A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2178FB"/>
    <w:multiLevelType w:val="hybridMultilevel"/>
    <w:tmpl w:val="0AA00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8D75F5"/>
    <w:multiLevelType w:val="hybridMultilevel"/>
    <w:tmpl w:val="2656022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960527E"/>
    <w:multiLevelType w:val="hybridMultilevel"/>
    <w:tmpl w:val="97505B86"/>
    <w:lvl w:ilvl="0" w:tplc="A118BB48">
      <w:start w:val="1"/>
      <w:numFmt w:val="bullet"/>
      <w:pStyle w:val="ESBulletsinTable"/>
      <w:lvlText w:val=""/>
      <w:lvlJc w:val="left"/>
      <w:pPr>
        <w:ind w:left="360" w:hanging="360"/>
      </w:pPr>
      <w:rPr>
        <w:rFonts w:ascii="Symbol" w:hAnsi="Symbol" w:hint="default"/>
        <w:color w:val="AF272F"/>
      </w:rPr>
    </w:lvl>
    <w:lvl w:ilvl="1" w:tplc="2B14FD5E">
      <w:start w:val="1"/>
      <w:numFmt w:val="bullet"/>
      <w:pStyle w:val="ESBulletsinTable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950A1B"/>
    <w:multiLevelType w:val="hybridMultilevel"/>
    <w:tmpl w:val="D1AEB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C323FE"/>
    <w:multiLevelType w:val="hybridMultilevel"/>
    <w:tmpl w:val="E9BA17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A782EED"/>
    <w:multiLevelType w:val="hybridMultilevel"/>
    <w:tmpl w:val="42F6405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C99582B"/>
    <w:multiLevelType w:val="hybridMultilevel"/>
    <w:tmpl w:val="27C040C2"/>
    <w:lvl w:ilvl="0" w:tplc="0BC0369A">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23378C"/>
    <w:multiLevelType w:val="hybridMultilevel"/>
    <w:tmpl w:val="43F6C050"/>
    <w:lvl w:ilvl="0" w:tplc="0C09000F">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7D77DA2"/>
    <w:multiLevelType w:val="hybridMultilevel"/>
    <w:tmpl w:val="DDCEBA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4956AED"/>
    <w:multiLevelType w:val="hybridMultilevel"/>
    <w:tmpl w:val="CD3CE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14"/>
  </w:num>
  <w:num w:numId="5">
    <w:abstractNumId w:val="3"/>
  </w:num>
  <w:num w:numId="6">
    <w:abstractNumId w:val="9"/>
  </w:num>
  <w:num w:numId="7">
    <w:abstractNumId w:val="15"/>
  </w:num>
  <w:num w:numId="8">
    <w:abstractNumId w:val="5"/>
  </w:num>
  <w:num w:numId="9">
    <w:abstractNumId w:val="12"/>
  </w:num>
  <w:num w:numId="10">
    <w:abstractNumId w:val="4"/>
  </w:num>
  <w:num w:numId="11">
    <w:abstractNumId w:val="13"/>
  </w:num>
  <w:num w:numId="12">
    <w:abstractNumId w:val="2"/>
  </w:num>
  <w:num w:numId="13">
    <w:abstractNumId w:val="17"/>
  </w:num>
  <w:num w:numId="14">
    <w:abstractNumId w:val="16"/>
    <w:lvlOverride w:ilvl="0">
      <w:startOverride w:val="1"/>
    </w:lvlOverride>
    <w:lvlOverride w:ilvl="1"/>
    <w:lvlOverride w:ilvl="2"/>
    <w:lvlOverride w:ilvl="3"/>
    <w:lvlOverride w:ilvl="4"/>
    <w:lvlOverride w:ilvl="5"/>
    <w:lvlOverride w:ilvl="6"/>
    <w:lvlOverride w:ilvl="7"/>
    <w:lvlOverride w:ilvl="8"/>
  </w:num>
  <w:num w:numId="15">
    <w:abstractNumId w:val="7"/>
  </w:num>
  <w:num w:numId="16">
    <w:abstractNumId w:val="6"/>
  </w:num>
  <w:num w:numId="17">
    <w:abstractNumId w:val="11"/>
  </w:num>
  <w:num w:numId="18">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activeWritingStyle w:appName="MSWord" w:lang="en-US" w:vendorID="64" w:dllVersion="6" w:nlCheck="1" w:checkStyle="0"/>
  <w:activeWritingStyle w:appName="MSWord" w:lang="en-AU" w:vendorID="64" w:dllVersion="6" w:nlCheck="1" w:checkStyle="0"/>
  <w:activeWritingStyle w:appName="MSWord" w:lang="en-GB" w:vendorID="64" w:dllVersion="6" w:nlCheck="1" w:checkStyle="0"/>
  <w:activeWritingStyle w:appName="MSWord" w:lang="en-AU"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stylePaneSortMethod w:val="0000"/>
  <w:documentProtection w:enforcement="0"/>
  <w:autoFormatOverrid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510A"/>
    <w:rsid w:val="00015F09"/>
    <w:rsid w:val="000171CE"/>
    <w:rsid w:val="000200C6"/>
    <w:rsid w:val="00020CD6"/>
    <w:rsid w:val="00022513"/>
    <w:rsid w:val="000266D8"/>
    <w:rsid w:val="00031E1C"/>
    <w:rsid w:val="000342EE"/>
    <w:rsid w:val="000344DB"/>
    <w:rsid w:val="00044A04"/>
    <w:rsid w:val="00050217"/>
    <w:rsid w:val="00051738"/>
    <w:rsid w:val="000538EC"/>
    <w:rsid w:val="00053D95"/>
    <w:rsid w:val="00062FA5"/>
    <w:rsid w:val="0006398A"/>
    <w:rsid w:val="0006445B"/>
    <w:rsid w:val="000678F8"/>
    <w:rsid w:val="000715A7"/>
    <w:rsid w:val="0007346B"/>
    <w:rsid w:val="0008691A"/>
    <w:rsid w:val="000A2271"/>
    <w:rsid w:val="000A52BB"/>
    <w:rsid w:val="000A69AE"/>
    <w:rsid w:val="000A6CF7"/>
    <w:rsid w:val="000A7A06"/>
    <w:rsid w:val="000B4BB3"/>
    <w:rsid w:val="000C1B54"/>
    <w:rsid w:val="000C4618"/>
    <w:rsid w:val="000C499D"/>
    <w:rsid w:val="000C6626"/>
    <w:rsid w:val="000C6C63"/>
    <w:rsid w:val="000C7ED4"/>
    <w:rsid w:val="000D1FF2"/>
    <w:rsid w:val="000D2B4A"/>
    <w:rsid w:val="000D4B41"/>
    <w:rsid w:val="000D4B68"/>
    <w:rsid w:val="000D6F39"/>
    <w:rsid w:val="000E16EC"/>
    <w:rsid w:val="000E278B"/>
    <w:rsid w:val="000E621A"/>
    <w:rsid w:val="000E6BC2"/>
    <w:rsid w:val="000F095D"/>
    <w:rsid w:val="000F155E"/>
    <w:rsid w:val="000F4C22"/>
    <w:rsid w:val="000F60F6"/>
    <w:rsid w:val="000F6C15"/>
    <w:rsid w:val="0010367F"/>
    <w:rsid w:val="00103ECB"/>
    <w:rsid w:val="0011113B"/>
    <w:rsid w:val="00112F52"/>
    <w:rsid w:val="00114211"/>
    <w:rsid w:val="00114231"/>
    <w:rsid w:val="001156EA"/>
    <w:rsid w:val="00125F45"/>
    <w:rsid w:val="00127581"/>
    <w:rsid w:val="00127682"/>
    <w:rsid w:val="00127733"/>
    <w:rsid w:val="00134578"/>
    <w:rsid w:val="00134AAF"/>
    <w:rsid w:val="00140D65"/>
    <w:rsid w:val="0014310A"/>
    <w:rsid w:val="00153C87"/>
    <w:rsid w:val="0015696A"/>
    <w:rsid w:val="0016290F"/>
    <w:rsid w:val="00164E29"/>
    <w:rsid w:val="001657A0"/>
    <w:rsid w:val="00167EE0"/>
    <w:rsid w:val="001714E6"/>
    <w:rsid w:val="00171BE4"/>
    <w:rsid w:val="00171F78"/>
    <w:rsid w:val="0017557A"/>
    <w:rsid w:val="00180BD8"/>
    <w:rsid w:val="00181501"/>
    <w:rsid w:val="00185A69"/>
    <w:rsid w:val="00185D7F"/>
    <w:rsid w:val="00190513"/>
    <w:rsid w:val="00193413"/>
    <w:rsid w:val="00193CA6"/>
    <w:rsid w:val="001978B3"/>
    <w:rsid w:val="001A1218"/>
    <w:rsid w:val="001A56F0"/>
    <w:rsid w:val="001B5EC8"/>
    <w:rsid w:val="001B64E8"/>
    <w:rsid w:val="001C201D"/>
    <w:rsid w:val="001D40BB"/>
    <w:rsid w:val="001D418B"/>
    <w:rsid w:val="001D471D"/>
    <w:rsid w:val="001E1722"/>
    <w:rsid w:val="001E18A5"/>
    <w:rsid w:val="00201588"/>
    <w:rsid w:val="00201637"/>
    <w:rsid w:val="00213846"/>
    <w:rsid w:val="00217EB3"/>
    <w:rsid w:val="00221917"/>
    <w:rsid w:val="0022212D"/>
    <w:rsid w:val="00224662"/>
    <w:rsid w:val="00224993"/>
    <w:rsid w:val="00225A1E"/>
    <w:rsid w:val="00226B71"/>
    <w:rsid w:val="0022700D"/>
    <w:rsid w:val="002347F5"/>
    <w:rsid w:val="0023589C"/>
    <w:rsid w:val="002368F0"/>
    <w:rsid w:val="00240D0B"/>
    <w:rsid w:val="002429D6"/>
    <w:rsid w:val="00250987"/>
    <w:rsid w:val="0025180D"/>
    <w:rsid w:val="00251CAC"/>
    <w:rsid w:val="002536B4"/>
    <w:rsid w:val="0025393C"/>
    <w:rsid w:val="00255704"/>
    <w:rsid w:val="00255D98"/>
    <w:rsid w:val="00255E0C"/>
    <w:rsid w:val="002607A4"/>
    <w:rsid w:val="0026190B"/>
    <w:rsid w:val="002658F4"/>
    <w:rsid w:val="002666A8"/>
    <w:rsid w:val="00271F77"/>
    <w:rsid w:val="00272068"/>
    <w:rsid w:val="0027660A"/>
    <w:rsid w:val="00276DEE"/>
    <w:rsid w:val="00280510"/>
    <w:rsid w:val="002815B4"/>
    <w:rsid w:val="00282DB0"/>
    <w:rsid w:val="00284C38"/>
    <w:rsid w:val="00286A04"/>
    <w:rsid w:val="002877D3"/>
    <w:rsid w:val="00292ABD"/>
    <w:rsid w:val="00294D15"/>
    <w:rsid w:val="00294E4C"/>
    <w:rsid w:val="00295346"/>
    <w:rsid w:val="002A2C15"/>
    <w:rsid w:val="002A3C45"/>
    <w:rsid w:val="002A6675"/>
    <w:rsid w:val="002B11C0"/>
    <w:rsid w:val="002B3BA0"/>
    <w:rsid w:val="002B5A4E"/>
    <w:rsid w:val="002B7519"/>
    <w:rsid w:val="002C52C6"/>
    <w:rsid w:val="002C5690"/>
    <w:rsid w:val="002C6E82"/>
    <w:rsid w:val="002D046B"/>
    <w:rsid w:val="002D1F0F"/>
    <w:rsid w:val="002D2EEF"/>
    <w:rsid w:val="002D779A"/>
    <w:rsid w:val="002D7F0A"/>
    <w:rsid w:val="002E6217"/>
    <w:rsid w:val="002F0F88"/>
    <w:rsid w:val="002F4287"/>
    <w:rsid w:val="002F4E1C"/>
    <w:rsid w:val="00304680"/>
    <w:rsid w:val="003055CD"/>
    <w:rsid w:val="00306181"/>
    <w:rsid w:val="003101A7"/>
    <w:rsid w:val="0031190E"/>
    <w:rsid w:val="003145C1"/>
    <w:rsid w:val="003163B9"/>
    <w:rsid w:val="00323D06"/>
    <w:rsid w:val="00325B77"/>
    <w:rsid w:val="003266A2"/>
    <w:rsid w:val="00326CD8"/>
    <w:rsid w:val="00326F48"/>
    <w:rsid w:val="0033454D"/>
    <w:rsid w:val="00346182"/>
    <w:rsid w:val="00346C9D"/>
    <w:rsid w:val="00346D09"/>
    <w:rsid w:val="00346F6C"/>
    <w:rsid w:val="00347714"/>
    <w:rsid w:val="00367876"/>
    <w:rsid w:val="00370098"/>
    <w:rsid w:val="003703E6"/>
    <w:rsid w:val="00370E48"/>
    <w:rsid w:val="003718CF"/>
    <w:rsid w:val="00372E52"/>
    <w:rsid w:val="00373503"/>
    <w:rsid w:val="00375FAD"/>
    <w:rsid w:val="0038317F"/>
    <w:rsid w:val="0038466C"/>
    <w:rsid w:val="00384E3E"/>
    <w:rsid w:val="00386D5F"/>
    <w:rsid w:val="00387E02"/>
    <w:rsid w:val="00393338"/>
    <w:rsid w:val="00393F3C"/>
    <w:rsid w:val="003969A3"/>
    <w:rsid w:val="00397033"/>
    <w:rsid w:val="003A1BDF"/>
    <w:rsid w:val="003A6156"/>
    <w:rsid w:val="003B01B0"/>
    <w:rsid w:val="003B3B0E"/>
    <w:rsid w:val="003B605E"/>
    <w:rsid w:val="003B7E47"/>
    <w:rsid w:val="003C1392"/>
    <w:rsid w:val="003C1D4D"/>
    <w:rsid w:val="003D1FB7"/>
    <w:rsid w:val="003D33BF"/>
    <w:rsid w:val="003D7625"/>
    <w:rsid w:val="003E29B5"/>
    <w:rsid w:val="003E2BB6"/>
    <w:rsid w:val="003E5DCC"/>
    <w:rsid w:val="003F3D3D"/>
    <w:rsid w:val="003F4A75"/>
    <w:rsid w:val="004062BB"/>
    <w:rsid w:val="00410C74"/>
    <w:rsid w:val="00414B4D"/>
    <w:rsid w:val="0041761F"/>
    <w:rsid w:val="0042070A"/>
    <w:rsid w:val="0042385D"/>
    <w:rsid w:val="00426179"/>
    <w:rsid w:val="004318E8"/>
    <w:rsid w:val="004367C7"/>
    <w:rsid w:val="0044122D"/>
    <w:rsid w:val="00442BB5"/>
    <w:rsid w:val="00451E9E"/>
    <w:rsid w:val="00452380"/>
    <w:rsid w:val="0045289F"/>
    <w:rsid w:val="004615C4"/>
    <w:rsid w:val="00461AAE"/>
    <w:rsid w:val="00464ABC"/>
    <w:rsid w:val="00466244"/>
    <w:rsid w:val="00467072"/>
    <w:rsid w:val="004701F6"/>
    <w:rsid w:val="0047398F"/>
    <w:rsid w:val="004849AC"/>
    <w:rsid w:val="00486882"/>
    <w:rsid w:val="00487498"/>
    <w:rsid w:val="00493EB4"/>
    <w:rsid w:val="004A0E59"/>
    <w:rsid w:val="004B2B61"/>
    <w:rsid w:val="004B7C88"/>
    <w:rsid w:val="004C58DC"/>
    <w:rsid w:val="004C608E"/>
    <w:rsid w:val="004D05E9"/>
    <w:rsid w:val="004D1AFF"/>
    <w:rsid w:val="004D3FA1"/>
    <w:rsid w:val="004D68D3"/>
    <w:rsid w:val="004D787E"/>
    <w:rsid w:val="004E54CB"/>
    <w:rsid w:val="004E62B2"/>
    <w:rsid w:val="004E65FF"/>
    <w:rsid w:val="005009CC"/>
    <w:rsid w:val="0050439A"/>
    <w:rsid w:val="005060D9"/>
    <w:rsid w:val="0051033A"/>
    <w:rsid w:val="005108C0"/>
    <w:rsid w:val="00511442"/>
    <w:rsid w:val="005162C7"/>
    <w:rsid w:val="00520973"/>
    <w:rsid w:val="0052233C"/>
    <w:rsid w:val="0052529B"/>
    <w:rsid w:val="005257F4"/>
    <w:rsid w:val="00535A85"/>
    <w:rsid w:val="00535B43"/>
    <w:rsid w:val="00535BFC"/>
    <w:rsid w:val="00536AE7"/>
    <w:rsid w:val="0053737C"/>
    <w:rsid w:val="00540DC3"/>
    <w:rsid w:val="00543320"/>
    <w:rsid w:val="0054471C"/>
    <w:rsid w:val="00546A18"/>
    <w:rsid w:val="0055579F"/>
    <w:rsid w:val="00560A11"/>
    <w:rsid w:val="00560CC9"/>
    <w:rsid w:val="0056771D"/>
    <w:rsid w:val="0057060E"/>
    <w:rsid w:val="005711D2"/>
    <w:rsid w:val="00571E6B"/>
    <w:rsid w:val="0057323A"/>
    <w:rsid w:val="0057377D"/>
    <w:rsid w:val="00574E7A"/>
    <w:rsid w:val="00575C00"/>
    <w:rsid w:val="0057654B"/>
    <w:rsid w:val="005858C0"/>
    <w:rsid w:val="00590A17"/>
    <w:rsid w:val="00591773"/>
    <w:rsid w:val="005942F9"/>
    <w:rsid w:val="00594970"/>
    <w:rsid w:val="00596923"/>
    <w:rsid w:val="005A23F9"/>
    <w:rsid w:val="005A33BD"/>
    <w:rsid w:val="005A65EB"/>
    <w:rsid w:val="005A73FB"/>
    <w:rsid w:val="005B0530"/>
    <w:rsid w:val="005B13FB"/>
    <w:rsid w:val="005B3604"/>
    <w:rsid w:val="005B5604"/>
    <w:rsid w:val="005B5C86"/>
    <w:rsid w:val="005C1229"/>
    <w:rsid w:val="005C1EEA"/>
    <w:rsid w:val="005C2413"/>
    <w:rsid w:val="005C36FC"/>
    <w:rsid w:val="005C6A17"/>
    <w:rsid w:val="005C6F21"/>
    <w:rsid w:val="005D2786"/>
    <w:rsid w:val="005D2D6A"/>
    <w:rsid w:val="005D3385"/>
    <w:rsid w:val="005D438C"/>
    <w:rsid w:val="005E0EB8"/>
    <w:rsid w:val="005E3218"/>
    <w:rsid w:val="005E35C3"/>
    <w:rsid w:val="005E69D4"/>
    <w:rsid w:val="005E6A9C"/>
    <w:rsid w:val="005E6BE9"/>
    <w:rsid w:val="005F2505"/>
    <w:rsid w:val="00600EB1"/>
    <w:rsid w:val="006035C6"/>
    <w:rsid w:val="006102F1"/>
    <w:rsid w:val="00612965"/>
    <w:rsid w:val="00626416"/>
    <w:rsid w:val="00640E8F"/>
    <w:rsid w:val="0064147B"/>
    <w:rsid w:val="00643FF0"/>
    <w:rsid w:val="0065401A"/>
    <w:rsid w:val="006542FC"/>
    <w:rsid w:val="006562BC"/>
    <w:rsid w:val="00661138"/>
    <w:rsid w:val="00661287"/>
    <w:rsid w:val="00662E85"/>
    <w:rsid w:val="0066527F"/>
    <w:rsid w:val="006671DB"/>
    <w:rsid w:val="006673D6"/>
    <w:rsid w:val="00676888"/>
    <w:rsid w:val="00676CD8"/>
    <w:rsid w:val="00677E14"/>
    <w:rsid w:val="006801B3"/>
    <w:rsid w:val="00680FB3"/>
    <w:rsid w:val="00681215"/>
    <w:rsid w:val="00690377"/>
    <w:rsid w:val="006935C9"/>
    <w:rsid w:val="006966B3"/>
    <w:rsid w:val="006A0A8C"/>
    <w:rsid w:val="006A3506"/>
    <w:rsid w:val="006A48B9"/>
    <w:rsid w:val="006B76F3"/>
    <w:rsid w:val="006C1D8D"/>
    <w:rsid w:val="006C451F"/>
    <w:rsid w:val="006D1973"/>
    <w:rsid w:val="006D1BC5"/>
    <w:rsid w:val="006D1E25"/>
    <w:rsid w:val="006E007B"/>
    <w:rsid w:val="006E0574"/>
    <w:rsid w:val="006E172A"/>
    <w:rsid w:val="006E409C"/>
    <w:rsid w:val="006E5D65"/>
    <w:rsid w:val="006E7EC4"/>
    <w:rsid w:val="006F3C02"/>
    <w:rsid w:val="006F46FD"/>
    <w:rsid w:val="006F61BD"/>
    <w:rsid w:val="00710149"/>
    <w:rsid w:val="00710625"/>
    <w:rsid w:val="00710C13"/>
    <w:rsid w:val="00711580"/>
    <w:rsid w:val="00712188"/>
    <w:rsid w:val="0071419A"/>
    <w:rsid w:val="0071508F"/>
    <w:rsid w:val="00720526"/>
    <w:rsid w:val="00721CC3"/>
    <w:rsid w:val="007249A8"/>
    <w:rsid w:val="007314F1"/>
    <w:rsid w:val="00731783"/>
    <w:rsid w:val="0073232F"/>
    <w:rsid w:val="007347AA"/>
    <w:rsid w:val="007378A3"/>
    <w:rsid w:val="0074116E"/>
    <w:rsid w:val="007412AD"/>
    <w:rsid w:val="00743B51"/>
    <w:rsid w:val="007447F7"/>
    <w:rsid w:val="007453C8"/>
    <w:rsid w:val="00746177"/>
    <w:rsid w:val="00747BA2"/>
    <w:rsid w:val="0075106C"/>
    <w:rsid w:val="00751081"/>
    <w:rsid w:val="007616DA"/>
    <w:rsid w:val="0076730F"/>
    <w:rsid w:val="007711AD"/>
    <w:rsid w:val="00773212"/>
    <w:rsid w:val="00773E38"/>
    <w:rsid w:val="00777008"/>
    <w:rsid w:val="00783FF0"/>
    <w:rsid w:val="00784798"/>
    <w:rsid w:val="0079549C"/>
    <w:rsid w:val="007966BC"/>
    <w:rsid w:val="007A2A37"/>
    <w:rsid w:val="007A3DAE"/>
    <w:rsid w:val="007A449C"/>
    <w:rsid w:val="007A5D75"/>
    <w:rsid w:val="007B01C6"/>
    <w:rsid w:val="007B036D"/>
    <w:rsid w:val="007B0F38"/>
    <w:rsid w:val="007B133F"/>
    <w:rsid w:val="007B67DB"/>
    <w:rsid w:val="007C1D11"/>
    <w:rsid w:val="007C53D5"/>
    <w:rsid w:val="007C74ED"/>
    <w:rsid w:val="007C7837"/>
    <w:rsid w:val="007D147F"/>
    <w:rsid w:val="007D3955"/>
    <w:rsid w:val="007D6A4D"/>
    <w:rsid w:val="007E2A63"/>
    <w:rsid w:val="007E3CBF"/>
    <w:rsid w:val="007E484C"/>
    <w:rsid w:val="007F047E"/>
    <w:rsid w:val="007F2132"/>
    <w:rsid w:val="007F228C"/>
    <w:rsid w:val="00801569"/>
    <w:rsid w:val="00805710"/>
    <w:rsid w:val="00806794"/>
    <w:rsid w:val="0081320D"/>
    <w:rsid w:val="00814394"/>
    <w:rsid w:val="008154C2"/>
    <w:rsid w:val="00816ED5"/>
    <w:rsid w:val="00830D63"/>
    <w:rsid w:val="0083105E"/>
    <w:rsid w:val="00831187"/>
    <w:rsid w:val="00832126"/>
    <w:rsid w:val="008341AF"/>
    <w:rsid w:val="00841F2A"/>
    <w:rsid w:val="0084252F"/>
    <w:rsid w:val="0084260C"/>
    <w:rsid w:val="00844C89"/>
    <w:rsid w:val="00852384"/>
    <w:rsid w:val="00852E52"/>
    <w:rsid w:val="008700CE"/>
    <w:rsid w:val="00873B43"/>
    <w:rsid w:val="008766A4"/>
    <w:rsid w:val="0087780A"/>
    <w:rsid w:val="00890E5D"/>
    <w:rsid w:val="0089228A"/>
    <w:rsid w:val="00892D06"/>
    <w:rsid w:val="00895870"/>
    <w:rsid w:val="008A0177"/>
    <w:rsid w:val="008A2A3C"/>
    <w:rsid w:val="008A7467"/>
    <w:rsid w:val="008B3810"/>
    <w:rsid w:val="008B606A"/>
    <w:rsid w:val="008C2445"/>
    <w:rsid w:val="008C2FC7"/>
    <w:rsid w:val="008C30B5"/>
    <w:rsid w:val="008C3BBB"/>
    <w:rsid w:val="008C5194"/>
    <w:rsid w:val="008C66D3"/>
    <w:rsid w:val="008C6FA8"/>
    <w:rsid w:val="008D1DEF"/>
    <w:rsid w:val="008D4676"/>
    <w:rsid w:val="008F3719"/>
    <w:rsid w:val="008F408A"/>
    <w:rsid w:val="008F51A2"/>
    <w:rsid w:val="009007E6"/>
    <w:rsid w:val="00900B04"/>
    <w:rsid w:val="00905E97"/>
    <w:rsid w:val="0091155B"/>
    <w:rsid w:val="009125E9"/>
    <w:rsid w:val="009138FD"/>
    <w:rsid w:val="0091694A"/>
    <w:rsid w:val="00932A6C"/>
    <w:rsid w:val="009330BA"/>
    <w:rsid w:val="00933910"/>
    <w:rsid w:val="009351A2"/>
    <w:rsid w:val="009452F9"/>
    <w:rsid w:val="00946BF6"/>
    <w:rsid w:val="00947B13"/>
    <w:rsid w:val="009514BB"/>
    <w:rsid w:val="009521CB"/>
    <w:rsid w:val="009608AE"/>
    <w:rsid w:val="009651B8"/>
    <w:rsid w:val="00965C21"/>
    <w:rsid w:val="00967211"/>
    <w:rsid w:val="00971A6B"/>
    <w:rsid w:val="00971C34"/>
    <w:rsid w:val="009758E2"/>
    <w:rsid w:val="00976D27"/>
    <w:rsid w:val="00980015"/>
    <w:rsid w:val="009822ED"/>
    <w:rsid w:val="009875A0"/>
    <w:rsid w:val="00990D8A"/>
    <w:rsid w:val="00991952"/>
    <w:rsid w:val="0099621C"/>
    <w:rsid w:val="00996DDF"/>
    <w:rsid w:val="009A0059"/>
    <w:rsid w:val="009A0DCE"/>
    <w:rsid w:val="009A1004"/>
    <w:rsid w:val="009A4D57"/>
    <w:rsid w:val="009B512C"/>
    <w:rsid w:val="009B59F8"/>
    <w:rsid w:val="009C239F"/>
    <w:rsid w:val="009C5A41"/>
    <w:rsid w:val="009C5CEC"/>
    <w:rsid w:val="009C7342"/>
    <w:rsid w:val="009D7306"/>
    <w:rsid w:val="009E3561"/>
    <w:rsid w:val="009E47A5"/>
    <w:rsid w:val="009F2302"/>
    <w:rsid w:val="009F4D29"/>
    <w:rsid w:val="009F556D"/>
    <w:rsid w:val="009F5E8A"/>
    <w:rsid w:val="009F60B2"/>
    <w:rsid w:val="009F705B"/>
    <w:rsid w:val="00A00B5F"/>
    <w:rsid w:val="00A047A2"/>
    <w:rsid w:val="00A15E21"/>
    <w:rsid w:val="00A231FE"/>
    <w:rsid w:val="00A256BB"/>
    <w:rsid w:val="00A26243"/>
    <w:rsid w:val="00A27F11"/>
    <w:rsid w:val="00A33B76"/>
    <w:rsid w:val="00A33CDD"/>
    <w:rsid w:val="00A419AA"/>
    <w:rsid w:val="00A456B4"/>
    <w:rsid w:val="00A46D5B"/>
    <w:rsid w:val="00A50A6B"/>
    <w:rsid w:val="00A544AB"/>
    <w:rsid w:val="00A55E5D"/>
    <w:rsid w:val="00A57C9E"/>
    <w:rsid w:val="00A74D6A"/>
    <w:rsid w:val="00A7570B"/>
    <w:rsid w:val="00A76366"/>
    <w:rsid w:val="00A77A8B"/>
    <w:rsid w:val="00A80DC8"/>
    <w:rsid w:val="00A8578C"/>
    <w:rsid w:val="00A87781"/>
    <w:rsid w:val="00A91863"/>
    <w:rsid w:val="00A93004"/>
    <w:rsid w:val="00A9375F"/>
    <w:rsid w:val="00AA3AAF"/>
    <w:rsid w:val="00AB2110"/>
    <w:rsid w:val="00AB33A3"/>
    <w:rsid w:val="00AB492A"/>
    <w:rsid w:val="00AB4D6A"/>
    <w:rsid w:val="00AB6B0A"/>
    <w:rsid w:val="00AC2E70"/>
    <w:rsid w:val="00AC37E9"/>
    <w:rsid w:val="00AC3D3E"/>
    <w:rsid w:val="00AC59F5"/>
    <w:rsid w:val="00AC6034"/>
    <w:rsid w:val="00AC66EE"/>
    <w:rsid w:val="00AD01E3"/>
    <w:rsid w:val="00AD5746"/>
    <w:rsid w:val="00AE2A3A"/>
    <w:rsid w:val="00AE4DE3"/>
    <w:rsid w:val="00AF1EAA"/>
    <w:rsid w:val="00AF3344"/>
    <w:rsid w:val="00AF4B54"/>
    <w:rsid w:val="00AF4F4E"/>
    <w:rsid w:val="00B00B75"/>
    <w:rsid w:val="00B11B4D"/>
    <w:rsid w:val="00B1433B"/>
    <w:rsid w:val="00B15498"/>
    <w:rsid w:val="00B159B8"/>
    <w:rsid w:val="00B24300"/>
    <w:rsid w:val="00B24358"/>
    <w:rsid w:val="00B24F88"/>
    <w:rsid w:val="00B41BA1"/>
    <w:rsid w:val="00B43DAA"/>
    <w:rsid w:val="00B44C27"/>
    <w:rsid w:val="00B5221C"/>
    <w:rsid w:val="00B53051"/>
    <w:rsid w:val="00B54302"/>
    <w:rsid w:val="00B555A8"/>
    <w:rsid w:val="00B56D3B"/>
    <w:rsid w:val="00B62ED3"/>
    <w:rsid w:val="00B81C61"/>
    <w:rsid w:val="00B83BCE"/>
    <w:rsid w:val="00B861E8"/>
    <w:rsid w:val="00B87473"/>
    <w:rsid w:val="00B92D26"/>
    <w:rsid w:val="00B93C69"/>
    <w:rsid w:val="00B95ED5"/>
    <w:rsid w:val="00BA717B"/>
    <w:rsid w:val="00BA7D3B"/>
    <w:rsid w:val="00BB163F"/>
    <w:rsid w:val="00BB4630"/>
    <w:rsid w:val="00BB5002"/>
    <w:rsid w:val="00BC160C"/>
    <w:rsid w:val="00BC18A0"/>
    <w:rsid w:val="00BC38BA"/>
    <w:rsid w:val="00BE0BAD"/>
    <w:rsid w:val="00BE1F11"/>
    <w:rsid w:val="00BE2AD8"/>
    <w:rsid w:val="00BE5D43"/>
    <w:rsid w:val="00BF23FF"/>
    <w:rsid w:val="00BF3245"/>
    <w:rsid w:val="00BF74AE"/>
    <w:rsid w:val="00BF79AB"/>
    <w:rsid w:val="00C052CB"/>
    <w:rsid w:val="00C14014"/>
    <w:rsid w:val="00C1765C"/>
    <w:rsid w:val="00C20806"/>
    <w:rsid w:val="00C23A53"/>
    <w:rsid w:val="00C32896"/>
    <w:rsid w:val="00C33F9B"/>
    <w:rsid w:val="00C40586"/>
    <w:rsid w:val="00C40A52"/>
    <w:rsid w:val="00C424BF"/>
    <w:rsid w:val="00C4628B"/>
    <w:rsid w:val="00C503D0"/>
    <w:rsid w:val="00C54935"/>
    <w:rsid w:val="00C55E02"/>
    <w:rsid w:val="00C56591"/>
    <w:rsid w:val="00C6095A"/>
    <w:rsid w:val="00C619D9"/>
    <w:rsid w:val="00C61C68"/>
    <w:rsid w:val="00C65513"/>
    <w:rsid w:val="00C65658"/>
    <w:rsid w:val="00C6587B"/>
    <w:rsid w:val="00C81A69"/>
    <w:rsid w:val="00C8283F"/>
    <w:rsid w:val="00C91AC2"/>
    <w:rsid w:val="00C941EB"/>
    <w:rsid w:val="00C95B3B"/>
    <w:rsid w:val="00C96775"/>
    <w:rsid w:val="00C96E4E"/>
    <w:rsid w:val="00C97ECE"/>
    <w:rsid w:val="00CA35CD"/>
    <w:rsid w:val="00CB07B8"/>
    <w:rsid w:val="00CB1DFC"/>
    <w:rsid w:val="00CB5B8A"/>
    <w:rsid w:val="00CB638B"/>
    <w:rsid w:val="00CC110E"/>
    <w:rsid w:val="00CC42BE"/>
    <w:rsid w:val="00CD0A90"/>
    <w:rsid w:val="00CD185C"/>
    <w:rsid w:val="00CD40C2"/>
    <w:rsid w:val="00CE21DE"/>
    <w:rsid w:val="00CE75B4"/>
    <w:rsid w:val="00CF171E"/>
    <w:rsid w:val="00CF46D9"/>
    <w:rsid w:val="00CF6D5D"/>
    <w:rsid w:val="00D012F5"/>
    <w:rsid w:val="00D02CBC"/>
    <w:rsid w:val="00D049D0"/>
    <w:rsid w:val="00D151D2"/>
    <w:rsid w:val="00D1767A"/>
    <w:rsid w:val="00D21656"/>
    <w:rsid w:val="00D25BDE"/>
    <w:rsid w:val="00D304B4"/>
    <w:rsid w:val="00D30615"/>
    <w:rsid w:val="00D31299"/>
    <w:rsid w:val="00D3235D"/>
    <w:rsid w:val="00D331E3"/>
    <w:rsid w:val="00D34977"/>
    <w:rsid w:val="00D41443"/>
    <w:rsid w:val="00D46F3D"/>
    <w:rsid w:val="00D526B7"/>
    <w:rsid w:val="00D61099"/>
    <w:rsid w:val="00D621C4"/>
    <w:rsid w:val="00D67890"/>
    <w:rsid w:val="00D71401"/>
    <w:rsid w:val="00D817EF"/>
    <w:rsid w:val="00D84C0F"/>
    <w:rsid w:val="00D86D38"/>
    <w:rsid w:val="00D909DE"/>
    <w:rsid w:val="00D95926"/>
    <w:rsid w:val="00D97966"/>
    <w:rsid w:val="00DB24EA"/>
    <w:rsid w:val="00DB4EEA"/>
    <w:rsid w:val="00DB5D17"/>
    <w:rsid w:val="00DC0199"/>
    <w:rsid w:val="00DC06E5"/>
    <w:rsid w:val="00DC2600"/>
    <w:rsid w:val="00DC2817"/>
    <w:rsid w:val="00DC71D5"/>
    <w:rsid w:val="00DD006D"/>
    <w:rsid w:val="00DD348A"/>
    <w:rsid w:val="00DE2BC3"/>
    <w:rsid w:val="00DE49B9"/>
    <w:rsid w:val="00DE5D91"/>
    <w:rsid w:val="00DE6F96"/>
    <w:rsid w:val="00E054B6"/>
    <w:rsid w:val="00E064A9"/>
    <w:rsid w:val="00E07C02"/>
    <w:rsid w:val="00E31656"/>
    <w:rsid w:val="00E34A48"/>
    <w:rsid w:val="00E35B74"/>
    <w:rsid w:val="00E3648B"/>
    <w:rsid w:val="00E37D75"/>
    <w:rsid w:val="00E40A30"/>
    <w:rsid w:val="00E40CBB"/>
    <w:rsid w:val="00E420AD"/>
    <w:rsid w:val="00E42E39"/>
    <w:rsid w:val="00E4581D"/>
    <w:rsid w:val="00E503A7"/>
    <w:rsid w:val="00E535AD"/>
    <w:rsid w:val="00E53CCF"/>
    <w:rsid w:val="00E5469A"/>
    <w:rsid w:val="00E6107E"/>
    <w:rsid w:val="00E619C0"/>
    <w:rsid w:val="00E74991"/>
    <w:rsid w:val="00E75BA6"/>
    <w:rsid w:val="00E7671F"/>
    <w:rsid w:val="00E8107E"/>
    <w:rsid w:val="00E87244"/>
    <w:rsid w:val="00E900EA"/>
    <w:rsid w:val="00E92FB8"/>
    <w:rsid w:val="00E9591F"/>
    <w:rsid w:val="00E96852"/>
    <w:rsid w:val="00E97B87"/>
    <w:rsid w:val="00EA102A"/>
    <w:rsid w:val="00EA2179"/>
    <w:rsid w:val="00EA29C9"/>
    <w:rsid w:val="00EA2E95"/>
    <w:rsid w:val="00EA5C78"/>
    <w:rsid w:val="00EA6CB1"/>
    <w:rsid w:val="00EB0132"/>
    <w:rsid w:val="00EB4404"/>
    <w:rsid w:val="00EB536B"/>
    <w:rsid w:val="00EB5E17"/>
    <w:rsid w:val="00EB5F65"/>
    <w:rsid w:val="00EC0C6B"/>
    <w:rsid w:val="00EC34C5"/>
    <w:rsid w:val="00EC3709"/>
    <w:rsid w:val="00ED0679"/>
    <w:rsid w:val="00EE3821"/>
    <w:rsid w:val="00EF04D3"/>
    <w:rsid w:val="00EF6A6F"/>
    <w:rsid w:val="00EF6E53"/>
    <w:rsid w:val="00EF7A61"/>
    <w:rsid w:val="00F0053D"/>
    <w:rsid w:val="00F018F9"/>
    <w:rsid w:val="00F03B08"/>
    <w:rsid w:val="00F10321"/>
    <w:rsid w:val="00F14B9C"/>
    <w:rsid w:val="00F16652"/>
    <w:rsid w:val="00F1772F"/>
    <w:rsid w:val="00F21BB7"/>
    <w:rsid w:val="00F23460"/>
    <w:rsid w:val="00F244CA"/>
    <w:rsid w:val="00F2521E"/>
    <w:rsid w:val="00F25397"/>
    <w:rsid w:val="00F332C8"/>
    <w:rsid w:val="00F34B88"/>
    <w:rsid w:val="00F41CF7"/>
    <w:rsid w:val="00F430C9"/>
    <w:rsid w:val="00F436BE"/>
    <w:rsid w:val="00F46A08"/>
    <w:rsid w:val="00F46BAB"/>
    <w:rsid w:val="00F477F4"/>
    <w:rsid w:val="00F47AEC"/>
    <w:rsid w:val="00F521E2"/>
    <w:rsid w:val="00F5267C"/>
    <w:rsid w:val="00F55D69"/>
    <w:rsid w:val="00F629CA"/>
    <w:rsid w:val="00F67E32"/>
    <w:rsid w:val="00F75469"/>
    <w:rsid w:val="00F80723"/>
    <w:rsid w:val="00F8421E"/>
    <w:rsid w:val="00F85408"/>
    <w:rsid w:val="00F85A04"/>
    <w:rsid w:val="00F85A39"/>
    <w:rsid w:val="00F92CCC"/>
    <w:rsid w:val="00F92F84"/>
    <w:rsid w:val="00F94C70"/>
    <w:rsid w:val="00F96F8B"/>
    <w:rsid w:val="00F97B56"/>
    <w:rsid w:val="00FA3AD5"/>
    <w:rsid w:val="00FA6B94"/>
    <w:rsid w:val="00FA7A7F"/>
    <w:rsid w:val="00FA7BD6"/>
    <w:rsid w:val="00FB5118"/>
    <w:rsid w:val="00FB5976"/>
    <w:rsid w:val="00FB5AF8"/>
    <w:rsid w:val="00FC042F"/>
    <w:rsid w:val="00FC0D14"/>
    <w:rsid w:val="00FC3BAE"/>
    <w:rsid w:val="00FC56CB"/>
    <w:rsid w:val="00FC789F"/>
    <w:rsid w:val="00FD4DB1"/>
    <w:rsid w:val="00FD5613"/>
    <w:rsid w:val="00FE09CD"/>
    <w:rsid w:val="00FF0B75"/>
    <w:rsid w:val="00FF1ECA"/>
    <w:rsid w:val="00FF3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A6B31C2"/>
  <w14:defaultImageDpi w14:val="330"/>
  <w15:docId w15:val="{F2A6497C-F35E-457F-A40D-8FF58A7EF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semiHidden/>
    <w:qFormat/>
    <w:rsid w:val="00127682"/>
    <w:pPr>
      <w:spacing w:after="120" w:line="240" w:lineRule="atLeast"/>
    </w:pPr>
    <w:rPr>
      <w:rFonts w:ascii="Arial" w:hAnsi="Arial" w:cs="Arial"/>
      <w:sz w:val="18"/>
      <w:szCs w:val="18"/>
      <w:lang w:val="en-AU"/>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7A5D75"/>
    <w:pPr>
      <w:keepNext/>
      <w:keepLines/>
      <w:spacing w:before="40" w:after="0"/>
      <w:outlineLvl w:val="3"/>
    </w:pPr>
    <w:rPr>
      <w:rFonts w:asciiTheme="majorHAnsi" w:eastAsiaTheme="majorEastAsia" w:hAnsiTheme="majorHAnsi" w:cstheme="majorBidi"/>
      <w:i/>
      <w:iCs/>
      <w:color w:val="821D23" w:themeColor="accent1" w:themeShade="BF"/>
    </w:rPr>
  </w:style>
  <w:style w:type="paragraph" w:styleId="Heading5">
    <w:name w:val="heading 5"/>
    <w:basedOn w:val="Normal"/>
    <w:next w:val="Normal"/>
    <w:link w:val="Heading5Char"/>
    <w:uiPriority w:val="9"/>
    <w:semiHidden/>
    <w:unhideWhenUsed/>
    <w:qFormat/>
    <w:locked/>
    <w:rsid w:val="007A5D75"/>
    <w:pPr>
      <w:keepNext/>
      <w:keepLines/>
      <w:spacing w:before="40" w:after="0"/>
      <w:outlineLvl w:val="4"/>
    </w:pPr>
    <w:rPr>
      <w:rFonts w:asciiTheme="majorHAnsi" w:eastAsiaTheme="majorEastAsia" w:hAnsiTheme="majorHAnsi" w:cstheme="majorBidi"/>
      <w:color w:val="821D2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F25397"/>
    <w:pPr>
      <w:pBdr>
        <w:top w:val="single" w:sz="4" w:space="1" w:color="AF272F" w:themeColor="accent1"/>
      </w:pBdr>
      <w:tabs>
        <w:tab w:val="left" w:pos="426"/>
      </w:tabs>
      <w:spacing w:before="360" w:line="240" w:lineRule="auto"/>
      <w:ind w:right="567"/>
    </w:pPr>
    <w:rPr>
      <w:rFonts w:cs="Arial"/>
      <w:sz w:val="28"/>
    </w:rPr>
  </w:style>
  <w:style w:type="paragraph" w:styleId="Quote">
    <w:name w:val="Quote"/>
    <w:basedOn w:val="Normal"/>
    <w:next w:val="Normal"/>
    <w:link w:val="QuoteChar"/>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821D23" w:themeColor="accent1" w:themeShade="BF"/>
      <w:sz w:val="32"/>
      <w:szCs w:val="32"/>
    </w:rPr>
  </w:style>
  <w:style w:type="paragraph" w:customStyle="1" w:styleId="ESHeading3">
    <w:name w:val="ES_Heading 3"/>
    <w:basedOn w:val="Heading3"/>
    <w:qFormat/>
    <w:rsid w:val="00D049D0"/>
  </w:style>
  <w:style w:type="paragraph" w:customStyle="1" w:styleId="ESBodyText">
    <w:name w:val="ES_Body Text"/>
    <w:basedOn w:val="Normal"/>
    <w:qFormat/>
    <w:rsid w:val="00F25397"/>
    <w:pPr>
      <w:spacing w:after="80"/>
    </w:pPr>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2"/>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2"/>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2"/>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2"/>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2"/>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2"/>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2"/>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2"/>
      </w:numPr>
      <w:spacing w:after="0"/>
      <w:contextualSpacing/>
      <w:outlineLvl w:val="8"/>
    </w:pPr>
  </w:style>
  <w:style w:type="character" w:customStyle="1" w:styleId="WHITE">
    <w:name w:val="WHITE"/>
    <w:basedOn w:val="DefaultParagraphFont"/>
    <w:uiPriority w:val="1"/>
    <w:qFormat/>
    <w:rsid w:val="000F4C22"/>
    <w:rPr>
      <w:color w:val="D9D9D6"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91155B"/>
    <w:pPr>
      <w:tabs>
        <w:tab w:val="left" w:pos="540"/>
        <w:tab w:val="right" w:leader="dot" w:pos="9346"/>
      </w:tabs>
      <w:spacing w:after="100"/>
    </w:pPr>
    <w:rPr>
      <w:b/>
      <w:color w:val="AF272F"/>
    </w:rPr>
  </w:style>
  <w:style w:type="paragraph" w:styleId="TOC2">
    <w:name w:val="toc 2"/>
    <w:basedOn w:val="Normal"/>
    <w:next w:val="Normal"/>
    <w:autoRedefine/>
    <w:uiPriority w:val="39"/>
    <w:unhideWhenUsed/>
    <w:locked/>
    <w:rsid w:val="0091155B"/>
    <w:pPr>
      <w:tabs>
        <w:tab w:val="right" w:leader="dot" w:pos="9346"/>
      </w:tabs>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BulletsinTable">
    <w:name w:val="ES_Bullets in Table"/>
    <w:basedOn w:val="ListParagraph"/>
    <w:qFormat/>
    <w:rsid w:val="00226B71"/>
    <w:pPr>
      <w:numPr>
        <w:numId w:val="3"/>
      </w:numPr>
      <w:spacing w:after="80" w:line="240" w:lineRule="auto"/>
    </w:pPr>
    <w:rPr>
      <w:rFonts w:eastAsia="Arial" w:cs="Times New Roman"/>
      <w:szCs w:val="22"/>
    </w:rPr>
  </w:style>
  <w:style w:type="paragraph" w:customStyle="1" w:styleId="ESBulletsinTableLevel2">
    <w:name w:val="ES_Bullets in Table Level 2"/>
    <w:basedOn w:val="ListParagraph"/>
    <w:qFormat/>
    <w:rsid w:val="00226B71"/>
    <w:pPr>
      <w:numPr>
        <w:ilvl w:val="1"/>
        <w:numId w:val="3"/>
      </w:numPr>
      <w:spacing w:after="80" w:line="240" w:lineRule="auto"/>
    </w:pPr>
    <w:rPr>
      <w:rFonts w:eastAsia="Arial" w:cs="Times New Roman"/>
      <w:szCs w:val="22"/>
    </w:rPr>
  </w:style>
  <w:style w:type="paragraph" w:customStyle="1" w:styleId="ESWhiteTableHeading">
    <w:name w:val="ES_White Table Heading"/>
    <w:basedOn w:val="Normal"/>
    <w:qFormat/>
    <w:rsid w:val="00F85A39"/>
    <w:rPr>
      <w:rFonts w:eastAsia="Arial"/>
      <w:b/>
      <w:color w:val="FFFFFF" w:themeColor="background1"/>
      <w:sz w:val="20"/>
      <w:szCs w:val="20"/>
    </w:rPr>
  </w:style>
  <w:style w:type="paragraph" w:customStyle="1" w:styleId="ReportTitle">
    <w:name w:val="Report Title"/>
    <w:basedOn w:val="Normal"/>
    <w:rsid w:val="008C30B5"/>
    <w:pPr>
      <w:spacing w:after="35" w:line="480" w:lineRule="exact"/>
    </w:pPr>
    <w:rPr>
      <w:rFonts w:eastAsia="Times New Roman" w:cs="Times New Roman"/>
      <w:color w:val="D2000B"/>
      <w:spacing w:val="-12"/>
      <w:sz w:val="46"/>
      <w:szCs w:val="46"/>
    </w:rPr>
  </w:style>
  <w:style w:type="paragraph" w:styleId="BalloonText">
    <w:name w:val="Balloon Text"/>
    <w:basedOn w:val="Normal"/>
    <w:link w:val="BalloonTextChar"/>
    <w:uiPriority w:val="99"/>
    <w:semiHidden/>
    <w:unhideWhenUsed/>
    <w:locked/>
    <w:rsid w:val="008C3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0B5"/>
    <w:rPr>
      <w:rFonts w:ascii="Tahoma" w:hAnsi="Tahoma" w:cs="Tahoma"/>
      <w:sz w:val="16"/>
      <w:szCs w:val="16"/>
    </w:rPr>
  </w:style>
  <w:style w:type="paragraph" w:customStyle="1" w:styleId="CopyrightDetails">
    <w:name w:val="Copyright Details"/>
    <w:basedOn w:val="Normal"/>
    <w:rsid w:val="008C30B5"/>
    <w:pPr>
      <w:spacing w:after="0" w:line="180" w:lineRule="atLeast"/>
    </w:pPr>
    <w:rPr>
      <w:rFonts w:eastAsia="Times New Roman" w:cs="Times New Roman"/>
      <w:color w:val="747378"/>
      <w:sz w:val="14"/>
      <w:szCs w:val="14"/>
    </w:rPr>
  </w:style>
  <w:style w:type="character" w:styleId="Hyperlink">
    <w:name w:val="Hyperlink"/>
    <w:basedOn w:val="DefaultParagraphFont"/>
    <w:locked/>
    <w:rsid w:val="008C30B5"/>
    <w:rPr>
      <w:color w:val="0000FF"/>
      <w:u w:val="single"/>
    </w:rPr>
  </w:style>
  <w:style w:type="paragraph" w:styleId="ListBullet">
    <w:name w:val="List Bullet"/>
    <w:basedOn w:val="Normal"/>
    <w:locked/>
    <w:rsid w:val="008C30B5"/>
    <w:pPr>
      <w:numPr>
        <w:numId w:val="4"/>
      </w:numPr>
      <w:spacing w:after="95" w:line="245" w:lineRule="atLeast"/>
    </w:pPr>
    <w:rPr>
      <w:rFonts w:eastAsia="Times New Roman" w:cs="Times New Roman"/>
      <w:color w:val="747378"/>
      <w:szCs w:val="24"/>
    </w:rPr>
  </w:style>
  <w:style w:type="paragraph" w:customStyle="1" w:styleId="TablePhoto">
    <w:name w:val="Table Photo"/>
    <w:basedOn w:val="Normal"/>
    <w:rsid w:val="008C30B5"/>
    <w:pPr>
      <w:spacing w:after="0" w:line="240" w:lineRule="auto"/>
    </w:pPr>
    <w:rPr>
      <w:rFonts w:eastAsia="Times New Roman" w:cs="Times New Roman"/>
      <w:color w:val="747378"/>
      <w:szCs w:val="24"/>
    </w:rPr>
  </w:style>
  <w:style w:type="paragraph" w:styleId="ListBullet2">
    <w:name w:val="List Bullet 2"/>
    <w:basedOn w:val="Normal"/>
    <w:uiPriority w:val="99"/>
    <w:semiHidden/>
    <w:unhideWhenUsed/>
    <w:locked/>
    <w:rsid w:val="005C2413"/>
    <w:pPr>
      <w:numPr>
        <w:numId w:val="1"/>
      </w:numPr>
      <w:contextualSpacing/>
    </w:pPr>
  </w:style>
  <w:style w:type="character" w:styleId="FollowedHyperlink">
    <w:name w:val="FollowedHyperlink"/>
    <w:basedOn w:val="DefaultParagraphFont"/>
    <w:uiPriority w:val="99"/>
    <w:semiHidden/>
    <w:unhideWhenUsed/>
    <w:locked/>
    <w:rsid w:val="00EB4404"/>
    <w:rPr>
      <w:color w:val="87189D" w:themeColor="followedHyperlink"/>
      <w:u w:val="single"/>
    </w:rPr>
  </w:style>
  <w:style w:type="character" w:styleId="CommentReference">
    <w:name w:val="annotation reference"/>
    <w:basedOn w:val="DefaultParagraphFont"/>
    <w:semiHidden/>
    <w:unhideWhenUsed/>
    <w:locked/>
    <w:rsid w:val="00F430C9"/>
    <w:rPr>
      <w:sz w:val="16"/>
      <w:szCs w:val="16"/>
    </w:rPr>
  </w:style>
  <w:style w:type="paragraph" w:styleId="CommentText">
    <w:name w:val="annotation text"/>
    <w:basedOn w:val="Normal"/>
    <w:link w:val="CommentTextChar"/>
    <w:unhideWhenUsed/>
    <w:locked/>
    <w:rsid w:val="00F430C9"/>
    <w:pPr>
      <w:spacing w:line="240" w:lineRule="auto"/>
    </w:pPr>
    <w:rPr>
      <w:sz w:val="20"/>
      <w:szCs w:val="20"/>
    </w:rPr>
  </w:style>
  <w:style w:type="character" w:customStyle="1" w:styleId="CommentTextChar">
    <w:name w:val="Comment Text Char"/>
    <w:basedOn w:val="DefaultParagraphFont"/>
    <w:link w:val="CommentText"/>
    <w:rsid w:val="00F430C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locked/>
    <w:rsid w:val="00F430C9"/>
    <w:rPr>
      <w:b/>
      <w:bCs/>
    </w:rPr>
  </w:style>
  <w:style w:type="character" w:customStyle="1" w:styleId="CommentSubjectChar">
    <w:name w:val="Comment Subject Char"/>
    <w:basedOn w:val="CommentTextChar"/>
    <w:link w:val="CommentSubject"/>
    <w:uiPriority w:val="99"/>
    <w:semiHidden/>
    <w:rsid w:val="00F430C9"/>
    <w:rPr>
      <w:rFonts w:ascii="Arial" w:hAnsi="Arial" w:cs="Arial"/>
      <w:b/>
      <w:bCs/>
      <w:sz w:val="20"/>
      <w:szCs w:val="20"/>
    </w:rPr>
  </w:style>
  <w:style w:type="paragraph" w:customStyle="1" w:styleId="Default">
    <w:name w:val="Default"/>
    <w:rsid w:val="009C5CEC"/>
    <w:pPr>
      <w:autoSpaceDE w:val="0"/>
      <w:autoSpaceDN w:val="0"/>
      <w:adjustRightInd w:val="0"/>
    </w:pPr>
    <w:rPr>
      <w:rFonts w:ascii="Museo Sans 100" w:hAnsi="Museo Sans 100" w:cs="Museo Sans 100"/>
      <w:color w:val="000000"/>
      <w:lang w:val="en-AU"/>
    </w:rPr>
  </w:style>
  <w:style w:type="paragraph" w:styleId="BodyTextIndent">
    <w:name w:val="Body Text Indent"/>
    <w:basedOn w:val="Normal"/>
    <w:link w:val="BodyTextIndentChar"/>
    <w:uiPriority w:val="99"/>
    <w:unhideWhenUsed/>
    <w:locked/>
    <w:rsid w:val="001A56F0"/>
    <w:pPr>
      <w:numPr>
        <w:numId w:val="5"/>
      </w:numPr>
      <w:tabs>
        <w:tab w:val="left" w:pos="284"/>
      </w:tabs>
      <w:spacing w:before="60" w:line="240" w:lineRule="exact"/>
    </w:pPr>
    <w:rPr>
      <w:rFonts w:eastAsia="Cambria" w:cs="Times New Roman"/>
      <w:sz w:val="20"/>
      <w:szCs w:val="24"/>
    </w:rPr>
  </w:style>
  <w:style w:type="character" w:customStyle="1" w:styleId="BodyTextIndentChar">
    <w:name w:val="Body Text Indent Char"/>
    <w:basedOn w:val="DefaultParagraphFont"/>
    <w:link w:val="BodyTextIndent"/>
    <w:uiPriority w:val="99"/>
    <w:rsid w:val="001A56F0"/>
    <w:rPr>
      <w:rFonts w:ascii="Arial" w:eastAsia="Cambria" w:hAnsi="Arial" w:cs="Times New Roman"/>
      <w:sz w:val="20"/>
      <w:lang w:val="en-AU"/>
    </w:rPr>
  </w:style>
  <w:style w:type="paragraph" w:styleId="Revision">
    <w:name w:val="Revision"/>
    <w:hidden/>
    <w:uiPriority w:val="99"/>
    <w:semiHidden/>
    <w:rsid w:val="005D3385"/>
    <w:rPr>
      <w:rFonts w:ascii="Arial" w:hAnsi="Arial" w:cs="Arial"/>
      <w:sz w:val="18"/>
      <w:szCs w:val="18"/>
    </w:rPr>
  </w:style>
  <w:style w:type="paragraph" w:styleId="BodyText">
    <w:name w:val="Body Text"/>
    <w:basedOn w:val="Normal"/>
    <w:link w:val="BodyTextChar"/>
    <w:uiPriority w:val="99"/>
    <w:semiHidden/>
    <w:unhideWhenUsed/>
    <w:locked/>
    <w:rsid w:val="00C81A69"/>
  </w:style>
  <w:style w:type="character" w:customStyle="1" w:styleId="BodyTextChar">
    <w:name w:val="Body Text Char"/>
    <w:basedOn w:val="DefaultParagraphFont"/>
    <w:link w:val="BodyText"/>
    <w:uiPriority w:val="99"/>
    <w:semiHidden/>
    <w:rsid w:val="00C81A69"/>
    <w:rPr>
      <w:rFonts w:ascii="Arial" w:hAnsi="Arial" w:cs="Arial"/>
      <w:sz w:val="18"/>
      <w:szCs w:val="18"/>
    </w:rPr>
  </w:style>
  <w:style w:type="paragraph" w:customStyle="1" w:styleId="Coversubtitle">
    <w:name w:val="Cover subtitle"/>
    <w:basedOn w:val="Normal"/>
    <w:qFormat/>
    <w:rsid w:val="004D1AFF"/>
    <w:pPr>
      <w:spacing w:after="180" w:line="240" w:lineRule="auto"/>
    </w:pPr>
    <w:rPr>
      <w:rFonts w:asciiTheme="minorHAnsi" w:eastAsiaTheme="minorHAnsi" w:hAnsiTheme="minorHAnsi" w:cstheme="minorBidi"/>
      <w:color w:val="53565A" w:themeColor="text2"/>
      <w:sz w:val="36"/>
      <w:szCs w:val="24"/>
    </w:rPr>
  </w:style>
  <w:style w:type="paragraph" w:styleId="NormalWeb">
    <w:name w:val="Normal (Web)"/>
    <w:basedOn w:val="Normal"/>
    <w:uiPriority w:val="99"/>
    <w:unhideWhenUsed/>
    <w:locked/>
    <w:rsid w:val="00FC3BAE"/>
    <w:pPr>
      <w:spacing w:after="150" w:line="240" w:lineRule="auto"/>
    </w:pPr>
    <w:rPr>
      <w:rFonts w:ascii="Times New Roman" w:eastAsia="Times New Roman" w:hAnsi="Times New Roman" w:cs="Times New Roman"/>
      <w:sz w:val="24"/>
      <w:szCs w:val="24"/>
      <w:lang w:eastAsia="en-AU"/>
    </w:rPr>
  </w:style>
  <w:style w:type="character" w:customStyle="1" w:styleId="support-exclamation3">
    <w:name w:val="support-exclamation3"/>
    <w:basedOn w:val="DefaultParagraphFont"/>
    <w:rsid w:val="00FC3BAE"/>
  </w:style>
  <w:style w:type="paragraph" w:customStyle="1" w:styleId="DHSBodyText">
    <w:name w:val="DHS Body Text"/>
    <w:basedOn w:val="Normal"/>
    <w:rsid w:val="007A5D75"/>
    <w:pPr>
      <w:spacing w:after="0" w:line="240" w:lineRule="exact"/>
    </w:pPr>
    <w:rPr>
      <w:rFonts w:ascii="Verdana" w:eastAsia="Times New Roman" w:hAnsi="Verdana" w:cs="Times New Roman"/>
      <w:sz w:val="20"/>
      <w:szCs w:val="20"/>
    </w:rPr>
  </w:style>
  <w:style w:type="paragraph" w:customStyle="1" w:styleId="DHSReportHd2">
    <w:name w:val="DHS Report Hd 2"/>
    <w:basedOn w:val="Normal"/>
    <w:next w:val="Normal"/>
    <w:rsid w:val="007A5D75"/>
    <w:pPr>
      <w:spacing w:after="0" w:line="240" w:lineRule="auto"/>
    </w:pPr>
    <w:rPr>
      <w:rFonts w:ascii="Verdana" w:eastAsia="Times New Roman" w:hAnsi="Verdana" w:cs="Times New Roman"/>
      <w:b/>
      <w:sz w:val="24"/>
      <w:szCs w:val="20"/>
    </w:rPr>
  </w:style>
  <w:style w:type="character" w:customStyle="1" w:styleId="Heading4Char">
    <w:name w:val="Heading 4 Char"/>
    <w:basedOn w:val="DefaultParagraphFont"/>
    <w:link w:val="Heading4"/>
    <w:uiPriority w:val="9"/>
    <w:semiHidden/>
    <w:rsid w:val="007A5D75"/>
    <w:rPr>
      <w:rFonts w:asciiTheme="majorHAnsi" w:eastAsiaTheme="majorEastAsia" w:hAnsiTheme="majorHAnsi" w:cstheme="majorBidi"/>
      <w:i/>
      <w:iCs/>
      <w:color w:val="821D23" w:themeColor="accent1" w:themeShade="BF"/>
      <w:sz w:val="18"/>
      <w:szCs w:val="18"/>
      <w:lang w:val="en-AU"/>
    </w:rPr>
  </w:style>
  <w:style w:type="character" w:customStyle="1" w:styleId="Heading5Char">
    <w:name w:val="Heading 5 Char"/>
    <w:basedOn w:val="DefaultParagraphFont"/>
    <w:link w:val="Heading5"/>
    <w:uiPriority w:val="9"/>
    <w:semiHidden/>
    <w:rsid w:val="007A5D75"/>
    <w:rPr>
      <w:rFonts w:asciiTheme="majorHAnsi" w:eastAsiaTheme="majorEastAsia" w:hAnsiTheme="majorHAnsi" w:cstheme="majorBidi"/>
      <w:color w:val="821D23" w:themeColor="accent1" w:themeShade="BF"/>
      <w:sz w:val="18"/>
      <w:szCs w:val="18"/>
      <w:lang w:val="en-AU"/>
    </w:rPr>
  </w:style>
  <w:style w:type="table" w:styleId="GridTable1Light-Accent2">
    <w:name w:val="Grid Table 1 Light Accent 2"/>
    <w:basedOn w:val="TableNormal"/>
    <w:uiPriority w:val="46"/>
    <w:rsid w:val="007F228C"/>
    <w:tblPr>
      <w:tblStyleRowBandSize w:val="1"/>
      <w:tblStyleColBandSize w:val="1"/>
      <w:tblBorders>
        <w:top w:val="single" w:sz="4" w:space="0" w:color="E4D4E9" w:themeColor="accent2" w:themeTint="66"/>
        <w:left w:val="single" w:sz="4" w:space="0" w:color="E4D4E9" w:themeColor="accent2" w:themeTint="66"/>
        <w:bottom w:val="single" w:sz="4" w:space="0" w:color="E4D4E9" w:themeColor="accent2" w:themeTint="66"/>
        <w:right w:val="single" w:sz="4" w:space="0" w:color="E4D4E9" w:themeColor="accent2" w:themeTint="66"/>
        <w:insideH w:val="single" w:sz="4" w:space="0" w:color="E4D4E9" w:themeColor="accent2" w:themeTint="66"/>
        <w:insideV w:val="single" w:sz="4" w:space="0" w:color="E4D4E9" w:themeColor="accent2" w:themeTint="66"/>
      </w:tblBorders>
    </w:tblPr>
    <w:tblStylePr w:type="firstRow">
      <w:rPr>
        <w:b/>
        <w:bCs/>
      </w:rPr>
      <w:tblPr/>
      <w:tcPr>
        <w:tcBorders>
          <w:bottom w:val="single" w:sz="12" w:space="0" w:color="D6BFDE" w:themeColor="accent2" w:themeTint="99"/>
        </w:tcBorders>
      </w:tcPr>
    </w:tblStylePr>
    <w:tblStylePr w:type="lastRow">
      <w:rPr>
        <w:b/>
        <w:bCs/>
      </w:rPr>
      <w:tblPr/>
      <w:tcPr>
        <w:tcBorders>
          <w:top w:val="double" w:sz="2" w:space="0" w:color="D6BFDE" w:themeColor="accent2" w:themeTint="99"/>
        </w:tcBorders>
      </w:tcPr>
    </w:tblStylePr>
    <w:tblStylePr w:type="firstCol">
      <w:rPr>
        <w:b/>
        <w:bCs/>
      </w:rPr>
    </w:tblStylePr>
    <w:tblStylePr w:type="lastCol">
      <w:rPr>
        <w:b/>
        <w:bCs/>
      </w:rPr>
    </w:tblStylePr>
  </w:style>
  <w:style w:type="table" w:styleId="ListTable4-Accent2">
    <w:name w:val="List Table 4 Accent 2"/>
    <w:basedOn w:val="TableNormal"/>
    <w:uiPriority w:val="49"/>
    <w:rsid w:val="007F228C"/>
    <w:tblPr>
      <w:tblStyleRowBandSize w:val="1"/>
      <w:tblStyleColBandSize w:val="1"/>
      <w:tblBorders>
        <w:top w:val="single" w:sz="4" w:space="0" w:color="D6BFDE" w:themeColor="accent2" w:themeTint="99"/>
        <w:left w:val="single" w:sz="4" w:space="0" w:color="D6BFDE" w:themeColor="accent2" w:themeTint="99"/>
        <w:bottom w:val="single" w:sz="4" w:space="0" w:color="D6BFDE" w:themeColor="accent2" w:themeTint="99"/>
        <w:right w:val="single" w:sz="4" w:space="0" w:color="D6BFDE" w:themeColor="accent2" w:themeTint="99"/>
        <w:insideH w:val="single" w:sz="4" w:space="0" w:color="D6BFDE" w:themeColor="accent2" w:themeTint="99"/>
      </w:tblBorders>
    </w:tblPr>
    <w:tblStylePr w:type="firstRow">
      <w:rPr>
        <w:b/>
        <w:bCs/>
        <w:color w:val="FFFFFF" w:themeColor="background1"/>
      </w:rPr>
      <w:tblPr/>
      <w:tcPr>
        <w:tcBorders>
          <w:top w:val="single" w:sz="4" w:space="0" w:color="BC95C8" w:themeColor="accent2"/>
          <w:left w:val="single" w:sz="4" w:space="0" w:color="BC95C8" w:themeColor="accent2"/>
          <w:bottom w:val="single" w:sz="4" w:space="0" w:color="BC95C8" w:themeColor="accent2"/>
          <w:right w:val="single" w:sz="4" w:space="0" w:color="BC95C8" w:themeColor="accent2"/>
          <w:insideH w:val="nil"/>
        </w:tcBorders>
        <w:shd w:val="clear" w:color="auto" w:fill="BC95C8" w:themeFill="accent2"/>
      </w:tcPr>
    </w:tblStylePr>
    <w:tblStylePr w:type="lastRow">
      <w:rPr>
        <w:b/>
        <w:bCs/>
      </w:rPr>
      <w:tblPr/>
      <w:tcPr>
        <w:tcBorders>
          <w:top w:val="double" w:sz="4" w:space="0" w:color="D6BFDE" w:themeColor="accent2" w:themeTint="99"/>
        </w:tcBorders>
      </w:tcPr>
    </w:tblStylePr>
    <w:tblStylePr w:type="firstCol">
      <w:rPr>
        <w:b/>
        <w:bCs/>
      </w:rPr>
    </w:tblStylePr>
    <w:tblStylePr w:type="lastCol">
      <w:rPr>
        <w:b/>
        <w:bCs/>
      </w:rPr>
    </w:tblStylePr>
    <w:tblStylePr w:type="band1Vert">
      <w:tblPr/>
      <w:tcPr>
        <w:shd w:val="clear" w:color="auto" w:fill="F1E9F4" w:themeFill="accent2" w:themeFillTint="33"/>
      </w:tcPr>
    </w:tblStylePr>
    <w:tblStylePr w:type="band1Horz">
      <w:tblPr/>
      <w:tcPr>
        <w:shd w:val="clear" w:color="auto" w:fill="F1E9F4" w:themeFill="accent2" w:themeFillTint="33"/>
      </w:tcPr>
    </w:tblStylePr>
  </w:style>
  <w:style w:type="paragraph" w:customStyle="1" w:styleId="Intro">
    <w:name w:val="Intro"/>
    <w:basedOn w:val="Normal"/>
    <w:qFormat/>
    <w:rsid w:val="00B54302"/>
    <w:pPr>
      <w:pBdr>
        <w:top w:val="single" w:sz="4" w:space="1" w:color="AF272F" w:themeColor="accent1"/>
      </w:pBdr>
      <w:spacing w:line="240" w:lineRule="auto"/>
    </w:pPr>
    <w:rPr>
      <w:rFonts w:asciiTheme="minorHAnsi" w:eastAsiaTheme="minorHAnsi" w:hAnsiTheme="minorHAnsi" w:cstheme="minorBidi"/>
      <w:color w:val="AF272F" w:themeColor="accent1"/>
      <w:sz w:val="20"/>
      <w:szCs w:val="24"/>
    </w:rPr>
  </w:style>
  <w:style w:type="character" w:styleId="PageNumber">
    <w:name w:val="page number"/>
    <w:basedOn w:val="DefaultParagraphFont"/>
    <w:uiPriority w:val="99"/>
    <w:semiHidden/>
    <w:unhideWhenUsed/>
    <w:locked/>
    <w:rsid w:val="00B54302"/>
  </w:style>
  <w:style w:type="table" w:styleId="ListTable3-Accent1">
    <w:name w:val="List Table 3 Accent 1"/>
    <w:basedOn w:val="TableNormal"/>
    <w:uiPriority w:val="48"/>
    <w:rsid w:val="002C5690"/>
    <w:tblPr>
      <w:tblStyleRowBandSize w:val="1"/>
      <w:tblStyleColBandSize w:val="1"/>
      <w:tblBorders>
        <w:top w:val="single" w:sz="4" w:space="0" w:color="AF272F" w:themeColor="accent1"/>
        <w:left w:val="single" w:sz="4" w:space="0" w:color="AF272F" w:themeColor="accent1"/>
        <w:bottom w:val="single" w:sz="4" w:space="0" w:color="AF272F" w:themeColor="accent1"/>
        <w:right w:val="single" w:sz="4" w:space="0" w:color="AF272F" w:themeColor="accent1"/>
      </w:tblBorders>
    </w:tblPr>
    <w:tblStylePr w:type="firstRow">
      <w:rPr>
        <w:b/>
        <w:bCs/>
        <w:color w:val="FFFFFF" w:themeColor="background1"/>
      </w:rPr>
      <w:tblPr/>
      <w:tcPr>
        <w:shd w:val="clear" w:color="auto" w:fill="AF272F" w:themeFill="accent1"/>
      </w:tcPr>
    </w:tblStylePr>
    <w:tblStylePr w:type="lastRow">
      <w:rPr>
        <w:b/>
        <w:bCs/>
      </w:rPr>
      <w:tblPr/>
      <w:tcPr>
        <w:tcBorders>
          <w:top w:val="double" w:sz="4" w:space="0" w:color="AF272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272F" w:themeColor="accent1"/>
          <w:right w:val="single" w:sz="4" w:space="0" w:color="AF272F" w:themeColor="accent1"/>
        </w:tcBorders>
      </w:tcPr>
    </w:tblStylePr>
    <w:tblStylePr w:type="band1Horz">
      <w:tblPr/>
      <w:tcPr>
        <w:tcBorders>
          <w:top w:val="single" w:sz="4" w:space="0" w:color="AF272F" w:themeColor="accent1"/>
          <w:bottom w:val="single" w:sz="4" w:space="0" w:color="AF272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272F" w:themeColor="accent1"/>
          <w:left w:val="nil"/>
        </w:tcBorders>
      </w:tcPr>
    </w:tblStylePr>
    <w:tblStylePr w:type="swCell">
      <w:tblPr/>
      <w:tcPr>
        <w:tcBorders>
          <w:top w:val="double" w:sz="4" w:space="0" w:color="AF272F" w:themeColor="accent1"/>
          <w:right w:val="nil"/>
        </w:tcBorders>
      </w:tcPr>
    </w:tblStylePr>
  </w:style>
  <w:style w:type="table" w:styleId="ListTable4-Accent1">
    <w:name w:val="List Table 4 Accent 1"/>
    <w:basedOn w:val="TableNormal"/>
    <w:uiPriority w:val="49"/>
    <w:rsid w:val="001B5EC8"/>
    <w:tblPr>
      <w:tblStyleRowBandSize w:val="1"/>
      <w:tblStyleColBandSize w:val="1"/>
      <w:tblBorders>
        <w:top w:val="single" w:sz="4" w:space="0" w:color="DE6D74" w:themeColor="accent1" w:themeTint="99"/>
        <w:left w:val="single" w:sz="4" w:space="0" w:color="DE6D74" w:themeColor="accent1" w:themeTint="99"/>
        <w:bottom w:val="single" w:sz="4" w:space="0" w:color="DE6D74" w:themeColor="accent1" w:themeTint="99"/>
        <w:right w:val="single" w:sz="4" w:space="0" w:color="DE6D74" w:themeColor="accent1" w:themeTint="99"/>
        <w:insideH w:val="single" w:sz="4" w:space="0" w:color="DE6D74" w:themeColor="accent1" w:themeTint="99"/>
      </w:tblBorders>
    </w:tblPr>
    <w:tblStylePr w:type="firstRow">
      <w:rPr>
        <w:b/>
        <w:bCs/>
        <w:color w:val="FFFFFF" w:themeColor="background1"/>
      </w:rPr>
      <w:tblPr/>
      <w:tcPr>
        <w:tcBorders>
          <w:top w:val="single" w:sz="4" w:space="0" w:color="AF272F" w:themeColor="accent1"/>
          <w:left w:val="single" w:sz="4" w:space="0" w:color="AF272F" w:themeColor="accent1"/>
          <w:bottom w:val="single" w:sz="4" w:space="0" w:color="AF272F" w:themeColor="accent1"/>
          <w:right w:val="single" w:sz="4" w:space="0" w:color="AF272F" w:themeColor="accent1"/>
          <w:insideH w:val="nil"/>
        </w:tcBorders>
        <w:shd w:val="clear" w:color="auto" w:fill="AF272F" w:themeFill="accent1"/>
      </w:tcPr>
    </w:tblStylePr>
    <w:tblStylePr w:type="lastRow">
      <w:rPr>
        <w:b/>
        <w:bCs/>
      </w:rPr>
      <w:tblPr/>
      <w:tcPr>
        <w:tcBorders>
          <w:top w:val="double" w:sz="4" w:space="0" w:color="DE6D74" w:themeColor="accent1" w:themeTint="99"/>
        </w:tcBorders>
      </w:tcPr>
    </w:tblStylePr>
    <w:tblStylePr w:type="firstCol">
      <w:rPr>
        <w:b/>
        <w:bCs/>
      </w:rPr>
    </w:tblStylePr>
    <w:tblStylePr w:type="lastCol">
      <w:rPr>
        <w:b/>
        <w:bCs/>
      </w:rPr>
    </w:tblStylePr>
    <w:tblStylePr w:type="band1Vert">
      <w:tblPr/>
      <w:tcPr>
        <w:shd w:val="clear" w:color="auto" w:fill="F4CED0" w:themeFill="accent1" w:themeFillTint="33"/>
      </w:tcPr>
    </w:tblStylePr>
    <w:tblStylePr w:type="band1Horz">
      <w:tblPr/>
      <w:tcPr>
        <w:shd w:val="clear" w:color="auto" w:fill="F4CED0" w:themeFill="accent1" w:themeFillTint="33"/>
      </w:tcPr>
    </w:tblStylePr>
  </w:style>
  <w:style w:type="table" w:styleId="ListTable6Colorful-Accent1">
    <w:name w:val="List Table 6 Colorful Accent 1"/>
    <w:basedOn w:val="TableNormal"/>
    <w:uiPriority w:val="51"/>
    <w:rsid w:val="00F8421E"/>
    <w:rPr>
      <w:color w:val="821D23" w:themeColor="accent1" w:themeShade="BF"/>
    </w:rPr>
    <w:tblPr>
      <w:tblStyleRowBandSize w:val="1"/>
      <w:tblStyleColBandSize w:val="1"/>
      <w:tblBorders>
        <w:top w:val="single" w:sz="4" w:space="0" w:color="AF272F" w:themeColor="accent1"/>
        <w:bottom w:val="single" w:sz="4" w:space="0" w:color="AF272F" w:themeColor="accent1"/>
      </w:tblBorders>
    </w:tblPr>
    <w:tblStylePr w:type="firstRow">
      <w:rPr>
        <w:b/>
        <w:bCs/>
      </w:rPr>
      <w:tblPr/>
      <w:tcPr>
        <w:tcBorders>
          <w:bottom w:val="single" w:sz="4" w:space="0" w:color="AF272F" w:themeColor="accent1"/>
        </w:tcBorders>
      </w:tcPr>
    </w:tblStylePr>
    <w:tblStylePr w:type="lastRow">
      <w:rPr>
        <w:b/>
        <w:bCs/>
      </w:rPr>
      <w:tblPr/>
      <w:tcPr>
        <w:tcBorders>
          <w:top w:val="double" w:sz="4" w:space="0" w:color="AF272F" w:themeColor="accent1"/>
        </w:tcBorders>
      </w:tcPr>
    </w:tblStylePr>
    <w:tblStylePr w:type="firstCol">
      <w:rPr>
        <w:b/>
        <w:bCs/>
      </w:rPr>
    </w:tblStylePr>
    <w:tblStylePr w:type="lastCol">
      <w:rPr>
        <w:b/>
        <w:bCs/>
      </w:rPr>
    </w:tblStylePr>
    <w:tblStylePr w:type="band1Vert">
      <w:tblPr/>
      <w:tcPr>
        <w:shd w:val="clear" w:color="auto" w:fill="F4CED0" w:themeFill="accent1" w:themeFillTint="33"/>
      </w:tcPr>
    </w:tblStylePr>
    <w:tblStylePr w:type="band1Horz">
      <w:tblPr/>
      <w:tcPr>
        <w:shd w:val="clear" w:color="auto" w:fill="F4CED0" w:themeFill="accent1" w:themeFillTint="33"/>
      </w:tcPr>
    </w:tblStylePr>
  </w:style>
  <w:style w:type="table" w:styleId="MediumShading1-Accent1">
    <w:name w:val="Medium Shading 1 Accent 1"/>
    <w:basedOn w:val="TableNormal"/>
    <w:uiPriority w:val="63"/>
    <w:locked/>
    <w:rsid w:val="00F8421E"/>
    <w:tblPr>
      <w:tblStyleRowBandSize w:val="1"/>
      <w:tblStyleColBandSize w:val="1"/>
      <w:tblBorders>
        <w:top w:val="single" w:sz="8" w:space="0" w:color="D64951" w:themeColor="accent1" w:themeTint="BF"/>
        <w:left w:val="single" w:sz="8" w:space="0" w:color="D64951" w:themeColor="accent1" w:themeTint="BF"/>
        <w:bottom w:val="single" w:sz="8" w:space="0" w:color="D64951" w:themeColor="accent1" w:themeTint="BF"/>
        <w:right w:val="single" w:sz="8" w:space="0" w:color="D64951" w:themeColor="accent1" w:themeTint="BF"/>
        <w:insideH w:val="single" w:sz="8" w:space="0" w:color="D64951" w:themeColor="accent1" w:themeTint="BF"/>
      </w:tblBorders>
    </w:tblPr>
    <w:tblStylePr w:type="firstRow">
      <w:pPr>
        <w:spacing w:before="0" w:after="0" w:line="240" w:lineRule="auto"/>
      </w:pPr>
      <w:rPr>
        <w:b/>
        <w:bCs/>
        <w:color w:val="FFFFFF" w:themeColor="background1"/>
      </w:rPr>
      <w:tblPr/>
      <w:tcPr>
        <w:tcBorders>
          <w:top w:val="single" w:sz="8" w:space="0" w:color="D64951" w:themeColor="accent1" w:themeTint="BF"/>
          <w:left w:val="single" w:sz="8" w:space="0" w:color="D64951" w:themeColor="accent1" w:themeTint="BF"/>
          <w:bottom w:val="single" w:sz="8" w:space="0" w:color="D64951" w:themeColor="accent1" w:themeTint="BF"/>
          <w:right w:val="single" w:sz="8" w:space="0" w:color="D64951" w:themeColor="accent1" w:themeTint="BF"/>
          <w:insideH w:val="nil"/>
          <w:insideV w:val="nil"/>
        </w:tcBorders>
        <w:shd w:val="clear" w:color="auto" w:fill="AF272F" w:themeFill="accent1"/>
      </w:tcPr>
    </w:tblStylePr>
    <w:tblStylePr w:type="lastRow">
      <w:pPr>
        <w:spacing w:before="0" w:after="0" w:line="240" w:lineRule="auto"/>
      </w:pPr>
      <w:rPr>
        <w:b/>
        <w:bCs/>
      </w:rPr>
      <w:tblPr/>
      <w:tcPr>
        <w:tcBorders>
          <w:top w:val="double" w:sz="6" w:space="0" w:color="D64951" w:themeColor="accent1" w:themeTint="BF"/>
          <w:left w:val="single" w:sz="8" w:space="0" w:color="D64951" w:themeColor="accent1" w:themeTint="BF"/>
          <w:bottom w:val="single" w:sz="8" w:space="0" w:color="D64951" w:themeColor="accent1" w:themeTint="BF"/>
          <w:right w:val="single" w:sz="8" w:space="0" w:color="D64951" w:themeColor="accent1" w:themeTint="BF"/>
          <w:insideH w:val="nil"/>
          <w:insideV w:val="nil"/>
        </w:tcBorders>
      </w:tcPr>
    </w:tblStylePr>
    <w:tblStylePr w:type="firstCol">
      <w:rPr>
        <w:b/>
        <w:bCs/>
      </w:rPr>
    </w:tblStylePr>
    <w:tblStylePr w:type="lastCol">
      <w:rPr>
        <w:b/>
        <w:bCs/>
      </w:rPr>
    </w:tblStylePr>
    <w:tblStylePr w:type="band1Vert">
      <w:tblPr/>
      <w:tcPr>
        <w:shd w:val="clear" w:color="auto" w:fill="F1C3C5" w:themeFill="accent1" w:themeFillTint="3F"/>
      </w:tcPr>
    </w:tblStylePr>
    <w:tblStylePr w:type="band1Horz">
      <w:tblPr/>
      <w:tcPr>
        <w:tcBorders>
          <w:insideH w:val="nil"/>
          <w:insideV w:val="nil"/>
        </w:tcBorders>
        <w:shd w:val="clear" w:color="auto" w:fill="F1C3C5" w:themeFill="accent1" w:themeFillTint="3F"/>
      </w:tcPr>
    </w:tblStylePr>
    <w:tblStylePr w:type="band2Horz">
      <w:tblPr/>
      <w:tcPr>
        <w:tcBorders>
          <w:insideH w:val="nil"/>
          <w:insideV w:val="nil"/>
        </w:tcBorders>
      </w:tcPr>
    </w:tblStylePr>
  </w:style>
  <w:style w:type="character" w:customStyle="1" w:styleId="UnresolvedMention">
    <w:name w:val="Unresolved Mention"/>
    <w:basedOn w:val="DefaultParagraphFont"/>
    <w:uiPriority w:val="99"/>
    <w:semiHidden/>
    <w:unhideWhenUsed/>
    <w:rsid w:val="00044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784255">
      <w:bodyDiv w:val="1"/>
      <w:marLeft w:val="0"/>
      <w:marRight w:val="0"/>
      <w:marTop w:val="0"/>
      <w:marBottom w:val="0"/>
      <w:divBdr>
        <w:top w:val="none" w:sz="0" w:space="0" w:color="auto"/>
        <w:left w:val="none" w:sz="0" w:space="0" w:color="auto"/>
        <w:bottom w:val="none" w:sz="0" w:space="0" w:color="auto"/>
        <w:right w:val="none" w:sz="0" w:space="0" w:color="auto"/>
      </w:divBdr>
      <w:divsChild>
        <w:div w:id="1103574831">
          <w:marLeft w:val="0"/>
          <w:marRight w:val="0"/>
          <w:marTop w:val="0"/>
          <w:marBottom w:val="0"/>
          <w:divBdr>
            <w:top w:val="none" w:sz="0" w:space="0" w:color="auto"/>
            <w:left w:val="none" w:sz="0" w:space="0" w:color="auto"/>
            <w:bottom w:val="none" w:sz="0" w:space="0" w:color="auto"/>
            <w:right w:val="none" w:sz="0" w:space="0" w:color="auto"/>
          </w:divBdr>
          <w:divsChild>
            <w:div w:id="1293511949">
              <w:marLeft w:val="0"/>
              <w:marRight w:val="0"/>
              <w:marTop w:val="0"/>
              <w:marBottom w:val="0"/>
              <w:divBdr>
                <w:top w:val="none" w:sz="0" w:space="0" w:color="auto"/>
                <w:left w:val="none" w:sz="0" w:space="0" w:color="auto"/>
                <w:bottom w:val="none" w:sz="0" w:space="0" w:color="auto"/>
                <w:right w:val="none" w:sz="0" w:space="0" w:color="auto"/>
              </w:divBdr>
              <w:divsChild>
                <w:div w:id="788820375">
                  <w:marLeft w:val="0"/>
                  <w:marRight w:val="0"/>
                  <w:marTop w:val="0"/>
                  <w:marBottom w:val="0"/>
                  <w:divBdr>
                    <w:top w:val="none" w:sz="0" w:space="0" w:color="auto"/>
                    <w:left w:val="none" w:sz="0" w:space="0" w:color="auto"/>
                    <w:bottom w:val="none" w:sz="0" w:space="0" w:color="auto"/>
                    <w:right w:val="none" w:sz="0" w:space="0" w:color="auto"/>
                  </w:divBdr>
                  <w:divsChild>
                    <w:div w:id="925379385">
                      <w:marLeft w:val="0"/>
                      <w:marRight w:val="0"/>
                      <w:marTop w:val="0"/>
                      <w:marBottom w:val="0"/>
                      <w:divBdr>
                        <w:top w:val="none" w:sz="0" w:space="0" w:color="auto"/>
                        <w:left w:val="none" w:sz="0" w:space="0" w:color="auto"/>
                        <w:bottom w:val="none" w:sz="0" w:space="0" w:color="auto"/>
                        <w:right w:val="none" w:sz="0" w:space="0" w:color="auto"/>
                      </w:divBdr>
                      <w:divsChild>
                        <w:div w:id="1153377067">
                          <w:marLeft w:val="0"/>
                          <w:marRight w:val="0"/>
                          <w:marTop w:val="1050"/>
                          <w:marBottom w:val="0"/>
                          <w:divBdr>
                            <w:top w:val="none" w:sz="0" w:space="0" w:color="auto"/>
                            <w:left w:val="none" w:sz="0" w:space="0" w:color="auto"/>
                            <w:bottom w:val="none" w:sz="0" w:space="0" w:color="auto"/>
                            <w:right w:val="none" w:sz="0" w:space="0" w:color="auto"/>
                          </w:divBdr>
                          <w:divsChild>
                            <w:div w:id="2033458844">
                              <w:marLeft w:val="-225"/>
                              <w:marRight w:val="-225"/>
                              <w:marTop w:val="0"/>
                              <w:marBottom w:val="0"/>
                              <w:divBdr>
                                <w:top w:val="none" w:sz="0" w:space="0" w:color="auto"/>
                                <w:left w:val="none" w:sz="0" w:space="0" w:color="auto"/>
                                <w:bottom w:val="none" w:sz="0" w:space="0" w:color="auto"/>
                                <w:right w:val="none" w:sz="0" w:space="0" w:color="auto"/>
                              </w:divBdr>
                              <w:divsChild>
                                <w:div w:id="1061561209">
                                  <w:marLeft w:val="0"/>
                                  <w:marRight w:val="0"/>
                                  <w:marTop w:val="0"/>
                                  <w:marBottom w:val="0"/>
                                  <w:divBdr>
                                    <w:top w:val="none" w:sz="0" w:space="0" w:color="auto"/>
                                    <w:left w:val="none" w:sz="0" w:space="0" w:color="auto"/>
                                    <w:bottom w:val="none" w:sz="0" w:space="0" w:color="auto"/>
                                    <w:right w:val="none" w:sz="0" w:space="0" w:color="auto"/>
                                  </w:divBdr>
                                  <w:divsChild>
                                    <w:div w:id="1260867791">
                                      <w:marLeft w:val="0"/>
                                      <w:marRight w:val="0"/>
                                      <w:marTop w:val="0"/>
                                      <w:marBottom w:val="3000"/>
                                      <w:divBdr>
                                        <w:top w:val="single" w:sz="24" w:space="0" w:color="FFFFFF"/>
                                        <w:left w:val="none" w:sz="0" w:space="0" w:color="auto"/>
                                        <w:bottom w:val="none" w:sz="0" w:space="0" w:color="auto"/>
                                        <w:right w:val="none" w:sz="0" w:space="0" w:color="auto"/>
                                      </w:divBdr>
                                      <w:divsChild>
                                        <w:div w:id="67878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1036583">
      <w:bodyDiv w:val="1"/>
      <w:marLeft w:val="0"/>
      <w:marRight w:val="0"/>
      <w:marTop w:val="0"/>
      <w:marBottom w:val="0"/>
      <w:divBdr>
        <w:top w:val="none" w:sz="0" w:space="0" w:color="auto"/>
        <w:left w:val="none" w:sz="0" w:space="0" w:color="auto"/>
        <w:bottom w:val="none" w:sz="0" w:space="0" w:color="auto"/>
        <w:right w:val="none" w:sz="0" w:space="0" w:color="auto"/>
      </w:divBdr>
    </w:div>
    <w:div w:id="1521703898">
      <w:bodyDiv w:val="1"/>
      <w:marLeft w:val="0"/>
      <w:marRight w:val="0"/>
      <w:marTop w:val="0"/>
      <w:marBottom w:val="0"/>
      <w:divBdr>
        <w:top w:val="none" w:sz="0" w:space="0" w:color="auto"/>
        <w:left w:val="none" w:sz="0" w:space="0" w:color="auto"/>
        <w:bottom w:val="none" w:sz="0" w:space="0" w:color="auto"/>
        <w:right w:val="none" w:sz="0" w:space="0" w:color="auto"/>
      </w:divBdr>
      <w:divsChild>
        <w:div w:id="911501909">
          <w:marLeft w:val="0"/>
          <w:marRight w:val="0"/>
          <w:marTop w:val="0"/>
          <w:marBottom w:val="0"/>
          <w:divBdr>
            <w:top w:val="none" w:sz="0" w:space="0" w:color="auto"/>
            <w:left w:val="none" w:sz="0" w:space="0" w:color="auto"/>
            <w:bottom w:val="none" w:sz="0" w:space="0" w:color="auto"/>
            <w:right w:val="none" w:sz="0" w:space="0" w:color="auto"/>
          </w:divBdr>
          <w:divsChild>
            <w:div w:id="105275987">
              <w:marLeft w:val="0"/>
              <w:marRight w:val="0"/>
              <w:marTop w:val="0"/>
              <w:marBottom w:val="0"/>
              <w:divBdr>
                <w:top w:val="none" w:sz="0" w:space="0" w:color="auto"/>
                <w:left w:val="none" w:sz="0" w:space="0" w:color="auto"/>
                <w:bottom w:val="none" w:sz="0" w:space="0" w:color="auto"/>
                <w:right w:val="none" w:sz="0" w:space="0" w:color="auto"/>
              </w:divBdr>
              <w:divsChild>
                <w:div w:id="505748138">
                  <w:marLeft w:val="0"/>
                  <w:marRight w:val="0"/>
                  <w:marTop w:val="0"/>
                  <w:marBottom w:val="0"/>
                  <w:divBdr>
                    <w:top w:val="none" w:sz="0" w:space="0" w:color="auto"/>
                    <w:left w:val="none" w:sz="0" w:space="0" w:color="auto"/>
                    <w:bottom w:val="none" w:sz="0" w:space="0" w:color="auto"/>
                    <w:right w:val="none" w:sz="0" w:space="0" w:color="auto"/>
                  </w:divBdr>
                  <w:divsChild>
                    <w:div w:id="754478989">
                      <w:marLeft w:val="0"/>
                      <w:marRight w:val="0"/>
                      <w:marTop w:val="0"/>
                      <w:marBottom w:val="0"/>
                      <w:divBdr>
                        <w:top w:val="none" w:sz="0" w:space="0" w:color="auto"/>
                        <w:left w:val="none" w:sz="0" w:space="0" w:color="auto"/>
                        <w:bottom w:val="none" w:sz="0" w:space="0" w:color="auto"/>
                        <w:right w:val="none" w:sz="0" w:space="0" w:color="auto"/>
                      </w:divBdr>
                      <w:divsChild>
                        <w:div w:id="725491362">
                          <w:marLeft w:val="0"/>
                          <w:marRight w:val="0"/>
                          <w:marTop w:val="0"/>
                          <w:marBottom w:val="0"/>
                          <w:divBdr>
                            <w:top w:val="none" w:sz="0" w:space="0" w:color="auto"/>
                            <w:left w:val="none" w:sz="0" w:space="0" w:color="auto"/>
                            <w:bottom w:val="none" w:sz="0" w:space="0" w:color="auto"/>
                            <w:right w:val="none" w:sz="0" w:space="0" w:color="auto"/>
                          </w:divBdr>
                          <w:divsChild>
                            <w:div w:id="500898098">
                              <w:marLeft w:val="0"/>
                              <w:marRight w:val="0"/>
                              <w:marTop w:val="0"/>
                              <w:marBottom w:val="0"/>
                              <w:divBdr>
                                <w:top w:val="none" w:sz="0" w:space="0" w:color="auto"/>
                                <w:left w:val="none" w:sz="0" w:space="0" w:color="auto"/>
                                <w:bottom w:val="none" w:sz="0" w:space="0" w:color="auto"/>
                                <w:right w:val="none" w:sz="0" w:space="0" w:color="auto"/>
                              </w:divBdr>
                              <w:divsChild>
                                <w:div w:id="94924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920968">
      <w:bodyDiv w:val="1"/>
      <w:marLeft w:val="0"/>
      <w:marRight w:val="0"/>
      <w:marTop w:val="0"/>
      <w:marBottom w:val="0"/>
      <w:divBdr>
        <w:top w:val="none" w:sz="0" w:space="0" w:color="auto"/>
        <w:left w:val="none" w:sz="0" w:space="0" w:color="auto"/>
        <w:bottom w:val="none" w:sz="0" w:space="0" w:color="auto"/>
        <w:right w:val="none" w:sz="0" w:space="0" w:color="auto"/>
      </w:divBdr>
    </w:div>
    <w:div w:id="1896966938">
      <w:bodyDiv w:val="1"/>
      <w:marLeft w:val="0"/>
      <w:marRight w:val="0"/>
      <w:marTop w:val="0"/>
      <w:marBottom w:val="0"/>
      <w:divBdr>
        <w:top w:val="none" w:sz="0" w:space="0" w:color="auto"/>
        <w:left w:val="none" w:sz="0" w:space="0" w:color="auto"/>
        <w:bottom w:val="none" w:sz="0" w:space="0" w:color="auto"/>
        <w:right w:val="none" w:sz="0" w:space="0" w:color="auto"/>
      </w:divBdr>
    </w:div>
    <w:div w:id="1908151255">
      <w:bodyDiv w:val="1"/>
      <w:marLeft w:val="0"/>
      <w:marRight w:val="0"/>
      <w:marTop w:val="0"/>
      <w:marBottom w:val="0"/>
      <w:divBdr>
        <w:top w:val="none" w:sz="0" w:space="0" w:color="auto"/>
        <w:left w:val="none" w:sz="0" w:space="0" w:color="auto"/>
        <w:bottom w:val="none" w:sz="0" w:space="0" w:color="auto"/>
        <w:right w:val="none" w:sz="0" w:space="0" w:color="auto"/>
      </w:divBdr>
      <w:divsChild>
        <w:div w:id="931429634">
          <w:marLeft w:val="0"/>
          <w:marRight w:val="0"/>
          <w:marTop w:val="0"/>
          <w:marBottom w:val="0"/>
          <w:divBdr>
            <w:top w:val="none" w:sz="0" w:space="0" w:color="auto"/>
            <w:left w:val="none" w:sz="0" w:space="0" w:color="auto"/>
            <w:bottom w:val="none" w:sz="0" w:space="0" w:color="auto"/>
            <w:right w:val="none" w:sz="0" w:space="0" w:color="auto"/>
          </w:divBdr>
          <w:divsChild>
            <w:div w:id="420445351">
              <w:marLeft w:val="0"/>
              <w:marRight w:val="0"/>
              <w:marTop w:val="0"/>
              <w:marBottom w:val="0"/>
              <w:divBdr>
                <w:top w:val="none" w:sz="0" w:space="0" w:color="auto"/>
                <w:left w:val="none" w:sz="0" w:space="0" w:color="auto"/>
                <w:bottom w:val="none" w:sz="0" w:space="0" w:color="auto"/>
                <w:right w:val="none" w:sz="0" w:space="0" w:color="auto"/>
              </w:divBdr>
              <w:divsChild>
                <w:div w:id="19013688">
                  <w:marLeft w:val="0"/>
                  <w:marRight w:val="0"/>
                  <w:marTop w:val="0"/>
                  <w:marBottom w:val="0"/>
                  <w:divBdr>
                    <w:top w:val="none" w:sz="0" w:space="0" w:color="auto"/>
                    <w:left w:val="none" w:sz="0" w:space="0" w:color="auto"/>
                    <w:bottom w:val="none" w:sz="0" w:space="0" w:color="auto"/>
                    <w:right w:val="none" w:sz="0" w:space="0" w:color="auto"/>
                  </w:divBdr>
                  <w:divsChild>
                    <w:div w:id="1716541182">
                      <w:marLeft w:val="0"/>
                      <w:marRight w:val="0"/>
                      <w:marTop w:val="0"/>
                      <w:marBottom w:val="0"/>
                      <w:divBdr>
                        <w:top w:val="none" w:sz="0" w:space="0" w:color="auto"/>
                        <w:left w:val="none" w:sz="0" w:space="0" w:color="auto"/>
                        <w:bottom w:val="none" w:sz="0" w:space="0" w:color="auto"/>
                        <w:right w:val="none" w:sz="0" w:space="0" w:color="auto"/>
                      </w:divBdr>
                      <w:divsChild>
                        <w:div w:id="1191409965">
                          <w:marLeft w:val="0"/>
                          <w:marRight w:val="0"/>
                          <w:marTop w:val="0"/>
                          <w:marBottom w:val="0"/>
                          <w:divBdr>
                            <w:top w:val="none" w:sz="0" w:space="0" w:color="auto"/>
                            <w:left w:val="none" w:sz="0" w:space="0" w:color="auto"/>
                            <w:bottom w:val="none" w:sz="0" w:space="0" w:color="auto"/>
                            <w:right w:val="none" w:sz="0" w:space="0" w:color="auto"/>
                          </w:divBdr>
                          <w:divsChild>
                            <w:div w:id="1885407988">
                              <w:marLeft w:val="0"/>
                              <w:marRight w:val="0"/>
                              <w:marTop w:val="0"/>
                              <w:marBottom w:val="0"/>
                              <w:divBdr>
                                <w:top w:val="none" w:sz="0" w:space="0" w:color="auto"/>
                                <w:left w:val="none" w:sz="0" w:space="0" w:color="auto"/>
                                <w:bottom w:val="none" w:sz="0" w:space="0" w:color="auto"/>
                                <w:right w:val="none" w:sz="0" w:space="0" w:color="auto"/>
                              </w:divBdr>
                              <w:divsChild>
                                <w:div w:id="51793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364291">
      <w:bodyDiv w:val="1"/>
      <w:marLeft w:val="0"/>
      <w:marRight w:val="0"/>
      <w:marTop w:val="0"/>
      <w:marBottom w:val="0"/>
      <w:divBdr>
        <w:top w:val="none" w:sz="0" w:space="0" w:color="auto"/>
        <w:left w:val="none" w:sz="0" w:space="0" w:color="auto"/>
        <w:bottom w:val="none" w:sz="0" w:space="0" w:color="auto"/>
        <w:right w:val="none" w:sz="0" w:space="0" w:color="auto"/>
      </w:divBdr>
      <w:divsChild>
        <w:div w:id="1843280146">
          <w:marLeft w:val="0"/>
          <w:marRight w:val="0"/>
          <w:marTop w:val="0"/>
          <w:marBottom w:val="0"/>
          <w:divBdr>
            <w:top w:val="none" w:sz="0" w:space="0" w:color="auto"/>
            <w:left w:val="none" w:sz="0" w:space="0" w:color="auto"/>
            <w:bottom w:val="none" w:sz="0" w:space="0" w:color="auto"/>
            <w:right w:val="none" w:sz="0" w:space="0" w:color="auto"/>
          </w:divBdr>
          <w:divsChild>
            <w:div w:id="747658409">
              <w:marLeft w:val="0"/>
              <w:marRight w:val="0"/>
              <w:marTop w:val="0"/>
              <w:marBottom w:val="0"/>
              <w:divBdr>
                <w:top w:val="none" w:sz="0" w:space="0" w:color="auto"/>
                <w:left w:val="none" w:sz="0" w:space="0" w:color="auto"/>
                <w:bottom w:val="none" w:sz="0" w:space="0" w:color="auto"/>
                <w:right w:val="none" w:sz="0" w:space="0" w:color="auto"/>
              </w:divBdr>
              <w:divsChild>
                <w:div w:id="1741516749">
                  <w:marLeft w:val="0"/>
                  <w:marRight w:val="0"/>
                  <w:marTop w:val="0"/>
                  <w:marBottom w:val="0"/>
                  <w:divBdr>
                    <w:top w:val="none" w:sz="0" w:space="0" w:color="auto"/>
                    <w:left w:val="none" w:sz="0" w:space="0" w:color="auto"/>
                    <w:bottom w:val="none" w:sz="0" w:space="0" w:color="auto"/>
                    <w:right w:val="none" w:sz="0" w:space="0" w:color="auto"/>
                  </w:divBdr>
                  <w:divsChild>
                    <w:div w:id="826946126">
                      <w:marLeft w:val="0"/>
                      <w:marRight w:val="0"/>
                      <w:marTop w:val="0"/>
                      <w:marBottom w:val="0"/>
                      <w:divBdr>
                        <w:top w:val="none" w:sz="0" w:space="0" w:color="auto"/>
                        <w:left w:val="none" w:sz="0" w:space="0" w:color="auto"/>
                        <w:bottom w:val="none" w:sz="0" w:space="0" w:color="auto"/>
                        <w:right w:val="none" w:sz="0" w:space="0" w:color="auto"/>
                      </w:divBdr>
                      <w:divsChild>
                        <w:div w:id="667948512">
                          <w:marLeft w:val="0"/>
                          <w:marRight w:val="0"/>
                          <w:marTop w:val="0"/>
                          <w:marBottom w:val="0"/>
                          <w:divBdr>
                            <w:top w:val="none" w:sz="0" w:space="0" w:color="auto"/>
                            <w:left w:val="none" w:sz="0" w:space="0" w:color="auto"/>
                            <w:bottom w:val="none" w:sz="0" w:space="0" w:color="auto"/>
                            <w:right w:val="none" w:sz="0" w:space="0" w:color="auto"/>
                          </w:divBdr>
                          <w:divsChild>
                            <w:div w:id="677469378">
                              <w:marLeft w:val="0"/>
                              <w:marRight w:val="0"/>
                              <w:marTop w:val="0"/>
                              <w:marBottom w:val="0"/>
                              <w:divBdr>
                                <w:top w:val="none" w:sz="0" w:space="0" w:color="auto"/>
                                <w:left w:val="none" w:sz="0" w:space="0" w:color="auto"/>
                                <w:bottom w:val="none" w:sz="0" w:space="0" w:color="auto"/>
                                <w:right w:val="none" w:sz="0" w:space="0" w:color="auto"/>
                              </w:divBdr>
                              <w:divsChild>
                                <w:div w:id="162169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pc.vic.gov.au/index.php/communication/policies-and-guidelines/sponsorship-policy-relevant-legislation-and-policies" TargetMode="External"/><Relationship Id="rId18" Type="http://schemas.openxmlformats.org/officeDocument/2006/relationships/hyperlink" Target="https://edugate.eduweb.vic.gov.au/sites/i/pages/production.aspx" TargetMode="External"/><Relationship Id="rId26" Type="http://schemas.openxmlformats.org/officeDocument/2006/relationships/hyperlink" Target="https://edugate.eduweb.vic.gov.au/sites/i/Pages/production.aspx" TargetMode="External"/><Relationship Id="rId39" Type="http://schemas.openxmlformats.org/officeDocument/2006/relationships/fontTable" Target="fontTable.xml"/><Relationship Id="rId21" Type="http://schemas.openxmlformats.org/officeDocument/2006/relationships/hyperlink" Target="https://edugate.eduweb.vic.gov.au/sites/i/pages/production.aspx" TargetMode="External"/><Relationship Id="rId34" Type="http://schemas.openxmlformats.org/officeDocument/2006/relationships/hyperlink" Target="mailto:sponsorship@edumail.vic.gov.au"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edugate.eduweb.vic.gov.au/sites/i/pages/production.aspx" TargetMode="External"/><Relationship Id="rId25" Type="http://schemas.openxmlformats.org/officeDocument/2006/relationships/hyperlink" Target="https://www.education.vic.gov.au/school/principals/spag/finance/Pages/generatedfunding.aspx" TargetMode="External"/><Relationship Id="rId33" Type="http://schemas.openxmlformats.org/officeDocument/2006/relationships/hyperlink" Target="mailto:sponsorship@edumail.vic.gov.au"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dugate.eduweb.vic.gov.au/sites/i/pages/production.aspx" TargetMode="External"/><Relationship Id="rId20" Type="http://schemas.openxmlformats.org/officeDocument/2006/relationships/hyperlink" Target="https://edugate.eduweb.vic.gov.au/sites/i/pages/production.aspx" TargetMode="External"/><Relationship Id="rId29" Type="http://schemas.openxmlformats.org/officeDocument/2006/relationships/hyperlink" Target="mailto:Sponsorship@edumail.vic.gov.au" TargetMode="External"/><Relationship Id="rId4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pc.vic.gov.au/index.php/communication/policies-and-guidelines/sponsorship-policy-relevant-legislation-and-policies" TargetMode="External"/><Relationship Id="rId32" Type="http://schemas.openxmlformats.org/officeDocument/2006/relationships/hyperlink" Target="https://www.education.vic.gov.au/school/principals/spag/community/pages/sponsorship.aspx" TargetMode="External"/><Relationship Id="rId37"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www.austlii.edu.au/au/legis/vic/num_act/padpa201460o2014317/" TargetMode="External"/><Relationship Id="rId23" Type="http://schemas.openxmlformats.org/officeDocument/2006/relationships/hyperlink" Target="https://edugate.eduweb.vic.gov.au/sites/i/Pages/production.aspx" TargetMode="External"/><Relationship Id="rId28" Type="http://schemas.openxmlformats.org/officeDocument/2006/relationships/hyperlink" Target="http://vpsc.vic.gov.au/resources/code-of-conduct-for-employees/"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edugate.eduweb.vic.gov.au/sites/i/pages/production.aspx" TargetMode="External"/><Relationship Id="rId31" Type="http://schemas.openxmlformats.org/officeDocument/2006/relationships/hyperlink" Target="mailto:sponsorship@edumail.v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code-of-conduct-for-employees/" TargetMode="External"/><Relationship Id="rId22" Type="http://schemas.openxmlformats.org/officeDocument/2006/relationships/hyperlink" Target="https://www.education.vic.gov.au/school/principals/spag/community/Pages/partnerships.aspx" TargetMode="External"/><Relationship Id="rId27" Type="http://schemas.openxmlformats.org/officeDocument/2006/relationships/hyperlink" Target="http://vpsc.vic.gov.au/resources/code-of-conduct-for-employees/" TargetMode="External"/><Relationship Id="rId30" Type="http://schemas.openxmlformats.org/officeDocument/2006/relationships/hyperlink" Target="mailto:sponsorship@edumail.vic.gov.au" TargetMode="External"/><Relationship Id="rId35" Type="http://schemas.openxmlformats.org/officeDocument/2006/relationships/header" Target="header2.xml"/><Relationship Id="rId8" Type="http://schemas.openxmlformats.org/officeDocument/2006/relationships/settings" Target="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Education State">
  <a:themeElements>
    <a:clrScheme name="Education 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97</Value>
      <Value>94</Value>
      <Value>118</Value>
    </TaxCatchAll>
    <DEECD_Publisher xmlns="http://schemas.microsoft.com/sharepoint/v3" xsi:nil="true"/>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Combined Schools and Corporate advoce on sponsorship arrangements. </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EA09B-B142-4501-9F16-963528183E20}">
  <ds:schemaRefs>
    <ds:schemaRef ds:uri="http://schemas.microsoft.com/sharepoint/events"/>
  </ds:schemaRefs>
</ds:datastoreItem>
</file>

<file path=customXml/itemProps2.xml><?xml version="1.0" encoding="utf-8"?>
<ds:datastoreItem xmlns:ds="http://schemas.openxmlformats.org/officeDocument/2006/customXml" ds:itemID="{81F359EE-F9B2-4447-AD93-3794B05D598F}"/>
</file>

<file path=customXml/itemProps3.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4.xml><?xml version="1.0" encoding="utf-8"?>
<ds:datastoreItem xmlns:ds="http://schemas.openxmlformats.org/officeDocument/2006/customXml" ds:itemID="{42BA66E8-BEDF-4CC9-A9D0-A0D341F95659}">
  <ds:schemaRefs>
    <ds:schemaRef ds:uri="http://purl.org/dc/terms/"/>
    <ds:schemaRef ds:uri="http://schemas.microsoft.com/office/2006/documentManagement/types"/>
    <ds:schemaRef ds:uri="1966e606-8b69-4075-9ef8-a409e80aaa70"/>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572BDD30-57D2-4894-BF0A-74C630E27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4829</Words>
  <Characters>27527</Characters>
  <Application>Microsoft Office Word</Application>
  <DocSecurity>4</DocSecurity>
  <Lines>229</Lines>
  <Paragraphs>64</Paragraphs>
  <ScaleCrop>false</ScaleCrop>
  <HeadingPairs>
    <vt:vector size="2" baseType="variant">
      <vt:variant>
        <vt:lpstr>Title</vt:lpstr>
      </vt:variant>
      <vt:variant>
        <vt:i4>1</vt:i4>
      </vt:variant>
    </vt:vector>
  </HeadingPairs>
  <TitlesOfParts>
    <vt:vector size="1" baseType="lpstr">
      <vt:lpstr>Sponsorship Policy and Guidelines_Combined Schools and Corporate_2018_DRAFT</vt:lpstr>
    </vt:vector>
  </TitlesOfParts>
  <Company>DEECD</Company>
  <LinksUpToDate>false</LinksUpToDate>
  <CharactersWithSpaces>32292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Sponsorship Policy and Guidelines</dc:title>
  <dc:creator>Dori Maniatakis</dc:creator>
  <cp:lastModifiedBy>Bance, Jennie A</cp:lastModifiedBy>
  <cp:revision>2</cp:revision>
  <cp:lastPrinted>2019-05-23T05:16:00Z</cp:lastPrinted>
  <dcterms:created xsi:type="dcterms:W3CDTF">2019-08-21T05:39:00Z</dcterms:created>
  <dcterms:modified xsi:type="dcterms:W3CDTF">2019-08-21T05:39:00Z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TitusGUID">
    <vt:lpwstr>1402728c-2728-43df-9dbc-c7467ef25a5d</vt:lpwstr>
  </property>
  <property fmtid="{D5CDD505-2E9C-101B-9397-08002B2CF9AE}" pid="4" name="PSPFClassification">
    <vt:lpwstr>Do Not Mark</vt:lpwstr>
  </property>
  <property fmtid="{D5CDD505-2E9C-101B-9397-08002B2CF9AE}" pid="5" name="DET_EDRMS_RCS">
    <vt:lpwstr/>
  </property>
  <property fmtid="{D5CDD505-2E9C-101B-9397-08002B2CF9AE}" pid="6" name="DET_EDRMS_BusUnit">
    <vt:lpwstr/>
  </property>
  <property fmtid="{D5CDD505-2E9C-101B-9397-08002B2CF9AE}" pid="7" name="DET_EDRMS_SecClass">
    <vt:lpwstr/>
  </property>
  <property fmtid="{D5CDD505-2E9C-101B-9397-08002B2CF9AE}" pid="8" name="RecordPoint_WorkflowType">
    <vt:lpwstr>ActiveSubmitStub</vt:lpwstr>
  </property>
  <property fmtid="{D5CDD505-2E9C-101B-9397-08002B2CF9AE}" pid="9" name="RecordPoint_ActiveItemUniqueId">
    <vt:lpwstr>{97be97f9-4adc-429a-b097-29fc1401d96b}</vt:lpwstr>
  </property>
  <property fmtid="{D5CDD505-2E9C-101B-9397-08002B2CF9AE}" pid="10" name="RecordPoint_ActiveItemWebId">
    <vt:lpwstr>{dbcec6d0-cdf6-4f23-bfe8-914f055d5886}</vt:lpwstr>
  </property>
  <property fmtid="{D5CDD505-2E9C-101B-9397-08002B2CF9AE}" pid="11" name="RecordPoint_ActiveItemSiteId">
    <vt:lpwstr>{03dc8113-b288-4f44-a289-6e7ea0196235}</vt:lpwstr>
  </property>
  <property fmtid="{D5CDD505-2E9C-101B-9397-08002B2CF9AE}" pid="12" name="RecordPoint_ActiveItemListId">
    <vt:lpwstr>{c091fcae-84a3-4989-a914-e0399020299b}</vt:lpwstr>
  </property>
  <property fmtid="{D5CDD505-2E9C-101B-9397-08002B2CF9AE}" pid="13" name="RecordPoint_RecordNumberSubmitted">
    <vt:lpwstr>R20190359621</vt:lpwstr>
  </property>
  <property fmtid="{D5CDD505-2E9C-101B-9397-08002B2CF9AE}" pid="14" name="RecordPoint_SubmissionCompleted">
    <vt:lpwstr>2019-06-27T16:52:01.1863666+10:00</vt:lpwstr>
  </property>
  <property fmtid="{D5CDD505-2E9C-101B-9397-08002B2CF9AE}" pid="15" name="DEECD_Author">
    <vt:lpwstr>94;#Education|5232e41c-5101-41fe-b638-7d41d1371531</vt:lpwstr>
  </property>
  <property fmtid="{D5CDD505-2E9C-101B-9397-08002B2CF9AE}" pid="16" name="DEECD_SubjectCategory">
    <vt:lpwstr/>
  </property>
  <property fmtid="{D5CDD505-2E9C-101B-9397-08002B2CF9AE}" pid="17" name="DEECD_ItemType">
    <vt:lpwstr>97;#Guide / Manual|b3949c2d-9e4b-4ecf-ba30-8067d8603b3b</vt:lpwstr>
  </property>
  <property fmtid="{D5CDD505-2E9C-101B-9397-08002B2CF9AE}" pid="18" name="DEECD_Audience">
    <vt:lpwstr>118;#Principals|a4f56333-bce8-49bd-95df-bc27ddd10ec3</vt:lpwstr>
  </property>
</Properties>
</file>