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6C" w:rsidRPr="007A776C" w:rsidRDefault="007A776C" w:rsidP="007A776C">
      <w:pPr>
        <w:pStyle w:val="Heading2"/>
        <w:spacing w:before="120"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r w:rsidRPr="007A776C">
        <w:rPr>
          <w:rFonts w:ascii="Arial" w:hAnsi="Arial" w:cs="Arial"/>
          <w:b/>
          <w:color w:val="C00000"/>
          <w:sz w:val="28"/>
          <w:szCs w:val="28"/>
        </w:rPr>
        <w:t>DEPARTMENT OF EDUCATION AND TRAINING</w:t>
      </w:r>
    </w:p>
    <w:p w:rsidR="008C0837" w:rsidRDefault="007A776C" w:rsidP="007A776C">
      <w:pPr>
        <w:pStyle w:val="Heading2"/>
        <w:spacing w:before="120"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7A776C">
        <w:rPr>
          <w:rFonts w:ascii="Arial" w:hAnsi="Arial" w:cs="Arial"/>
          <w:b/>
          <w:color w:val="C00000"/>
          <w:sz w:val="28"/>
          <w:szCs w:val="28"/>
        </w:rPr>
        <w:t>P</w:t>
      </w:r>
      <w:r w:rsidR="0038074F" w:rsidRPr="007A776C">
        <w:rPr>
          <w:rFonts w:ascii="Arial" w:hAnsi="Arial" w:cs="Arial"/>
          <w:b/>
          <w:color w:val="C00000"/>
          <w:sz w:val="28"/>
          <w:szCs w:val="28"/>
        </w:rPr>
        <w:t xml:space="preserve">olicy </w:t>
      </w:r>
      <w:r w:rsidR="00810034" w:rsidRPr="007A776C">
        <w:rPr>
          <w:rFonts w:ascii="Arial" w:hAnsi="Arial" w:cs="Arial"/>
          <w:b/>
          <w:color w:val="C00000"/>
          <w:sz w:val="28"/>
          <w:szCs w:val="28"/>
        </w:rPr>
        <w:t xml:space="preserve">statement </w:t>
      </w:r>
      <w:r w:rsidR="0038074F" w:rsidRPr="007A776C">
        <w:rPr>
          <w:rFonts w:ascii="Arial" w:hAnsi="Arial" w:cs="Arial"/>
          <w:b/>
          <w:color w:val="C00000"/>
          <w:sz w:val="28"/>
          <w:szCs w:val="28"/>
        </w:rPr>
        <w:t>on</w:t>
      </w:r>
      <w:r w:rsidR="00E71AB9" w:rsidRPr="007A776C">
        <w:rPr>
          <w:rFonts w:ascii="Arial" w:hAnsi="Arial" w:cs="Arial"/>
          <w:b/>
          <w:color w:val="C00000"/>
          <w:sz w:val="28"/>
          <w:szCs w:val="28"/>
        </w:rPr>
        <w:t xml:space="preserve"> public</w:t>
      </w:r>
      <w:r w:rsidR="0007179C" w:rsidRPr="007A776C">
        <w:rPr>
          <w:rFonts w:ascii="Arial" w:hAnsi="Arial" w:cs="Arial"/>
          <w:b/>
          <w:color w:val="C00000"/>
          <w:sz w:val="28"/>
          <w:szCs w:val="28"/>
        </w:rPr>
        <w:t>–</w:t>
      </w:r>
      <w:r w:rsidR="006051D2" w:rsidRPr="007A776C">
        <w:rPr>
          <w:rFonts w:ascii="Arial" w:hAnsi="Arial" w:cs="Arial"/>
          <w:b/>
          <w:color w:val="C00000"/>
          <w:sz w:val="28"/>
          <w:szCs w:val="28"/>
        </w:rPr>
        <w:t>p</w:t>
      </w:r>
      <w:r w:rsidR="008C0837" w:rsidRPr="007A776C">
        <w:rPr>
          <w:rFonts w:ascii="Arial" w:hAnsi="Arial" w:cs="Arial"/>
          <w:b/>
          <w:color w:val="C00000"/>
          <w:sz w:val="28"/>
          <w:szCs w:val="28"/>
        </w:rPr>
        <w:t>hilanthropic</w:t>
      </w:r>
      <w:r w:rsidR="0038074F" w:rsidRPr="007A776C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C0837" w:rsidRPr="007A776C">
        <w:rPr>
          <w:rFonts w:ascii="Arial" w:hAnsi="Arial" w:cs="Arial"/>
          <w:b/>
          <w:color w:val="C00000"/>
          <w:sz w:val="28"/>
          <w:szCs w:val="28"/>
        </w:rPr>
        <w:t>partnerships</w:t>
      </w:r>
    </w:p>
    <w:p w:rsidR="00E17021" w:rsidRPr="00E17021" w:rsidRDefault="00E17021" w:rsidP="00E17021"/>
    <w:p w:rsidR="000D6259" w:rsidRPr="007A776C" w:rsidRDefault="000D6259" w:rsidP="007A776C">
      <w:pPr>
        <w:keepNext/>
        <w:jc w:val="both"/>
        <w:rPr>
          <w:rFonts w:ascii="Arial" w:hAnsi="Arial"/>
          <w:b/>
        </w:rPr>
      </w:pPr>
      <w:r w:rsidRPr="007A776C">
        <w:rPr>
          <w:rFonts w:ascii="Arial" w:hAnsi="Arial"/>
        </w:rPr>
        <w:t>Th</w:t>
      </w:r>
      <w:r w:rsidR="004D01CB" w:rsidRPr="007A776C">
        <w:rPr>
          <w:rFonts w:ascii="Arial" w:hAnsi="Arial"/>
        </w:rPr>
        <w:t xml:space="preserve">is </w:t>
      </w:r>
      <w:r w:rsidR="00CA5A47" w:rsidRPr="007A776C">
        <w:rPr>
          <w:rFonts w:ascii="Arial" w:hAnsi="Arial"/>
        </w:rPr>
        <w:t xml:space="preserve">policy </w:t>
      </w:r>
      <w:r w:rsidR="00810034" w:rsidRPr="007A776C">
        <w:rPr>
          <w:rFonts w:ascii="Arial" w:hAnsi="Arial"/>
        </w:rPr>
        <w:t>statement</w:t>
      </w:r>
      <w:r w:rsidR="0081243D" w:rsidRPr="007A776C">
        <w:rPr>
          <w:rFonts w:ascii="Arial" w:hAnsi="Arial"/>
        </w:rPr>
        <w:t xml:space="preserve"> </w:t>
      </w:r>
      <w:r w:rsidR="00810034" w:rsidRPr="007A776C">
        <w:rPr>
          <w:rFonts w:ascii="Arial" w:hAnsi="Arial"/>
        </w:rPr>
        <w:t>support</w:t>
      </w:r>
      <w:r w:rsidR="0081243D" w:rsidRPr="007A776C">
        <w:rPr>
          <w:rFonts w:ascii="Arial" w:hAnsi="Arial"/>
        </w:rPr>
        <w:t>s</w:t>
      </w:r>
      <w:r w:rsidR="00810034" w:rsidRPr="007A776C">
        <w:rPr>
          <w:rFonts w:ascii="Arial" w:hAnsi="Arial"/>
        </w:rPr>
        <w:t xml:space="preserve"> the Department’s corporate </w:t>
      </w:r>
      <w:r w:rsidR="006348AB" w:rsidRPr="007A776C">
        <w:rPr>
          <w:rFonts w:ascii="Arial" w:hAnsi="Arial"/>
        </w:rPr>
        <w:t>and school-base</w:t>
      </w:r>
      <w:r w:rsidR="0001175D" w:rsidRPr="007A776C">
        <w:rPr>
          <w:rFonts w:ascii="Arial" w:hAnsi="Arial"/>
        </w:rPr>
        <w:t>d</w:t>
      </w:r>
      <w:r w:rsidR="006348AB" w:rsidRPr="007A776C">
        <w:rPr>
          <w:rFonts w:ascii="Arial" w:hAnsi="Arial"/>
        </w:rPr>
        <w:t xml:space="preserve"> </w:t>
      </w:r>
      <w:r w:rsidR="00810034" w:rsidRPr="007A776C">
        <w:rPr>
          <w:rFonts w:ascii="Arial" w:hAnsi="Arial"/>
        </w:rPr>
        <w:t>staff responsible for planning, managing and administering philanthropic engagements and partnerships.</w:t>
      </w:r>
      <w:r w:rsidR="00C333CE" w:rsidRPr="007A776C">
        <w:rPr>
          <w:rFonts w:ascii="Arial" w:hAnsi="Arial"/>
        </w:rPr>
        <w:t xml:space="preserve"> </w:t>
      </w:r>
      <w:r w:rsidR="00810034" w:rsidRPr="007A776C">
        <w:rPr>
          <w:rFonts w:ascii="Arial" w:hAnsi="Arial"/>
        </w:rPr>
        <w:t>It articulates</w:t>
      </w:r>
      <w:r w:rsidR="00346BE6" w:rsidRPr="007A776C">
        <w:rPr>
          <w:rFonts w:ascii="Arial" w:hAnsi="Arial"/>
        </w:rPr>
        <w:t>:</w:t>
      </w:r>
    </w:p>
    <w:p w:rsidR="00EB7751" w:rsidRPr="007A776C" w:rsidRDefault="00B03E39" w:rsidP="007A776C">
      <w:pPr>
        <w:pStyle w:val="ListParagraph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public resource management obligations the Department </w:t>
      </w:r>
      <w:r w:rsidR="00F70BD8" w:rsidRPr="007A776C">
        <w:rPr>
          <w:rFonts w:ascii="Arial" w:hAnsi="Arial" w:cs="Arial"/>
          <w:szCs w:val="20"/>
        </w:rPr>
        <w:t xml:space="preserve">must </w:t>
      </w:r>
      <w:r w:rsidRPr="007A776C">
        <w:rPr>
          <w:rFonts w:ascii="Arial" w:hAnsi="Arial" w:cs="Arial"/>
          <w:szCs w:val="20"/>
        </w:rPr>
        <w:t>fulfil when engaging with philanthropy</w:t>
      </w:r>
    </w:p>
    <w:p w:rsidR="0038074F" w:rsidRPr="007A776C" w:rsidRDefault="00B03E39" w:rsidP="007A776C">
      <w:pPr>
        <w:pStyle w:val="ListParagraph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key principles of behaviour staff are </w:t>
      </w:r>
      <w:r w:rsidR="00FE4055" w:rsidRPr="007A776C">
        <w:rPr>
          <w:rFonts w:ascii="Arial" w:hAnsi="Arial" w:cs="Arial"/>
          <w:szCs w:val="20"/>
        </w:rPr>
        <w:t xml:space="preserve">advised </w:t>
      </w:r>
      <w:r w:rsidRPr="007A776C">
        <w:rPr>
          <w:rFonts w:ascii="Arial" w:hAnsi="Arial" w:cs="Arial"/>
          <w:szCs w:val="20"/>
        </w:rPr>
        <w:t>to follow when dealing with philanthropists and not-for-profit organisations</w:t>
      </w:r>
    </w:p>
    <w:p w:rsidR="000D6259" w:rsidRPr="007A776C" w:rsidRDefault="00B03E39" w:rsidP="007A776C">
      <w:pPr>
        <w:pStyle w:val="ListParagraph"/>
        <w:numPr>
          <w:ilvl w:val="0"/>
          <w:numId w:val="4"/>
        </w:numPr>
        <w:ind w:left="357" w:hanging="357"/>
        <w:contextualSpacing w:val="0"/>
        <w:jc w:val="both"/>
        <w:rPr>
          <w:rFonts w:ascii="Arial" w:hAnsi="Arial" w:cs="Arial"/>
          <w:b/>
          <w:szCs w:val="20"/>
        </w:rPr>
      </w:pPr>
      <w:r w:rsidRPr="007A776C">
        <w:rPr>
          <w:rFonts w:ascii="Arial" w:hAnsi="Arial" w:cs="Arial"/>
          <w:szCs w:val="20"/>
        </w:rPr>
        <w:t xml:space="preserve">key collaboration and negotiation criteria the Department </w:t>
      </w:r>
      <w:r w:rsidR="00E51369" w:rsidRPr="007A776C">
        <w:rPr>
          <w:rFonts w:ascii="Arial" w:hAnsi="Arial" w:cs="Arial"/>
          <w:szCs w:val="20"/>
        </w:rPr>
        <w:t xml:space="preserve">must </w:t>
      </w:r>
      <w:r w:rsidRPr="007A776C">
        <w:rPr>
          <w:rFonts w:ascii="Arial" w:hAnsi="Arial" w:cs="Arial"/>
          <w:szCs w:val="20"/>
        </w:rPr>
        <w:t>apply when engaging with philanthropists and not-for-profits to set up partnerships.</w:t>
      </w:r>
    </w:p>
    <w:p w:rsidR="00C333CE" w:rsidRPr="007A776C" w:rsidRDefault="00C333CE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With a dual focus on capability and accountability, this policy statement provides a policy framework to govern high-value philanthropic investments. The monetary threshold for applicability of </w:t>
      </w:r>
      <w:r w:rsidR="00365C11" w:rsidRPr="007A776C">
        <w:rPr>
          <w:rFonts w:ascii="Arial" w:hAnsi="Arial"/>
        </w:rPr>
        <w:t>the relevant obligations and criteria is $250,000</w:t>
      </w:r>
      <w:r w:rsidR="00F5338D" w:rsidRPr="007A776C">
        <w:rPr>
          <w:rFonts w:ascii="Arial" w:hAnsi="Arial"/>
        </w:rPr>
        <w:t xml:space="preserve"> and above. This value covers </w:t>
      </w:r>
      <w:r w:rsidR="00365C11" w:rsidRPr="007A776C">
        <w:rPr>
          <w:rFonts w:ascii="Arial" w:hAnsi="Arial"/>
        </w:rPr>
        <w:t xml:space="preserve">both financial and in-kind </w:t>
      </w:r>
      <w:r w:rsidR="00F5338D" w:rsidRPr="007A776C">
        <w:rPr>
          <w:rFonts w:ascii="Arial" w:hAnsi="Arial"/>
        </w:rPr>
        <w:t>contributions made by the philanthropist and</w:t>
      </w:r>
      <w:r w:rsidR="00DE7F2C" w:rsidRPr="007A776C">
        <w:rPr>
          <w:rFonts w:ascii="Arial" w:hAnsi="Arial"/>
        </w:rPr>
        <w:t>/</w:t>
      </w:r>
      <w:r w:rsidR="00F5338D" w:rsidRPr="007A776C">
        <w:rPr>
          <w:rFonts w:ascii="Arial" w:hAnsi="Arial"/>
        </w:rPr>
        <w:t>or Department or government school</w:t>
      </w:r>
      <w:r w:rsidR="00365C11" w:rsidRPr="007A776C">
        <w:rPr>
          <w:rFonts w:ascii="Arial" w:hAnsi="Arial"/>
        </w:rPr>
        <w:t>.</w:t>
      </w:r>
    </w:p>
    <w:p w:rsidR="001C5604" w:rsidRPr="00D343DF" w:rsidRDefault="00E00B48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 xml:space="preserve">The </w:t>
      </w:r>
      <w:r w:rsidR="001C5604" w:rsidRPr="00D343DF">
        <w:rPr>
          <w:rFonts w:ascii="Arial" w:hAnsi="Arial"/>
          <w:color w:val="C00000"/>
          <w:sz w:val="24"/>
          <w:szCs w:val="24"/>
        </w:rPr>
        <w:t xml:space="preserve">Department can work with </w:t>
      </w:r>
      <w:r w:rsidR="00356D39" w:rsidRPr="00D343DF">
        <w:rPr>
          <w:rFonts w:ascii="Arial" w:hAnsi="Arial"/>
          <w:color w:val="C00000"/>
          <w:sz w:val="24"/>
          <w:szCs w:val="24"/>
        </w:rPr>
        <w:t>the</w:t>
      </w:r>
      <w:r w:rsidR="001C5604" w:rsidRPr="00D343DF" w:rsidDel="001B4010">
        <w:rPr>
          <w:rFonts w:ascii="Arial" w:hAnsi="Arial"/>
          <w:color w:val="C00000"/>
          <w:sz w:val="24"/>
          <w:szCs w:val="24"/>
        </w:rPr>
        <w:t xml:space="preserve"> </w:t>
      </w:r>
      <w:r w:rsidR="001B4010" w:rsidRPr="00D343DF">
        <w:rPr>
          <w:rFonts w:ascii="Arial" w:hAnsi="Arial"/>
          <w:color w:val="C00000"/>
          <w:sz w:val="24"/>
          <w:szCs w:val="24"/>
        </w:rPr>
        <w:t xml:space="preserve">philanthropic sector </w:t>
      </w:r>
      <w:r w:rsidR="001C5604" w:rsidRPr="00D343DF">
        <w:rPr>
          <w:rFonts w:ascii="Arial" w:hAnsi="Arial"/>
          <w:color w:val="C00000"/>
          <w:sz w:val="24"/>
          <w:szCs w:val="24"/>
        </w:rPr>
        <w:t xml:space="preserve">to achieve more than it could </w:t>
      </w:r>
      <w:r w:rsidR="001B4010" w:rsidRPr="00D343DF">
        <w:rPr>
          <w:rFonts w:ascii="Arial" w:hAnsi="Arial"/>
          <w:color w:val="C00000"/>
          <w:sz w:val="24"/>
          <w:szCs w:val="24"/>
        </w:rPr>
        <w:t xml:space="preserve">on its own </w:t>
      </w:r>
    </w:p>
    <w:p w:rsidR="00B25ED7" w:rsidRPr="007A776C" w:rsidRDefault="001C5604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T</w:t>
      </w:r>
      <w:r w:rsidR="000D6259" w:rsidRPr="007A776C">
        <w:rPr>
          <w:rFonts w:ascii="Arial" w:hAnsi="Arial"/>
        </w:rPr>
        <w:t xml:space="preserve">he Department </w:t>
      </w:r>
      <w:r w:rsidR="0038074F" w:rsidRPr="007A776C">
        <w:rPr>
          <w:rFonts w:ascii="Arial" w:hAnsi="Arial"/>
        </w:rPr>
        <w:t xml:space="preserve">acknowledges </w:t>
      </w:r>
      <w:r w:rsidR="000D6259" w:rsidRPr="007A776C">
        <w:rPr>
          <w:rFonts w:ascii="Arial" w:hAnsi="Arial"/>
        </w:rPr>
        <w:t xml:space="preserve">that improving learning and </w:t>
      </w:r>
      <w:r w:rsidR="0038074F" w:rsidRPr="007A776C">
        <w:rPr>
          <w:rFonts w:ascii="Arial" w:hAnsi="Arial"/>
        </w:rPr>
        <w:t xml:space="preserve">development experiences </w:t>
      </w:r>
      <w:r w:rsidR="000D6259" w:rsidRPr="007A776C">
        <w:rPr>
          <w:rFonts w:ascii="Arial" w:hAnsi="Arial"/>
        </w:rPr>
        <w:t>for Victorian</w:t>
      </w:r>
      <w:r w:rsidR="00B25ED7" w:rsidRPr="007A776C">
        <w:rPr>
          <w:rFonts w:ascii="Arial" w:hAnsi="Arial"/>
        </w:rPr>
        <w:t xml:space="preserve"> students and young people</w:t>
      </w:r>
      <w:r w:rsidR="000D6259" w:rsidRPr="007A776C">
        <w:rPr>
          <w:rFonts w:ascii="Arial" w:hAnsi="Arial"/>
        </w:rPr>
        <w:t xml:space="preserve"> is a shared responsibility</w:t>
      </w:r>
      <w:r w:rsidR="0083777F" w:rsidRPr="007A776C">
        <w:rPr>
          <w:rFonts w:ascii="Arial" w:hAnsi="Arial"/>
        </w:rPr>
        <w:t xml:space="preserve"> between </w:t>
      </w:r>
      <w:r w:rsidR="00EF7BEC" w:rsidRPr="007A776C">
        <w:rPr>
          <w:rFonts w:ascii="Arial" w:hAnsi="Arial"/>
        </w:rPr>
        <w:t xml:space="preserve">the </w:t>
      </w:r>
      <w:r w:rsidR="0083777F" w:rsidRPr="007A776C">
        <w:rPr>
          <w:rFonts w:ascii="Arial" w:hAnsi="Arial"/>
        </w:rPr>
        <w:t>G</w:t>
      </w:r>
      <w:r w:rsidR="00B25ED7" w:rsidRPr="007A776C">
        <w:rPr>
          <w:rFonts w:ascii="Arial" w:hAnsi="Arial"/>
        </w:rPr>
        <w:t>overnment and wider</w:t>
      </w:r>
      <w:r w:rsidRPr="007A776C">
        <w:rPr>
          <w:rFonts w:ascii="Arial" w:hAnsi="Arial"/>
        </w:rPr>
        <w:t xml:space="preserve"> </w:t>
      </w:r>
      <w:r w:rsidR="00B25ED7" w:rsidRPr="007A776C">
        <w:rPr>
          <w:rFonts w:ascii="Arial" w:hAnsi="Arial"/>
        </w:rPr>
        <w:t>community</w:t>
      </w:r>
      <w:r w:rsidR="00920C5A" w:rsidRPr="007A776C">
        <w:rPr>
          <w:rFonts w:ascii="Arial" w:hAnsi="Arial"/>
        </w:rPr>
        <w:t xml:space="preserve">. Improved </w:t>
      </w:r>
      <w:r w:rsidR="008E5CA3" w:rsidRPr="007A776C">
        <w:rPr>
          <w:rFonts w:ascii="Arial" w:hAnsi="Arial"/>
        </w:rPr>
        <w:t xml:space="preserve">student </w:t>
      </w:r>
      <w:r w:rsidR="00920C5A" w:rsidRPr="007A776C">
        <w:rPr>
          <w:rFonts w:ascii="Arial" w:hAnsi="Arial"/>
        </w:rPr>
        <w:t xml:space="preserve">outcomes benefit </w:t>
      </w:r>
      <w:r w:rsidR="007A25EF" w:rsidRPr="007A776C">
        <w:rPr>
          <w:rFonts w:ascii="Arial" w:hAnsi="Arial"/>
        </w:rPr>
        <w:t>individual students</w:t>
      </w:r>
      <w:r w:rsidR="00CA6FE0" w:rsidRPr="007A776C">
        <w:rPr>
          <w:rFonts w:ascii="Arial" w:hAnsi="Arial"/>
        </w:rPr>
        <w:t xml:space="preserve"> </w:t>
      </w:r>
      <w:r w:rsidR="00EF7BEC" w:rsidRPr="007A776C">
        <w:rPr>
          <w:rFonts w:ascii="Arial" w:hAnsi="Arial"/>
        </w:rPr>
        <w:t xml:space="preserve">and </w:t>
      </w:r>
      <w:r w:rsidR="00CA6FE0" w:rsidRPr="007A776C">
        <w:rPr>
          <w:rFonts w:ascii="Arial" w:hAnsi="Arial"/>
        </w:rPr>
        <w:t>learners</w:t>
      </w:r>
      <w:r w:rsidR="007A25EF" w:rsidRPr="007A776C">
        <w:rPr>
          <w:rFonts w:ascii="Arial" w:hAnsi="Arial"/>
        </w:rPr>
        <w:t xml:space="preserve">, </w:t>
      </w:r>
      <w:r w:rsidR="00EF7BEC" w:rsidRPr="007A776C">
        <w:rPr>
          <w:rFonts w:ascii="Arial" w:hAnsi="Arial"/>
        </w:rPr>
        <w:t xml:space="preserve">the economy and </w:t>
      </w:r>
      <w:r w:rsidR="007A25EF" w:rsidRPr="007A776C">
        <w:rPr>
          <w:rFonts w:ascii="Arial" w:hAnsi="Arial"/>
        </w:rPr>
        <w:t>society as a whole.</w:t>
      </w:r>
    </w:p>
    <w:p w:rsidR="00B25ED7" w:rsidRPr="007A776C" w:rsidRDefault="00920C5A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The Department </w:t>
      </w:r>
      <w:r w:rsidR="001B4010" w:rsidRPr="007A776C">
        <w:rPr>
          <w:rFonts w:ascii="Arial" w:hAnsi="Arial"/>
        </w:rPr>
        <w:t>is</w:t>
      </w:r>
      <w:r w:rsidR="008A6360" w:rsidRPr="007A776C" w:rsidDel="001B4010">
        <w:rPr>
          <w:rFonts w:ascii="Arial" w:hAnsi="Arial"/>
        </w:rPr>
        <w:t xml:space="preserve"> </w:t>
      </w:r>
      <w:r w:rsidR="008A6360" w:rsidRPr="007A776C">
        <w:rPr>
          <w:rFonts w:ascii="Arial" w:hAnsi="Arial"/>
        </w:rPr>
        <w:t>b</w:t>
      </w:r>
      <w:r w:rsidRPr="007A776C">
        <w:rPr>
          <w:rFonts w:ascii="Arial" w:hAnsi="Arial"/>
        </w:rPr>
        <w:t xml:space="preserve">etter able to </w:t>
      </w:r>
      <w:r w:rsidR="003E672A" w:rsidRPr="007A776C">
        <w:rPr>
          <w:rFonts w:ascii="Arial" w:hAnsi="Arial"/>
        </w:rPr>
        <w:t>achieve</w:t>
      </w:r>
      <w:r w:rsidRPr="007A776C">
        <w:rPr>
          <w:rFonts w:ascii="Arial" w:hAnsi="Arial"/>
        </w:rPr>
        <w:t xml:space="preserve"> its</w:t>
      </w:r>
      <w:r w:rsidR="00B25ED7" w:rsidRPr="007A776C">
        <w:rPr>
          <w:rFonts w:ascii="Arial" w:hAnsi="Arial"/>
        </w:rPr>
        <w:t xml:space="preserve"> </w:t>
      </w:r>
      <w:r w:rsidRPr="007A776C">
        <w:rPr>
          <w:rFonts w:ascii="Arial" w:hAnsi="Arial"/>
        </w:rPr>
        <w:t xml:space="preserve">objectivities </w:t>
      </w:r>
      <w:r w:rsidR="008A6360" w:rsidRPr="007A776C">
        <w:rPr>
          <w:rFonts w:ascii="Arial" w:hAnsi="Arial"/>
        </w:rPr>
        <w:t xml:space="preserve">if it </w:t>
      </w:r>
      <w:r w:rsidR="00E71AB9" w:rsidRPr="007A776C">
        <w:rPr>
          <w:rFonts w:ascii="Arial" w:hAnsi="Arial"/>
        </w:rPr>
        <w:t xml:space="preserve">productively </w:t>
      </w:r>
      <w:r w:rsidRPr="007A776C">
        <w:rPr>
          <w:rFonts w:ascii="Arial" w:hAnsi="Arial"/>
        </w:rPr>
        <w:t>engag</w:t>
      </w:r>
      <w:r w:rsidR="008A6360" w:rsidRPr="007A776C">
        <w:rPr>
          <w:rFonts w:ascii="Arial" w:hAnsi="Arial"/>
        </w:rPr>
        <w:t xml:space="preserve">es </w:t>
      </w:r>
      <w:r w:rsidRPr="007A776C">
        <w:rPr>
          <w:rFonts w:ascii="Arial" w:hAnsi="Arial"/>
        </w:rPr>
        <w:t xml:space="preserve">with </w:t>
      </w:r>
      <w:r w:rsidR="00B25ED7" w:rsidRPr="007A776C">
        <w:rPr>
          <w:rFonts w:ascii="Arial" w:hAnsi="Arial"/>
        </w:rPr>
        <w:t>individuals, organisations and businesses</w:t>
      </w:r>
      <w:r w:rsidR="00346BE6" w:rsidRPr="007A776C">
        <w:rPr>
          <w:rFonts w:ascii="Arial" w:hAnsi="Arial"/>
        </w:rPr>
        <w:t xml:space="preserve"> </w:t>
      </w:r>
      <w:r w:rsidR="001F0FDD" w:rsidRPr="007A776C">
        <w:rPr>
          <w:rFonts w:ascii="Arial" w:hAnsi="Arial"/>
        </w:rPr>
        <w:t>that support</w:t>
      </w:r>
      <w:r w:rsidR="00EF7BEC" w:rsidRPr="007A776C">
        <w:rPr>
          <w:rFonts w:ascii="Arial" w:hAnsi="Arial"/>
        </w:rPr>
        <w:t xml:space="preserve"> </w:t>
      </w:r>
      <w:r w:rsidR="001F0FDD" w:rsidRPr="007A776C">
        <w:rPr>
          <w:rFonts w:ascii="Arial" w:hAnsi="Arial"/>
        </w:rPr>
        <w:t>its practices and pursuits</w:t>
      </w:r>
      <w:r w:rsidR="00B25ED7" w:rsidRPr="007A776C">
        <w:rPr>
          <w:rFonts w:ascii="Arial" w:hAnsi="Arial"/>
        </w:rPr>
        <w:t>.</w:t>
      </w:r>
    </w:p>
    <w:p w:rsidR="008A6360" w:rsidRPr="007A776C" w:rsidRDefault="002A3340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Philanthropist</w:t>
      </w:r>
      <w:r w:rsidR="007921B8" w:rsidRPr="007A776C">
        <w:rPr>
          <w:rFonts w:ascii="Arial" w:hAnsi="Arial"/>
        </w:rPr>
        <w:t>s</w:t>
      </w:r>
      <w:r w:rsidRPr="007A776C">
        <w:rPr>
          <w:rFonts w:ascii="Arial" w:hAnsi="Arial"/>
        </w:rPr>
        <w:t xml:space="preserve"> </w:t>
      </w:r>
      <w:r w:rsidR="00346BE6" w:rsidRPr="007A776C">
        <w:rPr>
          <w:rFonts w:ascii="Arial" w:hAnsi="Arial"/>
        </w:rPr>
        <w:t xml:space="preserve">and </w:t>
      </w:r>
      <w:r w:rsidRPr="007A776C">
        <w:rPr>
          <w:rFonts w:ascii="Arial" w:hAnsi="Arial"/>
        </w:rPr>
        <w:t>not-for-profit organisation</w:t>
      </w:r>
      <w:r w:rsidR="00346BE6" w:rsidRPr="007A776C">
        <w:rPr>
          <w:rFonts w:ascii="Arial" w:hAnsi="Arial"/>
        </w:rPr>
        <w:t>s</w:t>
      </w:r>
      <w:r w:rsidRPr="007A776C">
        <w:rPr>
          <w:rFonts w:ascii="Arial" w:hAnsi="Arial"/>
        </w:rPr>
        <w:t xml:space="preserve"> </w:t>
      </w:r>
      <w:r w:rsidR="00346BE6" w:rsidRPr="007A776C">
        <w:rPr>
          <w:rFonts w:ascii="Arial" w:hAnsi="Arial"/>
        </w:rPr>
        <w:t>are</w:t>
      </w:r>
      <w:r w:rsidR="001B4010" w:rsidRPr="007A776C">
        <w:rPr>
          <w:rFonts w:ascii="Arial" w:hAnsi="Arial"/>
        </w:rPr>
        <w:t xml:space="preserve"> </w:t>
      </w:r>
      <w:r w:rsidR="008A6360" w:rsidRPr="007A776C" w:rsidDel="001B4010">
        <w:rPr>
          <w:rFonts w:ascii="Arial" w:hAnsi="Arial"/>
        </w:rPr>
        <w:t xml:space="preserve">playing </w:t>
      </w:r>
      <w:r w:rsidR="008A6360" w:rsidRPr="007A776C">
        <w:rPr>
          <w:rFonts w:ascii="Arial" w:hAnsi="Arial"/>
        </w:rPr>
        <w:t xml:space="preserve">an </w:t>
      </w:r>
      <w:r w:rsidR="00346BE6" w:rsidRPr="007A776C">
        <w:rPr>
          <w:rFonts w:ascii="Arial" w:hAnsi="Arial"/>
        </w:rPr>
        <w:t xml:space="preserve">increasingly </w:t>
      </w:r>
      <w:r w:rsidR="00846807" w:rsidRPr="007A776C">
        <w:rPr>
          <w:rFonts w:ascii="Arial" w:hAnsi="Arial"/>
        </w:rPr>
        <w:t xml:space="preserve">significant </w:t>
      </w:r>
      <w:r w:rsidR="000D6259" w:rsidRPr="007A776C">
        <w:rPr>
          <w:rFonts w:ascii="Arial" w:hAnsi="Arial"/>
        </w:rPr>
        <w:t>role in</w:t>
      </w:r>
      <w:r w:rsidR="00AF5264" w:rsidRPr="007A776C">
        <w:rPr>
          <w:rFonts w:ascii="Arial" w:hAnsi="Arial"/>
        </w:rPr>
        <w:t xml:space="preserve"> </w:t>
      </w:r>
      <w:r w:rsidR="001F0FDD" w:rsidRPr="007A776C">
        <w:rPr>
          <w:rFonts w:ascii="Arial" w:hAnsi="Arial"/>
        </w:rPr>
        <w:t xml:space="preserve">supporting </w:t>
      </w:r>
      <w:r w:rsidR="00846807" w:rsidRPr="007A776C">
        <w:rPr>
          <w:rFonts w:ascii="Arial" w:hAnsi="Arial"/>
        </w:rPr>
        <w:t xml:space="preserve">Victorian students and young people. </w:t>
      </w:r>
      <w:r w:rsidR="001F0FDD" w:rsidRPr="007A776C">
        <w:rPr>
          <w:rFonts w:ascii="Arial" w:hAnsi="Arial"/>
        </w:rPr>
        <w:t>L</w:t>
      </w:r>
      <w:r w:rsidR="00207F7E" w:rsidRPr="007A776C">
        <w:rPr>
          <w:rFonts w:ascii="Arial" w:hAnsi="Arial"/>
        </w:rPr>
        <w:t xml:space="preserve">ike the Department, </w:t>
      </w:r>
      <w:r w:rsidR="001F0FDD" w:rsidRPr="007A776C">
        <w:rPr>
          <w:rFonts w:ascii="Arial" w:hAnsi="Arial"/>
        </w:rPr>
        <w:t xml:space="preserve">they </w:t>
      </w:r>
      <w:r w:rsidR="00207F7E" w:rsidRPr="007A776C">
        <w:rPr>
          <w:rFonts w:ascii="Arial" w:hAnsi="Arial"/>
        </w:rPr>
        <w:t>are fundamentally in the business of ‘doing good’</w:t>
      </w:r>
      <w:r w:rsidR="007370F0" w:rsidRPr="007A776C">
        <w:rPr>
          <w:rFonts w:ascii="Arial" w:hAnsi="Arial"/>
        </w:rPr>
        <w:t xml:space="preserve"> </w:t>
      </w:r>
      <w:r w:rsidR="00EF7BEC" w:rsidRPr="007A776C">
        <w:rPr>
          <w:rFonts w:ascii="Arial" w:hAnsi="Arial"/>
        </w:rPr>
        <w:t xml:space="preserve">for </w:t>
      </w:r>
      <w:r w:rsidR="00F556AD" w:rsidRPr="007A776C">
        <w:rPr>
          <w:rFonts w:ascii="Arial" w:hAnsi="Arial"/>
        </w:rPr>
        <w:t>society</w:t>
      </w:r>
      <w:r w:rsidR="00E51369" w:rsidRPr="007A776C">
        <w:rPr>
          <w:rFonts w:ascii="Arial" w:hAnsi="Arial"/>
        </w:rPr>
        <w:t xml:space="preserve">. They </w:t>
      </w:r>
      <w:r w:rsidR="007370F0" w:rsidRPr="007A776C">
        <w:rPr>
          <w:rFonts w:ascii="Arial" w:hAnsi="Arial"/>
        </w:rPr>
        <w:t>often share similar objectiv</w:t>
      </w:r>
      <w:r w:rsidR="001F0FDD" w:rsidRPr="007A776C">
        <w:rPr>
          <w:rFonts w:ascii="Arial" w:hAnsi="Arial"/>
        </w:rPr>
        <w:t xml:space="preserve">es </w:t>
      </w:r>
      <w:r w:rsidR="00277BF5" w:rsidRPr="007A776C">
        <w:rPr>
          <w:rFonts w:ascii="Arial" w:hAnsi="Arial"/>
        </w:rPr>
        <w:t>to the Department</w:t>
      </w:r>
      <w:r w:rsidR="007370F0" w:rsidRPr="007A776C">
        <w:rPr>
          <w:rFonts w:ascii="Arial" w:hAnsi="Arial"/>
        </w:rPr>
        <w:t>.</w:t>
      </w:r>
      <w:r w:rsidR="00846807" w:rsidRPr="007A776C">
        <w:rPr>
          <w:rFonts w:ascii="Arial" w:hAnsi="Arial"/>
        </w:rPr>
        <w:t xml:space="preserve"> </w:t>
      </w:r>
      <w:r w:rsidR="006A3867" w:rsidRPr="007A776C">
        <w:rPr>
          <w:rFonts w:ascii="Arial" w:hAnsi="Arial"/>
        </w:rPr>
        <w:t>They</w:t>
      </w:r>
      <w:r w:rsidR="001B4010" w:rsidRPr="007A776C">
        <w:rPr>
          <w:rFonts w:ascii="Arial" w:hAnsi="Arial"/>
        </w:rPr>
        <w:t xml:space="preserve"> can</w:t>
      </w:r>
      <w:r w:rsidR="00261D2A" w:rsidRPr="007A776C">
        <w:rPr>
          <w:rFonts w:ascii="Arial" w:hAnsi="Arial"/>
        </w:rPr>
        <w:t xml:space="preserve"> </w:t>
      </w:r>
      <w:r w:rsidR="001B4010" w:rsidRPr="007A776C">
        <w:rPr>
          <w:rFonts w:ascii="Arial" w:hAnsi="Arial"/>
        </w:rPr>
        <w:t>enhance the Department</w:t>
      </w:r>
      <w:r w:rsidR="006A3867" w:rsidRPr="007A776C">
        <w:rPr>
          <w:rFonts w:ascii="Arial" w:hAnsi="Arial"/>
        </w:rPr>
        <w:t>’s</w:t>
      </w:r>
      <w:r w:rsidR="001B4010" w:rsidRPr="007A776C">
        <w:rPr>
          <w:rFonts w:ascii="Arial" w:hAnsi="Arial"/>
        </w:rPr>
        <w:t xml:space="preserve"> service provisions </w:t>
      </w:r>
      <w:r w:rsidR="006A3867" w:rsidRPr="007A776C">
        <w:rPr>
          <w:rFonts w:ascii="Arial" w:hAnsi="Arial"/>
        </w:rPr>
        <w:t xml:space="preserve">by </w:t>
      </w:r>
      <w:r w:rsidR="00F556AD" w:rsidRPr="007A776C">
        <w:rPr>
          <w:rFonts w:ascii="Arial" w:hAnsi="Arial"/>
        </w:rPr>
        <w:t>bring</w:t>
      </w:r>
      <w:r w:rsidR="006A3867" w:rsidRPr="007A776C">
        <w:rPr>
          <w:rFonts w:ascii="Arial" w:hAnsi="Arial"/>
        </w:rPr>
        <w:t>ing</w:t>
      </w:r>
      <w:r w:rsidR="00F556AD" w:rsidRPr="007A776C">
        <w:rPr>
          <w:rFonts w:ascii="Arial" w:hAnsi="Arial"/>
        </w:rPr>
        <w:t xml:space="preserve"> </w:t>
      </w:r>
      <w:r w:rsidR="008943EC" w:rsidRPr="007A776C">
        <w:rPr>
          <w:rFonts w:ascii="Arial" w:hAnsi="Arial"/>
        </w:rPr>
        <w:t>extra funding</w:t>
      </w:r>
      <w:r w:rsidR="008A6360" w:rsidRPr="007A776C">
        <w:rPr>
          <w:rFonts w:ascii="Arial" w:hAnsi="Arial"/>
        </w:rPr>
        <w:t xml:space="preserve"> and</w:t>
      </w:r>
      <w:r w:rsidR="008943EC" w:rsidRPr="007A776C">
        <w:rPr>
          <w:rFonts w:ascii="Arial" w:hAnsi="Arial"/>
        </w:rPr>
        <w:t xml:space="preserve"> expertise</w:t>
      </w:r>
      <w:r w:rsidR="00EF7BEC" w:rsidRPr="007A776C">
        <w:rPr>
          <w:rFonts w:ascii="Arial" w:hAnsi="Arial"/>
        </w:rPr>
        <w:t>, and</w:t>
      </w:r>
      <w:r w:rsidR="001B4010" w:rsidRPr="007A776C" w:rsidDel="002E7B49">
        <w:rPr>
          <w:rFonts w:ascii="Arial" w:hAnsi="Arial"/>
        </w:rPr>
        <w:t xml:space="preserve"> </w:t>
      </w:r>
      <w:r w:rsidR="001B4010" w:rsidRPr="007A776C">
        <w:rPr>
          <w:rFonts w:ascii="Arial" w:hAnsi="Arial"/>
        </w:rPr>
        <w:t>act</w:t>
      </w:r>
      <w:r w:rsidR="006A3867" w:rsidRPr="007A776C">
        <w:rPr>
          <w:rFonts w:ascii="Arial" w:hAnsi="Arial"/>
        </w:rPr>
        <w:t>ing</w:t>
      </w:r>
      <w:r w:rsidR="008A6360" w:rsidRPr="007A776C">
        <w:rPr>
          <w:rFonts w:ascii="Arial" w:hAnsi="Arial"/>
        </w:rPr>
        <w:t xml:space="preserve"> as </w:t>
      </w:r>
      <w:r w:rsidR="001B4010" w:rsidRPr="007A776C">
        <w:rPr>
          <w:rFonts w:ascii="Arial" w:hAnsi="Arial"/>
        </w:rPr>
        <w:t>broker</w:t>
      </w:r>
      <w:r w:rsidR="008943EC" w:rsidRPr="007A776C">
        <w:rPr>
          <w:rFonts w:ascii="Arial" w:hAnsi="Arial"/>
        </w:rPr>
        <w:t xml:space="preserve"> </w:t>
      </w:r>
      <w:r w:rsidR="001B4010" w:rsidRPr="007A776C">
        <w:rPr>
          <w:rFonts w:ascii="Arial" w:hAnsi="Arial"/>
        </w:rPr>
        <w:t xml:space="preserve">to </w:t>
      </w:r>
      <w:r w:rsidR="006A3867" w:rsidRPr="007A776C">
        <w:rPr>
          <w:rFonts w:ascii="Arial" w:hAnsi="Arial"/>
        </w:rPr>
        <w:t>expand</w:t>
      </w:r>
      <w:r w:rsidR="008943EC" w:rsidRPr="007A776C">
        <w:rPr>
          <w:rFonts w:ascii="Arial" w:hAnsi="Arial"/>
        </w:rPr>
        <w:t xml:space="preserve"> </w:t>
      </w:r>
      <w:r w:rsidR="001B4010" w:rsidRPr="007A776C">
        <w:rPr>
          <w:rFonts w:ascii="Arial" w:hAnsi="Arial"/>
        </w:rPr>
        <w:t xml:space="preserve">the </w:t>
      </w:r>
      <w:r w:rsidR="006A3867" w:rsidRPr="007A776C">
        <w:rPr>
          <w:rFonts w:ascii="Arial" w:hAnsi="Arial"/>
        </w:rPr>
        <w:t xml:space="preserve">Department’s </w:t>
      </w:r>
      <w:r w:rsidR="008943EC" w:rsidRPr="007A776C">
        <w:rPr>
          <w:rFonts w:ascii="Arial" w:hAnsi="Arial"/>
        </w:rPr>
        <w:t xml:space="preserve">access </w:t>
      </w:r>
      <w:r w:rsidR="008943EC" w:rsidRPr="007A776C" w:rsidDel="001B4010">
        <w:rPr>
          <w:rFonts w:ascii="Arial" w:hAnsi="Arial"/>
        </w:rPr>
        <w:t xml:space="preserve">to </w:t>
      </w:r>
      <w:r w:rsidR="008943EC" w:rsidRPr="007A776C">
        <w:rPr>
          <w:rFonts w:ascii="Arial" w:hAnsi="Arial"/>
        </w:rPr>
        <w:t>donors</w:t>
      </w:r>
      <w:r w:rsidR="001B4010" w:rsidRPr="007A776C">
        <w:rPr>
          <w:rFonts w:ascii="Arial" w:hAnsi="Arial"/>
        </w:rPr>
        <w:t xml:space="preserve"> </w:t>
      </w:r>
      <w:r w:rsidR="002E7B49" w:rsidRPr="007A776C">
        <w:rPr>
          <w:rFonts w:ascii="Arial" w:hAnsi="Arial"/>
        </w:rPr>
        <w:t>and</w:t>
      </w:r>
      <w:r w:rsidR="001B4010" w:rsidRPr="007A776C">
        <w:rPr>
          <w:rFonts w:ascii="Arial" w:hAnsi="Arial"/>
        </w:rPr>
        <w:t xml:space="preserve"> networks.</w:t>
      </w:r>
      <w:r w:rsidR="00C7591E" w:rsidRPr="007A776C" w:rsidDel="001B4010">
        <w:rPr>
          <w:rFonts w:ascii="Arial" w:hAnsi="Arial"/>
        </w:rPr>
        <w:t xml:space="preserve"> </w:t>
      </w:r>
      <w:r w:rsidR="006A3867" w:rsidRPr="007A776C">
        <w:rPr>
          <w:rFonts w:ascii="Arial" w:hAnsi="Arial"/>
        </w:rPr>
        <w:t>T</w:t>
      </w:r>
      <w:r w:rsidR="001B4010" w:rsidRPr="007A776C">
        <w:rPr>
          <w:rFonts w:ascii="Arial" w:hAnsi="Arial"/>
        </w:rPr>
        <w:t xml:space="preserve">hey can be </w:t>
      </w:r>
      <w:r w:rsidR="00C7591E" w:rsidRPr="007A776C">
        <w:rPr>
          <w:rFonts w:ascii="Arial" w:hAnsi="Arial"/>
        </w:rPr>
        <w:t>catalysts for innovation</w:t>
      </w:r>
      <w:r w:rsidR="008A6360" w:rsidRPr="007A776C">
        <w:rPr>
          <w:rFonts w:ascii="Arial" w:hAnsi="Arial"/>
        </w:rPr>
        <w:t>, shift</w:t>
      </w:r>
      <w:r w:rsidR="006A3867" w:rsidRPr="007A776C">
        <w:rPr>
          <w:rFonts w:ascii="Arial" w:hAnsi="Arial"/>
        </w:rPr>
        <w:t>ing</w:t>
      </w:r>
      <w:r w:rsidR="008A6360" w:rsidRPr="007A776C">
        <w:rPr>
          <w:rFonts w:ascii="Arial" w:hAnsi="Arial"/>
        </w:rPr>
        <w:t xml:space="preserve"> perceptions </w:t>
      </w:r>
      <w:r w:rsidR="002E7B49" w:rsidRPr="007A776C">
        <w:rPr>
          <w:rFonts w:ascii="Arial" w:hAnsi="Arial"/>
        </w:rPr>
        <w:t>and</w:t>
      </w:r>
      <w:r w:rsidR="00F461C5" w:rsidRPr="007A776C">
        <w:rPr>
          <w:rFonts w:ascii="Arial" w:hAnsi="Arial"/>
        </w:rPr>
        <w:t xml:space="preserve"> </w:t>
      </w:r>
      <w:r w:rsidR="008A6360" w:rsidRPr="007A776C">
        <w:rPr>
          <w:rFonts w:ascii="Arial" w:hAnsi="Arial"/>
        </w:rPr>
        <w:t>propos</w:t>
      </w:r>
      <w:r w:rsidR="006A3867" w:rsidRPr="007A776C">
        <w:rPr>
          <w:rFonts w:ascii="Arial" w:hAnsi="Arial"/>
        </w:rPr>
        <w:t>ing</w:t>
      </w:r>
      <w:r w:rsidR="00B60FC9" w:rsidRPr="007A776C">
        <w:rPr>
          <w:rFonts w:ascii="Arial" w:hAnsi="Arial"/>
        </w:rPr>
        <w:t xml:space="preserve"> </w:t>
      </w:r>
      <w:r w:rsidR="008A6360" w:rsidRPr="007A776C">
        <w:rPr>
          <w:rFonts w:ascii="Arial" w:hAnsi="Arial"/>
        </w:rPr>
        <w:t xml:space="preserve">novel approaches </w:t>
      </w:r>
      <w:r w:rsidR="00A55723" w:rsidRPr="007A776C">
        <w:rPr>
          <w:rFonts w:ascii="Arial" w:hAnsi="Arial"/>
        </w:rPr>
        <w:t xml:space="preserve">to help </w:t>
      </w:r>
      <w:r w:rsidR="00C82D95" w:rsidRPr="007A776C">
        <w:rPr>
          <w:rFonts w:ascii="Arial" w:hAnsi="Arial"/>
        </w:rPr>
        <w:t>solv</w:t>
      </w:r>
      <w:r w:rsidR="00A55723" w:rsidRPr="007A776C">
        <w:rPr>
          <w:rFonts w:ascii="Arial" w:hAnsi="Arial"/>
        </w:rPr>
        <w:t>e</w:t>
      </w:r>
      <w:r w:rsidR="00C82D95" w:rsidRPr="007A776C">
        <w:rPr>
          <w:rFonts w:ascii="Arial" w:hAnsi="Arial"/>
        </w:rPr>
        <w:t xml:space="preserve"> </w:t>
      </w:r>
      <w:r w:rsidR="008A6360" w:rsidRPr="007A776C">
        <w:rPr>
          <w:rFonts w:ascii="Arial" w:hAnsi="Arial"/>
        </w:rPr>
        <w:t xml:space="preserve">complex problems. </w:t>
      </w:r>
    </w:p>
    <w:p w:rsidR="00E43AF7" w:rsidRPr="007A776C" w:rsidRDefault="007921B8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W</w:t>
      </w:r>
      <w:r w:rsidR="00E43AF7" w:rsidRPr="007A776C">
        <w:rPr>
          <w:rFonts w:ascii="Arial" w:hAnsi="Arial"/>
        </w:rPr>
        <w:t xml:space="preserve">orking </w:t>
      </w:r>
      <w:r w:rsidRPr="007A776C">
        <w:rPr>
          <w:rFonts w:ascii="Arial" w:hAnsi="Arial"/>
        </w:rPr>
        <w:t>across sectors</w:t>
      </w:r>
      <w:r w:rsidR="00E43AF7" w:rsidRPr="007A776C">
        <w:rPr>
          <w:rFonts w:ascii="Arial" w:hAnsi="Arial"/>
        </w:rPr>
        <w:t xml:space="preserve"> is not easy</w:t>
      </w:r>
      <w:r w:rsidR="001C33F8" w:rsidRPr="007A776C">
        <w:rPr>
          <w:rFonts w:ascii="Arial" w:hAnsi="Arial"/>
        </w:rPr>
        <w:t>. It requires time, patience</w:t>
      </w:r>
      <w:r w:rsidR="001C5604" w:rsidRPr="007A776C">
        <w:rPr>
          <w:rFonts w:ascii="Arial" w:hAnsi="Arial"/>
        </w:rPr>
        <w:t xml:space="preserve">, understanding </w:t>
      </w:r>
      <w:r w:rsidR="001C33F8" w:rsidRPr="007A776C">
        <w:rPr>
          <w:rFonts w:ascii="Arial" w:hAnsi="Arial"/>
        </w:rPr>
        <w:t xml:space="preserve">and trust from all parties involved. </w:t>
      </w:r>
      <w:r w:rsidR="00C26D7E" w:rsidRPr="007A776C">
        <w:rPr>
          <w:rFonts w:ascii="Arial" w:hAnsi="Arial"/>
        </w:rPr>
        <w:t>C</w:t>
      </w:r>
      <w:r w:rsidR="001C33F8" w:rsidRPr="007A776C">
        <w:rPr>
          <w:rFonts w:ascii="Arial" w:hAnsi="Arial"/>
        </w:rPr>
        <w:t>ollaborati</w:t>
      </w:r>
      <w:r w:rsidR="004C665B" w:rsidRPr="007A776C">
        <w:rPr>
          <w:rFonts w:ascii="Arial" w:hAnsi="Arial"/>
        </w:rPr>
        <w:t xml:space="preserve">on </w:t>
      </w:r>
      <w:r w:rsidR="00C82D95" w:rsidRPr="007A776C">
        <w:rPr>
          <w:rFonts w:ascii="Arial" w:hAnsi="Arial"/>
        </w:rPr>
        <w:t xml:space="preserve">could </w:t>
      </w:r>
      <w:r w:rsidR="00240BDF" w:rsidRPr="007A776C">
        <w:rPr>
          <w:rFonts w:ascii="Arial" w:hAnsi="Arial"/>
        </w:rPr>
        <w:t xml:space="preserve">impose </w:t>
      </w:r>
      <w:r w:rsidR="004C665B" w:rsidRPr="007A776C">
        <w:rPr>
          <w:rFonts w:ascii="Arial" w:hAnsi="Arial"/>
        </w:rPr>
        <w:t xml:space="preserve">obligations and </w:t>
      </w:r>
      <w:r w:rsidR="00C82D95" w:rsidRPr="007A776C">
        <w:rPr>
          <w:rFonts w:ascii="Arial" w:hAnsi="Arial"/>
        </w:rPr>
        <w:t>reduc</w:t>
      </w:r>
      <w:r w:rsidR="00B60FC9" w:rsidRPr="007A776C">
        <w:rPr>
          <w:rFonts w:ascii="Arial" w:hAnsi="Arial"/>
        </w:rPr>
        <w:t xml:space="preserve">e </w:t>
      </w:r>
      <w:r w:rsidR="00C82D95" w:rsidRPr="007A776C">
        <w:rPr>
          <w:rFonts w:ascii="Arial" w:hAnsi="Arial"/>
        </w:rPr>
        <w:t xml:space="preserve">independence </w:t>
      </w:r>
      <w:r w:rsidR="00B60FC9" w:rsidRPr="007A776C">
        <w:rPr>
          <w:rFonts w:ascii="Arial" w:hAnsi="Arial"/>
        </w:rPr>
        <w:t xml:space="preserve">in </w:t>
      </w:r>
      <w:r w:rsidR="00C1447B" w:rsidRPr="007A776C">
        <w:rPr>
          <w:rFonts w:ascii="Arial" w:hAnsi="Arial"/>
        </w:rPr>
        <w:t>decision-making</w:t>
      </w:r>
      <w:r w:rsidR="003101A0" w:rsidRPr="007A776C">
        <w:rPr>
          <w:rFonts w:ascii="Arial" w:hAnsi="Arial"/>
        </w:rPr>
        <w:t>,</w:t>
      </w:r>
      <w:r w:rsidR="00B60FC9" w:rsidRPr="007A776C">
        <w:rPr>
          <w:rFonts w:ascii="Arial" w:hAnsi="Arial"/>
        </w:rPr>
        <w:t xml:space="preserve"> </w:t>
      </w:r>
      <w:r w:rsidR="00C82D95" w:rsidRPr="007A776C">
        <w:rPr>
          <w:rFonts w:ascii="Arial" w:hAnsi="Arial"/>
        </w:rPr>
        <w:t>which parties</w:t>
      </w:r>
      <w:r w:rsidR="007A3E08" w:rsidRPr="007A776C">
        <w:rPr>
          <w:rFonts w:ascii="Arial" w:hAnsi="Arial"/>
        </w:rPr>
        <w:t xml:space="preserve"> need</w:t>
      </w:r>
      <w:r w:rsidR="00C82D95" w:rsidRPr="007A776C">
        <w:rPr>
          <w:rFonts w:ascii="Arial" w:hAnsi="Arial"/>
        </w:rPr>
        <w:t xml:space="preserve"> </w:t>
      </w:r>
      <w:r w:rsidR="00B60FC9" w:rsidRPr="007A776C">
        <w:rPr>
          <w:rFonts w:ascii="Arial" w:hAnsi="Arial"/>
        </w:rPr>
        <w:t xml:space="preserve">to consider and be explicit about. To make cross-sector collaboration work, </w:t>
      </w:r>
      <w:r w:rsidR="00E43AF7" w:rsidRPr="007A776C">
        <w:rPr>
          <w:rFonts w:ascii="Arial" w:hAnsi="Arial"/>
        </w:rPr>
        <w:t>departmental</w:t>
      </w:r>
      <w:r w:rsidR="00365C11" w:rsidRPr="007A776C">
        <w:rPr>
          <w:rFonts w:ascii="Arial" w:hAnsi="Arial"/>
        </w:rPr>
        <w:t xml:space="preserve"> and school-based </w:t>
      </w:r>
      <w:r w:rsidR="00E43AF7" w:rsidRPr="007A776C">
        <w:rPr>
          <w:rFonts w:ascii="Arial" w:hAnsi="Arial"/>
        </w:rPr>
        <w:t>staff need to develop capabilities</w:t>
      </w:r>
      <w:r w:rsidR="00834399" w:rsidRPr="007A776C">
        <w:rPr>
          <w:rFonts w:ascii="Arial" w:hAnsi="Arial"/>
        </w:rPr>
        <w:t xml:space="preserve"> and</w:t>
      </w:r>
      <w:r w:rsidR="00E43AF7" w:rsidRPr="007A776C">
        <w:rPr>
          <w:rFonts w:ascii="Arial" w:hAnsi="Arial"/>
        </w:rPr>
        <w:t xml:space="preserve"> apply disciplines to </w:t>
      </w:r>
      <w:r w:rsidR="004C665B" w:rsidRPr="007A776C">
        <w:rPr>
          <w:rFonts w:ascii="Arial" w:hAnsi="Arial"/>
        </w:rPr>
        <w:t xml:space="preserve">build and manage </w:t>
      </w:r>
      <w:r w:rsidR="003101A0" w:rsidRPr="007A776C">
        <w:rPr>
          <w:rFonts w:ascii="Arial" w:hAnsi="Arial"/>
        </w:rPr>
        <w:t>partnerships</w:t>
      </w:r>
      <w:r w:rsidR="00240BDF" w:rsidRPr="007A776C">
        <w:rPr>
          <w:rFonts w:ascii="Arial" w:hAnsi="Arial"/>
        </w:rPr>
        <w:t xml:space="preserve"> effectively</w:t>
      </w:r>
      <w:r w:rsidR="00E43AF7" w:rsidRPr="007A776C">
        <w:rPr>
          <w:rFonts w:ascii="Arial" w:hAnsi="Arial"/>
        </w:rPr>
        <w:t>.</w:t>
      </w:r>
    </w:p>
    <w:p w:rsidR="001C5604" w:rsidRPr="00D343DF" w:rsidRDefault="001C5604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 xml:space="preserve">Philanthropic engagements need </w:t>
      </w:r>
      <w:r w:rsidR="004453E7" w:rsidRPr="00D343DF">
        <w:rPr>
          <w:rFonts w:ascii="Arial" w:hAnsi="Arial"/>
          <w:color w:val="C00000"/>
          <w:sz w:val="24"/>
          <w:szCs w:val="24"/>
        </w:rPr>
        <w:t xml:space="preserve">to have regard </w:t>
      </w:r>
      <w:r w:rsidR="00C1447B" w:rsidRPr="00D343DF">
        <w:rPr>
          <w:rFonts w:ascii="Arial" w:hAnsi="Arial"/>
          <w:color w:val="C00000"/>
          <w:sz w:val="24"/>
          <w:szCs w:val="24"/>
        </w:rPr>
        <w:t xml:space="preserve">to responsible </w:t>
      </w:r>
      <w:r w:rsidRPr="00D343DF">
        <w:rPr>
          <w:rFonts w:ascii="Arial" w:hAnsi="Arial"/>
          <w:color w:val="C00000"/>
          <w:sz w:val="24"/>
          <w:szCs w:val="24"/>
        </w:rPr>
        <w:t>public resource management</w:t>
      </w:r>
    </w:p>
    <w:p w:rsidR="004B57BA" w:rsidRPr="007A776C" w:rsidRDefault="009C0AE2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The Department ha</w:t>
      </w:r>
      <w:r w:rsidR="00261D2A" w:rsidRPr="007A776C">
        <w:rPr>
          <w:rFonts w:ascii="Arial" w:hAnsi="Arial"/>
        </w:rPr>
        <w:t>s</w:t>
      </w:r>
      <w:r w:rsidRPr="007A776C">
        <w:rPr>
          <w:rFonts w:ascii="Arial" w:hAnsi="Arial"/>
        </w:rPr>
        <w:t xml:space="preserve"> </w:t>
      </w:r>
      <w:r w:rsidR="00C1447B" w:rsidRPr="007A776C">
        <w:rPr>
          <w:rFonts w:ascii="Arial" w:hAnsi="Arial"/>
        </w:rPr>
        <w:t xml:space="preserve">legislative </w:t>
      </w:r>
      <w:r w:rsidRPr="007A776C">
        <w:rPr>
          <w:rFonts w:ascii="Arial" w:hAnsi="Arial"/>
        </w:rPr>
        <w:t>responsibilities to achieve a high standard of public financial management and accountability. There is no exception to</w:t>
      </w:r>
      <w:r w:rsidR="00672CE3" w:rsidRPr="007A776C">
        <w:rPr>
          <w:rFonts w:ascii="Arial" w:hAnsi="Arial"/>
        </w:rPr>
        <w:t xml:space="preserve"> </w:t>
      </w:r>
      <w:r w:rsidRPr="007A776C" w:rsidDel="00672CE3">
        <w:rPr>
          <w:rFonts w:ascii="Arial" w:hAnsi="Arial"/>
        </w:rPr>
        <w:t xml:space="preserve">such responsibilities </w:t>
      </w:r>
      <w:r w:rsidR="00866202" w:rsidRPr="007A776C">
        <w:rPr>
          <w:rFonts w:ascii="Arial" w:hAnsi="Arial"/>
        </w:rPr>
        <w:t>when it comes to using</w:t>
      </w:r>
      <w:r w:rsidRPr="007A776C">
        <w:rPr>
          <w:rFonts w:ascii="Arial" w:hAnsi="Arial"/>
        </w:rPr>
        <w:t xml:space="preserve"> resources </w:t>
      </w:r>
      <w:r w:rsidR="00C1447B" w:rsidRPr="007A776C">
        <w:rPr>
          <w:rFonts w:ascii="Arial" w:hAnsi="Arial"/>
        </w:rPr>
        <w:t xml:space="preserve">offered by </w:t>
      </w:r>
      <w:r w:rsidR="004C0E71" w:rsidRPr="007A776C">
        <w:rPr>
          <w:rFonts w:ascii="Arial" w:hAnsi="Arial"/>
        </w:rPr>
        <w:t>philanthropists and not-for-profits</w:t>
      </w:r>
      <w:r w:rsidRPr="007A776C">
        <w:rPr>
          <w:rFonts w:ascii="Arial" w:hAnsi="Arial"/>
        </w:rPr>
        <w:t>.</w:t>
      </w:r>
    </w:p>
    <w:p w:rsidR="006B17D5" w:rsidRPr="007A776C" w:rsidRDefault="001B6E9F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Philanthropic partnerships </w:t>
      </w:r>
      <w:r w:rsidR="00051FEC" w:rsidRPr="007A776C">
        <w:rPr>
          <w:rFonts w:ascii="Arial" w:hAnsi="Arial"/>
        </w:rPr>
        <w:t xml:space="preserve">may </w:t>
      </w:r>
      <w:r w:rsidRPr="007A776C">
        <w:rPr>
          <w:rFonts w:ascii="Arial" w:hAnsi="Arial"/>
        </w:rPr>
        <w:t xml:space="preserve">require </w:t>
      </w:r>
      <w:r w:rsidR="00F81392" w:rsidRPr="007A776C">
        <w:rPr>
          <w:rFonts w:ascii="Arial" w:hAnsi="Arial"/>
        </w:rPr>
        <w:t xml:space="preserve">the Department </w:t>
      </w:r>
      <w:r w:rsidRPr="007A776C">
        <w:rPr>
          <w:rFonts w:ascii="Arial" w:hAnsi="Arial"/>
        </w:rPr>
        <w:t xml:space="preserve">to consider making </w:t>
      </w:r>
      <w:r w:rsidR="00F81392" w:rsidRPr="007A776C">
        <w:rPr>
          <w:rFonts w:ascii="Arial" w:hAnsi="Arial"/>
        </w:rPr>
        <w:t>commit</w:t>
      </w:r>
      <w:r w:rsidRPr="007A776C">
        <w:rPr>
          <w:rFonts w:ascii="Arial" w:hAnsi="Arial"/>
        </w:rPr>
        <w:t xml:space="preserve">ments of </w:t>
      </w:r>
      <w:r w:rsidR="00F81392" w:rsidRPr="007A776C">
        <w:rPr>
          <w:rFonts w:ascii="Arial" w:hAnsi="Arial"/>
        </w:rPr>
        <w:t xml:space="preserve">public resources </w:t>
      </w:r>
      <w:r w:rsidRPr="007A776C">
        <w:rPr>
          <w:rFonts w:ascii="Arial" w:hAnsi="Arial"/>
        </w:rPr>
        <w:t xml:space="preserve">and </w:t>
      </w:r>
      <w:r w:rsidR="00D06E61" w:rsidRPr="007A776C">
        <w:rPr>
          <w:rFonts w:ascii="Arial" w:hAnsi="Arial"/>
        </w:rPr>
        <w:t xml:space="preserve">to </w:t>
      </w:r>
      <w:r w:rsidR="00F81392" w:rsidRPr="007A776C">
        <w:rPr>
          <w:rFonts w:ascii="Arial" w:hAnsi="Arial"/>
        </w:rPr>
        <w:t>accept</w:t>
      </w:r>
      <w:r w:rsidRPr="007A776C">
        <w:rPr>
          <w:rFonts w:ascii="Arial" w:hAnsi="Arial"/>
        </w:rPr>
        <w:t xml:space="preserve"> </w:t>
      </w:r>
      <w:r w:rsidR="00F81392" w:rsidRPr="007A776C">
        <w:rPr>
          <w:rFonts w:ascii="Arial" w:hAnsi="Arial"/>
        </w:rPr>
        <w:t>or refus</w:t>
      </w:r>
      <w:r w:rsidR="00D06E61" w:rsidRPr="007A776C">
        <w:rPr>
          <w:rFonts w:ascii="Arial" w:hAnsi="Arial"/>
        </w:rPr>
        <w:t>e</w:t>
      </w:r>
      <w:r w:rsidR="00F81392" w:rsidRPr="007A776C">
        <w:rPr>
          <w:rFonts w:ascii="Arial" w:hAnsi="Arial"/>
        </w:rPr>
        <w:t xml:space="preserve"> donations.</w:t>
      </w:r>
      <w:r w:rsidR="004B57BA" w:rsidRPr="007A776C">
        <w:rPr>
          <w:rFonts w:ascii="Arial" w:hAnsi="Arial"/>
        </w:rPr>
        <w:t xml:space="preserve"> </w:t>
      </w:r>
      <w:r w:rsidR="003F71F2" w:rsidRPr="007A776C">
        <w:rPr>
          <w:rFonts w:ascii="Arial" w:hAnsi="Arial"/>
        </w:rPr>
        <w:t>In this regard, d</w:t>
      </w:r>
      <w:r w:rsidR="004B57BA" w:rsidRPr="007A776C">
        <w:rPr>
          <w:rFonts w:ascii="Arial" w:hAnsi="Arial"/>
        </w:rPr>
        <w:t xml:space="preserve">epartmental </w:t>
      </w:r>
      <w:r w:rsidR="00A22882" w:rsidRPr="007A776C">
        <w:rPr>
          <w:rFonts w:ascii="Arial" w:hAnsi="Arial"/>
        </w:rPr>
        <w:t xml:space="preserve">and school-based </w:t>
      </w:r>
      <w:r w:rsidR="004B57BA" w:rsidRPr="007A776C">
        <w:rPr>
          <w:rFonts w:ascii="Arial" w:hAnsi="Arial"/>
        </w:rPr>
        <w:t xml:space="preserve">staff </w:t>
      </w:r>
      <w:r w:rsidR="00F70BD8" w:rsidRPr="007A776C">
        <w:rPr>
          <w:rFonts w:ascii="Arial" w:hAnsi="Arial"/>
        </w:rPr>
        <w:t xml:space="preserve">must </w:t>
      </w:r>
      <w:r w:rsidR="004B57BA" w:rsidRPr="007A776C">
        <w:rPr>
          <w:rFonts w:ascii="Arial" w:hAnsi="Arial"/>
        </w:rPr>
        <w:t xml:space="preserve">comply with relevant </w:t>
      </w:r>
      <w:r w:rsidR="0018195B" w:rsidRPr="007A776C">
        <w:rPr>
          <w:rFonts w:ascii="Arial" w:hAnsi="Arial"/>
        </w:rPr>
        <w:t>legislati</w:t>
      </w:r>
      <w:r w:rsidR="00CA6FE0" w:rsidRPr="007A776C">
        <w:rPr>
          <w:rFonts w:ascii="Arial" w:hAnsi="Arial"/>
        </w:rPr>
        <w:t xml:space="preserve">on </w:t>
      </w:r>
      <w:r w:rsidR="004B57BA" w:rsidRPr="007A776C">
        <w:rPr>
          <w:rFonts w:ascii="Arial" w:hAnsi="Arial"/>
        </w:rPr>
        <w:t xml:space="preserve">and follow </w:t>
      </w:r>
      <w:r w:rsidR="0018195B" w:rsidRPr="007A776C">
        <w:rPr>
          <w:rFonts w:ascii="Arial" w:hAnsi="Arial"/>
        </w:rPr>
        <w:t xml:space="preserve">regulatory </w:t>
      </w:r>
      <w:r w:rsidR="004B57BA" w:rsidRPr="007A776C">
        <w:rPr>
          <w:rFonts w:ascii="Arial" w:hAnsi="Arial"/>
        </w:rPr>
        <w:t>best practices.</w:t>
      </w:r>
    </w:p>
    <w:p w:rsidR="0012158E" w:rsidRDefault="001B6E9F" w:rsidP="007A776C">
      <w:pPr>
        <w:pStyle w:val="CommentText"/>
        <w:keepNext/>
        <w:jc w:val="both"/>
        <w:rPr>
          <w:rFonts w:ascii="Arial" w:hAnsi="Arial"/>
        </w:rPr>
      </w:pPr>
      <w:r w:rsidRPr="007A776C">
        <w:rPr>
          <w:rFonts w:ascii="Arial" w:hAnsi="Arial"/>
        </w:rPr>
        <w:t>In relation to expenditure of public funds, t</w:t>
      </w:r>
      <w:r w:rsidR="006A68BF" w:rsidRPr="007A776C">
        <w:rPr>
          <w:rFonts w:ascii="Arial" w:hAnsi="Arial"/>
        </w:rPr>
        <w:t xml:space="preserve">he </w:t>
      </w:r>
      <w:r w:rsidR="006A68BF" w:rsidRPr="007A776C">
        <w:rPr>
          <w:rFonts w:ascii="Arial" w:hAnsi="Arial"/>
          <w:i/>
        </w:rPr>
        <w:t>Financial Management Act 1994</w:t>
      </w:r>
      <w:r w:rsidR="006A68BF" w:rsidRPr="007A776C">
        <w:rPr>
          <w:rFonts w:ascii="Arial" w:hAnsi="Arial"/>
        </w:rPr>
        <w:t xml:space="preserve"> (FMA) provides the over</w:t>
      </w:r>
      <w:r w:rsidR="001A77C3" w:rsidRPr="007A776C">
        <w:rPr>
          <w:rFonts w:ascii="Arial" w:hAnsi="Arial"/>
        </w:rPr>
        <w:t xml:space="preserve">arching </w:t>
      </w:r>
      <w:r w:rsidR="006A68BF" w:rsidRPr="007A776C">
        <w:rPr>
          <w:rFonts w:ascii="Arial" w:hAnsi="Arial"/>
        </w:rPr>
        <w:t>framework for financial accountability, reporting and administration obligations of the Department.</w:t>
      </w:r>
      <w:r w:rsidRPr="007A776C">
        <w:rPr>
          <w:rFonts w:ascii="Arial" w:hAnsi="Arial"/>
        </w:rPr>
        <w:t xml:space="preserve"> </w:t>
      </w:r>
      <w:r w:rsidR="00051FEC" w:rsidRPr="007A776C">
        <w:rPr>
          <w:rFonts w:ascii="Arial" w:hAnsi="Arial"/>
        </w:rPr>
        <w:t>Under the FMA, t</w:t>
      </w:r>
      <w:r w:rsidR="0012158E" w:rsidRPr="007A776C">
        <w:rPr>
          <w:rFonts w:ascii="Arial" w:hAnsi="Arial"/>
        </w:rPr>
        <w:t xml:space="preserve">he </w:t>
      </w:r>
      <w:r w:rsidR="0012158E" w:rsidRPr="007A776C">
        <w:rPr>
          <w:rFonts w:ascii="Arial" w:hAnsi="Arial"/>
          <w:i/>
        </w:rPr>
        <w:t>Standing Directions of the Minister for Finance 2016</w:t>
      </w:r>
      <w:r w:rsidR="0012158E" w:rsidRPr="007A776C">
        <w:rPr>
          <w:rFonts w:ascii="Arial" w:hAnsi="Arial"/>
        </w:rPr>
        <w:t xml:space="preserve"> requires the Department to implement and maintain effective financial management controls.</w:t>
      </w:r>
      <w:r w:rsidR="00AA092A" w:rsidRPr="007A776C">
        <w:rPr>
          <w:rFonts w:ascii="Arial" w:hAnsi="Arial"/>
        </w:rPr>
        <w:t xml:space="preserve"> </w:t>
      </w:r>
      <w:r w:rsidR="001F4309" w:rsidRPr="007A776C">
        <w:rPr>
          <w:rFonts w:ascii="Arial" w:hAnsi="Arial"/>
        </w:rPr>
        <w:t xml:space="preserve">To the extent the Department’s </w:t>
      </w:r>
      <w:r w:rsidR="006964D1" w:rsidRPr="007A776C">
        <w:rPr>
          <w:rFonts w:ascii="Arial" w:hAnsi="Arial"/>
        </w:rPr>
        <w:t xml:space="preserve">involvement in </w:t>
      </w:r>
      <w:r w:rsidR="00051FEC" w:rsidRPr="007A776C">
        <w:rPr>
          <w:rFonts w:ascii="Arial" w:hAnsi="Arial"/>
        </w:rPr>
        <w:t>philanthrop</w:t>
      </w:r>
      <w:r w:rsidR="0018195B" w:rsidRPr="007A776C">
        <w:rPr>
          <w:rFonts w:ascii="Arial" w:hAnsi="Arial"/>
        </w:rPr>
        <w:t>y</w:t>
      </w:r>
      <w:r w:rsidR="00051FEC" w:rsidRPr="007A776C">
        <w:rPr>
          <w:rFonts w:ascii="Arial" w:hAnsi="Arial"/>
        </w:rPr>
        <w:t xml:space="preserve"> give</w:t>
      </w:r>
      <w:r w:rsidR="0018195B" w:rsidRPr="007A776C">
        <w:rPr>
          <w:rFonts w:ascii="Arial" w:hAnsi="Arial"/>
        </w:rPr>
        <w:t>s</w:t>
      </w:r>
      <w:r w:rsidR="00051FEC" w:rsidRPr="007A776C">
        <w:rPr>
          <w:rFonts w:ascii="Arial" w:hAnsi="Arial"/>
        </w:rPr>
        <w:t xml:space="preserve"> rise to </w:t>
      </w:r>
      <w:r w:rsidR="004C0E71" w:rsidRPr="007A776C">
        <w:rPr>
          <w:rFonts w:ascii="Arial" w:hAnsi="Arial"/>
        </w:rPr>
        <w:t xml:space="preserve">the </w:t>
      </w:r>
      <w:r w:rsidR="00B005FC" w:rsidRPr="007A776C">
        <w:rPr>
          <w:rFonts w:ascii="Arial" w:hAnsi="Arial"/>
        </w:rPr>
        <w:t>acquisition of assets, goods and services</w:t>
      </w:r>
      <w:r w:rsidR="00690721" w:rsidRPr="007A776C">
        <w:rPr>
          <w:rFonts w:ascii="Arial" w:hAnsi="Arial"/>
        </w:rPr>
        <w:t>, the</w:t>
      </w:r>
      <w:r w:rsidR="00B005FC" w:rsidRPr="007A776C">
        <w:rPr>
          <w:rFonts w:ascii="Arial" w:hAnsi="Arial"/>
        </w:rPr>
        <w:t xml:space="preserve"> </w:t>
      </w:r>
      <w:r w:rsidR="0012158E" w:rsidRPr="007A776C">
        <w:rPr>
          <w:rFonts w:ascii="Arial" w:hAnsi="Arial"/>
        </w:rPr>
        <w:t>Standing Direction 4.2.1 requires</w:t>
      </w:r>
      <w:r w:rsidR="00B005FC" w:rsidRPr="007A776C">
        <w:rPr>
          <w:rFonts w:ascii="Arial" w:hAnsi="Arial"/>
        </w:rPr>
        <w:t xml:space="preserve"> the</w:t>
      </w:r>
      <w:r w:rsidR="0012158E" w:rsidRPr="007A776C">
        <w:rPr>
          <w:rFonts w:ascii="Arial" w:hAnsi="Arial"/>
        </w:rPr>
        <w:t xml:space="preserve"> Department</w:t>
      </w:r>
      <w:r w:rsidR="00B005FC" w:rsidRPr="007A776C">
        <w:rPr>
          <w:rFonts w:ascii="Arial" w:hAnsi="Arial"/>
        </w:rPr>
        <w:t xml:space="preserve"> to</w:t>
      </w:r>
      <w:r w:rsidR="0012158E" w:rsidRPr="007A776C">
        <w:rPr>
          <w:rFonts w:ascii="Arial" w:hAnsi="Arial"/>
        </w:rPr>
        <w:t>, among other matters:</w:t>
      </w:r>
    </w:p>
    <w:p w:rsidR="00341E08" w:rsidRDefault="00341E08" w:rsidP="007A776C">
      <w:pPr>
        <w:pStyle w:val="CommentText"/>
        <w:keepNext/>
        <w:jc w:val="both"/>
        <w:rPr>
          <w:rFonts w:ascii="Arial" w:hAnsi="Arial"/>
        </w:rPr>
        <w:sectPr w:rsidR="00341E08" w:rsidSect="000A711B">
          <w:footerReference w:type="default" r:id="rId13"/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:rsidR="00341E08" w:rsidRPr="007A776C" w:rsidRDefault="00341E08" w:rsidP="007A776C">
      <w:pPr>
        <w:pStyle w:val="CommentText"/>
        <w:keepNext/>
        <w:jc w:val="both"/>
        <w:rPr>
          <w:rFonts w:ascii="Arial" w:hAnsi="Arial"/>
        </w:rPr>
      </w:pPr>
    </w:p>
    <w:p w:rsidR="0012158E" w:rsidRPr="007A776C" w:rsidRDefault="0012158E" w:rsidP="007A776C">
      <w:pPr>
        <w:pStyle w:val="ListParagraph"/>
        <w:numPr>
          <w:ilvl w:val="0"/>
          <w:numId w:val="2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establish, maintain and embed appropriate governance arrangements</w:t>
      </w:r>
    </w:p>
    <w:p w:rsidR="0012158E" w:rsidRPr="007A776C" w:rsidRDefault="0012158E" w:rsidP="007A776C">
      <w:pPr>
        <w:pStyle w:val="ListParagraph"/>
        <w:numPr>
          <w:ilvl w:val="0"/>
          <w:numId w:val="2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ha</w:t>
      </w:r>
      <w:r w:rsidR="00051FEC" w:rsidRPr="007A776C">
        <w:rPr>
          <w:rFonts w:ascii="Arial" w:hAnsi="Arial" w:cs="Arial"/>
          <w:szCs w:val="20"/>
        </w:rPr>
        <w:t>ve</w:t>
      </w:r>
      <w:r w:rsidRPr="007A776C">
        <w:rPr>
          <w:rFonts w:ascii="Arial" w:hAnsi="Arial" w:cs="Arial"/>
          <w:szCs w:val="20"/>
        </w:rPr>
        <w:t xml:space="preserve"> appropriate capability to manage the acquisition</w:t>
      </w:r>
      <w:r w:rsidR="004C0E71" w:rsidRPr="007A776C">
        <w:rPr>
          <w:rFonts w:ascii="Arial" w:hAnsi="Arial" w:cs="Arial"/>
          <w:szCs w:val="20"/>
        </w:rPr>
        <w:t xml:space="preserve"> over the life cycle of</w:t>
      </w:r>
      <w:r w:rsidRPr="007A776C">
        <w:rPr>
          <w:rFonts w:ascii="Arial" w:hAnsi="Arial" w:cs="Arial"/>
          <w:szCs w:val="20"/>
        </w:rPr>
        <w:t xml:space="preserve"> the acquisition</w:t>
      </w:r>
    </w:p>
    <w:p w:rsidR="0012158E" w:rsidRPr="007A776C" w:rsidRDefault="00051FEC" w:rsidP="007A776C">
      <w:pPr>
        <w:pStyle w:val="ListParagraph"/>
        <w:numPr>
          <w:ilvl w:val="0"/>
          <w:numId w:val="2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be </w:t>
      </w:r>
      <w:r w:rsidR="0012158E" w:rsidRPr="007A776C">
        <w:rPr>
          <w:rFonts w:ascii="Arial" w:hAnsi="Arial" w:cs="Arial"/>
          <w:szCs w:val="20"/>
        </w:rPr>
        <w:t>able to demonstrate that any financial commitment, obligation or expenditure delivers value for money for the Department or the Government</w:t>
      </w:r>
    </w:p>
    <w:p w:rsidR="0012158E" w:rsidRPr="007A776C" w:rsidRDefault="0012158E" w:rsidP="007A776C">
      <w:pPr>
        <w:pStyle w:val="ListParagraph"/>
        <w:numPr>
          <w:ilvl w:val="0"/>
          <w:numId w:val="2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undertake investment planning and evaluation of performance when its planning has identified the need to acquire significant services, assets or infrastructure.</w:t>
      </w:r>
    </w:p>
    <w:p w:rsidR="00A22882" w:rsidRPr="007A776C" w:rsidRDefault="00A22882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The Standing Direction</w:t>
      </w:r>
      <w:r w:rsidR="00DD617E" w:rsidRPr="007A776C">
        <w:rPr>
          <w:rFonts w:ascii="Arial" w:hAnsi="Arial"/>
        </w:rPr>
        <w:t xml:space="preserve"> 3.4 m</w:t>
      </w:r>
      <w:r w:rsidRPr="007A776C">
        <w:rPr>
          <w:rFonts w:ascii="Arial" w:hAnsi="Arial"/>
        </w:rPr>
        <w:t xml:space="preserve">akes provision </w:t>
      </w:r>
      <w:r w:rsidR="00DD617E" w:rsidRPr="007A776C">
        <w:rPr>
          <w:rFonts w:ascii="Arial" w:hAnsi="Arial"/>
        </w:rPr>
        <w:t xml:space="preserve">for </w:t>
      </w:r>
      <w:r w:rsidRPr="007A776C">
        <w:rPr>
          <w:rFonts w:ascii="Arial" w:hAnsi="Arial"/>
        </w:rPr>
        <w:t>the</w:t>
      </w:r>
      <w:r w:rsidR="00DD617E" w:rsidRPr="007A776C">
        <w:rPr>
          <w:rFonts w:ascii="Arial" w:hAnsi="Arial"/>
        </w:rPr>
        <w:t xml:space="preserve"> Department establishing comparable requirements for school councils. </w:t>
      </w:r>
    </w:p>
    <w:p w:rsidR="00CC5576" w:rsidRPr="007A776C" w:rsidRDefault="004B57BA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Regulatory advice on donations appears in the publication </w:t>
      </w:r>
      <w:r w:rsidR="00AA092A" w:rsidRPr="007A776C">
        <w:rPr>
          <w:rFonts w:ascii="Arial" w:hAnsi="Arial"/>
          <w:i/>
        </w:rPr>
        <w:t>Guidance Supporting the Standing Directions of the Minister for Finance 2016</w:t>
      </w:r>
      <w:r w:rsidRPr="007A776C">
        <w:rPr>
          <w:rFonts w:ascii="Arial" w:hAnsi="Arial"/>
        </w:rPr>
        <w:t xml:space="preserve">. The Department of Treasury and Finance </w:t>
      </w:r>
      <w:r w:rsidR="004C0E71" w:rsidRPr="007A776C">
        <w:rPr>
          <w:rFonts w:ascii="Arial" w:hAnsi="Arial"/>
        </w:rPr>
        <w:t xml:space="preserve">issued </w:t>
      </w:r>
      <w:r w:rsidRPr="007A776C">
        <w:rPr>
          <w:rFonts w:ascii="Arial" w:hAnsi="Arial"/>
        </w:rPr>
        <w:t xml:space="preserve">this guide to </w:t>
      </w:r>
      <w:r w:rsidR="000561F9" w:rsidRPr="007A776C">
        <w:rPr>
          <w:rFonts w:ascii="Arial" w:hAnsi="Arial"/>
        </w:rPr>
        <w:t xml:space="preserve">provide information </w:t>
      </w:r>
      <w:r w:rsidR="003F71F2" w:rsidRPr="007A776C">
        <w:rPr>
          <w:rFonts w:ascii="Arial" w:hAnsi="Arial"/>
        </w:rPr>
        <w:t>that supports t</w:t>
      </w:r>
      <w:r w:rsidR="00B151C1" w:rsidRPr="007A776C">
        <w:rPr>
          <w:rFonts w:ascii="Arial" w:hAnsi="Arial"/>
        </w:rPr>
        <w:t xml:space="preserve">he implementation of </w:t>
      </w:r>
      <w:r w:rsidR="000561F9" w:rsidRPr="007A776C">
        <w:rPr>
          <w:rFonts w:ascii="Arial" w:hAnsi="Arial"/>
        </w:rPr>
        <w:t xml:space="preserve">the Standing Directions. </w:t>
      </w:r>
      <w:r w:rsidR="002D6E22" w:rsidRPr="007A776C">
        <w:rPr>
          <w:rFonts w:ascii="Arial" w:hAnsi="Arial"/>
        </w:rPr>
        <w:t xml:space="preserve">According to this guide, </w:t>
      </w:r>
      <w:r w:rsidR="005E3B72" w:rsidRPr="007A776C">
        <w:rPr>
          <w:rFonts w:ascii="Arial" w:hAnsi="Arial"/>
        </w:rPr>
        <w:t>‘giving or receiving a donation would normally require a strong rationale and a high level of approval within an Agency’ and ‘Agencies that more regularly deal with donations … should have more detailed policies and procedures in place.’</w:t>
      </w:r>
      <w:r w:rsidR="008539CD" w:rsidRPr="007A776C">
        <w:rPr>
          <w:rStyle w:val="FootnoteReference"/>
          <w:rFonts w:ascii="Arial" w:hAnsi="Arial"/>
        </w:rPr>
        <w:footnoteReference w:id="2"/>
      </w:r>
      <w:r w:rsidR="00FC5B6E" w:rsidRPr="007A776C">
        <w:rPr>
          <w:rFonts w:ascii="Arial" w:hAnsi="Arial"/>
        </w:rPr>
        <w:t xml:space="preserve"> </w:t>
      </w:r>
    </w:p>
    <w:p w:rsidR="00D26AC9" w:rsidRPr="00D343DF" w:rsidRDefault="00D26AC9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 xml:space="preserve">This policy </w:t>
      </w:r>
      <w:r w:rsidR="00810034" w:rsidRPr="00D343DF">
        <w:rPr>
          <w:rFonts w:ascii="Arial" w:hAnsi="Arial"/>
          <w:color w:val="C00000"/>
          <w:sz w:val="24"/>
          <w:szCs w:val="24"/>
        </w:rPr>
        <w:t xml:space="preserve">statement </w:t>
      </w:r>
      <w:r w:rsidRPr="00D343DF">
        <w:rPr>
          <w:rFonts w:ascii="Arial" w:hAnsi="Arial"/>
          <w:color w:val="C00000"/>
          <w:sz w:val="24"/>
          <w:szCs w:val="24"/>
        </w:rPr>
        <w:t xml:space="preserve">applies </w:t>
      </w:r>
      <w:r w:rsidR="00810034" w:rsidRPr="00D343DF">
        <w:rPr>
          <w:rFonts w:ascii="Arial" w:hAnsi="Arial"/>
          <w:color w:val="C00000"/>
          <w:sz w:val="24"/>
          <w:szCs w:val="24"/>
        </w:rPr>
        <w:t xml:space="preserve">to </w:t>
      </w:r>
      <w:r w:rsidRPr="00D343DF">
        <w:rPr>
          <w:rFonts w:ascii="Arial" w:hAnsi="Arial"/>
          <w:color w:val="C00000"/>
          <w:sz w:val="24"/>
          <w:szCs w:val="24"/>
        </w:rPr>
        <w:t xml:space="preserve">the Department’s </w:t>
      </w:r>
      <w:r w:rsidR="00261D2A" w:rsidRPr="00D343DF">
        <w:rPr>
          <w:rFonts w:ascii="Arial" w:hAnsi="Arial"/>
          <w:color w:val="C00000"/>
          <w:sz w:val="24"/>
          <w:szCs w:val="24"/>
        </w:rPr>
        <w:t xml:space="preserve">corporate </w:t>
      </w:r>
      <w:r w:rsidR="0070181F" w:rsidRPr="00D343DF">
        <w:rPr>
          <w:rFonts w:ascii="Arial" w:hAnsi="Arial"/>
          <w:color w:val="C00000"/>
          <w:sz w:val="24"/>
          <w:szCs w:val="24"/>
        </w:rPr>
        <w:t>G</w:t>
      </w:r>
      <w:r w:rsidR="00261D2A" w:rsidRPr="00D343DF">
        <w:rPr>
          <w:rFonts w:ascii="Arial" w:hAnsi="Arial"/>
          <w:color w:val="C00000"/>
          <w:sz w:val="24"/>
          <w:szCs w:val="24"/>
        </w:rPr>
        <w:t>roups</w:t>
      </w:r>
      <w:r w:rsidR="00DD617E" w:rsidRPr="00D343DF">
        <w:rPr>
          <w:rFonts w:ascii="Arial" w:hAnsi="Arial"/>
          <w:color w:val="C00000"/>
          <w:sz w:val="24"/>
          <w:szCs w:val="24"/>
        </w:rPr>
        <w:t xml:space="preserve"> and school councils</w:t>
      </w:r>
      <w:r w:rsidR="00810034" w:rsidRPr="00D343DF">
        <w:rPr>
          <w:rFonts w:ascii="Arial" w:hAnsi="Arial"/>
          <w:color w:val="C00000"/>
          <w:sz w:val="24"/>
          <w:szCs w:val="24"/>
        </w:rPr>
        <w:t xml:space="preserve">  </w:t>
      </w:r>
      <w:r w:rsidR="00261D2A" w:rsidRPr="00D343DF">
        <w:rPr>
          <w:rFonts w:ascii="Arial" w:hAnsi="Arial"/>
          <w:color w:val="C00000"/>
          <w:sz w:val="24"/>
          <w:szCs w:val="24"/>
        </w:rPr>
        <w:t xml:space="preserve"> </w:t>
      </w:r>
    </w:p>
    <w:p w:rsidR="00982DBB" w:rsidRPr="007A776C" w:rsidRDefault="00982DBB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This policy </w:t>
      </w:r>
      <w:r w:rsidR="001B5363" w:rsidRPr="007A776C">
        <w:rPr>
          <w:rFonts w:ascii="Arial" w:hAnsi="Arial"/>
        </w:rPr>
        <w:t xml:space="preserve">statement </w:t>
      </w:r>
      <w:r w:rsidRPr="007A776C">
        <w:rPr>
          <w:rFonts w:ascii="Arial" w:hAnsi="Arial"/>
        </w:rPr>
        <w:t xml:space="preserve">applies to </w:t>
      </w:r>
      <w:r w:rsidR="00261D2A" w:rsidRPr="007A776C">
        <w:rPr>
          <w:rFonts w:ascii="Arial" w:hAnsi="Arial"/>
        </w:rPr>
        <w:t>the D</w:t>
      </w:r>
      <w:r w:rsidR="00A9403A" w:rsidRPr="007A776C">
        <w:rPr>
          <w:rFonts w:ascii="Arial" w:hAnsi="Arial"/>
        </w:rPr>
        <w:t>epartment</w:t>
      </w:r>
      <w:r w:rsidR="00261D2A" w:rsidRPr="007A776C">
        <w:rPr>
          <w:rFonts w:ascii="Arial" w:hAnsi="Arial"/>
        </w:rPr>
        <w:t xml:space="preserve">’s corporate </w:t>
      </w:r>
      <w:r w:rsidRPr="007A776C">
        <w:rPr>
          <w:rFonts w:ascii="Arial" w:hAnsi="Arial"/>
        </w:rPr>
        <w:t>staff</w:t>
      </w:r>
      <w:r w:rsidR="00D81AE3" w:rsidRPr="007A776C">
        <w:rPr>
          <w:rFonts w:ascii="Arial" w:hAnsi="Arial"/>
        </w:rPr>
        <w:t xml:space="preserve"> </w:t>
      </w:r>
      <w:r w:rsidR="00AB6534" w:rsidRPr="007A776C">
        <w:rPr>
          <w:rFonts w:ascii="Arial" w:hAnsi="Arial"/>
        </w:rPr>
        <w:t xml:space="preserve">across </w:t>
      </w:r>
      <w:r w:rsidR="00D81AE3" w:rsidRPr="007A776C">
        <w:rPr>
          <w:rFonts w:ascii="Arial" w:hAnsi="Arial"/>
        </w:rPr>
        <w:t>the portfolio</w:t>
      </w:r>
      <w:r w:rsidR="00261D2A" w:rsidRPr="007A776C">
        <w:rPr>
          <w:rFonts w:ascii="Arial" w:hAnsi="Arial"/>
        </w:rPr>
        <w:t xml:space="preserve"> </w:t>
      </w:r>
      <w:r w:rsidR="00AB6534" w:rsidRPr="007A776C">
        <w:rPr>
          <w:rFonts w:ascii="Arial" w:hAnsi="Arial"/>
        </w:rPr>
        <w:t xml:space="preserve">of </w:t>
      </w:r>
      <w:r w:rsidR="00D81AE3" w:rsidRPr="007A776C">
        <w:rPr>
          <w:rFonts w:ascii="Arial" w:hAnsi="Arial"/>
        </w:rPr>
        <w:t xml:space="preserve">early years, school and vocational </w:t>
      </w:r>
      <w:r w:rsidR="00346BE6" w:rsidRPr="007A776C">
        <w:rPr>
          <w:rFonts w:ascii="Arial" w:hAnsi="Arial"/>
        </w:rPr>
        <w:t xml:space="preserve">education and </w:t>
      </w:r>
      <w:r w:rsidR="00D81AE3" w:rsidRPr="007A776C">
        <w:rPr>
          <w:rFonts w:ascii="Arial" w:hAnsi="Arial"/>
        </w:rPr>
        <w:t>training</w:t>
      </w:r>
      <w:r w:rsidR="000741D3" w:rsidRPr="007A776C">
        <w:rPr>
          <w:rFonts w:ascii="Arial" w:hAnsi="Arial"/>
        </w:rPr>
        <w:t>, as well as school-based staff and school councillors</w:t>
      </w:r>
      <w:r w:rsidR="00D81AE3" w:rsidRPr="007A776C">
        <w:rPr>
          <w:rFonts w:ascii="Arial" w:hAnsi="Arial"/>
        </w:rPr>
        <w:t>.</w:t>
      </w:r>
      <w:r w:rsidR="000642AF" w:rsidRPr="007A776C">
        <w:rPr>
          <w:rFonts w:ascii="Arial" w:hAnsi="Arial"/>
        </w:rPr>
        <w:t xml:space="preserve"> </w:t>
      </w:r>
      <w:r w:rsidR="00972D8B" w:rsidRPr="007A776C">
        <w:rPr>
          <w:rFonts w:ascii="Arial" w:hAnsi="Arial"/>
        </w:rPr>
        <w:t xml:space="preserve">It </w:t>
      </w:r>
      <w:r w:rsidR="005C05D7" w:rsidRPr="007A776C">
        <w:rPr>
          <w:rFonts w:ascii="Arial" w:hAnsi="Arial"/>
        </w:rPr>
        <w:t xml:space="preserve">does not </w:t>
      </w:r>
      <w:r w:rsidR="00D4061C" w:rsidRPr="007A776C">
        <w:rPr>
          <w:rFonts w:ascii="Arial" w:hAnsi="Arial"/>
        </w:rPr>
        <w:t xml:space="preserve">apply to </w:t>
      </w:r>
      <w:r w:rsidR="00AB6534" w:rsidRPr="007A776C">
        <w:rPr>
          <w:rFonts w:ascii="Arial" w:hAnsi="Arial"/>
        </w:rPr>
        <w:t xml:space="preserve">staff of </w:t>
      </w:r>
      <w:r w:rsidR="00EB347F" w:rsidRPr="007A776C">
        <w:rPr>
          <w:rFonts w:ascii="Arial" w:hAnsi="Arial"/>
        </w:rPr>
        <w:t xml:space="preserve">the Department’s </w:t>
      </w:r>
      <w:r w:rsidR="00261D2A" w:rsidRPr="007A776C">
        <w:rPr>
          <w:rFonts w:ascii="Arial" w:hAnsi="Arial"/>
        </w:rPr>
        <w:t xml:space="preserve">other </w:t>
      </w:r>
      <w:r w:rsidR="00EB347F" w:rsidRPr="007A776C">
        <w:rPr>
          <w:rFonts w:ascii="Arial" w:hAnsi="Arial"/>
        </w:rPr>
        <w:t>portfolio statutory authorities</w:t>
      </w:r>
      <w:r w:rsidR="00261D2A" w:rsidRPr="007A776C">
        <w:rPr>
          <w:rFonts w:ascii="Arial" w:hAnsi="Arial"/>
        </w:rPr>
        <w:t>.</w:t>
      </w:r>
      <w:r w:rsidR="00EB347F" w:rsidRPr="007A776C">
        <w:rPr>
          <w:rFonts w:ascii="Arial" w:hAnsi="Arial"/>
        </w:rPr>
        <w:t xml:space="preserve"> These entities may choose to adopt similar principles and criteria</w:t>
      </w:r>
      <w:r w:rsidR="00D4061C" w:rsidRPr="007A776C">
        <w:rPr>
          <w:rFonts w:ascii="Arial" w:hAnsi="Arial"/>
        </w:rPr>
        <w:t xml:space="preserve"> </w:t>
      </w:r>
      <w:r w:rsidR="00261D2A" w:rsidRPr="007A776C">
        <w:rPr>
          <w:rFonts w:ascii="Arial" w:hAnsi="Arial"/>
        </w:rPr>
        <w:t xml:space="preserve">to those </w:t>
      </w:r>
      <w:r w:rsidR="00D4061C" w:rsidRPr="007A776C">
        <w:rPr>
          <w:rFonts w:ascii="Arial" w:hAnsi="Arial"/>
        </w:rPr>
        <w:t xml:space="preserve">outlined in this </w:t>
      </w:r>
      <w:r w:rsidR="00972D8B" w:rsidRPr="007A776C">
        <w:rPr>
          <w:rFonts w:ascii="Arial" w:hAnsi="Arial"/>
        </w:rPr>
        <w:t>policy</w:t>
      </w:r>
      <w:r w:rsidR="00D06E61" w:rsidRPr="007A776C">
        <w:rPr>
          <w:rFonts w:ascii="Arial" w:hAnsi="Arial"/>
        </w:rPr>
        <w:t xml:space="preserve"> statement.</w:t>
      </w:r>
      <w:r w:rsidR="00E802AA" w:rsidRPr="007A776C">
        <w:rPr>
          <w:rFonts w:ascii="Arial" w:hAnsi="Arial"/>
        </w:rPr>
        <w:t xml:space="preserve"> </w:t>
      </w:r>
    </w:p>
    <w:p w:rsidR="00D81AE3" w:rsidRPr="007A776C" w:rsidRDefault="00972D8B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E</w:t>
      </w:r>
      <w:r w:rsidR="00D81AE3" w:rsidRPr="007A776C">
        <w:rPr>
          <w:rFonts w:ascii="Arial" w:hAnsi="Arial"/>
        </w:rPr>
        <w:t>ngagement with philanthropist</w:t>
      </w:r>
      <w:r w:rsidR="007921B8" w:rsidRPr="007A776C">
        <w:rPr>
          <w:rFonts w:ascii="Arial" w:hAnsi="Arial"/>
        </w:rPr>
        <w:t>s</w:t>
      </w:r>
      <w:r w:rsidR="00D81AE3" w:rsidRPr="007A776C">
        <w:rPr>
          <w:rFonts w:ascii="Arial" w:hAnsi="Arial"/>
        </w:rPr>
        <w:t xml:space="preserve"> and not-for-profits can take </w:t>
      </w:r>
      <w:r w:rsidR="001A77C3" w:rsidRPr="007A776C">
        <w:rPr>
          <w:rFonts w:ascii="Arial" w:hAnsi="Arial"/>
        </w:rPr>
        <w:t>a variety of forms</w:t>
      </w:r>
      <w:r w:rsidR="00D81AE3" w:rsidRPr="007A776C">
        <w:rPr>
          <w:rFonts w:ascii="Arial" w:hAnsi="Arial"/>
        </w:rPr>
        <w:t xml:space="preserve">. At one end </w:t>
      </w:r>
      <w:r w:rsidR="00346BE6" w:rsidRPr="007A776C">
        <w:rPr>
          <w:rFonts w:ascii="Arial" w:hAnsi="Arial"/>
        </w:rPr>
        <w:t>are th</w:t>
      </w:r>
      <w:r w:rsidR="004C0E71" w:rsidRPr="007A776C">
        <w:rPr>
          <w:rFonts w:ascii="Arial" w:hAnsi="Arial"/>
        </w:rPr>
        <w:t>os</w:t>
      </w:r>
      <w:r w:rsidR="00346BE6" w:rsidRPr="007A776C">
        <w:rPr>
          <w:rFonts w:ascii="Arial" w:hAnsi="Arial"/>
        </w:rPr>
        <w:t>e</w:t>
      </w:r>
      <w:r w:rsidR="007921B8" w:rsidRPr="007A776C">
        <w:rPr>
          <w:rFonts w:ascii="Arial" w:hAnsi="Arial"/>
        </w:rPr>
        <w:t xml:space="preserve"> </w:t>
      </w:r>
      <w:r w:rsidR="004C0E71" w:rsidRPr="007A776C">
        <w:rPr>
          <w:rFonts w:ascii="Arial" w:hAnsi="Arial"/>
        </w:rPr>
        <w:t xml:space="preserve">with </w:t>
      </w:r>
      <w:r w:rsidR="00D81AE3" w:rsidRPr="007A776C">
        <w:rPr>
          <w:rFonts w:ascii="Arial" w:hAnsi="Arial"/>
        </w:rPr>
        <w:t>relatively low level</w:t>
      </w:r>
      <w:r w:rsidR="00346BE6" w:rsidRPr="007A776C">
        <w:rPr>
          <w:rFonts w:ascii="Arial" w:hAnsi="Arial"/>
        </w:rPr>
        <w:t>s</w:t>
      </w:r>
      <w:r w:rsidR="00D81AE3" w:rsidRPr="007A776C">
        <w:rPr>
          <w:rFonts w:ascii="Arial" w:hAnsi="Arial"/>
        </w:rPr>
        <w:t xml:space="preserve"> of </w:t>
      </w:r>
      <w:r w:rsidR="00F07660" w:rsidRPr="007A776C">
        <w:rPr>
          <w:rFonts w:ascii="Arial" w:hAnsi="Arial"/>
        </w:rPr>
        <w:t xml:space="preserve">contact through </w:t>
      </w:r>
      <w:r w:rsidR="00A92725" w:rsidRPr="007A776C">
        <w:rPr>
          <w:rFonts w:ascii="Arial" w:hAnsi="Arial"/>
        </w:rPr>
        <w:t>networking</w:t>
      </w:r>
      <w:r w:rsidR="00F07660" w:rsidRPr="007A776C">
        <w:rPr>
          <w:rFonts w:ascii="Arial" w:hAnsi="Arial"/>
        </w:rPr>
        <w:t xml:space="preserve"> </w:t>
      </w:r>
      <w:r w:rsidR="004C0E71" w:rsidRPr="007A776C">
        <w:rPr>
          <w:rFonts w:ascii="Arial" w:hAnsi="Arial"/>
        </w:rPr>
        <w:t xml:space="preserve">and </w:t>
      </w:r>
      <w:r w:rsidR="00F07660" w:rsidRPr="007A776C">
        <w:rPr>
          <w:rFonts w:ascii="Arial" w:hAnsi="Arial"/>
        </w:rPr>
        <w:t>information sharing</w:t>
      </w:r>
      <w:r w:rsidR="007921B8" w:rsidRPr="007A776C">
        <w:rPr>
          <w:rFonts w:ascii="Arial" w:hAnsi="Arial"/>
        </w:rPr>
        <w:t xml:space="preserve">. </w:t>
      </w:r>
      <w:r w:rsidR="00D81AE3" w:rsidRPr="007A776C">
        <w:rPr>
          <w:rFonts w:ascii="Arial" w:hAnsi="Arial"/>
        </w:rPr>
        <w:t xml:space="preserve"> </w:t>
      </w:r>
      <w:r w:rsidR="007921B8" w:rsidRPr="007A776C">
        <w:rPr>
          <w:rFonts w:ascii="Arial" w:hAnsi="Arial"/>
        </w:rPr>
        <w:t>A</w:t>
      </w:r>
      <w:r w:rsidR="00D81AE3" w:rsidRPr="007A776C">
        <w:rPr>
          <w:rFonts w:ascii="Arial" w:hAnsi="Arial"/>
        </w:rPr>
        <w:t>t the other end</w:t>
      </w:r>
      <w:r w:rsidR="007921B8" w:rsidRPr="007A776C">
        <w:rPr>
          <w:rFonts w:ascii="Arial" w:hAnsi="Arial"/>
        </w:rPr>
        <w:t xml:space="preserve"> </w:t>
      </w:r>
      <w:r w:rsidR="004C0E71" w:rsidRPr="007A776C">
        <w:rPr>
          <w:rFonts w:ascii="Arial" w:hAnsi="Arial"/>
        </w:rPr>
        <w:t>are th</w:t>
      </w:r>
      <w:r w:rsidR="008539CD" w:rsidRPr="007A776C">
        <w:rPr>
          <w:rFonts w:ascii="Arial" w:hAnsi="Arial"/>
        </w:rPr>
        <w:t>o</w:t>
      </w:r>
      <w:r w:rsidR="004C0E71" w:rsidRPr="007A776C">
        <w:rPr>
          <w:rFonts w:ascii="Arial" w:hAnsi="Arial"/>
        </w:rPr>
        <w:t xml:space="preserve">se with </w:t>
      </w:r>
      <w:r w:rsidR="000F603B" w:rsidRPr="007A776C">
        <w:rPr>
          <w:rFonts w:ascii="Arial" w:hAnsi="Arial"/>
        </w:rPr>
        <w:t>formal</w:t>
      </w:r>
      <w:r w:rsidR="004C0E71" w:rsidRPr="007A776C">
        <w:rPr>
          <w:rFonts w:ascii="Arial" w:hAnsi="Arial"/>
        </w:rPr>
        <w:t xml:space="preserve"> and </w:t>
      </w:r>
      <w:r w:rsidR="000F603B" w:rsidRPr="007A776C">
        <w:rPr>
          <w:rFonts w:ascii="Arial" w:hAnsi="Arial"/>
        </w:rPr>
        <w:t xml:space="preserve">highly </w:t>
      </w:r>
      <w:r w:rsidR="00D81AE3" w:rsidRPr="007A776C">
        <w:rPr>
          <w:rFonts w:ascii="Arial" w:hAnsi="Arial"/>
        </w:rPr>
        <w:t xml:space="preserve">structured </w:t>
      </w:r>
      <w:r w:rsidR="004C0E71" w:rsidRPr="007A776C">
        <w:rPr>
          <w:rFonts w:ascii="Arial" w:hAnsi="Arial"/>
        </w:rPr>
        <w:t xml:space="preserve">agreements that demand </w:t>
      </w:r>
      <w:r w:rsidR="00D81AE3" w:rsidRPr="007A776C">
        <w:rPr>
          <w:rFonts w:ascii="Arial" w:hAnsi="Arial"/>
        </w:rPr>
        <w:t xml:space="preserve">significant </w:t>
      </w:r>
      <w:r w:rsidR="006D0E9B" w:rsidRPr="007A776C">
        <w:rPr>
          <w:rFonts w:ascii="Arial" w:hAnsi="Arial"/>
        </w:rPr>
        <w:t>commitment</w:t>
      </w:r>
      <w:r w:rsidR="000F603B" w:rsidRPr="007A776C">
        <w:rPr>
          <w:rFonts w:ascii="Arial" w:hAnsi="Arial"/>
        </w:rPr>
        <w:t>s</w:t>
      </w:r>
      <w:r w:rsidR="006D0E9B" w:rsidRPr="007A776C">
        <w:rPr>
          <w:rFonts w:ascii="Arial" w:hAnsi="Arial"/>
        </w:rPr>
        <w:t xml:space="preserve"> </w:t>
      </w:r>
      <w:r w:rsidR="004C0E71" w:rsidRPr="007A776C">
        <w:rPr>
          <w:rFonts w:ascii="Arial" w:hAnsi="Arial"/>
        </w:rPr>
        <w:t xml:space="preserve">from </w:t>
      </w:r>
      <w:r w:rsidR="0018195B" w:rsidRPr="007A776C">
        <w:rPr>
          <w:rFonts w:ascii="Arial" w:hAnsi="Arial"/>
        </w:rPr>
        <w:t xml:space="preserve">key </w:t>
      </w:r>
      <w:r w:rsidR="00D81AE3" w:rsidRPr="007A776C">
        <w:rPr>
          <w:rFonts w:ascii="Arial" w:hAnsi="Arial"/>
        </w:rPr>
        <w:t xml:space="preserve">parties. </w:t>
      </w:r>
    </w:p>
    <w:p w:rsidR="00D043AA" w:rsidRPr="007A776C" w:rsidRDefault="007921B8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This policy </w:t>
      </w:r>
      <w:r w:rsidR="001B5363" w:rsidRPr="007A776C">
        <w:rPr>
          <w:rFonts w:ascii="Arial" w:hAnsi="Arial"/>
        </w:rPr>
        <w:t xml:space="preserve">statement </w:t>
      </w:r>
      <w:r w:rsidR="004C0E71" w:rsidRPr="007A776C">
        <w:rPr>
          <w:rFonts w:ascii="Arial" w:hAnsi="Arial"/>
        </w:rPr>
        <w:t xml:space="preserve">is concerned with </w:t>
      </w:r>
      <w:r w:rsidR="00C10617" w:rsidRPr="007A776C">
        <w:rPr>
          <w:rFonts w:ascii="Arial" w:hAnsi="Arial"/>
        </w:rPr>
        <w:t xml:space="preserve">arrangements </w:t>
      </w:r>
      <w:r w:rsidR="00310DD8" w:rsidRPr="007A776C">
        <w:rPr>
          <w:rFonts w:ascii="Arial" w:hAnsi="Arial"/>
        </w:rPr>
        <w:t>the Department enters into with</w:t>
      </w:r>
      <w:r w:rsidR="00D906EB" w:rsidRPr="007A776C">
        <w:rPr>
          <w:rFonts w:ascii="Arial" w:hAnsi="Arial"/>
        </w:rPr>
        <w:t xml:space="preserve"> philanthropist</w:t>
      </w:r>
      <w:r w:rsidRPr="007A776C">
        <w:rPr>
          <w:rFonts w:ascii="Arial" w:hAnsi="Arial"/>
        </w:rPr>
        <w:t>s</w:t>
      </w:r>
      <w:r w:rsidR="00D906EB" w:rsidRPr="007A776C">
        <w:rPr>
          <w:rFonts w:ascii="Arial" w:hAnsi="Arial"/>
        </w:rPr>
        <w:t xml:space="preserve"> </w:t>
      </w:r>
      <w:r w:rsidR="00346BE6" w:rsidRPr="007A776C">
        <w:rPr>
          <w:rFonts w:ascii="Arial" w:hAnsi="Arial"/>
        </w:rPr>
        <w:t xml:space="preserve">and </w:t>
      </w:r>
      <w:r w:rsidR="00D906EB" w:rsidRPr="007A776C">
        <w:rPr>
          <w:rFonts w:ascii="Arial" w:hAnsi="Arial"/>
        </w:rPr>
        <w:t>not-for-profit</w:t>
      </w:r>
      <w:r w:rsidRPr="007A776C">
        <w:rPr>
          <w:rFonts w:ascii="Arial" w:hAnsi="Arial"/>
        </w:rPr>
        <w:t xml:space="preserve">s. </w:t>
      </w:r>
      <w:r w:rsidR="006964D1" w:rsidRPr="007A776C">
        <w:rPr>
          <w:rFonts w:ascii="Arial" w:hAnsi="Arial"/>
        </w:rPr>
        <w:t xml:space="preserve">For this type of </w:t>
      </w:r>
      <w:r w:rsidRPr="007A776C">
        <w:rPr>
          <w:rFonts w:ascii="Arial" w:hAnsi="Arial"/>
        </w:rPr>
        <w:t>public</w:t>
      </w:r>
      <w:r w:rsidR="006D0E9B" w:rsidRPr="007A776C">
        <w:rPr>
          <w:rFonts w:ascii="Arial" w:hAnsi="Arial"/>
        </w:rPr>
        <w:t>–</w:t>
      </w:r>
      <w:r w:rsidRPr="007A776C">
        <w:rPr>
          <w:rFonts w:ascii="Arial" w:hAnsi="Arial"/>
        </w:rPr>
        <w:t>philanthropic partnership</w:t>
      </w:r>
      <w:r w:rsidR="006964D1" w:rsidRPr="007A776C">
        <w:rPr>
          <w:rFonts w:ascii="Arial" w:hAnsi="Arial"/>
        </w:rPr>
        <w:t>, the defining features are</w:t>
      </w:r>
      <w:r w:rsidR="00D043AA" w:rsidRPr="007A776C">
        <w:rPr>
          <w:rFonts w:ascii="Arial" w:hAnsi="Arial"/>
        </w:rPr>
        <w:t>:</w:t>
      </w:r>
    </w:p>
    <w:p w:rsidR="00D043AA" w:rsidRPr="007A776C" w:rsidRDefault="00474E02" w:rsidP="007A776C">
      <w:pPr>
        <w:pStyle w:val="ListParagraph"/>
        <w:numPr>
          <w:ilvl w:val="0"/>
          <w:numId w:val="24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the joint provision</w:t>
      </w:r>
      <w:r w:rsidR="00D043AA" w:rsidRPr="007A776C">
        <w:rPr>
          <w:rFonts w:ascii="Arial" w:hAnsi="Arial" w:cs="Arial"/>
          <w:szCs w:val="20"/>
        </w:rPr>
        <w:t xml:space="preserve"> of assets, funds or in</w:t>
      </w:r>
      <w:r w:rsidR="00D043AA" w:rsidRPr="007A776C">
        <w:rPr>
          <w:rFonts w:ascii="Arial" w:hAnsi="Arial" w:cs="Arial"/>
          <w:szCs w:val="20"/>
        </w:rPr>
        <w:noBreakHyphen/>
        <w:t>kind contributions</w:t>
      </w:r>
      <w:r w:rsidRPr="007A776C">
        <w:rPr>
          <w:rFonts w:ascii="Arial" w:hAnsi="Arial" w:cs="Arial"/>
          <w:szCs w:val="20"/>
        </w:rPr>
        <w:t xml:space="preserve"> by </w:t>
      </w:r>
      <w:r w:rsidR="006964D1" w:rsidRPr="007A776C">
        <w:rPr>
          <w:rFonts w:ascii="Arial" w:hAnsi="Arial" w:cs="Arial"/>
          <w:szCs w:val="20"/>
        </w:rPr>
        <w:t xml:space="preserve">key </w:t>
      </w:r>
      <w:r w:rsidRPr="007A776C">
        <w:rPr>
          <w:rFonts w:ascii="Arial" w:hAnsi="Arial" w:cs="Arial"/>
          <w:szCs w:val="20"/>
        </w:rPr>
        <w:t>partners</w:t>
      </w:r>
    </w:p>
    <w:p w:rsidR="00D043AA" w:rsidRPr="007A776C" w:rsidRDefault="00D043AA" w:rsidP="007A776C">
      <w:pPr>
        <w:pStyle w:val="ListParagraph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significant value, duration or complexity</w:t>
      </w:r>
    </w:p>
    <w:p w:rsidR="00D043AA" w:rsidRPr="007A776C" w:rsidRDefault="00474E02" w:rsidP="007A776C">
      <w:pPr>
        <w:pStyle w:val="ListParagraph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the </w:t>
      </w:r>
      <w:r w:rsidR="00D043AA" w:rsidRPr="007A776C">
        <w:rPr>
          <w:rFonts w:ascii="Arial" w:hAnsi="Arial" w:cs="Arial"/>
          <w:szCs w:val="20"/>
        </w:rPr>
        <w:t>joint decision</w:t>
      </w:r>
      <w:r w:rsidR="005C4F4D" w:rsidRPr="007A776C">
        <w:rPr>
          <w:rFonts w:ascii="Arial" w:hAnsi="Arial" w:cs="Arial"/>
          <w:szCs w:val="20"/>
        </w:rPr>
        <w:t xml:space="preserve">-making </w:t>
      </w:r>
      <w:r w:rsidRPr="007A776C">
        <w:rPr>
          <w:rFonts w:ascii="Arial" w:hAnsi="Arial" w:cs="Arial"/>
          <w:szCs w:val="20"/>
        </w:rPr>
        <w:t xml:space="preserve">by </w:t>
      </w:r>
      <w:r w:rsidR="006964D1" w:rsidRPr="007A776C">
        <w:rPr>
          <w:rFonts w:ascii="Arial" w:hAnsi="Arial" w:cs="Arial"/>
          <w:szCs w:val="20"/>
        </w:rPr>
        <w:t xml:space="preserve">key partners </w:t>
      </w:r>
      <w:r w:rsidR="00D043AA" w:rsidRPr="007A776C">
        <w:rPr>
          <w:rFonts w:ascii="Arial" w:hAnsi="Arial" w:cs="Arial"/>
          <w:szCs w:val="20"/>
        </w:rPr>
        <w:t xml:space="preserve">in the planning, resourcing, governance or monitoring of </w:t>
      </w:r>
      <w:r w:rsidRPr="007A776C">
        <w:rPr>
          <w:rFonts w:ascii="Arial" w:hAnsi="Arial" w:cs="Arial"/>
          <w:szCs w:val="20"/>
        </w:rPr>
        <w:t xml:space="preserve">the </w:t>
      </w:r>
      <w:r w:rsidR="00D043AA" w:rsidRPr="007A776C">
        <w:rPr>
          <w:rFonts w:ascii="Arial" w:hAnsi="Arial" w:cs="Arial"/>
          <w:szCs w:val="20"/>
        </w:rPr>
        <w:t xml:space="preserve">project or set of activities as specified </w:t>
      </w:r>
      <w:r w:rsidRPr="007A776C">
        <w:rPr>
          <w:rFonts w:ascii="Arial" w:hAnsi="Arial" w:cs="Arial"/>
          <w:szCs w:val="20"/>
        </w:rPr>
        <w:t xml:space="preserve">in </w:t>
      </w:r>
      <w:r w:rsidR="00D043AA" w:rsidRPr="007A776C">
        <w:rPr>
          <w:rFonts w:ascii="Arial" w:hAnsi="Arial" w:cs="Arial"/>
          <w:szCs w:val="20"/>
        </w:rPr>
        <w:t xml:space="preserve">a contractual agreement.    </w:t>
      </w:r>
    </w:p>
    <w:p w:rsidR="00D906EB" w:rsidRPr="007A776C" w:rsidRDefault="00D043AA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Co-funding could involve </w:t>
      </w:r>
      <w:r w:rsidR="00D906EB" w:rsidRPr="007A776C">
        <w:rPr>
          <w:rFonts w:ascii="Arial" w:hAnsi="Arial"/>
        </w:rPr>
        <w:t xml:space="preserve">‘partial’ </w:t>
      </w:r>
      <w:r w:rsidR="00DC0744" w:rsidRPr="007A776C">
        <w:rPr>
          <w:rFonts w:ascii="Arial" w:hAnsi="Arial"/>
        </w:rPr>
        <w:t xml:space="preserve">or </w:t>
      </w:r>
      <w:r w:rsidR="00D906EB" w:rsidRPr="007A776C">
        <w:rPr>
          <w:rFonts w:ascii="Arial" w:hAnsi="Arial"/>
        </w:rPr>
        <w:t>‘whole’ collaborative resourcing</w:t>
      </w:r>
      <w:r w:rsidR="00474E02" w:rsidRPr="007A776C">
        <w:rPr>
          <w:rFonts w:ascii="Arial" w:hAnsi="Arial"/>
        </w:rPr>
        <w:t xml:space="preserve">. </w:t>
      </w:r>
    </w:p>
    <w:p w:rsidR="00D906EB" w:rsidRPr="007A776C" w:rsidRDefault="00D906EB" w:rsidP="007A776C">
      <w:pPr>
        <w:pStyle w:val="ListParagraph"/>
        <w:numPr>
          <w:ilvl w:val="0"/>
          <w:numId w:val="11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Partial collaborati</w:t>
      </w:r>
      <w:r w:rsidR="00D76D82" w:rsidRPr="007A776C">
        <w:rPr>
          <w:rFonts w:ascii="Arial" w:hAnsi="Arial" w:cs="Arial"/>
          <w:szCs w:val="20"/>
        </w:rPr>
        <w:t xml:space="preserve">ve partnership </w:t>
      </w:r>
      <w:r w:rsidRPr="007A776C">
        <w:rPr>
          <w:rFonts w:ascii="Arial" w:hAnsi="Arial" w:cs="Arial"/>
          <w:szCs w:val="20"/>
        </w:rPr>
        <w:t xml:space="preserve">occurs where </w:t>
      </w:r>
      <w:r w:rsidR="002A3340" w:rsidRPr="007A776C">
        <w:rPr>
          <w:rFonts w:ascii="Arial" w:hAnsi="Arial" w:cs="Arial"/>
          <w:szCs w:val="20"/>
        </w:rPr>
        <w:t xml:space="preserve">the </w:t>
      </w:r>
      <w:r w:rsidRPr="007A776C">
        <w:rPr>
          <w:rFonts w:ascii="Arial" w:hAnsi="Arial" w:cs="Arial"/>
          <w:szCs w:val="20"/>
        </w:rPr>
        <w:t xml:space="preserve">partners plan together and may govern and monitor together, but each </w:t>
      </w:r>
      <w:r w:rsidR="00D76D82" w:rsidRPr="007A776C">
        <w:rPr>
          <w:rFonts w:ascii="Arial" w:hAnsi="Arial" w:cs="Arial"/>
          <w:szCs w:val="20"/>
        </w:rPr>
        <w:t xml:space="preserve">contribute </w:t>
      </w:r>
      <w:r w:rsidRPr="007A776C">
        <w:rPr>
          <w:rFonts w:ascii="Arial" w:hAnsi="Arial" w:cs="Arial"/>
          <w:szCs w:val="20"/>
        </w:rPr>
        <w:t>resource</w:t>
      </w:r>
      <w:r w:rsidR="00D76D82" w:rsidRPr="007A776C">
        <w:rPr>
          <w:rFonts w:ascii="Arial" w:hAnsi="Arial" w:cs="Arial"/>
          <w:szCs w:val="20"/>
        </w:rPr>
        <w:t>s</w:t>
      </w:r>
      <w:r w:rsidRPr="007A776C">
        <w:rPr>
          <w:rFonts w:ascii="Arial" w:hAnsi="Arial" w:cs="Arial"/>
          <w:szCs w:val="20"/>
        </w:rPr>
        <w:t xml:space="preserve"> </w:t>
      </w:r>
      <w:r w:rsidR="00D76D82" w:rsidRPr="007A776C">
        <w:rPr>
          <w:rFonts w:ascii="Arial" w:hAnsi="Arial" w:cs="Arial"/>
          <w:szCs w:val="20"/>
        </w:rPr>
        <w:t xml:space="preserve">for </w:t>
      </w:r>
      <w:r w:rsidRPr="007A776C">
        <w:rPr>
          <w:rFonts w:ascii="Arial" w:hAnsi="Arial" w:cs="Arial"/>
          <w:szCs w:val="20"/>
        </w:rPr>
        <w:t xml:space="preserve">a specific part of the project. </w:t>
      </w:r>
    </w:p>
    <w:p w:rsidR="00EE04CD" w:rsidRPr="007A776C" w:rsidRDefault="00D906EB" w:rsidP="007A776C">
      <w:pPr>
        <w:pStyle w:val="ListParagraph"/>
        <w:numPr>
          <w:ilvl w:val="0"/>
          <w:numId w:val="7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Whole collaborati</w:t>
      </w:r>
      <w:r w:rsidR="00D76D82" w:rsidRPr="007A776C">
        <w:rPr>
          <w:rFonts w:ascii="Arial" w:hAnsi="Arial" w:cs="Arial"/>
          <w:szCs w:val="20"/>
        </w:rPr>
        <w:t xml:space="preserve">ve partnership </w:t>
      </w:r>
      <w:r w:rsidRPr="007A776C">
        <w:rPr>
          <w:rFonts w:ascii="Arial" w:hAnsi="Arial" w:cs="Arial"/>
          <w:szCs w:val="20"/>
        </w:rPr>
        <w:t xml:space="preserve">occurs when </w:t>
      </w:r>
      <w:r w:rsidR="002A3340" w:rsidRPr="007A776C">
        <w:rPr>
          <w:rFonts w:ascii="Arial" w:hAnsi="Arial" w:cs="Arial"/>
          <w:szCs w:val="20"/>
        </w:rPr>
        <w:t xml:space="preserve">the </w:t>
      </w:r>
      <w:r w:rsidRPr="007A776C">
        <w:rPr>
          <w:rFonts w:ascii="Arial" w:hAnsi="Arial" w:cs="Arial"/>
          <w:szCs w:val="20"/>
        </w:rPr>
        <w:t xml:space="preserve">partners pool resources into a common pot </w:t>
      </w:r>
      <w:r w:rsidR="006964D1" w:rsidRPr="007A776C">
        <w:rPr>
          <w:rFonts w:ascii="Arial" w:hAnsi="Arial" w:cs="Arial"/>
          <w:szCs w:val="20"/>
        </w:rPr>
        <w:t xml:space="preserve">from which </w:t>
      </w:r>
      <w:r w:rsidR="00474E02" w:rsidRPr="007A776C">
        <w:rPr>
          <w:rFonts w:ascii="Arial" w:hAnsi="Arial" w:cs="Arial"/>
          <w:szCs w:val="20"/>
        </w:rPr>
        <w:t xml:space="preserve">the expenditure </w:t>
      </w:r>
      <w:r w:rsidRPr="007A776C">
        <w:rPr>
          <w:rFonts w:ascii="Arial" w:hAnsi="Arial" w:cs="Arial"/>
          <w:szCs w:val="20"/>
        </w:rPr>
        <w:t>is jointly planned, governed and monitored.</w:t>
      </w:r>
      <w:r w:rsidR="00EE04CD" w:rsidRPr="007A776C">
        <w:rPr>
          <w:rFonts w:ascii="Arial" w:hAnsi="Arial" w:cs="Arial"/>
          <w:szCs w:val="20"/>
        </w:rPr>
        <w:t xml:space="preserve"> </w:t>
      </w:r>
    </w:p>
    <w:p w:rsidR="007E0EF9" w:rsidRPr="00D343DF" w:rsidRDefault="004D53A5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>Principles of c</w:t>
      </w:r>
      <w:r w:rsidR="00BE1BAD" w:rsidRPr="00D343DF">
        <w:rPr>
          <w:rFonts w:ascii="Arial" w:hAnsi="Arial"/>
          <w:color w:val="C00000"/>
          <w:sz w:val="24"/>
          <w:szCs w:val="24"/>
        </w:rPr>
        <w:t xml:space="preserve">ollaborative behaviour </w:t>
      </w:r>
      <w:r w:rsidRPr="00D343DF">
        <w:rPr>
          <w:rFonts w:ascii="Arial" w:hAnsi="Arial"/>
          <w:color w:val="C00000"/>
          <w:sz w:val="24"/>
          <w:szCs w:val="24"/>
        </w:rPr>
        <w:t>are</w:t>
      </w:r>
      <w:r w:rsidR="00BE1BAD" w:rsidRPr="00D343DF">
        <w:rPr>
          <w:rFonts w:ascii="Arial" w:hAnsi="Arial"/>
          <w:color w:val="C00000"/>
          <w:sz w:val="24"/>
          <w:szCs w:val="24"/>
        </w:rPr>
        <w:t xml:space="preserve"> the cornerstone of effective partnership</w:t>
      </w:r>
    </w:p>
    <w:p w:rsidR="0073008A" w:rsidRPr="007A776C" w:rsidRDefault="00CE05F2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P</w:t>
      </w:r>
      <w:r w:rsidR="007E0EF9" w:rsidRPr="007A776C">
        <w:rPr>
          <w:rFonts w:ascii="Arial" w:hAnsi="Arial"/>
        </w:rPr>
        <w:t xml:space="preserve">artnership </w:t>
      </w:r>
      <w:r w:rsidR="00311572" w:rsidRPr="007A776C">
        <w:rPr>
          <w:rFonts w:ascii="Arial" w:hAnsi="Arial"/>
        </w:rPr>
        <w:t>can</w:t>
      </w:r>
      <w:r w:rsidR="00FB5119" w:rsidRPr="007A776C">
        <w:rPr>
          <w:rFonts w:ascii="Arial" w:hAnsi="Arial"/>
        </w:rPr>
        <w:t xml:space="preserve"> </w:t>
      </w:r>
      <w:r w:rsidR="007E0EF9" w:rsidRPr="007A776C">
        <w:rPr>
          <w:rFonts w:ascii="Arial" w:hAnsi="Arial"/>
        </w:rPr>
        <w:t>improv</w:t>
      </w:r>
      <w:r w:rsidR="00FB5119" w:rsidRPr="007A776C">
        <w:rPr>
          <w:rFonts w:ascii="Arial" w:hAnsi="Arial"/>
        </w:rPr>
        <w:t xml:space="preserve">e </w:t>
      </w:r>
      <w:r w:rsidR="00261D2A" w:rsidRPr="007A776C">
        <w:rPr>
          <w:rFonts w:ascii="Arial" w:hAnsi="Arial"/>
        </w:rPr>
        <w:t>outcomes</w:t>
      </w:r>
      <w:r w:rsidR="00474E02" w:rsidRPr="007A776C">
        <w:rPr>
          <w:rFonts w:ascii="Arial" w:hAnsi="Arial"/>
        </w:rPr>
        <w:t xml:space="preserve"> beyond what can be achieved from each of the parties working in silos</w:t>
      </w:r>
      <w:r w:rsidR="007E0EF9" w:rsidRPr="007A776C">
        <w:rPr>
          <w:rFonts w:ascii="Arial" w:hAnsi="Arial"/>
        </w:rPr>
        <w:t>.</w:t>
      </w:r>
      <w:r w:rsidRPr="007A776C">
        <w:rPr>
          <w:rFonts w:ascii="Arial" w:hAnsi="Arial"/>
        </w:rPr>
        <w:t xml:space="preserve"> It is not straightforward to </w:t>
      </w:r>
      <w:r w:rsidR="00700D93" w:rsidRPr="007A776C">
        <w:rPr>
          <w:rFonts w:ascii="Arial" w:hAnsi="Arial"/>
        </w:rPr>
        <w:t>build and maintain workable relationships across</w:t>
      </w:r>
      <w:r w:rsidR="004231E5" w:rsidRPr="007A776C">
        <w:rPr>
          <w:rFonts w:ascii="Arial" w:hAnsi="Arial"/>
        </w:rPr>
        <w:t xml:space="preserve"> the</w:t>
      </w:r>
      <w:r w:rsidR="00700D93" w:rsidRPr="007A776C">
        <w:rPr>
          <w:rFonts w:ascii="Arial" w:hAnsi="Arial"/>
        </w:rPr>
        <w:t xml:space="preserve"> </w:t>
      </w:r>
      <w:r w:rsidR="00474E02" w:rsidRPr="007A776C">
        <w:rPr>
          <w:rFonts w:ascii="Arial" w:hAnsi="Arial"/>
        </w:rPr>
        <w:t xml:space="preserve">government and philanthropic sectors </w:t>
      </w:r>
      <w:r w:rsidR="00700D93" w:rsidRPr="007A776C">
        <w:rPr>
          <w:rFonts w:ascii="Arial" w:hAnsi="Arial"/>
        </w:rPr>
        <w:t>because part</w:t>
      </w:r>
      <w:r w:rsidR="00F1413E" w:rsidRPr="007A776C">
        <w:rPr>
          <w:rFonts w:ascii="Arial" w:hAnsi="Arial"/>
        </w:rPr>
        <w:t xml:space="preserve">ners </w:t>
      </w:r>
      <w:r w:rsidR="00FE7CC5" w:rsidRPr="007A776C">
        <w:rPr>
          <w:rFonts w:ascii="Arial" w:hAnsi="Arial"/>
        </w:rPr>
        <w:t>from different background</w:t>
      </w:r>
      <w:r w:rsidR="00311572" w:rsidRPr="007A776C">
        <w:rPr>
          <w:rFonts w:ascii="Arial" w:hAnsi="Arial"/>
        </w:rPr>
        <w:t>s</w:t>
      </w:r>
      <w:r w:rsidR="00FE7CC5" w:rsidRPr="007A776C">
        <w:rPr>
          <w:rFonts w:ascii="Arial" w:hAnsi="Arial"/>
        </w:rPr>
        <w:t xml:space="preserve"> </w:t>
      </w:r>
      <w:r w:rsidR="00700D93" w:rsidRPr="007A776C">
        <w:rPr>
          <w:rFonts w:ascii="Arial" w:hAnsi="Arial"/>
        </w:rPr>
        <w:t>may need to adjust their role</w:t>
      </w:r>
      <w:r w:rsidR="00896160" w:rsidRPr="007A776C">
        <w:rPr>
          <w:rFonts w:ascii="Arial" w:hAnsi="Arial"/>
        </w:rPr>
        <w:t>, culture</w:t>
      </w:r>
      <w:r w:rsidR="00700D93" w:rsidRPr="007A776C">
        <w:rPr>
          <w:rFonts w:ascii="Arial" w:hAnsi="Arial"/>
        </w:rPr>
        <w:t xml:space="preserve"> and behaviour </w:t>
      </w:r>
      <w:r w:rsidR="00474E02" w:rsidRPr="007A776C">
        <w:rPr>
          <w:rFonts w:ascii="Arial" w:hAnsi="Arial"/>
        </w:rPr>
        <w:t>to work together</w:t>
      </w:r>
      <w:r w:rsidR="00700D93" w:rsidRPr="007A776C">
        <w:rPr>
          <w:rFonts w:ascii="Arial" w:hAnsi="Arial"/>
        </w:rPr>
        <w:t xml:space="preserve">. </w:t>
      </w:r>
      <w:r w:rsidR="00C10617" w:rsidRPr="007A776C">
        <w:rPr>
          <w:rFonts w:ascii="Arial" w:hAnsi="Arial"/>
        </w:rPr>
        <w:t xml:space="preserve">Reaching a </w:t>
      </w:r>
      <w:r w:rsidR="003967B6" w:rsidRPr="007A776C">
        <w:rPr>
          <w:rFonts w:ascii="Arial" w:hAnsi="Arial"/>
        </w:rPr>
        <w:t xml:space="preserve">partnership </w:t>
      </w:r>
      <w:r w:rsidR="00C10617" w:rsidRPr="007A776C">
        <w:rPr>
          <w:rFonts w:ascii="Arial" w:hAnsi="Arial"/>
        </w:rPr>
        <w:t xml:space="preserve">agreement </w:t>
      </w:r>
      <w:r w:rsidR="00921166" w:rsidRPr="007A776C">
        <w:rPr>
          <w:rFonts w:ascii="Arial" w:hAnsi="Arial"/>
        </w:rPr>
        <w:t xml:space="preserve">can </w:t>
      </w:r>
      <w:r w:rsidR="00FB5119" w:rsidRPr="007A776C">
        <w:rPr>
          <w:rFonts w:ascii="Arial" w:hAnsi="Arial"/>
        </w:rPr>
        <w:t>demand</w:t>
      </w:r>
      <w:r w:rsidR="00921166" w:rsidRPr="007A776C">
        <w:rPr>
          <w:rFonts w:ascii="Arial" w:hAnsi="Arial"/>
        </w:rPr>
        <w:t xml:space="preserve"> a</w:t>
      </w:r>
      <w:r w:rsidR="00FB5119" w:rsidRPr="007A776C">
        <w:rPr>
          <w:rFonts w:ascii="Arial" w:hAnsi="Arial"/>
        </w:rPr>
        <w:t xml:space="preserve"> </w:t>
      </w:r>
      <w:r w:rsidR="00A47C37" w:rsidRPr="007A776C">
        <w:rPr>
          <w:rFonts w:ascii="Arial" w:hAnsi="Arial"/>
        </w:rPr>
        <w:t>large up</w:t>
      </w:r>
      <w:r w:rsidR="00FE7CC5" w:rsidRPr="007A776C">
        <w:rPr>
          <w:rFonts w:ascii="Arial" w:hAnsi="Arial"/>
        </w:rPr>
        <w:noBreakHyphen/>
      </w:r>
      <w:r w:rsidR="00A47C37" w:rsidRPr="007A776C">
        <w:rPr>
          <w:rFonts w:ascii="Arial" w:hAnsi="Arial"/>
        </w:rPr>
        <w:t>front investment of time and effort</w:t>
      </w:r>
      <w:r w:rsidR="00FE7CC5" w:rsidRPr="007A776C">
        <w:rPr>
          <w:rFonts w:ascii="Arial" w:hAnsi="Arial"/>
        </w:rPr>
        <w:t xml:space="preserve"> </w:t>
      </w:r>
      <w:r w:rsidR="000915B1" w:rsidRPr="007A776C">
        <w:rPr>
          <w:rFonts w:ascii="Arial" w:hAnsi="Arial"/>
        </w:rPr>
        <w:t xml:space="preserve">to build </w:t>
      </w:r>
      <w:r w:rsidR="00FE7CC5" w:rsidRPr="007A776C">
        <w:rPr>
          <w:rFonts w:ascii="Arial" w:hAnsi="Arial"/>
        </w:rPr>
        <w:t>mutual trust and understanding</w:t>
      </w:r>
      <w:r w:rsidR="000915B1" w:rsidRPr="007A776C">
        <w:rPr>
          <w:rFonts w:ascii="Arial" w:hAnsi="Arial"/>
        </w:rPr>
        <w:t xml:space="preserve"> of individual part</w:t>
      </w:r>
      <w:r w:rsidR="00F1413E" w:rsidRPr="007A776C">
        <w:rPr>
          <w:rFonts w:ascii="Arial" w:hAnsi="Arial"/>
        </w:rPr>
        <w:t>ners</w:t>
      </w:r>
      <w:r w:rsidR="00FE7CC5" w:rsidRPr="007A776C">
        <w:rPr>
          <w:rFonts w:ascii="Arial" w:hAnsi="Arial"/>
        </w:rPr>
        <w:t>.</w:t>
      </w:r>
    </w:p>
    <w:p w:rsidR="00884B8E" w:rsidRPr="007A776C" w:rsidRDefault="002C2A96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The </w:t>
      </w:r>
      <w:r w:rsidR="000C7FDB" w:rsidRPr="007A776C">
        <w:rPr>
          <w:rFonts w:ascii="Arial" w:hAnsi="Arial"/>
        </w:rPr>
        <w:t xml:space="preserve">following </w:t>
      </w:r>
      <w:r w:rsidRPr="007A776C">
        <w:rPr>
          <w:rFonts w:ascii="Arial" w:hAnsi="Arial"/>
        </w:rPr>
        <w:t xml:space="preserve">principles </w:t>
      </w:r>
      <w:r w:rsidR="000915B1" w:rsidRPr="007A776C">
        <w:rPr>
          <w:rFonts w:ascii="Arial" w:hAnsi="Arial"/>
        </w:rPr>
        <w:t xml:space="preserve">of behaviour </w:t>
      </w:r>
      <w:r w:rsidR="00997435" w:rsidRPr="007A776C">
        <w:rPr>
          <w:rFonts w:ascii="Arial" w:hAnsi="Arial"/>
        </w:rPr>
        <w:t xml:space="preserve">are </w:t>
      </w:r>
      <w:r w:rsidR="00412AA2" w:rsidRPr="007A776C">
        <w:rPr>
          <w:rFonts w:ascii="Arial" w:hAnsi="Arial"/>
        </w:rPr>
        <w:t>common i</w:t>
      </w:r>
      <w:r w:rsidR="00997435" w:rsidRPr="007A776C">
        <w:rPr>
          <w:rFonts w:ascii="Arial" w:hAnsi="Arial"/>
        </w:rPr>
        <w:t>ngredients of successful cross-sector collaboration</w:t>
      </w:r>
      <w:r w:rsidR="00EE3C3D" w:rsidRPr="007A776C">
        <w:rPr>
          <w:rFonts w:ascii="Arial" w:hAnsi="Arial"/>
        </w:rPr>
        <w:t>—</w:t>
      </w:r>
      <w:r w:rsidRPr="007A776C">
        <w:rPr>
          <w:rFonts w:ascii="Arial" w:hAnsi="Arial"/>
        </w:rPr>
        <w:t xml:space="preserve">departmental </w:t>
      </w:r>
      <w:r w:rsidR="000741D3" w:rsidRPr="007A776C">
        <w:rPr>
          <w:rFonts w:ascii="Arial" w:hAnsi="Arial"/>
        </w:rPr>
        <w:t xml:space="preserve">and school-based </w:t>
      </w:r>
      <w:r w:rsidRPr="007A776C">
        <w:rPr>
          <w:rFonts w:ascii="Arial" w:hAnsi="Arial"/>
        </w:rPr>
        <w:t>staff</w:t>
      </w:r>
      <w:r w:rsidR="00F70BD8" w:rsidRPr="007A776C">
        <w:rPr>
          <w:rFonts w:ascii="Arial" w:hAnsi="Arial"/>
        </w:rPr>
        <w:t xml:space="preserve"> </w:t>
      </w:r>
      <w:r w:rsidR="000741D3" w:rsidRPr="007A776C">
        <w:rPr>
          <w:rFonts w:ascii="Arial" w:hAnsi="Arial"/>
        </w:rPr>
        <w:t xml:space="preserve">and school councillors </w:t>
      </w:r>
      <w:r w:rsidR="00F70BD8" w:rsidRPr="007A776C">
        <w:rPr>
          <w:rFonts w:ascii="Arial" w:hAnsi="Arial"/>
        </w:rPr>
        <w:t xml:space="preserve">are </w:t>
      </w:r>
      <w:r w:rsidR="00CB3932" w:rsidRPr="007A776C">
        <w:rPr>
          <w:rFonts w:ascii="Arial" w:hAnsi="Arial"/>
        </w:rPr>
        <w:t>advised</w:t>
      </w:r>
      <w:r w:rsidR="00F70BD8" w:rsidRPr="007A776C">
        <w:rPr>
          <w:rFonts w:ascii="Arial" w:hAnsi="Arial"/>
        </w:rPr>
        <w:t xml:space="preserve"> to adopt these </w:t>
      </w:r>
      <w:r w:rsidR="000915B1" w:rsidRPr="007A776C">
        <w:rPr>
          <w:rFonts w:ascii="Arial" w:hAnsi="Arial"/>
        </w:rPr>
        <w:t xml:space="preserve">engagement </w:t>
      </w:r>
      <w:r w:rsidR="00884B8E" w:rsidRPr="007A776C">
        <w:rPr>
          <w:rFonts w:ascii="Arial" w:hAnsi="Arial"/>
        </w:rPr>
        <w:t>practices</w:t>
      </w:r>
      <w:r w:rsidR="000C7FDB" w:rsidRPr="007A776C">
        <w:rPr>
          <w:rFonts w:ascii="Arial" w:hAnsi="Arial"/>
        </w:rPr>
        <w:t xml:space="preserve"> </w:t>
      </w:r>
      <w:r w:rsidR="00F70BD8" w:rsidRPr="007A776C">
        <w:rPr>
          <w:rFonts w:ascii="Arial" w:hAnsi="Arial"/>
        </w:rPr>
        <w:t xml:space="preserve">for </w:t>
      </w:r>
      <w:r w:rsidR="00AB6534" w:rsidRPr="007A776C">
        <w:rPr>
          <w:rFonts w:ascii="Arial" w:hAnsi="Arial"/>
        </w:rPr>
        <w:t xml:space="preserve">building </w:t>
      </w:r>
      <w:r w:rsidR="000D6259" w:rsidRPr="007A776C">
        <w:rPr>
          <w:rFonts w:ascii="Arial" w:hAnsi="Arial"/>
        </w:rPr>
        <w:t>effective</w:t>
      </w:r>
      <w:r w:rsidR="00FB5119" w:rsidRPr="007A776C">
        <w:rPr>
          <w:rFonts w:ascii="Arial" w:hAnsi="Arial"/>
        </w:rPr>
        <w:t xml:space="preserve"> </w:t>
      </w:r>
      <w:r w:rsidR="000D6259" w:rsidRPr="007A776C">
        <w:rPr>
          <w:rFonts w:ascii="Arial" w:hAnsi="Arial"/>
        </w:rPr>
        <w:t>and sustainable</w:t>
      </w:r>
      <w:r w:rsidR="000C7FDB" w:rsidRPr="007A776C">
        <w:rPr>
          <w:rFonts w:ascii="Arial" w:hAnsi="Arial"/>
        </w:rPr>
        <w:t xml:space="preserve"> partnerships</w:t>
      </w:r>
      <w:r w:rsidR="00EE3C3D" w:rsidRPr="007A776C">
        <w:rPr>
          <w:rFonts w:ascii="Arial" w:hAnsi="Arial"/>
        </w:rPr>
        <w:t>:</w:t>
      </w:r>
      <w:r w:rsidR="000D6259" w:rsidRPr="007A776C">
        <w:rPr>
          <w:rFonts w:ascii="Arial" w:hAnsi="Arial"/>
        </w:rPr>
        <w:t xml:space="preserve">    </w:t>
      </w:r>
    </w:p>
    <w:p w:rsidR="003E3CFA" w:rsidRPr="007A776C" w:rsidRDefault="003E3CFA" w:rsidP="007A776C">
      <w:pPr>
        <w:ind w:left="340" w:hanging="340"/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Create the right environment: engage early and act openly 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lastRenderedPageBreak/>
        <w:t>Engage early when the potential idea or interest is first being considered.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Explain the Government’s policy environment and how the Department</w:t>
      </w:r>
      <w:r w:rsidR="00ED4ACD" w:rsidRPr="007A776C">
        <w:rPr>
          <w:rFonts w:ascii="Arial" w:hAnsi="Arial" w:cs="Arial"/>
          <w:szCs w:val="20"/>
        </w:rPr>
        <w:t xml:space="preserve"> or </w:t>
      </w:r>
      <w:r w:rsidR="00A61E1D" w:rsidRPr="007A776C">
        <w:rPr>
          <w:rFonts w:ascii="Arial" w:hAnsi="Arial" w:cs="Arial"/>
          <w:szCs w:val="20"/>
        </w:rPr>
        <w:t>g</w:t>
      </w:r>
      <w:r w:rsidR="00ED4ACD" w:rsidRPr="007A776C">
        <w:rPr>
          <w:rFonts w:ascii="Arial" w:hAnsi="Arial" w:cs="Arial"/>
          <w:szCs w:val="20"/>
        </w:rPr>
        <w:t>overnment school</w:t>
      </w:r>
      <w:r w:rsidRPr="007A776C">
        <w:rPr>
          <w:rFonts w:ascii="Arial" w:hAnsi="Arial" w:cs="Arial"/>
          <w:szCs w:val="20"/>
        </w:rPr>
        <w:t xml:space="preserve"> works.</w:t>
      </w:r>
    </w:p>
    <w:p w:rsidR="008D6037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Agree on the problem </w:t>
      </w:r>
      <w:r w:rsidR="00FB5119" w:rsidRPr="007A776C">
        <w:rPr>
          <w:rFonts w:ascii="Arial" w:hAnsi="Arial" w:cs="Arial"/>
          <w:szCs w:val="20"/>
        </w:rPr>
        <w:t xml:space="preserve">to </w:t>
      </w:r>
      <w:r w:rsidR="00921166" w:rsidRPr="007A776C">
        <w:rPr>
          <w:rFonts w:ascii="Arial" w:hAnsi="Arial" w:cs="Arial"/>
          <w:szCs w:val="20"/>
        </w:rPr>
        <w:t xml:space="preserve">be </w:t>
      </w:r>
      <w:r w:rsidR="00FB5119" w:rsidRPr="007A776C">
        <w:rPr>
          <w:rFonts w:ascii="Arial" w:hAnsi="Arial" w:cs="Arial"/>
          <w:szCs w:val="20"/>
        </w:rPr>
        <w:t>address</w:t>
      </w:r>
      <w:r w:rsidR="00921166" w:rsidRPr="007A776C">
        <w:rPr>
          <w:rFonts w:ascii="Arial" w:hAnsi="Arial" w:cs="Arial"/>
          <w:szCs w:val="20"/>
        </w:rPr>
        <w:t>ed</w:t>
      </w:r>
      <w:r w:rsidR="00FB5119" w:rsidRPr="007A776C">
        <w:rPr>
          <w:rFonts w:ascii="Arial" w:hAnsi="Arial" w:cs="Arial"/>
          <w:szCs w:val="20"/>
        </w:rPr>
        <w:t xml:space="preserve"> through </w:t>
      </w:r>
      <w:r w:rsidRPr="007A776C">
        <w:rPr>
          <w:rFonts w:ascii="Arial" w:hAnsi="Arial" w:cs="Arial"/>
          <w:szCs w:val="20"/>
        </w:rPr>
        <w:t>the partnership</w:t>
      </w:r>
      <w:r w:rsidR="00F10783" w:rsidRPr="007A776C">
        <w:rPr>
          <w:rFonts w:ascii="Arial" w:hAnsi="Arial" w:cs="Arial"/>
          <w:szCs w:val="20"/>
        </w:rPr>
        <w:t>.</w:t>
      </w:r>
      <w:r w:rsidRPr="007A776C">
        <w:rPr>
          <w:rFonts w:ascii="Arial" w:hAnsi="Arial" w:cs="Arial"/>
          <w:szCs w:val="20"/>
        </w:rPr>
        <w:t xml:space="preserve"> </w:t>
      </w:r>
    </w:p>
    <w:p w:rsidR="003E3CFA" w:rsidRPr="007A776C" w:rsidRDefault="008D6037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Consider how solving the problem </w:t>
      </w:r>
      <w:r w:rsidR="00FB5119" w:rsidRPr="007A776C">
        <w:rPr>
          <w:rFonts w:ascii="Arial" w:hAnsi="Arial" w:cs="Arial"/>
          <w:szCs w:val="20"/>
        </w:rPr>
        <w:t xml:space="preserve">contributes to </w:t>
      </w:r>
      <w:r w:rsidR="00C1683D" w:rsidRPr="007A776C">
        <w:rPr>
          <w:rFonts w:ascii="Arial" w:hAnsi="Arial" w:cs="Arial"/>
          <w:szCs w:val="20"/>
        </w:rPr>
        <w:t xml:space="preserve">shared </w:t>
      </w:r>
      <w:r w:rsidR="003E3CFA" w:rsidRPr="007A776C">
        <w:rPr>
          <w:rFonts w:ascii="Arial" w:hAnsi="Arial" w:cs="Arial"/>
          <w:szCs w:val="20"/>
        </w:rPr>
        <w:t>values or objectives</w:t>
      </w:r>
      <w:r w:rsidRPr="007A776C">
        <w:rPr>
          <w:rFonts w:ascii="Arial" w:hAnsi="Arial" w:cs="Arial"/>
          <w:szCs w:val="20"/>
        </w:rPr>
        <w:t>.</w:t>
      </w:r>
    </w:p>
    <w:p w:rsidR="007F7BDB" w:rsidRPr="007A776C" w:rsidRDefault="007F7BDB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Move beyond seeing partners as donor or service </w:t>
      </w:r>
      <w:r w:rsidR="00C01661" w:rsidRPr="007A776C">
        <w:rPr>
          <w:rFonts w:ascii="Arial" w:hAnsi="Arial" w:cs="Arial"/>
          <w:szCs w:val="20"/>
        </w:rPr>
        <w:t>operator</w:t>
      </w:r>
      <w:r w:rsidR="00896160" w:rsidRPr="007A776C">
        <w:rPr>
          <w:rFonts w:ascii="Arial" w:hAnsi="Arial" w:cs="Arial"/>
          <w:szCs w:val="20"/>
        </w:rPr>
        <w:t>,</w:t>
      </w:r>
      <w:r w:rsidR="00C01661" w:rsidRPr="007A776C">
        <w:rPr>
          <w:rFonts w:ascii="Arial" w:hAnsi="Arial" w:cs="Arial"/>
          <w:szCs w:val="20"/>
        </w:rPr>
        <w:t xml:space="preserve"> </w:t>
      </w:r>
      <w:r w:rsidRPr="007A776C">
        <w:rPr>
          <w:rFonts w:ascii="Arial" w:hAnsi="Arial" w:cs="Arial"/>
          <w:szCs w:val="20"/>
        </w:rPr>
        <w:t xml:space="preserve">and appreciate other </w:t>
      </w:r>
      <w:r w:rsidR="00921166" w:rsidRPr="007A776C">
        <w:rPr>
          <w:rFonts w:ascii="Arial" w:hAnsi="Arial" w:cs="Arial"/>
          <w:szCs w:val="20"/>
        </w:rPr>
        <w:t xml:space="preserve">possibilities </w:t>
      </w:r>
      <w:r w:rsidRPr="007A776C">
        <w:rPr>
          <w:rFonts w:ascii="Arial" w:hAnsi="Arial" w:cs="Arial"/>
          <w:szCs w:val="20"/>
        </w:rPr>
        <w:t xml:space="preserve">they may bring.  </w:t>
      </w:r>
    </w:p>
    <w:p w:rsidR="003E3CFA" w:rsidRPr="007A776C" w:rsidRDefault="003E3CFA" w:rsidP="007A776C">
      <w:pPr>
        <w:ind w:left="340" w:hanging="340"/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Shape partnerships and build relationships: understand the </w:t>
      </w:r>
      <w:r w:rsidR="008D6037" w:rsidRPr="007A776C">
        <w:rPr>
          <w:rFonts w:ascii="Arial" w:hAnsi="Arial"/>
          <w:i/>
        </w:rPr>
        <w:t>sector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Understand the philanthropic and not</w:t>
      </w:r>
      <w:r w:rsidRPr="007A776C">
        <w:rPr>
          <w:rFonts w:ascii="Arial" w:hAnsi="Arial" w:cs="Arial"/>
          <w:szCs w:val="20"/>
        </w:rPr>
        <w:noBreakHyphen/>
        <w:t>for</w:t>
      </w:r>
      <w:r w:rsidRPr="007A776C">
        <w:rPr>
          <w:rFonts w:ascii="Arial" w:hAnsi="Arial" w:cs="Arial"/>
          <w:szCs w:val="20"/>
        </w:rPr>
        <w:noBreakHyphen/>
        <w:t>profit sectors, their roles, policies, priorities, practices and limitations.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Communicate any operating differences between the Department</w:t>
      </w:r>
      <w:r w:rsidR="00990739" w:rsidRPr="007A776C">
        <w:rPr>
          <w:rFonts w:ascii="Arial" w:hAnsi="Arial" w:cs="Arial"/>
          <w:szCs w:val="20"/>
        </w:rPr>
        <w:t>/</w:t>
      </w:r>
      <w:r w:rsidR="00A61E1D" w:rsidRPr="007A776C">
        <w:rPr>
          <w:rFonts w:ascii="Arial" w:hAnsi="Arial" w:cs="Arial"/>
          <w:szCs w:val="20"/>
        </w:rPr>
        <w:t>g</w:t>
      </w:r>
      <w:r w:rsidR="00ED4ACD" w:rsidRPr="007A776C">
        <w:rPr>
          <w:rFonts w:ascii="Arial" w:hAnsi="Arial" w:cs="Arial"/>
          <w:szCs w:val="20"/>
        </w:rPr>
        <w:t>overnment school</w:t>
      </w:r>
      <w:r w:rsidR="00DE7F2C" w:rsidRPr="007A776C">
        <w:rPr>
          <w:rFonts w:ascii="Arial" w:hAnsi="Arial" w:cs="Arial"/>
          <w:szCs w:val="20"/>
        </w:rPr>
        <w:t>s</w:t>
      </w:r>
      <w:r w:rsidRPr="007A776C">
        <w:rPr>
          <w:rFonts w:ascii="Arial" w:hAnsi="Arial" w:cs="Arial"/>
          <w:szCs w:val="20"/>
        </w:rPr>
        <w:t xml:space="preserve"> and </w:t>
      </w:r>
      <w:r w:rsidR="00551270" w:rsidRPr="007A776C">
        <w:rPr>
          <w:rFonts w:ascii="Arial" w:hAnsi="Arial" w:cs="Arial"/>
          <w:szCs w:val="20"/>
        </w:rPr>
        <w:t>other</w:t>
      </w:r>
      <w:r w:rsidRPr="007A776C">
        <w:rPr>
          <w:rFonts w:ascii="Arial" w:hAnsi="Arial" w:cs="Arial"/>
          <w:szCs w:val="20"/>
        </w:rPr>
        <w:t xml:space="preserve"> partners.</w:t>
      </w:r>
    </w:p>
    <w:p w:rsidR="00881661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Be clear about expectations, roles and responsibilities</w:t>
      </w:r>
      <w:r w:rsidR="00881661" w:rsidRPr="007A776C">
        <w:rPr>
          <w:rFonts w:ascii="Arial" w:hAnsi="Arial" w:cs="Arial"/>
          <w:szCs w:val="20"/>
        </w:rPr>
        <w:t xml:space="preserve"> while remaining flexible in making adjustments to accommodate changing circumstances and opportunities as they arise.</w:t>
      </w:r>
    </w:p>
    <w:p w:rsidR="003E3CFA" w:rsidRPr="007A776C" w:rsidRDefault="00881661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Convene </w:t>
      </w:r>
      <w:r w:rsidR="00101301" w:rsidRPr="007A776C">
        <w:rPr>
          <w:rFonts w:ascii="Arial" w:hAnsi="Arial" w:cs="Arial"/>
          <w:szCs w:val="20"/>
        </w:rPr>
        <w:t xml:space="preserve">the right </w:t>
      </w:r>
      <w:r w:rsidRPr="007A776C">
        <w:rPr>
          <w:rFonts w:ascii="Arial" w:hAnsi="Arial" w:cs="Arial"/>
          <w:szCs w:val="20"/>
        </w:rPr>
        <w:t>people</w:t>
      </w:r>
      <w:r w:rsidR="00551270" w:rsidRPr="007A776C">
        <w:rPr>
          <w:rFonts w:ascii="Arial" w:hAnsi="Arial" w:cs="Arial"/>
          <w:szCs w:val="20"/>
        </w:rPr>
        <w:t xml:space="preserve"> to the table</w:t>
      </w:r>
      <w:r w:rsidR="00101301" w:rsidRPr="007A776C">
        <w:rPr>
          <w:rFonts w:ascii="Arial" w:hAnsi="Arial" w:cs="Arial"/>
          <w:szCs w:val="20"/>
        </w:rPr>
        <w:t xml:space="preserve">, </w:t>
      </w:r>
      <w:r w:rsidRPr="007A776C">
        <w:rPr>
          <w:rFonts w:ascii="Arial" w:hAnsi="Arial" w:cs="Arial"/>
          <w:szCs w:val="20"/>
        </w:rPr>
        <w:t xml:space="preserve">especially </w:t>
      </w:r>
      <w:r w:rsidR="00101301" w:rsidRPr="007A776C">
        <w:rPr>
          <w:rFonts w:ascii="Arial" w:hAnsi="Arial" w:cs="Arial"/>
          <w:szCs w:val="20"/>
        </w:rPr>
        <w:t xml:space="preserve">those with the </w:t>
      </w:r>
      <w:r w:rsidR="00997435" w:rsidRPr="007A776C">
        <w:rPr>
          <w:rFonts w:ascii="Arial" w:hAnsi="Arial" w:cs="Arial"/>
          <w:szCs w:val="20"/>
        </w:rPr>
        <w:t xml:space="preserve">seniority or </w:t>
      </w:r>
      <w:r w:rsidR="00101301" w:rsidRPr="007A776C">
        <w:rPr>
          <w:rFonts w:ascii="Arial" w:hAnsi="Arial" w:cs="Arial"/>
          <w:szCs w:val="20"/>
        </w:rPr>
        <w:t>authority to make decisions at critical junctures of the partnership.</w:t>
      </w:r>
    </w:p>
    <w:p w:rsidR="003E3CFA" w:rsidRPr="007A776C" w:rsidRDefault="003E3CFA" w:rsidP="007A776C">
      <w:pPr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Set out clear </w:t>
      </w:r>
      <w:r w:rsidR="00D043AA" w:rsidRPr="007A776C">
        <w:rPr>
          <w:rFonts w:ascii="Arial" w:hAnsi="Arial"/>
          <w:i/>
        </w:rPr>
        <w:t xml:space="preserve">protocols for </w:t>
      </w:r>
      <w:r w:rsidRPr="007A776C">
        <w:rPr>
          <w:rFonts w:ascii="Arial" w:hAnsi="Arial"/>
          <w:i/>
        </w:rPr>
        <w:t>decision</w:t>
      </w:r>
      <w:r w:rsidR="00D043AA" w:rsidRPr="007A776C">
        <w:rPr>
          <w:rFonts w:ascii="Arial" w:hAnsi="Arial"/>
          <w:i/>
        </w:rPr>
        <w:t xml:space="preserve"> </w:t>
      </w:r>
      <w:r w:rsidRPr="007A776C">
        <w:rPr>
          <w:rFonts w:ascii="Arial" w:hAnsi="Arial"/>
          <w:i/>
        </w:rPr>
        <w:t xml:space="preserve">making </w:t>
      </w:r>
    </w:p>
    <w:p w:rsidR="003E3CFA" w:rsidRPr="007A776C" w:rsidRDefault="00C10617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Agree on an appropriate decision-making process, having regard to</w:t>
      </w:r>
      <w:r w:rsidR="004231E5" w:rsidRPr="007A776C">
        <w:rPr>
          <w:rFonts w:ascii="Arial" w:hAnsi="Arial" w:cs="Arial"/>
          <w:szCs w:val="20"/>
        </w:rPr>
        <w:t xml:space="preserve"> the</w:t>
      </w:r>
      <w:r w:rsidRPr="007A776C">
        <w:rPr>
          <w:rFonts w:ascii="Arial" w:hAnsi="Arial" w:cs="Arial"/>
          <w:szCs w:val="20"/>
        </w:rPr>
        <w:t xml:space="preserve"> </w:t>
      </w:r>
      <w:r w:rsidR="00566E19" w:rsidRPr="007A776C">
        <w:rPr>
          <w:rFonts w:ascii="Arial" w:hAnsi="Arial" w:cs="Arial"/>
          <w:szCs w:val="20"/>
        </w:rPr>
        <w:t xml:space="preserve">requirements for </w:t>
      </w:r>
      <w:r w:rsidRPr="007A776C">
        <w:rPr>
          <w:rFonts w:ascii="Arial" w:hAnsi="Arial" w:cs="Arial"/>
          <w:szCs w:val="20"/>
        </w:rPr>
        <w:t>transparency</w:t>
      </w:r>
      <w:r w:rsidR="00566E19" w:rsidRPr="007A776C">
        <w:rPr>
          <w:rFonts w:ascii="Arial" w:hAnsi="Arial" w:cs="Arial"/>
          <w:szCs w:val="20"/>
        </w:rPr>
        <w:t xml:space="preserve"> and </w:t>
      </w:r>
      <w:r w:rsidRPr="007A776C">
        <w:rPr>
          <w:rFonts w:ascii="Arial" w:hAnsi="Arial" w:cs="Arial"/>
          <w:szCs w:val="20"/>
        </w:rPr>
        <w:t xml:space="preserve">accountability. </w:t>
      </w:r>
      <w:r w:rsidR="003E3CFA" w:rsidRPr="007A776C">
        <w:rPr>
          <w:rFonts w:ascii="Arial" w:hAnsi="Arial" w:cs="Arial"/>
          <w:szCs w:val="20"/>
        </w:rPr>
        <w:t xml:space="preserve"> 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Communicate openly and frequently throughout the partnership.  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Document the history, context and development of the partnership. </w:t>
      </w:r>
    </w:p>
    <w:p w:rsidR="003E3CFA" w:rsidRPr="007A776C" w:rsidRDefault="00970C46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Put in place </w:t>
      </w:r>
      <w:r w:rsidR="003E3CFA" w:rsidRPr="007A776C">
        <w:rPr>
          <w:rFonts w:ascii="Arial" w:hAnsi="Arial" w:cs="Arial"/>
          <w:szCs w:val="20"/>
        </w:rPr>
        <w:t xml:space="preserve">a </w:t>
      </w:r>
      <w:r w:rsidRPr="007A776C">
        <w:rPr>
          <w:rFonts w:ascii="Arial" w:hAnsi="Arial" w:cs="Arial"/>
          <w:szCs w:val="20"/>
        </w:rPr>
        <w:t xml:space="preserve">robust </w:t>
      </w:r>
      <w:r w:rsidR="003E3CFA" w:rsidRPr="007A776C">
        <w:rPr>
          <w:rFonts w:ascii="Arial" w:hAnsi="Arial" w:cs="Arial"/>
          <w:szCs w:val="20"/>
        </w:rPr>
        <w:t xml:space="preserve">handover process </w:t>
      </w:r>
      <w:r w:rsidRPr="007A776C">
        <w:rPr>
          <w:rFonts w:ascii="Arial" w:hAnsi="Arial" w:cs="Arial"/>
          <w:szCs w:val="20"/>
        </w:rPr>
        <w:t>to achieve seamless transition whenever</w:t>
      </w:r>
      <w:r w:rsidR="003E3CFA" w:rsidRPr="007A776C">
        <w:rPr>
          <w:rFonts w:ascii="Arial" w:hAnsi="Arial" w:cs="Arial"/>
          <w:szCs w:val="20"/>
        </w:rPr>
        <w:t xml:space="preserve"> staffing </w:t>
      </w:r>
      <w:r w:rsidR="00997435" w:rsidRPr="007A776C">
        <w:rPr>
          <w:rFonts w:ascii="Arial" w:hAnsi="Arial" w:cs="Arial"/>
          <w:szCs w:val="20"/>
        </w:rPr>
        <w:t xml:space="preserve">or structure </w:t>
      </w:r>
      <w:r w:rsidR="003E3CFA" w:rsidRPr="007A776C">
        <w:rPr>
          <w:rFonts w:ascii="Arial" w:hAnsi="Arial" w:cs="Arial"/>
          <w:szCs w:val="20"/>
        </w:rPr>
        <w:t>changes occur during the partnership.</w:t>
      </w:r>
    </w:p>
    <w:p w:rsidR="003E3CFA" w:rsidRPr="007A776C" w:rsidRDefault="003E3CFA" w:rsidP="007A776C">
      <w:pPr>
        <w:keepNext/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Agree </w:t>
      </w:r>
      <w:r w:rsidR="00D043AA" w:rsidRPr="007A776C">
        <w:rPr>
          <w:rFonts w:ascii="Arial" w:hAnsi="Arial"/>
          <w:i/>
        </w:rPr>
        <w:t xml:space="preserve">to </w:t>
      </w:r>
      <w:r w:rsidRPr="007A776C">
        <w:rPr>
          <w:rFonts w:ascii="Arial" w:hAnsi="Arial"/>
          <w:i/>
        </w:rPr>
        <w:t xml:space="preserve">an evaluation approach 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Agree to a </w:t>
      </w:r>
      <w:r w:rsidR="00643705" w:rsidRPr="007A776C">
        <w:rPr>
          <w:rFonts w:ascii="Arial" w:hAnsi="Arial" w:cs="Arial"/>
          <w:szCs w:val="20"/>
        </w:rPr>
        <w:t xml:space="preserve">set of </w:t>
      </w:r>
      <w:r w:rsidRPr="007A776C">
        <w:rPr>
          <w:rFonts w:ascii="Arial" w:hAnsi="Arial" w:cs="Arial"/>
          <w:szCs w:val="20"/>
        </w:rPr>
        <w:t>measure</w:t>
      </w:r>
      <w:r w:rsidR="00643705" w:rsidRPr="007A776C">
        <w:rPr>
          <w:rFonts w:ascii="Arial" w:hAnsi="Arial" w:cs="Arial"/>
          <w:szCs w:val="20"/>
        </w:rPr>
        <w:t>s</w:t>
      </w:r>
      <w:r w:rsidRPr="007A776C">
        <w:rPr>
          <w:rFonts w:ascii="Arial" w:hAnsi="Arial" w:cs="Arial"/>
          <w:szCs w:val="20"/>
        </w:rPr>
        <w:t xml:space="preserve"> for success and </w:t>
      </w:r>
      <w:r w:rsidR="00643705" w:rsidRPr="007A776C">
        <w:rPr>
          <w:rFonts w:ascii="Arial" w:hAnsi="Arial" w:cs="Arial"/>
          <w:szCs w:val="20"/>
        </w:rPr>
        <w:t xml:space="preserve">the </w:t>
      </w:r>
      <w:r w:rsidRPr="007A776C">
        <w:rPr>
          <w:rFonts w:ascii="Arial" w:hAnsi="Arial" w:cs="Arial"/>
          <w:szCs w:val="20"/>
        </w:rPr>
        <w:t xml:space="preserve">evidence required. </w:t>
      </w:r>
    </w:p>
    <w:p w:rsidR="003E3CFA" w:rsidRPr="007A776C" w:rsidRDefault="003E3CFA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Agree to an evaluation framework and </w:t>
      </w:r>
      <w:r w:rsidR="00921166" w:rsidRPr="007A776C">
        <w:rPr>
          <w:rFonts w:ascii="Arial" w:hAnsi="Arial" w:cs="Arial"/>
          <w:szCs w:val="20"/>
        </w:rPr>
        <w:t xml:space="preserve">provide </w:t>
      </w:r>
      <w:r w:rsidR="00643705" w:rsidRPr="007A776C">
        <w:rPr>
          <w:rFonts w:ascii="Arial" w:hAnsi="Arial" w:cs="Arial"/>
          <w:szCs w:val="20"/>
        </w:rPr>
        <w:t xml:space="preserve">for the </w:t>
      </w:r>
      <w:r w:rsidR="00D043AA" w:rsidRPr="007A776C">
        <w:rPr>
          <w:rFonts w:ascii="Arial" w:hAnsi="Arial" w:cs="Arial"/>
          <w:szCs w:val="20"/>
        </w:rPr>
        <w:t>necessary r</w:t>
      </w:r>
      <w:r w:rsidRPr="007A776C">
        <w:rPr>
          <w:rFonts w:ascii="Arial" w:hAnsi="Arial" w:cs="Arial"/>
          <w:szCs w:val="20"/>
        </w:rPr>
        <w:t xml:space="preserve">esources </w:t>
      </w:r>
      <w:r w:rsidR="00921166" w:rsidRPr="007A776C">
        <w:rPr>
          <w:rFonts w:ascii="Arial" w:hAnsi="Arial" w:cs="Arial"/>
          <w:szCs w:val="20"/>
        </w:rPr>
        <w:t xml:space="preserve">needed </w:t>
      </w:r>
      <w:r w:rsidR="00643705" w:rsidRPr="007A776C">
        <w:rPr>
          <w:rFonts w:ascii="Arial" w:hAnsi="Arial" w:cs="Arial"/>
          <w:szCs w:val="20"/>
        </w:rPr>
        <w:t xml:space="preserve">for </w:t>
      </w:r>
      <w:r w:rsidR="00921166" w:rsidRPr="007A776C">
        <w:rPr>
          <w:rFonts w:ascii="Arial" w:hAnsi="Arial" w:cs="Arial"/>
          <w:szCs w:val="20"/>
        </w:rPr>
        <w:t xml:space="preserve">the </w:t>
      </w:r>
      <w:r w:rsidR="00643705" w:rsidRPr="007A776C">
        <w:rPr>
          <w:rFonts w:ascii="Arial" w:hAnsi="Arial" w:cs="Arial"/>
          <w:szCs w:val="20"/>
        </w:rPr>
        <w:t>evaluation</w:t>
      </w:r>
      <w:r w:rsidRPr="007A776C">
        <w:rPr>
          <w:rFonts w:ascii="Arial" w:hAnsi="Arial" w:cs="Arial"/>
          <w:szCs w:val="20"/>
        </w:rPr>
        <w:t xml:space="preserve">. </w:t>
      </w:r>
    </w:p>
    <w:p w:rsidR="003E3CFA" w:rsidRPr="007A776C" w:rsidRDefault="00B86420" w:rsidP="007A776C">
      <w:pPr>
        <w:pStyle w:val="ListParagraph"/>
        <w:numPr>
          <w:ilvl w:val="0"/>
          <w:numId w:val="2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Consider </w:t>
      </w:r>
      <w:r w:rsidR="003E3CFA" w:rsidRPr="007A776C">
        <w:rPr>
          <w:rFonts w:ascii="Arial" w:hAnsi="Arial" w:cs="Arial"/>
          <w:szCs w:val="20"/>
        </w:rPr>
        <w:t xml:space="preserve">sustainability issues early </w:t>
      </w:r>
      <w:r w:rsidR="00EE3C3D" w:rsidRPr="007A776C">
        <w:rPr>
          <w:rFonts w:ascii="Arial" w:hAnsi="Arial" w:cs="Arial"/>
          <w:szCs w:val="20"/>
        </w:rPr>
        <w:t xml:space="preserve">and </w:t>
      </w:r>
      <w:r w:rsidR="003E3CFA" w:rsidRPr="007A776C">
        <w:rPr>
          <w:rFonts w:ascii="Arial" w:hAnsi="Arial" w:cs="Arial"/>
          <w:szCs w:val="20"/>
        </w:rPr>
        <w:t xml:space="preserve">develop a funding plan or exit strategy </w:t>
      </w:r>
      <w:r w:rsidR="00E44322" w:rsidRPr="007A776C">
        <w:rPr>
          <w:rFonts w:ascii="Arial" w:hAnsi="Arial" w:cs="Arial"/>
          <w:szCs w:val="20"/>
        </w:rPr>
        <w:t xml:space="preserve">as appropriate </w:t>
      </w:r>
      <w:r w:rsidR="003E3CFA" w:rsidRPr="007A776C">
        <w:rPr>
          <w:rFonts w:ascii="Arial" w:hAnsi="Arial" w:cs="Arial"/>
          <w:szCs w:val="20"/>
        </w:rPr>
        <w:t xml:space="preserve">for the partnership. </w:t>
      </w:r>
    </w:p>
    <w:p w:rsidR="007E0EF9" w:rsidRPr="00D343DF" w:rsidRDefault="00405071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 xml:space="preserve">The </w:t>
      </w:r>
      <w:r w:rsidR="009342EC" w:rsidRPr="00D343DF">
        <w:rPr>
          <w:rFonts w:ascii="Arial" w:hAnsi="Arial"/>
          <w:color w:val="C00000"/>
          <w:sz w:val="24"/>
          <w:szCs w:val="24"/>
        </w:rPr>
        <w:t>Department</w:t>
      </w:r>
      <w:r w:rsidR="00345045" w:rsidRPr="00D343DF">
        <w:rPr>
          <w:rFonts w:ascii="Arial" w:hAnsi="Arial"/>
          <w:color w:val="C00000"/>
          <w:sz w:val="24"/>
          <w:szCs w:val="24"/>
        </w:rPr>
        <w:t xml:space="preserve"> </w:t>
      </w:r>
      <w:r w:rsidR="00990739" w:rsidRPr="00D343DF">
        <w:rPr>
          <w:rFonts w:ascii="Arial" w:hAnsi="Arial"/>
          <w:color w:val="C00000"/>
          <w:sz w:val="24"/>
          <w:szCs w:val="24"/>
        </w:rPr>
        <w:t>and</w:t>
      </w:r>
      <w:r w:rsidR="00A61E1D" w:rsidRPr="00D343DF">
        <w:rPr>
          <w:rFonts w:ascii="Arial" w:hAnsi="Arial"/>
          <w:color w:val="C00000"/>
          <w:sz w:val="24"/>
          <w:szCs w:val="24"/>
        </w:rPr>
        <w:t xml:space="preserve"> g</w:t>
      </w:r>
      <w:r w:rsidR="00345045" w:rsidRPr="00D343DF">
        <w:rPr>
          <w:rFonts w:ascii="Arial" w:hAnsi="Arial"/>
          <w:color w:val="C00000"/>
          <w:sz w:val="24"/>
          <w:szCs w:val="24"/>
        </w:rPr>
        <w:t>overnment school</w:t>
      </w:r>
      <w:r w:rsidRPr="00D343DF">
        <w:rPr>
          <w:rFonts w:ascii="Arial" w:hAnsi="Arial"/>
          <w:color w:val="C00000"/>
          <w:sz w:val="24"/>
          <w:szCs w:val="24"/>
        </w:rPr>
        <w:t xml:space="preserve"> </w:t>
      </w:r>
      <w:r w:rsidR="00990739" w:rsidRPr="00D343DF">
        <w:rPr>
          <w:rFonts w:ascii="Arial" w:hAnsi="Arial"/>
          <w:color w:val="C00000"/>
          <w:sz w:val="24"/>
          <w:szCs w:val="24"/>
        </w:rPr>
        <w:t xml:space="preserve">councils </w:t>
      </w:r>
      <w:r w:rsidR="004D53A5" w:rsidRPr="00D343DF">
        <w:rPr>
          <w:rFonts w:ascii="Arial" w:hAnsi="Arial"/>
          <w:color w:val="C00000"/>
          <w:sz w:val="24"/>
          <w:szCs w:val="24"/>
        </w:rPr>
        <w:t xml:space="preserve">must observe criteria for </w:t>
      </w:r>
      <w:r w:rsidR="009342EC" w:rsidRPr="00D343DF">
        <w:rPr>
          <w:rFonts w:ascii="Arial" w:hAnsi="Arial"/>
          <w:color w:val="C00000"/>
          <w:sz w:val="24"/>
          <w:szCs w:val="24"/>
        </w:rPr>
        <w:t xml:space="preserve">maximum value from </w:t>
      </w:r>
      <w:r w:rsidR="00152323" w:rsidRPr="00D343DF">
        <w:rPr>
          <w:rFonts w:ascii="Arial" w:hAnsi="Arial"/>
          <w:color w:val="C00000"/>
          <w:sz w:val="24"/>
          <w:szCs w:val="24"/>
        </w:rPr>
        <w:t>partnership agreements</w:t>
      </w:r>
    </w:p>
    <w:p w:rsidR="00FC543B" w:rsidRPr="007A776C" w:rsidRDefault="009342EC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Deriving value from partnerships goes beyond </w:t>
      </w:r>
      <w:r w:rsidR="00D06E61" w:rsidRPr="007A776C">
        <w:rPr>
          <w:rFonts w:ascii="Arial" w:hAnsi="Arial"/>
        </w:rPr>
        <w:t xml:space="preserve">simply </w:t>
      </w:r>
      <w:r w:rsidRPr="007A776C">
        <w:rPr>
          <w:rFonts w:ascii="Arial" w:hAnsi="Arial"/>
        </w:rPr>
        <w:t xml:space="preserve">building positive relationships with </w:t>
      </w:r>
      <w:r w:rsidR="004D0208" w:rsidRPr="007A776C">
        <w:rPr>
          <w:rFonts w:ascii="Arial" w:hAnsi="Arial"/>
        </w:rPr>
        <w:t xml:space="preserve">external </w:t>
      </w:r>
      <w:r w:rsidRPr="007A776C">
        <w:rPr>
          <w:rFonts w:ascii="Arial" w:hAnsi="Arial"/>
        </w:rPr>
        <w:t xml:space="preserve">partners, and is central to the </w:t>
      </w:r>
      <w:r w:rsidR="003E3CFA" w:rsidRPr="007A776C">
        <w:rPr>
          <w:rFonts w:ascii="Arial" w:hAnsi="Arial"/>
        </w:rPr>
        <w:t>Department</w:t>
      </w:r>
      <w:r w:rsidRPr="007A776C">
        <w:rPr>
          <w:rFonts w:ascii="Arial" w:hAnsi="Arial"/>
        </w:rPr>
        <w:t xml:space="preserve">’s </w:t>
      </w:r>
      <w:r w:rsidR="00990739" w:rsidRPr="007A776C">
        <w:rPr>
          <w:rFonts w:ascii="Arial" w:hAnsi="Arial"/>
        </w:rPr>
        <w:t xml:space="preserve">and </w:t>
      </w:r>
      <w:r w:rsidR="00A61E1D" w:rsidRPr="007A776C">
        <w:rPr>
          <w:rFonts w:ascii="Arial" w:hAnsi="Arial"/>
        </w:rPr>
        <w:t>g</w:t>
      </w:r>
      <w:r w:rsidR="00990739" w:rsidRPr="007A776C">
        <w:rPr>
          <w:rFonts w:ascii="Arial" w:hAnsi="Arial"/>
        </w:rPr>
        <w:t xml:space="preserve">overnment school councils’ </w:t>
      </w:r>
      <w:r w:rsidR="00322147" w:rsidRPr="007A776C">
        <w:rPr>
          <w:rFonts w:ascii="Arial" w:hAnsi="Arial"/>
        </w:rPr>
        <w:t xml:space="preserve">legislative </w:t>
      </w:r>
      <w:r w:rsidRPr="007A776C">
        <w:rPr>
          <w:rFonts w:ascii="Arial" w:hAnsi="Arial"/>
        </w:rPr>
        <w:t>o</w:t>
      </w:r>
      <w:r w:rsidR="003E3CFA" w:rsidRPr="007A776C">
        <w:rPr>
          <w:rFonts w:ascii="Arial" w:hAnsi="Arial"/>
        </w:rPr>
        <w:t>bligation</w:t>
      </w:r>
      <w:r w:rsidR="00322147" w:rsidRPr="007A776C">
        <w:rPr>
          <w:rFonts w:ascii="Arial" w:hAnsi="Arial"/>
        </w:rPr>
        <w:t>s</w:t>
      </w:r>
      <w:r w:rsidR="003E3CFA" w:rsidRPr="007A776C">
        <w:rPr>
          <w:rFonts w:ascii="Arial" w:hAnsi="Arial"/>
        </w:rPr>
        <w:t xml:space="preserve"> to </w:t>
      </w:r>
      <w:r w:rsidRPr="007A776C">
        <w:rPr>
          <w:rFonts w:ascii="Arial" w:hAnsi="Arial"/>
        </w:rPr>
        <w:t xml:space="preserve">maximise benefits for </w:t>
      </w:r>
      <w:r w:rsidR="003E3CFA" w:rsidRPr="007A776C">
        <w:rPr>
          <w:rFonts w:ascii="Arial" w:hAnsi="Arial"/>
        </w:rPr>
        <w:t>Victoria</w:t>
      </w:r>
      <w:r w:rsidRPr="007A776C">
        <w:rPr>
          <w:rFonts w:ascii="Arial" w:hAnsi="Arial"/>
        </w:rPr>
        <w:t xml:space="preserve">ns through </w:t>
      </w:r>
      <w:r w:rsidR="00990739" w:rsidRPr="007A776C">
        <w:rPr>
          <w:rFonts w:ascii="Arial" w:hAnsi="Arial"/>
        </w:rPr>
        <w:t xml:space="preserve">their </w:t>
      </w:r>
      <w:r w:rsidR="00946768" w:rsidRPr="007A776C">
        <w:rPr>
          <w:rFonts w:ascii="Arial" w:hAnsi="Arial"/>
        </w:rPr>
        <w:t xml:space="preserve">disposition </w:t>
      </w:r>
      <w:r w:rsidRPr="007A776C">
        <w:rPr>
          <w:rFonts w:ascii="Arial" w:hAnsi="Arial"/>
        </w:rPr>
        <w:t xml:space="preserve">of public resources. </w:t>
      </w:r>
      <w:r w:rsidR="004D0208" w:rsidRPr="007A776C">
        <w:rPr>
          <w:rFonts w:ascii="Arial" w:hAnsi="Arial"/>
        </w:rPr>
        <w:t xml:space="preserve">Achieving this objective depends on a disciplined approach to weighing </w:t>
      </w:r>
      <w:r w:rsidR="00970B5E" w:rsidRPr="007A776C">
        <w:rPr>
          <w:rFonts w:ascii="Arial" w:hAnsi="Arial"/>
        </w:rPr>
        <w:t xml:space="preserve">the costs, </w:t>
      </w:r>
      <w:r w:rsidR="004D0208" w:rsidRPr="007A776C">
        <w:rPr>
          <w:rFonts w:ascii="Arial" w:hAnsi="Arial"/>
        </w:rPr>
        <w:t>benefits</w:t>
      </w:r>
      <w:r w:rsidR="00970B5E" w:rsidRPr="007A776C">
        <w:rPr>
          <w:rFonts w:ascii="Arial" w:hAnsi="Arial"/>
        </w:rPr>
        <w:t xml:space="preserve"> and risks</w:t>
      </w:r>
      <w:r w:rsidR="004D0208" w:rsidRPr="007A776C">
        <w:rPr>
          <w:rFonts w:ascii="Arial" w:hAnsi="Arial"/>
        </w:rPr>
        <w:t xml:space="preserve"> associated with </w:t>
      </w:r>
      <w:r w:rsidR="00FC543B" w:rsidRPr="007A776C">
        <w:rPr>
          <w:rFonts w:ascii="Arial" w:hAnsi="Arial"/>
        </w:rPr>
        <w:t>partnership agreements.</w:t>
      </w:r>
    </w:p>
    <w:p w:rsidR="0058447A" w:rsidRPr="007A776C" w:rsidRDefault="003E3CFA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 xml:space="preserve">The </w:t>
      </w:r>
      <w:r w:rsidR="00EE3C3D" w:rsidRPr="007A776C">
        <w:rPr>
          <w:rFonts w:ascii="Arial" w:hAnsi="Arial"/>
        </w:rPr>
        <w:t xml:space="preserve">Department </w:t>
      </w:r>
      <w:r w:rsidR="00ED4ACD" w:rsidRPr="007A776C">
        <w:rPr>
          <w:rFonts w:ascii="Arial" w:hAnsi="Arial"/>
        </w:rPr>
        <w:t xml:space="preserve">and </w:t>
      </w:r>
      <w:r w:rsidR="00A61E1D" w:rsidRPr="007A776C">
        <w:rPr>
          <w:rFonts w:ascii="Arial" w:hAnsi="Arial"/>
        </w:rPr>
        <w:t>g</w:t>
      </w:r>
      <w:r w:rsidR="00ED4ACD" w:rsidRPr="007A776C">
        <w:rPr>
          <w:rFonts w:ascii="Arial" w:hAnsi="Arial"/>
        </w:rPr>
        <w:t>overnment school</w:t>
      </w:r>
      <w:r w:rsidR="00990739" w:rsidRPr="007A776C">
        <w:rPr>
          <w:rFonts w:ascii="Arial" w:hAnsi="Arial"/>
        </w:rPr>
        <w:t xml:space="preserve"> council</w:t>
      </w:r>
      <w:r w:rsidR="00ED4ACD" w:rsidRPr="007A776C">
        <w:rPr>
          <w:rFonts w:ascii="Arial" w:hAnsi="Arial"/>
        </w:rPr>
        <w:t xml:space="preserve">s </w:t>
      </w:r>
      <w:r w:rsidR="00F70BD8" w:rsidRPr="007A776C">
        <w:rPr>
          <w:rFonts w:ascii="Arial" w:hAnsi="Arial"/>
        </w:rPr>
        <w:t xml:space="preserve">must </w:t>
      </w:r>
      <w:r w:rsidRPr="007A776C">
        <w:rPr>
          <w:rFonts w:ascii="Arial" w:hAnsi="Arial"/>
        </w:rPr>
        <w:t>follow</w:t>
      </w:r>
      <w:r w:rsidR="00F70BD8" w:rsidRPr="007A776C">
        <w:rPr>
          <w:rFonts w:ascii="Arial" w:hAnsi="Arial"/>
        </w:rPr>
        <w:t xml:space="preserve"> these</w:t>
      </w:r>
      <w:r w:rsidRPr="007A776C">
        <w:rPr>
          <w:rFonts w:ascii="Arial" w:hAnsi="Arial"/>
        </w:rPr>
        <w:t xml:space="preserve"> negotiation and collaboration criteria</w:t>
      </w:r>
      <w:r w:rsidR="00990739" w:rsidRPr="007A776C">
        <w:rPr>
          <w:rFonts w:ascii="Arial" w:hAnsi="Arial"/>
        </w:rPr>
        <w:t xml:space="preserve"> </w:t>
      </w:r>
      <w:r w:rsidR="00EE3C3D" w:rsidRPr="007A776C">
        <w:rPr>
          <w:rFonts w:ascii="Arial" w:hAnsi="Arial"/>
        </w:rPr>
        <w:t xml:space="preserve">for </w:t>
      </w:r>
      <w:r w:rsidR="005574FF" w:rsidRPr="007A776C">
        <w:rPr>
          <w:rFonts w:ascii="Arial" w:hAnsi="Arial"/>
        </w:rPr>
        <w:t xml:space="preserve">deriving </w:t>
      </w:r>
      <w:r w:rsidR="00FC543B" w:rsidRPr="007A776C">
        <w:rPr>
          <w:rFonts w:ascii="Arial" w:hAnsi="Arial"/>
        </w:rPr>
        <w:t xml:space="preserve">value from </w:t>
      </w:r>
      <w:r w:rsidRPr="007A776C">
        <w:rPr>
          <w:rFonts w:ascii="Arial" w:hAnsi="Arial"/>
        </w:rPr>
        <w:t>a partnership agreement with a philanthropist or not</w:t>
      </w:r>
      <w:r w:rsidRPr="007A776C">
        <w:rPr>
          <w:rFonts w:ascii="Arial" w:hAnsi="Arial"/>
        </w:rPr>
        <w:noBreakHyphen/>
        <w:t>for-profit</w:t>
      </w:r>
      <w:r w:rsidR="00921166" w:rsidRPr="007A776C">
        <w:rPr>
          <w:rFonts w:ascii="Arial" w:hAnsi="Arial"/>
        </w:rPr>
        <w:t>.</w:t>
      </w:r>
    </w:p>
    <w:p w:rsidR="0058447A" w:rsidRPr="007A776C" w:rsidRDefault="003233FC" w:rsidP="007A776C">
      <w:pPr>
        <w:keepNext/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The partnership must have the underpinning of a </w:t>
      </w:r>
      <w:r w:rsidR="0058447A" w:rsidRPr="007A776C">
        <w:rPr>
          <w:rFonts w:ascii="Arial" w:hAnsi="Arial"/>
          <w:i/>
        </w:rPr>
        <w:t>clear value proposition</w:t>
      </w:r>
    </w:p>
    <w:p w:rsidR="003E3CFA" w:rsidRPr="007A776C" w:rsidRDefault="00902079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Make outcomes </w:t>
      </w:r>
      <w:r w:rsidR="003E3CFA" w:rsidRPr="007A776C">
        <w:rPr>
          <w:rFonts w:ascii="Arial" w:hAnsi="Arial" w:cs="Arial"/>
          <w:szCs w:val="20"/>
        </w:rPr>
        <w:t xml:space="preserve">for Victorian students and </w:t>
      </w:r>
      <w:r w:rsidRPr="007A776C">
        <w:rPr>
          <w:rFonts w:ascii="Arial" w:hAnsi="Arial" w:cs="Arial"/>
          <w:szCs w:val="20"/>
        </w:rPr>
        <w:t xml:space="preserve">learners </w:t>
      </w:r>
      <w:r w:rsidR="00D13D72" w:rsidRPr="007A776C">
        <w:rPr>
          <w:rFonts w:ascii="Arial" w:hAnsi="Arial" w:cs="Arial"/>
          <w:szCs w:val="20"/>
        </w:rPr>
        <w:t>a</w:t>
      </w:r>
      <w:r w:rsidRPr="007A776C">
        <w:rPr>
          <w:rFonts w:ascii="Arial" w:hAnsi="Arial" w:cs="Arial"/>
          <w:szCs w:val="20"/>
        </w:rPr>
        <w:t xml:space="preserve"> focal point of </w:t>
      </w:r>
      <w:r w:rsidR="004F779A" w:rsidRPr="007A776C">
        <w:rPr>
          <w:rFonts w:ascii="Arial" w:hAnsi="Arial" w:cs="Arial"/>
          <w:szCs w:val="20"/>
        </w:rPr>
        <w:t>the</w:t>
      </w:r>
      <w:r w:rsidRPr="007A776C">
        <w:rPr>
          <w:rFonts w:ascii="Arial" w:hAnsi="Arial" w:cs="Arial"/>
          <w:szCs w:val="20"/>
        </w:rPr>
        <w:t xml:space="preserve"> agreement.</w:t>
      </w:r>
      <w:r w:rsidR="00196413" w:rsidRPr="007A776C">
        <w:rPr>
          <w:rFonts w:ascii="Arial" w:hAnsi="Arial" w:cs="Arial"/>
          <w:szCs w:val="20"/>
        </w:rPr>
        <w:t xml:space="preserve"> </w:t>
      </w:r>
    </w:p>
    <w:p w:rsidR="00A905BE" w:rsidRPr="007A776C" w:rsidRDefault="00F10783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Shape the agreement </w:t>
      </w:r>
      <w:r w:rsidR="002F23E9" w:rsidRPr="007A776C">
        <w:rPr>
          <w:rFonts w:ascii="Arial" w:hAnsi="Arial" w:cs="Arial"/>
          <w:szCs w:val="20"/>
        </w:rPr>
        <w:t xml:space="preserve">to </w:t>
      </w:r>
      <w:r w:rsidR="00A905BE" w:rsidRPr="007A776C">
        <w:rPr>
          <w:rFonts w:ascii="Arial" w:hAnsi="Arial" w:cs="Arial"/>
          <w:szCs w:val="20"/>
        </w:rPr>
        <w:t xml:space="preserve">align with </w:t>
      </w:r>
      <w:r w:rsidR="002F23E9" w:rsidRPr="007A776C">
        <w:rPr>
          <w:rFonts w:ascii="Arial" w:hAnsi="Arial" w:cs="Arial"/>
          <w:szCs w:val="20"/>
        </w:rPr>
        <w:t xml:space="preserve">the Department’s </w:t>
      </w:r>
      <w:r w:rsidR="00A905BE" w:rsidRPr="007A776C">
        <w:rPr>
          <w:rFonts w:ascii="Arial" w:hAnsi="Arial" w:cs="Arial"/>
          <w:szCs w:val="20"/>
        </w:rPr>
        <w:t>strategic focuses and priorities.</w:t>
      </w:r>
    </w:p>
    <w:p w:rsidR="00AA154D" w:rsidRPr="007A776C" w:rsidRDefault="00A905BE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Shape the agreement for </w:t>
      </w:r>
      <w:r w:rsidR="008C346F" w:rsidRPr="007A776C">
        <w:rPr>
          <w:rFonts w:ascii="Arial" w:hAnsi="Arial" w:cs="Arial"/>
          <w:szCs w:val="20"/>
        </w:rPr>
        <w:t>solv</w:t>
      </w:r>
      <w:r w:rsidRPr="007A776C">
        <w:rPr>
          <w:rFonts w:ascii="Arial" w:hAnsi="Arial" w:cs="Arial"/>
          <w:szCs w:val="20"/>
        </w:rPr>
        <w:t xml:space="preserve">ing </w:t>
      </w:r>
      <w:r w:rsidR="008C346F" w:rsidRPr="007A776C">
        <w:rPr>
          <w:rFonts w:ascii="Arial" w:hAnsi="Arial" w:cs="Arial"/>
          <w:szCs w:val="20"/>
        </w:rPr>
        <w:t>a well-defined problem or achiev</w:t>
      </w:r>
      <w:r w:rsidRPr="007A776C">
        <w:rPr>
          <w:rFonts w:ascii="Arial" w:hAnsi="Arial" w:cs="Arial"/>
          <w:szCs w:val="20"/>
        </w:rPr>
        <w:t xml:space="preserve">ing </w:t>
      </w:r>
      <w:r w:rsidR="008C346F" w:rsidRPr="007A776C">
        <w:rPr>
          <w:rFonts w:ascii="Arial" w:hAnsi="Arial" w:cs="Arial"/>
          <w:szCs w:val="20"/>
        </w:rPr>
        <w:t xml:space="preserve">well-specified outcomes. </w:t>
      </w:r>
      <w:r w:rsidR="00AA154D" w:rsidRPr="007A776C">
        <w:rPr>
          <w:rFonts w:ascii="Arial" w:hAnsi="Arial" w:cs="Arial"/>
          <w:szCs w:val="20"/>
        </w:rPr>
        <w:t xml:space="preserve"> </w:t>
      </w:r>
    </w:p>
    <w:p w:rsidR="003E3CFA" w:rsidRPr="007A776C" w:rsidRDefault="005F6C0F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Shape </w:t>
      </w:r>
      <w:r w:rsidR="004F779A" w:rsidRPr="007A776C">
        <w:rPr>
          <w:rFonts w:ascii="Arial" w:hAnsi="Arial" w:cs="Arial"/>
          <w:szCs w:val="20"/>
        </w:rPr>
        <w:t>the</w:t>
      </w:r>
      <w:r w:rsidR="00863D4C" w:rsidRPr="007A776C">
        <w:rPr>
          <w:rFonts w:ascii="Arial" w:hAnsi="Arial" w:cs="Arial"/>
          <w:szCs w:val="20"/>
        </w:rPr>
        <w:t xml:space="preserve"> agreement to p</w:t>
      </w:r>
      <w:r w:rsidR="003E3CFA" w:rsidRPr="007A776C">
        <w:rPr>
          <w:rFonts w:ascii="Arial" w:hAnsi="Arial" w:cs="Arial"/>
          <w:szCs w:val="20"/>
        </w:rPr>
        <w:t xml:space="preserve">rovide </w:t>
      </w:r>
      <w:r w:rsidR="00196413" w:rsidRPr="007A776C">
        <w:rPr>
          <w:rFonts w:ascii="Arial" w:hAnsi="Arial" w:cs="Arial"/>
          <w:szCs w:val="20"/>
        </w:rPr>
        <w:t xml:space="preserve">mutual </w:t>
      </w:r>
      <w:r w:rsidR="003E3CFA" w:rsidRPr="007A776C">
        <w:rPr>
          <w:rFonts w:ascii="Arial" w:hAnsi="Arial" w:cs="Arial"/>
          <w:szCs w:val="20"/>
        </w:rPr>
        <w:t>benefit</w:t>
      </w:r>
      <w:r w:rsidR="00196413" w:rsidRPr="007A776C">
        <w:rPr>
          <w:rFonts w:ascii="Arial" w:hAnsi="Arial" w:cs="Arial"/>
          <w:szCs w:val="20"/>
        </w:rPr>
        <w:t>s for partners</w:t>
      </w:r>
      <w:r w:rsidR="003E3CFA" w:rsidRPr="007A776C">
        <w:rPr>
          <w:rFonts w:ascii="Arial" w:hAnsi="Arial" w:cs="Arial"/>
          <w:szCs w:val="20"/>
        </w:rPr>
        <w:t xml:space="preserve"> wh</w:t>
      </w:r>
      <w:r w:rsidR="003233FC" w:rsidRPr="007A776C">
        <w:rPr>
          <w:rFonts w:ascii="Arial" w:hAnsi="Arial" w:cs="Arial"/>
          <w:szCs w:val="20"/>
        </w:rPr>
        <w:t xml:space="preserve">ere </w:t>
      </w:r>
      <w:r w:rsidR="003E3CFA" w:rsidRPr="007A776C">
        <w:rPr>
          <w:rFonts w:ascii="Arial" w:hAnsi="Arial" w:cs="Arial"/>
          <w:szCs w:val="20"/>
        </w:rPr>
        <w:t xml:space="preserve">the added value </w:t>
      </w:r>
      <w:r w:rsidR="00863D4C" w:rsidRPr="007A776C">
        <w:rPr>
          <w:rFonts w:ascii="Arial" w:hAnsi="Arial" w:cs="Arial"/>
          <w:szCs w:val="20"/>
        </w:rPr>
        <w:t xml:space="preserve">to the Department </w:t>
      </w:r>
      <w:r w:rsidR="003E3CFA" w:rsidRPr="007A776C">
        <w:rPr>
          <w:rFonts w:ascii="Arial" w:hAnsi="Arial" w:cs="Arial"/>
          <w:szCs w:val="20"/>
        </w:rPr>
        <w:t>is over and above what</w:t>
      </w:r>
      <w:r w:rsidR="00863D4C" w:rsidRPr="007A776C">
        <w:rPr>
          <w:rFonts w:ascii="Arial" w:hAnsi="Arial" w:cs="Arial"/>
          <w:szCs w:val="20"/>
        </w:rPr>
        <w:t xml:space="preserve"> it </w:t>
      </w:r>
      <w:r w:rsidR="003E3CFA" w:rsidRPr="007A776C">
        <w:rPr>
          <w:rFonts w:ascii="Arial" w:hAnsi="Arial" w:cs="Arial"/>
          <w:szCs w:val="20"/>
        </w:rPr>
        <w:t>could achieve on its own.</w:t>
      </w:r>
      <w:r w:rsidR="00196413" w:rsidRPr="007A776C">
        <w:rPr>
          <w:rFonts w:ascii="Arial" w:hAnsi="Arial" w:cs="Arial"/>
          <w:szCs w:val="20"/>
        </w:rPr>
        <w:t xml:space="preserve"> </w:t>
      </w:r>
    </w:p>
    <w:p w:rsidR="003E3CFA" w:rsidRPr="007A776C" w:rsidRDefault="005F6C0F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Shape </w:t>
      </w:r>
      <w:r w:rsidR="004F779A" w:rsidRPr="007A776C">
        <w:rPr>
          <w:rFonts w:ascii="Arial" w:hAnsi="Arial" w:cs="Arial"/>
          <w:szCs w:val="20"/>
        </w:rPr>
        <w:t xml:space="preserve">the </w:t>
      </w:r>
      <w:r w:rsidR="00B90ECB" w:rsidRPr="007A776C">
        <w:rPr>
          <w:rFonts w:ascii="Arial" w:hAnsi="Arial" w:cs="Arial"/>
          <w:szCs w:val="20"/>
        </w:rPr>
        <w:t xml:space="preserve">agreement </w:t>
      </w:r>
      <w:r w:rsidRPr="007A776C">
        <w:rPr>
          <w:rFonts w:ascii="Arial" w:hAnsi="Arial" w:cs="Arial"/>
          <w:szCs w:val="20"/>
        </w:rPr>
        <w:t xml:space="preserve">to </w:t>
      </w:r>
      <w:r w:rsidR="00B90ECB" w:rsidRPr="007A776C">
        <w:rPr>
          <w:rFonts w:ascii="Arial" w:hAnsi="Arial" w:cs="Arial"/>
          <w:szCs w:val="20"/>
        </w:rPr>
        <w:t>deliver greater benefits than costs to the Department</w:t>
      </w:r>
      <w:r w:rsidR="00B4210A" w:rsidRPr="007A776C">
        <w:rPr>
          <w:rFonts w:ascii="Arial" w:hAnsi="Arial" w:cs="Arial"/>
          <w:szCs w:val="20"/>
        </w:rPr>
        <w:t xml:space="preserve"> and individual schools</w:t>
      </w:r>
      <w:r w:rsidR="00B90ECB" w:rsidRPr="007A776C">
        <w:rPr>
          <w:rFonts w:ascii="Arial" w:hAnsi="Arial" w:cs="Arial"/>
          <w:szCs w:val="20"/>
        </w:rPr>
        <w:t xml:space="preserve">, </w:t>
      </w:r>
      <w:r w:rsidR="003E3CFA" w:rsidRPr="007A776C">
        <w:rPr>
          <w:rFonts w:ascii="Arial" w:hAnsi="Arial" w:cs="Arial"/>
          <w:szCs w:val="20"/>
        </w:rPr>
        <w:t>where costs include all contributions or resourcing requirements</w:t>
      </w:r>
      <w:r w:rsidR="003233FC" w:rsidRPr="007A776C">
        <w:rPr>
          <w:rFonts w:ascii="Arial" w:hAnsi="Arial" w:cs="Arial"/>
          <w:szCs w:val="20"/>
        </w:rPr>
        <w:t>—</w:t>
      </w:r>
      <w:r w:rsidR="00B20C5E" w:rsidRPr="007A776C">
        <w:rPr>
          <w:rFonts w:ascii="Arial" w:hAnsi="Arial" w:cs="Arial"/>
          <w:szCs w:val="20"/>
        </w:rPr>
        <w:t>committed and contingent</w:t>
      </w:r>
      <w:r w:rsidR="003233FC" w:rsidRPr="007A776C">
        <w:rPr>
          <w:rFonts w:ascii="Arial" w:hAnsi="Arial" w:cs="Arial"/>
          <w:szCs w:val="20"/>
        </w:rPr>
        <w:t>—</w:t>
      </w:r>
      <w:r w:rsidR="003E3CFA" w:rsidRPr="007A776C">
        <w:rPr>
          <w:rFonts w:ascii="Arial" w:hAnsi="Arial" w:cs="Arial"/>
          <w:szCs w:val="20"/>
        </w:rPr>
        <w:t>over the life of the agreement.</w:t>
      </w:r>
    </w:p>
    <w:p w:rsidR="003E3CFA" w:rsidRPr="007A776C" w:rsidRDefault="006474BA" w:rsidP="007A776C">
      <w:pPr>
        <w:keepNext/>
        <w:keepLines/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lastRenderedPageBreak/>
        <w:t xml:space="preserve">The partnership must include adequate management of risk </w:t>
      </w:r>
    </w:p>
    <w:p w:rsidR="003E3CFA" w:rsidRPr="007A776C" w:rsidRDefault="004231E5" w:rsidP="007A776C">
      <w:pPr>
        <w:pStyle w:val="ListParagraph"/>
        <w:numPr>
          <w:ilvl w:val="0"/>
          <w:numId w:val="8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Consider </w:t>
      </w:r>
      <w:r w:rsidR="007876E7" w:rsidRPr="007A776C">
        <w:rPr>
          <w:rFonts w:ascii="Arial" w:hAnsi="Arial" w:cs="Arial"/>
          <w:szCs w:val="20"/>
        </w:rPr>
        <w:t xml:space="preserve">and manage </w:t>
      </w:r>
      <w:r w:rsidR="005F6C0F" w:rsidRPr="007A776C">
        <w:rPr>
          <w:rFonts w:ascii="Arial" w:hAnsi="Arial" w:cs="Arial"/>
          <w:szCs w:val="20"/>
        </w:rPr>
        <w:t xml:space="preserve">any </w:t>
      </w:r>
      <w:r w:rsidR="00B54B74" w:rsidRPr="007A776C">
        <w:rPr>
          <w:rFonts w:ascii="Arial" w:hAnsi="Arial" w:cs="Arial"/>
          <w:szCs w:val="20"/>
        </w:rPr>
        <w:t xml:space="preserve">strategic </w:t>
      </w:r>
      <w:r w:rsidR="005F6C0F" w:rsidRPr="007A776C">
        <w:rPr>
          <w:rFonts w:ascii="Arial" w:hAnsi="Arial" w:cs="Arial"/>
          <w:szCs w:val="20"/>
        </w:rPr>
        <w:t xml:space="preserve">risk that </w:t>
      </w:r>
      <w:r w:rsidR="004F779A" w:rsidRPr="007A776C">
        <w:rPr>
          <w:rFonts w:ascii="Arial" w:hAnsi="Arial" w:cs="Arial"/>
          <w:szCs w:val="20"/>
        </w:rPr>
        <w:t>the</w:t>
      </w:r>
      <w:r w:rsidR="003E3CFA" w:rsidRPr="007A776C">
        <w:rPr>
          <w:rFonts w:ascii="Arial" w:hAnsi="Arial" w:cs="Arial"/>
          <w:szCs w:val="20"/>
        </w:rPr>
        <w:t xml:space="preserve"> agreement </w:t>
      </w:r>
      <w:r w:rsidR="005F6C0F" w:rsidRPr="007A776C">
        <w:rPr>
          <w:rFonts w:ascii="Arial" w:hAnsi="Arial" w:cs="Arial"/>
          <w:szCs w:val="20"/>
        </w:rPr>
        <w:t>may</w:t>
      </w:r>
      <w:r w:rsidR="003E3CFA" w:rsidRPr="007A776C">
        <w:rPr>
          <w:rFonts w:ascii="Arial" w:hAnsi="Arial" w:cs="Arial"/>
          <w:szCs w:val="20"/>
        </w:rPr>
        <w:t>, or</w:t>
      </w:r>
      <w:r w:rsidR="005F6C0F" w:rsidRPr="007A776C">
        <w:rPr>
          <w:rFonts w:ascii="Arial" w:hAnsi="Arial" w:cs="Arial"/>
          <w:szCs w:val="20"/>
        </w:rPr>
        <w:t xml:space="preserve"> may </w:t>
      </w:r>
      <w:r w:rsidR="003E3CFA" w:rsidRPr="007A776C">
        <w:rPr>
          <w:rFonts w:ascii="Arial" w:hAnsi="Arial" w:cs="Arial"/>
          <w:szCs w:val="20"/>
        </w:rPr>
        <w:t>appear to</w:t>
      </w:r>
      <w:r w:rsidR="005F6C0F" w:rsidRPr="007A776C">
        <w:rPr>
          <w:rFonts w:ascii="Arial" w:hAnsi="Arial" w:cs="Arial"/>
          <w:szCs w:val="20"/>
        </w:rPr>
        <w:t>,</w:t>
      </w:r>
      <w:r w:rsidR="003E3CFA" w:rsidRPr="007A776C">
        <w:rPr>
          <w:rFonts w:ascii="Arial" w:hAnsi="Arial" w:cs="Arial"/>
          <w:szCs w:val="20"/>
        </w:rPr>
        <w:t xml:space="preserve"> influence or divert the Department</w:t>
      </w:r>
      <w:r w:rsidR="00B4210A" w:rsidRPr="007A776C">
        <w:rPr>
          <w:rFonts w:ascii="Arial" w:hAnsi="Arial" w:cs="Arial"/>
          <w:szCs w:val="20"/>
        </w:rPr>
        <w:t>’s</w:t>
      </w:r>
      <w:r w:rsidR="00A61E1D" w:rsidRPr="007A776C">
        <w:rPr>
          <w:rFonts w:ascii="Arial" w:hAnsi="Arial" w:cs="Arial"/>
          <w:szCs w:val="20"/>
        </w:rPr>
        <w:t xml:space="preserve"> or g</w:t>
      </w:r>
      <w:r w:rsidR="00345045" w:rsidRPr="007A776C">
        <w:rPr>
          <w:rFonts w:ascii="Arial" w:hAnsi="Arial" w:cs="Arial"/>
          <w:szCs w:val="20"/>
        </w:rPr>
        <w:t xml:space="preserve">overnment </w:t>
      </w:r>
      <w:r w:rsidR="002D297C" w:rsidRPr="007A776C">
        <w:rPr>
          <w:rFonts w:ascii="Arial" w:hAnsi="Arial" w:cs="Arial"/>
          <w:szCs w:val="20"/>
        </w:rPr>
        <w:t xml:space="preserve">council </w:t>
      </w:r>
      <w:r w:rsidR="00345045" w:rsidRPr="007A776C">
        <w:rPr>
          <w:rFonts w:ascii="Arial" w:hAnsi="Arial" w:cs="Arial"/>
          <w:szCs w:val="20"/>
        </w:rPr>
        <w:t>school</w:t>
      </w:r>
      <w:r w:rsidR="00B4210A" w:rsidRPr="007A776C">
        <w:rPr>
          <w:rFonts w:ascii="Arial" w:hAnsi="Arial" w:cs="Arial"/>
          <w:szCs w:val="20"/>
        </w:rPr>
        <w:t>’</w:t>
      </w:r>
      <w:r w:rsidR="00345045" w:rsidRPr="007A776C">
        <w:rPr>
          <w:rFonts w:ascii="Arial" w:hAnsi="Arial" w:cs="Arial"/>
          <w:szCs w:val="20"/>
        </w:rPr>
        <w:t>s</w:t>
      </w:r>
      <w:r w:rsidR="003E3CFA" w:rsidRPr="007A776C">
        <w:rPr>
          <w:rFonts w:ascii="Arial" w:hAnsi="Arial" w:cs="Arial"/>
          <w:szCs w:val="20"/>
        </w:rPr>
        <w:t xml:space="preserve"> effort away from departmental and Government p</w:t>
      </w:r>
      <w:r w:rsidR="00196413" w:rsidRPr="007A776C">
        <w:rPr>
          <w:rFonts w:ascii="Arial" w:hAnsi="Arial" w:cs="Arial"/>
          <w:szCs w:val="20"/>
        </w:rPr>
        <w:t xml:space="preserve">riorities </w:t>
      </w:r>
      <w:r w:rsidR="003E3CFA" w:rsidRPr="007A776C">
        <w:rPr>
          <w:rFonts w:ascii="Arial" w:hAnsi="Arial" w:cs="Arial"/>
          <w:szCs w:val="20"/>
        </w:rPr>
        <w:t>and directions.</w:t>
      </w:r>
    </w:p>
    <w:p w:rsidR="003E3CFA" w:rsidRPr="007A776C" w:rsidRDefault="004F2B1A" w:rsidP="007A776C">
      <w:pPr>
        <w:pStyle w:val="ListParagraph"/>
        <w:numPr>
          <w:ilvl w:val="0"/>
          <w:numId w:val="8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 xml:space="preserve">Do not commit </w:t>
      </w:r>
      <w:r w:rsidR="003E3CFA" w:rsidRPr="007A776C">
        <w:rPr>
          <w:rFonts w:ascii="Arial" w:hAnsi="Arial" w:cs="Arial"/>
          <w:szCs w:val="20"/>
        </w:rPr>
        <w:t xml:space="preserve">the </w:t>
      </w:r>
      <w:r w:rsidR="00A90FC6" w:rsidRPr="007A776C">
        <w:rPr>
          <w:rFonts w:ascii="Arial" w:hAnsi="Arial" w:cs="Arial"/>
          <w:szCs w:val="20"/>
        </w:rPr>
        <w:t>D</w:t>
      </w:r>
      <w:r w:rsidR="003E3CFA" w:rsidRPr="007A776C">
        <w:rPr>
          <w:rFonts w:ascii="Arial" w:hAnsi="Arial" w:cs="Arial"/>
          <w:szCs w:val="20"/>
        </w:rPr>
        <w:t xml:space="preserve">epartment </w:t>
      </w:r>
      <w:r w:rsidR="00A61E1D" w:rsidRPr="007A776C">
        <w:rPr>
          <w:rFonts w:ascii="Arial" w:hAnsi="Arial" w:cs="Arial"/>
          <w:szCs w:val="20"/>
        </w:rPr>
        <w:t>or g</w:t>
      </w:r>
      <w:r w:rsidR="00345045" w:rsidRPr="007A776C">
        <w:rPr>
          <w:rFonts w:ascii="Arial" w:hAnsi="Arial" w:cs="Arial"/>
          <w:szCs w:val="20"/>
        </w:rPr>
        <w:t xml:space="preserve">overnment school </w:t>
      </w:r>
      <w:r w:rsidR="00B4210A" w:rsidRPr="007A776C">
        <w:rPr>
          <w:rFonts w:ascii="Arial" w:hAnsi="Arial" w:cs="Arial"/>
          <w:szCs w:val="20"/>
        </w:rPr>
        <w:t xml:space="preserve">council </w:t>
      </w:r>
      <w:r w:rsidR="003E3CFA" w:rsidRPr="007A776C">
        <w:rPr>
          <w:rFonts w:ascii="Arial" w:hAnsi="Arial" w:cs="Arial"/>
          <w:szCs w:val="20"/>
        </w:rPr>
        <w:t xml:space="preserve">beyond </w:t>
      </w:r>
      <w:r w:rsidR="00B4210A" w:rsidRPr="007A776C">
        <w:rPr>
          <w:rFonts w:ascii="Arial" w:hAnsi="Arial" w:cs="Arial"/>
          <w:szCs w:val="20"/>
        </w:rPr>
        <w:t>their</w:t>
      </w:r>
      <w:r w:rsidR="003E3CFA" w:rsidRPr="007A776C">
        <w:rPr>
          <w:rFonts w:ascii="Arial" w:hAnsi="Arial" w:cs="Arial"/>
          <w:szCs w:val="20"/>
        </w:rPr>
        <w:t xml:space="preserve"> known resource envelope</w:t>
      </w:r>
      <w:r w:rsidR="00A90FC6" w:rsidRPr="007A776C">
        <w:rPr>
          <w:rFonts w:ascii="Arial" w:hAnsi="Arial" w:cs="Arial"/>
          <w:szCs w:val="20"/>
        </w:rPr>
        <w:t>.</w:t>
      </w:r>
      <w:r w:rsidR="003E3CFA" w:rsidRPr="007A776C">
        <w:rPr>
          <w:rFonts w:ascii="Arial" w:hAnsi="Arial" w:cs="Arial"/>
          <w:szCs w:val="20"/>
        </w:rPr>
        <w:t xml:space="preserve"> </w:t>
      </w:r>
    </w:p>
    <w:p w:rsidR="00EB209D" w:rsidRPr="007A776C" w:rsidRDefault="004F2B1A" w:rsidP="007A776C">
      <w:pPr>
        <w:pStyle w:val="ListParagraph"/>
        <w:numPr>
          <w:ilvl w:val="0"/>
          <w:numId w:val="8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Do not cause</w:t>
      </w:r>
      <w:r w:rsidR="00322147" w:rsidRPr="007A776C">
        <w:rPr>
          <w:rFonts w:ascii="Arial" w:hAnsi="Arial" w:cs="Arial"/>
          <w:szCs w:val="20"/>
        </w:rPr>
        <w:t xml:space="preserve"> the Department </w:t>
      </w:r>
      <w:r w:rsidR="00A61E1D" w:rsidRPr="007A776C">
        <w:rPr>
          <w:rFonts w:ascii="Arial" w:hAnsi="Arial" w:cs="Arial"/>
          <w:szCs w:val="20"/>
        </w:rPr>
        <w:t>or g</w:t>
      </w:r>
      <w:r w:rsidR="00345045" w:rsidRPr="007A776C">
        <w:rPr>
          <w:rFonts w:ascii="Arial" w:hAnsi="Arial" w:cs="Arial"/>
          <w:szCs w:val="20"/>
        </w:rPr>
        <w:t xml:space="preserve">overnment school </w:t>
      </w:r>
      <w:r w:rsidR="00B4210A" w:rsidRPr="007A776C">
        <w:rPr>
          <w:rFonts w:ascii="Arial" w:hAnsi="Arial" w:cs="Arial"/>
          <w:szCs w:val="20"/>
        </w:rPr>
        <w:t xml:space="preserve">council </w:t>
      </w:r>
      <w:r w:rsidR="00322147" w:rsidRPr="007A776C">
        <w:rPr>
          <w:rFonts w:ascii="Arial" w:hAnsi="Arial" w:cs="Arial"/>
          <w:szCs w:val="20"/>
        </w:rPr>
        <w:t xml:space="preserve">to breach, or appear to breach, </w:t>
      </w:r>
      <w:r w:rsidR="00B4210A" w:rsidRPr="007A776C">
        <w:rPr>
          <w:rFonts w:ascii="Arial" w:hAnsi="Arial" w:cs="Arial"/>
          <w:szCs w:val="20"/>
        </w:rPr>
        <w:t>their</w:t>
      </w:r>
      <w:r w:rsidR="00322147" w:rsidRPr="007A776C">
        <w:rPr>
          <w:rFonts w:ascii="Arial" w:hAnsi="Arial" w:cs="Arial"/>
          <w:szCs w:val="20"/>
        </w:rPr>
        <w:t xml:space="preserve"> legal and regulatory responsibilities</w:t>
      </w:r>
      <w:r w:rsidR="00EB209D" w:rsidRPr="007A776C">
        <w:rPr>
          <w:rFonts w:ascii="Arial" w:hAnsi="Arial" w:cs="Arial"/>
          <w:szCs w:val="20"/>
        </w:rPr>
        <w:t>.</w:t>
      </w:r>
    </w:p>
    <w:p w:rsidR="003E3CFA" w:rsidRPr="007A776C" w:rsidRDefault="004F2B1A" w:rsidP="007A776C">
      <w:pPr>
        <w:pStyle w:val="ListParagraph"/>
        <w:numPr>
          <w:ilvl w:val="0"/>
          <w:numId w:val="8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M</w:t>
      </w:r>
      <w:r w:rsidR="00587836" w:rsidRPr="007A776C">
        <w:rPr>
          <w:rFonts w:ascii="Arial" w:hAnsi="Arial" w:cs="Arial"/>
          <w:szCs w:val="20"/>
        </w:rPr>
        <w:t xml:space="preserve">anage </w:t>
      </w:r>
      <w:r w:rsidR="00322147" w:rsidRPr="007A776C">
        <w:rPr>
          <w:rFonts w:ascii="Arial" w:hAnsi="Arial" w:cs="Arial"/>
          <w:szCs w:val="20"/>
        </w:rPr>
        <w:t xml:space="preserve">probity and reputational risks that may expose the Department </w:t>
      </w:r>
      <w:r w:rsidR="00A61E1D" w:rsidRPr="007A776C">
        <w:rPr>
          <w:rFonts w:ascii="Arial" w:hAnsi="Arial" w:cs="Arial"/>
          <w:szCs w:val="20"/>
        </w:rPr>
        <w:t>or g</w:t>
      </w:r>
      <w:r w:rsidR="00345045" w:rsidRPr="007A776C">
        <w:rPr>
          <w:rFonts w:ascii="Arial" w:hAnsi="Arial" w:cs="Arial"/>
          <w:szCs w:val="20"/>
        </w:rPr>
        <w:t>overnment school</w:t>
      </w:r>
      <w:r w:rsidR="00B4210A" w:rsidRPr="007A776C">
        <w:rPr>
          <w:rFonts w:ascii="Arial" w:hAnsi="Arial" w:cs="Arial"/>
          <w:szCs w:val="20"/>
        </w:rPr>
        <w:t>s</w:t>
      </w:r>
      <w:r w:rsidR="00345045" w:rsidRPr="007A776C">
        <w:rPr>
          <w:rFonts w:ascii="Arial" w:hAnsi="Arial" w:cs="Arial"/>
          <w:szCs w:val="20"/>
        </w:rPr>
        <w:t xml:space="preserve"> </w:t>
      </w:r>
      <w:r w:rsidR="00322147" w:rsidRPr="007A776C">
        <w:rPr>
          <w:rFonts w:ascii="Arial" w:hAnsi="Arial" w:cs="Arial"/>
          <w:szCs w:val="20"/>
        </w:rPr>
        <w:t>to unnecessary public outcry</w:t>
      </w:r>
      <w:r w:rsidR="00A90FC6" w:rsidRPr="007A776C">
        <w:rPr>
          <w:rFonts w:ascii="Arial" w:hAnsi="Arial" w:cs="Arial"/>
          <w:szCs w:val="20"/>
        </w:rPr>
        <w:t>.</w:t>
      </w:r>
    </w:p>
    <w:p w:rsidR="00970B5E" w:rsidRPr="007A776C" w:rsidRDefault="00970B5E" w:rsidP="007A776C">
      <w:pPr>
        <w:jc w:val="both"/>
        <w:rPr>
          <w:rFonts w:ascii="Arial" w:hAnsi="Arial"/>
          <w:i/>
        </w:rPr>
      </w:pPr>
      <w:r w:rsidRPr="007A776C">
        <w:rPr>
          <w:rFonts w:ascii="Arial" w:hAnsi="Arial"/>
          <w:i/>
        </w:rPr>
        <w:t xml:space="preserve">The partnership must demonstrate </w:t>
      </w:r>
      <w:r w:rsidR="001575D6" w:rsidRPr="007A776C">
        <w:rPr>
          <w:rFonts w:ascii="Arial" w:hAnsi="Arial"/>
          <w:i/>
        </w:rPr>
        <w:t xml:space="preserve">procedural </w:t>
      </w:r>
      <w:r w:rsidRPr="007A776C">
        <w:rPr>
          <w:rFonts w:ascii="Arial" w:hAnsi="Arial"/>
          <w:i/>
        </w:rPr>
        <w:t>transparency</w:t>
      </w:r>
      <w:r w:rsidR="007D2BE1" w:rsidRPr="007A776C">
        <w:rPr>
          <w:rFonts w:ascii="Arial" w:hAnsi="Arial"/>
          <w:i/>
        </w:rPr>
        <w:t xml:space="preserve"> and </w:t>
      </w:r>
      <w:r w:rsidRPr="007A776C">
        <w:rPr>
          <w:rFonts w:ascii="Arial" w:hAnsi="Arial"/>
          <w:i/>
        </w:rPr>
        <w:t>openness</w:t>
      </w:r>
      <w:r w:rsidR="00B3431D" w:rsidRPr="007A776C">
        <w:rPr>
          <w:rFonts w:ascii="Arial" w:hAnsi="Arial"/>
          <w:i/>
        </w:rPr>
        <w:t xml:space="preserve"> </w:t>
      </w:r>
      <w:r w:rsidRPr="007A776C">
        <w:rPr>
          <w:rFonts w:ascii="Arial" w:hAnsi="Arial"/>
          <w:i/>
        </w:rPr>
        <w:t xml:space="preserve"> </w:t>
      </w:r>
    </w:p>
    <w:p w:rsidR="003E3CFA" w:rsidRPr="007A776C" w:rsidRDefault="004F779A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r w:rsidRPr="007A776C">
        <w:rPr>
          <w:rFonts w:ascii="Arial" w:hAnsi="Arial" w:cs="Arial"/>
          <w:szCs w:val="20"/>
        </w:rPr>
        <w:t>A</w:t>
      </w:r>
      <w:r w:rsidR="007D2BE1" w:rsidRPr="007A776C">
        <w:rPr>
          <w:rFonts w:ascii="Arial" w:hAnsi="Arial" w:cs="Arial"/>
          <w:szCs w:val="20"/>
        </w:rPr>
        <w:t xml:space="preserve">pply a rigorous process to assess, justify and record key considerations and decisions. </w:t>
      </w:r>
    </w:p>
    <w:p w:rsidR="003E3CFA" w:rsidRPr="007A776C" w:rsidRDefault="00322147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i/>
          <w:szCs w:val="20"/>
        </w:rPr>
      </w:pPr>
      <w:r w:rsidRPr="007A776C">
        <w:rPr>
          <w:rFonts w:ascii="Arial" w:hAnsi="Arial" w:cs="Arial"/>
          <w:szCs w:val="20"/>
        </w:rPr>
        <w:t xml:space="preserve">Set out terms and conditions of </w:t>
      </w:r>
      <w:r w:rsidR="009E1E0A" w:rsidRPr="007A776C">
        <w:rPr>
          <w:rFonts w:ascii="Arial" w:hAnsi="Arial" w:cs="Arial"/>
          <w:szCs w:val="20"/>
        </w:rPr>
        <w:t xml:space="preserve">any significant </w:t>
      </w:r>
      <w:r w:rsidRPr="007A776C">
        <w:rPr>
          <w:rFonts w:ascii="Arial" w:hAnsi="Arial" w:cs="Arial"/>
          <w:szCs w:val="20"/>
        </w:rPr>
        <w:t xml:space="preserve">agreement in writing to be duly signed by responsible departmental staff or partner representatives, or both.  </w:t>
      </w:r>
      <w:r w:rsidR="003E3CFA" w:rsidRPr="007A776C">
        <w:rPr>
          <w:rFonts w:ascii="Arial" w:hAnsi="Arial" w:cs="Arial"/>
          <w:szCs w:val="20"/>
        </w:rPr>
        <w:t xml:space="preserve">  </w:t>
      </w:r>
    </w:p>
    <w:p w:rsidR="003E3CFA" w:rsidRPr="007A776C" w:rsidRDefault="004F779A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i/>
          <w:szCs w:val="20"/>
        </w:rPr>
      </w:pPr>
      <w:r w:rsidRPr="007A776C">
        <w:rPr>
          <w:rFonts w:ascii="Arial" w:hAnsi="Arial" w:cs="Arial"/>
          <w:szCs w:val="20"/>
        </w:rPr>
        <w:t xml:space="preserve">Undertake proportionate, </w:t>
      </w:r>
      <w:r w:rsidR="001575D6" w:rsidRPr="007A776C">
        <w:rPr>
          <w:rFonts w:ascii="Arial" w:hAnsi="Arial" w:cs="Arial"/>
          <w:szCs w:val="20"/>
        </w:rPr>
        <w:t xml:space="preserve">evidence-based </w:t>
      </w:r>
      <w:r w:rsidRPr="007A776C">
        <w:rPr>
          <w:rFonts w:ascii="Arial" w:hAnsi="Arial" w:cs="Arial"/>
          <w:szCs w:val="20"/>
        </w:rPr>
        <w:t xml:space="preserve">evaluation of costs, </w:t>
      </w:r>
      <w:r w:rsidR="003E3CFA" w:rsidRPr="007A776C">
        <w:rPr>
          <w:rFonts w:ascii="Arial" w:hAnsi="Arial" w:cs="Arial"/>
          <w:szCs w:val="20"/>
        </w:rPr>
        <w:t xml:space="preserve">benefits and </w:t>
      </w:r>
      <w:r w:rsidRPr="007A776C">
        <w:rPr>
          <w:rFonts w:ascii="Arial" w:hAnsi="Arial" w:cs="Arial"/>
          <w:szCs w:val="20"/>
        </w:rPr>
        <w:t xml:space="preserve">risks associated with </w:t>
      </w:r>
      <w:r w:rsidR="00D95D70" w:rsidRPr="007A776C">
        <w:rPr>
          <w:rFonts w:ascii="Arial" w:hAnsi="Arial" w:cs="Arial"/>
          <w:szCs w:val="20"/>
        </w:rPr>
        <w:t xml:space="preserve">the </w:t>
      </w:r>
      <w:r w:rsidR="003E3CFA" w:rsidRPr="007A776C">
        <w:rPr>
          <w:rFonts w:ascii="Arial" w:hAnsi="Arial" w:cs="Arial"/>
          <w:szCs w:val="20"/>
        </w:rPr>
        <w:t>proposal</w:t>
      </w:r>
      <w:r w:rsidR="00103CEB" w:rsidRPr="007A776C">
        <w:rPr>
          <w:rFonts w:ascii="Arial" w:hAnsi="Arial" w:cs="Arial"/>
          <w:szCs w:val="20"/>
        </w:rPr>
        <w:t xml:space="preserve"> to </w:t>
      </w:r>
      <w:r w:rsidR="001575D6" w:rsidRPr="007A776C">
        <w:rPr>
          <w:rFonts w:ascii="Arial" w:hAnsi="Arial" w:cs="Arial"/>
          <w:szCs w:val="20"/>
        </w:rPr>
        <w:t xml:space="preserve">justify </w:t>
      </w:r>
      <w:r w:rsidR="00103CEB" w:rsidRPr="007A776C">
        <w:rPr>
          <w:rFonts w:ascii="Arial" w:hAnsi="Arial" w:cs="Arial"/>
          <w:szCs w:val="20"/>
        </w:rPr>
        <w:t>its progression</w:t>
      </w:r>
      <w:r w:rsidR="00A905BE" w:rsidRPr="007A776C">
        <w:rPr>
          <w:rFonts w:ascii="Arial" w:hAnsi="Arial" w:cs="Arial"/>
          <w:szCs w:val="20"/>
        </w:rPr>
        <w:t xml:space="preserve"> or acceptance</w:t>
      </w:r>
      <w:r w:rsidRPr="007A776C">
        <w:rPr>
          <w:rFonts w:ascii="Arial" w:hAnsi="Arial" w:cs="Arial"/>
          <w:szCs w:val="20"/>
        </w:rPr>
        <w:t>.</w:t>
      </w:r>
      <w:r w:rsidR="003E3CFA" w:rsidRPr="007A776C">
        <w:rPr>
          <w:rFonts w:ascii="Arial" w:hAnsi="Arial" w:cs="Arial"/>
          <w:szCs w:val="20"/>
        </w:rPr>
        <w:t xml:space="preserve"> </w:t>
      </w:r>
    </w:p>
    <w:p w:rsidR="003E3CFA" w:rsidRPr="007A776C" w:rsidRDefault="004F779A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i/>
          <w:szCs w:val="20"/>
        </w:rPr>
      </w:pPr>
      <w:r w:rsidRPr="007A776C">
        <w:rPr>
          <w:rFonts w:ascii="Arial" w:hAnsi="Arial" w:cs="Arial"/>
          <w:szCs w:val="20"/>
        </w:rPr>
        <w:t xml:space="preserve">Secure proper authorisation of </w:t>
      </w:r>
      <w:r w:rsidR="009E1E0A" w:rsidRPr="007A776C">
        <w:rPr>
          <w:rFonts w:ascii="Arial" w:hAnsi="Arial" w:cs="Arial"/>
          <w:szCs w:val="20"/>
        </w:rPr>
        <w:t>any significant a</w:t>
      </w:r>
      <w:r w:rsidR="003E3CFA" w:rsidRPr="007A776C">
        <w:rPr>
          <w:rFonts w:ascii="Arial" w:hAnsi="Arial" w:cs="Arial"/>
          <w:szCs w:val="20"/>
        </w:rPr>
        <w:t>greement from an appropriate governance committee</w:t>
      </w:r>
      <w:r w:rsidR="00D95D70" w:rsidRPr="007A776C">
        <w:rPr>
          <w:rFonts w:ascii="Arial" w:hAnsi="Arial" w:cs="Arial"/>
          <w:szCs w:val="20"/>
        </w:rPr>
        <w:t>.</w:t>
      </w:r>
    </w:p>
    <w:p w:rsidR="003E3CFA" w:rsidRPr="007A776C" w:rsidRDefault="006C2650" w:rsidP="007A776C">
      <w:pPr>
        <w:pStyle w:val="ListParagraph"/>
        <w:numPr>
          <w:ilvl w:val="0"/>
          <w:numId w:val="10"/>
        </w:numPr>
        <w:ind w:left="357" w:hanging="357"/>
        <w:contextualSpacing w:val="0"/>
        <w:jc w:val="both"/>
        <w:rPr>
          <w:rFonts w:ascii="Arial" w:hAnsi="Arial" w:cs="Arial"/>
          <w:i/>
          <w:szCs w:val="20"/>
        </w:rPr>
      </w:pPr>
      <w:r w:rsidRPr="007A776C">
        <w:rPr>
          <w:rFonts w:ascii="Arial" w:hAnsi="Arial" w:cs="Arial"/>
          <w:szCs w:val="20"/>
        </w:rPr>
        <w:t xml:space="preserve">Apply a vetting process to verify </w:t>
      </w:r>
      <w:r w:rsidR="003E3CFA" w:rsidRPr="007A776C">
        <w:rPr>
          <w:rFonts w:ascii="Arial" w:hAnsi="Arial" w:cs="Arial"/>
          <w:szCs w:val="20"/>
        </w:rPr>
        <w:t xml:space="preserve">the </w:t>
      </w:r>
      <w:r w:rsidRPr="007A776C">
        <w:rPr>
          <w:rFonts w:ascii="Arial" w:hAnsi="Arial" w:cs="Arial"/>
          <w:szCs w:val="20"/>
        </w:rPr>
        <w:t xml:space="preserve">satisfaction of any </w:t>
      </w:r>
      <w:r w:rsidR="003E3CFA" w:rsidRPr="007A776C">
        <w:rPr>
          <w:rFonts w:ascii="Arial" w:hAnsi="Arial" w:cs="Arial"/>
          <w:szCs w:val="20"/>
        </w:rPr>
        <w:t>relevan</w:t>
      </w:r>
      <w:r w:rsidRPr="007A776C">
        <w:rPr>
          <w:rFonts w:ascii="Arial" w:hAnsi="Arial" w:cs="Arial"/>
          <w:szCs w:val="20"/>
        </w:rPr>
        <w:t>t p</w:t>
      </w:r>
      <w:r w:rsidR="003E3CFA" w:rsidRPr="007A776C">
        <w:rPr>
          <w:rFonts w:ascii="Arial" w:hAnsi="Arial" w:cs="Arial"/>
          <w:szCs w:val="20"/>
        </w:rPr>
        <w:t>olicies</w:t>
      </w:r>
      <w:r w:rsidR="00A905BE" w:rsidRPr="007A776C">
        <w:rPr>
          <w:rFonts w:ascii="Arial" w:hAnsi="Arial" w:cs="Arial"/>
          <w:szCs w:val="20"/>
        </w:rPr>
        <w:t xml:space="preserve">, </w:t>
      </w:r>
      <w:r w:rsidR="001575D6" w:rsidRPr="007A776C">
        <w:rPr>
          <w:rFonts w:ascii="Arial" w:hAnsi="Arial" w:cs="Arial"/>
          <w:szCs w:val="20"/>
        </w:rPr>
        <w:t>directives</w:t>
      </w:r>
      <w:r w:rsidR="003E3CFA" w:rsidRPr="007A776C">
        <w:rPr>
          <w:rFonts w:ascii="Arial" w:hAnsi="Arial" w:cs="Arial"/>
          <w:szCs w:val="20"/>
        </w:rPr>
        <w:t xml:space="preserve"> </w:t>
      </w:r>
      <w:r w:rsidR="00A905BE" w:rsidRPr="007A776C">
        <w:rPr>
          <w:rFonts w:ascii="Arial" w:hAnsi="Arial" w:cs="Arial"/>
          <w:szCs w:val="20"/>
        </w:rPr>
        <w:t xml:space="preserve">and due diligence requirements </w:t>
      </w:r>
      <w:r w:rsidR="003E3CFA" w:rsidRPr="007A776C">
        <w:rPr>
          <w:rFonts w:ascii="Arial" w:hAnsi="Arial" w:cs="Arial"/>
          <w:szCs w:val="20"/>
        </w:rPr>
        <w:t>(see list below)</w:t>
      </w:r>
      <w:r w:rsidRPr="007A776C">
        <w:rPr>
          <w:rFonts w:ascii="Arial" w:hAnsi="Arial" w:cs="Arial"/>
          <w:szCs w:val="20"/>
        </w:rPr>
        <w:t>.</w:t>
      </w:r>
      <w:r w:rsidR="003E3CFA" w:rsidRPr="007A776C">
        <w:rPr>
          <w:rFonts w:ascii="Arial" w:hAnsi="Arial" w:cs="Arial"/>
          <w:szCs w:val="20"/>
        </w:rPr>
        <w:t xml:space="preserve"> </w:t>
      </w:r>
    </w:p>
    <w:p w:rsidR="00BF614E" w:rsidRPr="00D343DF" w:rsidRDefault="00F61E8C" w:rsidP="00D343DF">
      <w:pPr>
        <w:spacing w:before="240"/>
        <w:rPr>
          <w:rFonts w:ascii="Arial" w:hAnsi="Arial"/>
          <w:color w:val="C00000"/>
          <w:sz w:val="24"/>
          <w:szCs w:val="24"/>
        </w:rPr>
      </w:pPr>
      <w:r w:rsidRPr="00D343DF">
        <w:rPr>
          <w:rFonts w:ascii="Arial" w:hAnsi="Arial"/>
          <w:color w:val="C00000"/>
          <w:sz w:val="24"/>
          <w:szCs w:val="24"/>
        </w:rPr>
        <w:t xml:space="preserve">This policy </w:t>
      </w:r>
      <w:r w:rsidR="00A905BE" w:rsidRPr="00D343DF">
        <w:rPr>
          <w:rFonts w:ascii="Arial" w:hAnsi="Arial"/>
          <w:color w:val="C00000"/>
          <w:sz w:val="24"/>
          <w:szCs w:val="24"/>
        </w:rPr>
        <w:t xml:space="preserve">statement </w:t>
      </w:r>
      <w:r w:rsidRPr="00D343DF">
        <w:rPr>
          <w:rFonts w:ascii="Arial" w:hAnsi="Arial"/>
          <w:color w:val="C00000"/>
          <w:sz w:val="24"/>
          <w:szCs w:val="24"/>
        </w:rPr>
        <w:t>provides for interaction with a range of existing departmental policies</w:t>
      </w:r>
    </w:p>
    <w:p w:rsidR="00575C8D" w:rsidRPr="007A776C" w:rsidRDefault="00575C8D" w:rsidP="007A776C">
      <w:pPr>
        <w:jc w:val="both"/>
        <w:rPr>
          <w:rFonts w:ascii="Arial" w:hAnsi="Arial"/>
        </w:rPr>
      </w:pPr>
      <w:r w:rsidRPr="007A776C">
        <w:rPr>
          <w:rFonts w:ascii="Arial" w:hAnsi="Arial"/>
        </w:rPr>
        <w:t>Notwithstanding its focus</w:t>
      </w:r>
      <w:r w:rsidR="00045B9D" w:rsidRPr="007A776C">
        <w:rPr>
          <w:rFonts w:ascii="Arial" w:hAnsi="Arial"/>
        </w:rPr>
        <w:t xml:space="preserve"> on substantive partnership</w:t>
      </w:r>
      <w:r w:rsidR="003967B6" w:rsidRPr="007A776C">
        <w:rPr>
          <w:rFonts w:ascii="Arial" w:hAnsi="Arial"/>
        </w:rPr>
        <w:t xml:space="preserve"> agreement</w:t>
      </w:r>
      <w:r w:rsidRPr="007A776C">
        <w:rPr>
          <w:rFonts w:ascii="Arial" w:hAnsi="Arial"/>
        </w:rPr>
        <w:t xml:space="preserve">, this policy </w:t>
      </w:r>
      <w:r w:rsidR="00A905BE" w:rsidRPr="007A776C">
        <w:rPr>
          <w:rFonts w:ascii="Arial" w:hAnsi="Arial"/>
        </w:rPr>
        <w:t xml:space="preserve">statement </w:t>
      </w:r>
      <w:r w:rsidRPr="007A776C">
        <w:rPr>
          <w:rFonts w:ascii="Arial" w:hAnsi="Arial"/>
        </w:rPr>
        <w:t xml:space="preserve">does not </w:t>
      </w:r>
      <w:r w:rsidR="00045B9D" w:rsidRPr="007A776C">
        <w:rPr>
          <w:rFonts w:ascii="Arial" w:hAnsi="Arial"/>
        </w:rPr>
        <w:t xml:space="preserve">preclude </w:t>
      </w:r>
      <w:r w:rsidRPr="007A776C">
        <w:rPr>
          <w:rFonts w:ascii="Arial" w:hAnsi="Arial"/>
        </w:rPr>
        <w:t xml:space="preserve">the application of other departmental </w:t>
      </w:r>
      <w:r w:rsidR="00F61E8C" w:rsidRPr="007A776C">
        <w:rPr>
          <w:rFonts w:ascii="Arial" w:hAnsi="Arial"/>
        </w:rPr>
        <w:t xml:space="preserve">strategies and </w:t>
      </w:r>
      <w:r w:rsidRPr="007A776C">
        <w:rPr>
          <w:rFonts w:ascii="Arial" w:hAnsi="Arial"/>
        </w:rPr>
        <w:t xml:space="preserve">policies. It is important </w:t>
      </w:r>
      <w:r w:rsidR="00A905BE" w:rsidRPr="007A776C">
        <w:rPr>
          <w:rFonts w:ascii="Arial" w:hAnsi="Arial"/>
        </w:rPr>
        <w:t xml:space="preserve">that departmental </w:t>
      </w:r>
      <w:r w:rsidR="002D49CF" w:rsidRPr="007A776C">
        <w:rPr>
          <w:rFonts w:ascii="Arial" w:hAnsi="Arial"/>
        </w:rPr>
        <w:t xml:space="preserve">and school-based </w:t>
      </w:r>
      <w:r w:rsidR="00A905BE" w:rsidRPr="007A776C">
        <w:rPr>
          <w:rFonts w:ascii="Arial" w:hAnsi="Arial"/>
        </w:rPr>
        <w:t xml:space="preserve">staff </w:t>
      </w:r>
      <w:r w:rsidR="002D49CF" w:rsidRPr="007A776C">
        <w:rPr>
          <w:rFonts w:ascii="Arial" w:hAnsi="Arial"/>
        </w:rPr>
        <w:t xml:space="preserve">and school councillors </w:t>
      </w:r>
      <w:r w:rsidR="00A905BE" w:rsidRPr="007A776C">
        <w:rPr>
          <w:rFonts w:ascii="Arial" w:hAnsi="Arial"/>
        </w:rPr>
        <w:t>c</w:t>
      </w:r>
      <w:r w:rsidRPr="007A776C">
        <w:rPr>
          <w:rFonts w:ascii="Arial" w:hAnsi="Arial"/>
        </w:rPr>
        <w:t>onsider how different polic</w:t>
      </w:r>
      <w:r w:rsidR="00045B9D" w:rsidRPr="007A776C">
        <w:rPr>
          <w:rFonts w:ascii="Arial" w:hAnsi="Arial"/>
        </w:rPr>
        <w:t xml:space="preserve">ies </w:t>
      </w:r>
      <w:r w:rsidRPr="007A776C">
        <w:rPr>
          <w:rFonts w:ascii="Arial" w:hAnsi="Arial"/>
        </w:rPr>
        <w:t>may interact with one another.</w:t>
      </w:r>
      <w:r w:rsidR="00AA154D" w:rsidRPr="007A776C">
        <w:rPr>
          <w:rFonts w:ascii="Arial" w:hAnsi="Arial"/>
        </w:rPr>
        <w:t xml:space="preserve"> </w:t>
      </w:r>
      <w:r w:rsidR="00045B9D" w:rsidRPr="007A776C">
        <w:rPr>
          <w:rFonts w:ascii="Arial" w:hAnsi="Arial"/>
        </w:rPr>
        <w:t>The following departmental</w:t>
      </w:r>
      <w:r w:rsidR="009D0763" w:rsidRPr="007A776C">
        <w:rPr>
          <w:rFonts w:ascii="Arial" w:hAnsi="Arial"/>
        </w:rPr>
        <w:t xml:space="preserve"> </w:t>
      </w:r>
      <w:r w:rsidR="00045B9D" w:rsidRPr="007A776C">
        <w:rPr>
          <w:rFonts w:ascii="Arial" w:hAnsi="Arial"/>
        </w:rPr>
        <w:t xml:space="preserve">policy documents </w:t>
      </w:r>
      <w:r w:rsidR="00D95338" w:rsidRPr="007A776C">
        <w:rPr>
          <w:rFonts w:ascii="Arial" w:hAnsi="Arial"/>
        </w:rPr>
        <w:t xml:space="preserve">may </w:t>
      </w:r>
      <w:r w:rsidR="00045B9D" w:rsidRPr="007A776C">
        <w:rPr>
          <w:rFonts w:ascii="Arial" w:hAnsi="Arial"/>
        </w:rPr>
        <w:t>be relevant for particular partnership arrangements:</w:t>
      </w:r>
      <w:r w:rsidRPr="007A776C">
        <w:rPr>
          <w:rFonts w:ascii="Arial" w:hAnsi="Arial"/>
        </w:rPr>
        <w:t xml:space="preserve">  </w:t>
      </w:r>
    </w:p>
    <w:p w:rsidR="00E6187A" w:rsidRPr="007A776C" w:rsidRDefault="00C32C8D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hyperlink r:id="rId14" w:history="1">
        <w:r w:rsidR="00E6187A" w:rsidRPr="007A776C">
          <w:rPr>
            <w:rStyle w:val="Hyperlink"/>
            <w:rFonts w:ascii="Arial" w:hAnsi="Arial" w:cs="Arial"/>
            <w:color w:val="auto"/>
            <w:szCs w:val="20"/>
            <w:u w:val="none"/>
          </w:rPr>
          <w:t>Grants Policy</w:t>
        </w:r>
      </w:hyperlink>
      <w:r w:rsidR="00E6187A" w:rsidRPr="007A776C">
        <w:rPr>
          <w:rFonts w:ascii="Arial" w:hAnsi="Arial" w:cs="Arial"/>
          <w:szCs w:val="20"/>
        </w:rPr>
        <w:t xml:space="preserve"> </w:t>
      </w:r>
    </w:p>
    <w:p w:rsidR="00E6187A" w:rsidRPr="007A776C" w:rsidRDefault="00C32C8D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hyperlink r:id="rId15" w:history="1">
        <w:r w:rsidR="00E6187A" w:rsidRPr="007A776C">
          <w:rPr>
            <w:rStyle w:val="Hyperlink"/>
            <w:rFonts w:ascii="Arial" w:hAnsi="Arial" w:cs="Arial"/>
            <w:color w:val="auto"/>
            <w:szCs w:val="20"/>
            <w:u w:val="none"/>
          </w:rPr>
          <w:t>Gifts, Benefits and Hospitality Policy</w:t>
        </w:r>
      </w:hyperlink>
      <w:r w:rsidR="00E6187A" w:rsidRPr="007A776C">
        <w:rPr>
          <w:rFonts w:ascii="Arial" w:hAnsi="Arial" w:cs="Arial"/>
          <w:szCs w:val="20"/>
        </w:rPr>
        <w:t xml:space="preserve"> </w:t>
      </w:r>
    </w:p>
    <w:p w:rsidR="00E6187A" w:rsidRPr="007A776C" w:rsidRDefault="00C32C8D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Style w:val="Hyperlink"/>
          <w:rFonts w:ascii="Arial" w:hAnsi="Arial" w:cs="Arial"/>
          <w:color w:val="auto"/>
          <w:szCs w:val="20"/>
          <w:u w:val="none"/>
        </w:rPr>
      </w:pPr>
      <w:hyperlink r:id="rId16" w:history="1">
        <w:r w:rsidR="00E6187A" w:rsidRPr="007A776C">
          <w:rPr>
            <w:rStyle w:val="Hyperlink"/>
            <w:rFonts w:ascii="Arial" w:hAnsi="Arial" w:cs="Arial"/>
            <w:color w:val="auto"/>
            <w:szCs w:val="20"/>
            <w:u w:val="none"/>
          </w:rPr>
          <w:t>Sponsorships Policy and Guidelines</w:t>
        </w:r>
      </w:hyperlink>
    </w:p>
    <w:p w:rsidR="002D49CF" w:rsidRPr="007A776C" w:rsidRDefault="002D49CF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Style w:val="Hyperlink"/>
          <w:rFonts w:ascii="Arial" w:hAnsi="Arial" w:cs="Arial"/>
          <w:color w:val="auto"/>
          <w:szCs w:val="20"/>
          <w:u w:val="none"/>
        </w:rPr>
      </w:pPr>
      <w:r w:rsidRPr="007A776C">
        <w:rPr>
          <w:rStyle w:val="Hyperlink"/>
          <w:rFonts w:ascii="Arial" w:hAnsi="Arial" w:cs="Arial"/>
          <w:color w:val="auto"/>
          <w:szCs w:val="20"/>
          <w:u w:val="none"/>
        </w:rPr>
        <w:t>Procurement Policy</w:t>
      </w:r>
    </w:p>
    <w:p w:rsidR="002D49CF" w:rsidRPr="007A776C" w:rsidRDefault="002D49CF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Style w:val="Hyperlink"/>
          <w:rFonts w:ascii="Arial" w:hAnsi="Arial" w:cs="Arial"/>
          <w:color w:val="auto"/>
          <w:szCs w:val="20"/>
          <w:u w:val="none"/>
        </w:rPr>
      </w:pPr>
      <w:r w:rsidRPr="007A776C">
        <w:rPr>
          <w:rStyle w:val="Hyperlink"/>
          <w:rFonts w:ascii="Arial" w:hAnsi="Arial" w:cs="Arial"/>
          <w:color w:val="auto"/>
          <w:szCs w:val="20"/>
          <w:u w:val="none"/>
        </w:rPr>
        <w:t>School Policy and Advisory Guide</w:t>
      </w:r>
    </w:p>
    <w:p w:rsidR="006A109F" w:rsidRPr="007A776C" w:rsidRDefault="00C32C8D" w:rsidP="007A776C">
      <w:pPr>
        <w:pStyle w:val="ListParagraph"/>
        <w:numPr>
          <w:ilvl w:val="0"/>
          <w:numId w:val="3"/>
        </w:numPr>
        <w:ind w:left="357" w:hanging="357"/>
        <w:contextualSpacing w:val="0"/>
        <w:jc w:val="both"/>
        <w:rPr>
          <w:rFonts w:ascii="Arial" w:hAnsi="Arial" w:cs="Arial"/>
          <w:szCs w:val="20"/>
        </w:rPr>
      </w:pPr>
      <w:hyperlink r:id="rId17" w:history="1">
        <w:r w:rsidR="000E374A" w:rsidRPr="007A776C">
          <w:rPr>
            <w:rStyle w:val="Hyperlink"/>
            <w:rFonts w:ascii="Arial" w:hAnsi="Arial" w:cs="Arial"/>
            <w:color w:val="auto"/>
            <w:szCs w:val="20"/>
            <w:u w:val="none"/>
          </w:rPr>
          <w:t>Strategic Plan</w:t>
        </w:r>
      </w:hyperlink>
      <w:r w:rsidR="00BF614E" w:rsidRPr="007A776C">
        <w:rPr>
          <w:rStyle w:val="Hyperlink"/>
          <w:rFonts w:ascii="Arial" w:hAnsi="Arial" w:cs="Arial"/>
          <w:color w:val="auto"/>
          <w:szCs w:val="20"/>
          <w:u w:val="none"/>
        </w:rPr>
        <w:t xml:space="preserve"> 2017–2021.</w:t>
      </w:r>
    </w:p>
    <w:sectPr w:rsidR="006A109F" w:rsidRPr="007A776C" w:rsidSect="000A711B">
      <w:headerReference w:type="default" r:id="rId18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8D" w:rsidRDefault="00C32C8D" w:rsidP="00F61E7A">
      <w:pPr>
        <w:spacing w:before="0" w:after="0"/>
      </w:pPr>
      <w:r>
        <w:separator/>
      </w:r>
    </w:p>
  </w:endnote>
  <w:endnote w:type="continuationSeparator" w:id="0">
    <w:p w:rsidR="00C32C8D" w:rsidRDefault="00C32C8D" w:rsidP="00F61E7A">
      <w:pPr>
        <w:spacing w:before="0" w:after="0"/>
      </w:pPr>
      <w:r>
        <w:continuationSeparator/>
      </w:r>
    </w:p>
  </w:endnote>
  <w:endnote w:type="continuationNotice" w:id="1">
    <w:p w:rsidR="00C32C8D" w:rsidRDefault="00C32C8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for KPMG Light">
    <w:altName w:val="Corbel"/>
    <w:charset w:val="00"/>
    <w:family w:val="swiss"/>
    <w:pitch w:val="variable"/>
    <w:sig w:usb0="00000001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8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46F" w:rsidRDefault="008C3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C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346F" w:rsidRDefault="008C3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8D" w:rsidRDefault="00C32C8D" w:rsidP="00F61E7A">
      <w:pPr>
        <w:spacing w:before="0" w:after="0"/>
      </w:pPr>
      <w:r>
        <w:separator/>
      </w:r>
    </w:p>
  </w:footnote>
  <w:footnote w:type="continuationSeparator" w:id="0">
    <w:p w:rsidR="00C32C8D" w:rsidRDefault="00C32C8D" w:rsidP="00F61E7A">
      <w:pPr>
        <w:spacing w:before="0" w:after="0"/>
      </w:pPr>
      <w:r>
        <w:continuationSeparator/>
      </w:r>
    </w:p>
  </w:footnote>
  <w:footnote w:type="continuationNotice" w:id="1">
    <w:p w:rsidR="00C32C8D" w:rsidRDefault="00C32C8D">
      <w:pPr>
        <w:spacing w:before="0" w:after="0"/>
      </w:pPr>
    </w:p>
  </w:footnote>
  <w:footnote w:id="2">
    <w:p w:rsidR="008539CD" w:rsidRDefault="008539CD" w:rsidP="008539CD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Department of Treasury and Finance, </w:t>
      </w:r>
      <w:r w:rsidRPr="008539CD">
        <w:rPr>
          <w:i/>
        </w:rPr>
        <w:t>Guidance Supporting the Standing Directions of the Minister for Finance 2016</w:t>
      </w:r>
      <w:r>
        <w:t>, p. 103.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08" w:rsidRPr="00341E08" w:rsidRDefault="00341E08" w:rsidP="00341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387"/>
    <w:multiLevelType w:val="hybridMultilevel"/>
    <w:tmpl w:val="FA622B5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222C3"/>
    <w:multiLevelType w:val="hybridMultilevel"/>
    <w:tmpl w:val="AE3CCE1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F46B6"/>
    <w:multiLevelType w:val="hybridMultilevel"/>
    <w:tmpl w:val="40D6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6B0A"/>
    <w:multiLevelType w:val="hybridMultilevel"/>
    <w:tmpl w:val="6E40F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F299B"/>
    <w:multiLevelType w:val="hybridMultilevel"/>
    <w:tmpl w:val="C31A6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E6688"/>
    <w:multiLevelType w:val="hybridMultilevel"/>
    <w:tmpl w:val="75C0E5E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E26B1"/>
    <w:multiLevelType w:val="hybridMultilevel"/>
    <w:tmpl w:val="F99423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61BF"/>
    <w:multiLevelType w:val="hybridMultilevel"/>
    <w:tmpl w:val="40905A4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528FE"/>
    <w:multiLevelType w:val="hybridMultilevel"/>
    <w:tmpl w:val="82C8B71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25B6C"/>
    <w:multiLevelType w:val="hybridMultilevel"/>
    <w:tmpl w:val="FFDE9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73F55"/>
    <w:multiLevelType w:val="hybridMultilevel"/>
    <w:tmpl w:val="B31A6EDC"/>
    <w:lvl w:ilvl="0" w:tplc="D83E5B7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C09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  <w:b w:val="0"/>
        <w:strike w:val="0"/>
      </w:rPr>
    </w:lvl>
    <w:lvl w:ilvl="2" w:tplc="0C09001B">
      <w:start w:val="1"/>
      <w:numFmt w:val="lowerRoman"/>
      <w:lvlText w:val="%3."/>
      <w:lvlJc w:val="right"/>
      <w:pPr>
        <w:ind w:left="3785" w:hanging="180"/>
      </w:pPr>
    </w:lvl>
    <w:lvl w:ilvl="3" w:tplc="0C09000F" w:tentative="1">
      <w:start w:val="1"/>
      <w:numFmt w:val="decimal"/>
      <w:lvlText w:val="%4."/>
      <w:lvlJc w:val="left"/>
      <w:pPr>
        <w:ind w:left="4505" w:hanging="360"/>
      </w:pPr>
    </w:lvl>
    <w:lvl w:ilvl="4" w:tplc="0C090019" w:tentative="1">
      <w:start w:val="1"/>
      <w:numFmt w:val="lowerLetter"/>
      <w:lvlText w:val="%5."/>
      <w:lvlJc w:val="left"/>
      <w:pPr>
        <w:ind w:left="5225" w:hanging="360"/>
      </w:pPr>
    </w:lvl>
    <w:lvl w:ilvl="5" w:tplc="0C09001B" w:tentative="1">
      <w:start w:val="1"/>
      <w:numFmt w:val="lowerRoman"/>
      <w:lvlText w:val="%6."/>
      <w:lvlJc w:val="right"/>
      <w:pPr>
        <w:ind w:left="5945" w:hanging="180"/>
      </w:pPr>
    </w:lvl>
    <w:lvl w:ilvl="6" w:tplc="0C09000F" w:tentative="1">
      <w:start w:val="1"/>
      <w:numFmt w:val="decimal"/>
      <w:lvlText w:val="%7."/>
      <w:lvlJc w:val="left"/>
      <w:pPr>
        <w:ind w:left="6665" w:hanging="360"/>
      </w:pPr>
    </w:lvl>
    <w:lvl w:ilvl="7" w:tplc="0C090019" w:tentative="1">
      <w:start w:val="1"/>
      <w:numFmt w:val="lowerLetter"/>
      <w:lvlText w:val="%8."/>
      <w:lvlJc w:val="left"/>
      <w:pPr>
        <w:ind w:left="7385" w:hanging="360"/>
      </w:pPr>
    </w:lvl>
    <w:lvl w:ilvl="8" w:tplc="0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30D464F0"/>
    <w:multiLevelType w:val="hybridMultilevel"/>
    <w:tmpl w:val="2CB43B3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492526"/>
    <w:multiLevelType w:val="hybridMultilevel"/>
    <w:tmpl w:val="A9E2B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741C"/>
    <w:multiLevelType w:val="hybridMultilevel"/>
    <w:tmpl w:val="EC60AB0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90341"/>
    <w:multiLevelType w:val="hybridMultilevel"/>
    <w:tmpl w:val="FF90F7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775D8"/>
    <w:multiLevelType w:val="hybridMultilevel"/>
    <w:tmpl w:val="6EB0EF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D14D8"/>
    <w:multiLevelType w:val="hybridMultilevel"/>
    <w:tmpl w:val="453C904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CB738D"/>
    <w:multiLevelType w:val="hybridMultilevel"/>
    <w:tmpl w:val="86C22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92D88"/>
    <w:multiLevelType w:val="hybridMultilevel"/>
    <w:tmpl w:val="DBAE5CE0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2C87"/>
    <w:multiLevelType w:val="hybridMultilevel"/>
    <w:tmpl w:val="CEBC9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D660A"/>
    <w:multiLevelType w:val="hybridMultilevel"/>
    <w:tmpl w:val="9F54E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E7C27"/>
    <w:multiLevelType w:val="hybridMultilevel"/>
    <w:tmpl w:val="509E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5FA8"/>
    <w:multiLevelType w:val="hybridMultilevel"/>
    <w:tmpl w:val="F836D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53F1B"/>
    <w:multiLevelType w:val="hybridMultilevel"/>
    <w:tmpl w:val="2D56A8C4"/>
    <w:lvl w:ilvl="0" w:tplc="0C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 w15:restartNumberingAfterBreak="0">
    <w:nsid w:val="72AA34C6"/>
    <w:multiLevelType w:val="singleLevel"/>
    <w:tmpl w:val="72C6B89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7EAE2A2E"/>
    <w:multiLevelType w:val="hybridMultilevel"/>
    <w:tmpl w:val="E9503AB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23"/>
  </w:num>
  <w:num w:numId="5">
    <w:abstractNumId w:val="18"/>
  </w:num>
  <w:num w:numId="6">
    <w:abstractNumId w:val="21"/>
  </w:num>
  <w:num w:numId="7">
    <w:abstractNumId w:val="4"/>
  </w:num>
  <w:num w:numId="8">
    <w:abstractNumId w:val="15"/>
  </w:num>
  <w:num w:numId="9">
    <w:abstractNumId w:val="9"/>
  </w:num>
  <w:num w:numId="10">
    <w:abstractNumId w:val="16"/>
  </w:num>
  <w:num w:numId="11">
    <w:abstractNumId w:val="6"/>
  </w:num>
  <w:num w:numId="12">
    <w:abstractNumId w:val="24"/>
  </w:num>
  <w:num w:numId="13">
    <w:abstractNumId w:val="14"/>
  </w:num>
  <w:num w:numId="14">
    <w:abstractNumId w:val="0"/>
  </w:num>
  <w:num w:numId="15">
    <w:abstractNumId w:val="1"/>
  </w:num>
  <w:num w:numId="16">
    <w:abstractNumId w:val="25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  <w:num w:numId="21">
    <w:abstractNumId w:val="5"/>
  </w:num>
  <w:num w:numId="22">
    <w:abstractNumId w:val="17"/>
  </w:num>
  <w:num w:numId="23">
    <w:abstractNumId w:val="19"/>
  </w:num>
  <w:num w:numId="24">
    <w:abstractNumId w:val="22"/>
  </w:num>
  <w:num w:numId="25">
    <w:abstractNumId w:val="12"/>
  </w:num>
  <w:num w:numId="26">
    <w:abstractNumId w:val="20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37"/>
    <w:rsid w:val="000003E1"/>
    <w:rsid w:val="00000B5C"/>
    <w:rsid w:val="00003553"/>
    <w:rsid w:val="000066E0"/>
    <w:rsid w:val="0001175D"/>
    <w:rsid w:val="00022195"/>
    <w:rsid w:val="00024A6B"/>
    <w:rsid w:val="00025927"/>
    <w:rsid w:val="00034E18"/>
    <w:rsid w:val="000413F3"/>
    <w:rsid w:val="00045B9D"/>
    <w:rsid w:val="00051FEC"/>
    <w:rsid w:val="0005325B"/>
    <w:rsid w:val="00054E8D"/>
    <w:rsid w:val="000561F9"/>
    <w:rsid w:val="0006259E"/>
    <w:rsid w:val="00063AA5"/>
    <w:rsid w:val="000642AF"/>
    <w:rsid w:val="0007179C"/>
    <w:rsid w:val="000741D3"/>
    <w:rsid w:val="00074976"/>
    <w:rsid w:val="00074DBC"/>
    <w:rsid w:val="000915B1"/>
    <w:rsid w:val="0009352F"/>
    <w:rsid w:val="00095C62"/>
    <w:rsid w:val="000A4323"/>
    <w:rsid w:val="000A711B"/>
    <w:rsid w:val="000B43BD"/>
    <w:rsid w:val="000C7FDB"/>
    <w:rsid w:val="000D14BA"/>
    <w:rsid w:val="000D6259"/>
    <w:rsid w:val="000E374A"/>
    <w:rsid w:val="000E4CCE"/>
    <w:rsid w:val="000E6010"/>
    <w:rsid w:val="000F4941"/>
    <w:rsid w:val="000F576F"/>
    <w:rsid w:val="000F603B"/>
    <w:rsid w:val="00101301"/>
    <w:rsid w:val="00103743"/>
    <w:rsid w:val="001037F6"/>
    <w:rsid w:val="00103CEB"/>
    <w:rsid w:val="00111D49"/>
    <w:rsid w:val="0012158E"/>
    <w:rsid w:val="001231DA"/>
    <w:rsid w:val="001273EB"/>
    <w:rsid w:val="00132F8E"/>
    <w:rsid w:val="00142B0B"/>
    <w:rsid w:val="00152323"/>
    <w:rsid w:val="00152946"/>
    <w:rsid w:val="001575D6"/>
    <w:rsid w:val="00165B5C"/>
    <w:rsid w:val="0018147A"/>
    <w:rsid w:val="0018195B"/>
    <w:rsid w:val="0018414A"/>
    <w:rsid w:val="00185F12"/>
    <w:rsid w:val="00192F28"/>
    <w:rsid w:val="00195465"/>
    <w:rsid w:val="00195FE4"/>
    <w:rsid w:val="00196413"/>
    <w:rsid w:val="001A099F"/>
    <w:rsid w:val="001A73C3"/>
    <w:rsid w:val="001A77C3"/>
    <w:rsid w:val="001B1C8F"/>
    <w:rsid w:val="001B4010"/>
    <w:rsid w:val="001B5363"/>
    <w:rsid w:val="001B5C49"/>
    <w:rsid w:val="001B60D6"/>
    <w:rsid w:val="001B6E9F"/>
    <w:rsid w:val="001C33F8"/>
    <w:rsid w:val="001C5604"/>
    <w:rsid w:val="001D0148"/>
    <w:rsid w:val="001D1734"/>
    <w:rsid w:val="001D58B0"/>
    <w:rsid w:val="001F0FDD"/>
    <w:rsid w:val="001F4006"/>
    <w:rsid w:val="001F4309"/>
    <w:rsid w:val="001F4FAB"/>
    <w:rsid w:val="001F577C"/>
    <w:rsid w:val="00203AFC"/>
    <w:rsid w:val="00205518"/>
    <w:rsid w:val="0020701E"/>
    <w:rsid w:val="00207F7E"/>
    <w:rsid w:val="002131AF"/>
    <w:rsid w:val="0021773F"/>
    <w:rsid w:val="00217EB0"/>
    <w:rsid w:val="00225EE6"/>
    <w:rsid w:val="00226FEB"/>
    <w:rsid w:val="0022747C"/>
    <w:rsid w:val="00233472"/>
    <w:rsid w:val="00240BDF"/>
    <w:rsid w:val="00251F8D"/>
    <w:rsid w:val="00260B21"/>
    <w:rsid w:val="00261D2A"/>
    <w:rsid w:val="0026309B"/>
    <w:rsid w:val="002648B0"/>
    <w:rsid w:val="002677B9"/>
    <w:rsid w:val="00272B2A"/>
    <w:rsid w:val="00277BF5"/>
    <w:rsid w:val="00282AA6"/>
    <w:rsid w:val="00284A94"/>
    <w:rsid w:val="002A3340"/>
    <w:rsid w:val="002B0C49"/>
    <w:rsid w:val="002B58BF"/>
    <w:rsid w:val="002B6E10"/>
    <w:rsid w:val="002C2A96"/>
    <w:rsid w:val="002C2B79"/>
    <w:rsid w:val="002C6A7D"/>
    <w:rsid w:val="002D1C83"/>
    <w:rsid w:val="002D297C"/>
    <w:rsid w:val="002D2DF5"/>
    <w:rsid w:val="002D49CF"/>
    <w:rsid w:val="002D6E22"/>
    <w:rsid w:val="002E166A"/>
    <w:rsid w:val="002E3F20"/>
    <w:rsid w:val="002E7B49"/>
    <w:rsid w:val="002F23E9"/>
    <w:rsid w:val="002F4462"/>
    <w:rsid w:val="002F5AC0"/>
    <w:rsid w:val="0030123F"/>
    <w:rsid w:val="003021CE"/>
    <w:rsid w:val="00302D17"/>
    <w:rsid w:val="003101A0"/>
    <w:rsid w:val="00310DD8"/>
    <w:rsid w:val="00311224"/>
    <w:rsid w:val="00311572"/>
    <w:rsid w:val="00322147"/>
    <w:rsid w:val="003233FC"/>
    <w:rsid w:val="00324E05"/>
    <w:rsid w:val="00335418"/>
    <w:rsid w:val="003366F8"/>
    <w:rsid w:val="00341D81"/>
    <w:rsid w:val="00341E08"/>
    <w:rsid w:val="003425B0"/>
    <w:rsid w:val="00345045"/>
    <w:rsid w:val="00346BE6"/>
    <w:rsid w:val="00356D39"/>
    <w:rsid w:val="00362082"/>
    <w:rsid w:val="00362E13"/>
    <w:rsid w:val="00365C11"/>
    <w:rsid w:val="00371B71"/>
    <w:rsid w:val="0038074F"/>
    <w:rsid w:val="00382533"/>
    <w:rsid w:val="00384C15"/>
    <w:rsid w:val="00387728"/>
    <w:rsid w:val="003967B6"/>
    <w:rsid w:val="003A0BA4"/>
    <w:rsid w:val="003A5946"/>
    <w:rsid w:val="003A6537"/>
    <w:rsid w:val="003C4E37"/>
    <w:rsid w:val="003C53CF"/>
    <w:rsid w:val="003C5F5D"/>
    <w:rsid w:val="003C65E5"/>
    <w:rsid w:val="003C75DE"/>
    <w:rsid w:val="003D5AFF"/>
    <w:rsid w:val="003D7813"/>
    <w:rsid w:val="003E3CFA"/>
    <w:rsid w:val="003E672A"/>
    <w:rsid w:val="003F71F2"/>
    <w:rsid w:val="003F73DB"/>
    <w:rsid w:val="004029D3"/>
    <w:rsid w:val="00405071"/>
    <w:rsid w:val="00411050"/>
    <w:rsid w:val="00412AA2"/>
    <w:rsid w:val="004231E5"/>
    <w:rsid w:val="004307CD"/>
    <w:rsid w:val="00432915"/>
    <w:rsid w:val="00433F9A"/>
    <w:rsid w:val="00435D56"/>
    <w:rsid w:val="00437A75"/>
    <w:rsid w:val="00440A61"/>
    <w:rsid w:val="00442D24"/>
    <w:rsid w:val="004453E7"/>
    <w:rsid w:val="00463D22"/>
    <w:rsid w:val="00466D3D"/>
    <w:rsid w:val="00472DA0"/>
    <w:rsid w:val="004732DC"/>
    <w:rsid w:val="00474E02"/>
    <w:rsid w:val="00485003"/>
    <w:rsid w:val="00492019"/>
    <w:rsid w:val="004A7503"/>
    <w:rsid w:val="004B1461"/>
    <w:rsid w:val="004B1695"/>
    <w:rsid w:val="004B1DF5"/>
    <w:rsid w:val="004B2D24"/>
    <w:rsid w:val="004B57BA"/>
    <w:rsid w:val="004B5D15"/>
    <w:rsid w:val="004B68BF"/>
    <w:rsid w:val="004C0E71"/>
    <w:rsid w:val="004C665B"/>
    <w:rsid w:val="004D01CB"/>
    <w:rsid w:val="004D0208"/>
    <w:rsid w:val="004D4353"/>
    <w:rsid w:val="004D53A5"/>
    <w:rsid w:val="004D572A"/>
    <w:rsid w:val="004E0DA9"/>
    <w:rsid w:val="004E1808"/>
    <w:rsid w:val="004F1281"/>
    <w:rsid w:val="004F2B1A"/>
    <w:rsid w:val="004F3147"/>
    <w:rsid w:val="004F779A"/>
    <w:rsid w:val="00513481"/>
    <w:rsid w:val="0051688C"/>
    <w:rsid w:val="00525E8F"/>
    <w:rsid w:val="00540902"/>
    <w:rsid w:val="00546C58"/>
    <w:rsid w:val="00550BAF"/>
    <w:rsid w:val="00551270"/>
    <w:rsid w:val="005528D8"/>
    <w:rsid w:val="005574FF"/>
    <w:rsid w:val="00561251"/>
    <w:rsid w:val="00566E19"/>
    <w:rsid w:val="00567AF6"/>
    <w:rsid w:val="00570CBA"/>
    <w:rsid w:val="00575C8D"/>
    <w:rsid w:val="00576294"/>
    <w:rsid w:val="005772FE"/>
    <w:rsid w:val="0058447A"/>
    <w:rsid w:val="005847B1"/>
    <w:rsid w:val="00585A3F"/>
    <w:rsid w:val="00587836"/>
    <w:rsid w:val="00591580"/>
    <w:rsid w:val="0059772B"/>
    <w:rsid w:val="005A034F"/>
    <w:rsid w:val="005A12AA"/>
    <w:rsid w:val="005B3ADE"/>
    <w:rsid w:val="005B5822"/>
    <w:rsid w:val="005C05D7"/>
    <w:rsid w:val="005C0FA9"/>
    <w:rsid w:val="005C4F4D"/>
    <w:rsid w:val="005C5116"/>
    <w:rsid w:val="005C56DE"/>
    <w:rsid w:val="005D565E"/>
    <w:rsid w:val="005E3B72"/>
    <w:rsid w:val="005E412C"/>
    <w:rsid w:val="005E4136"/>
    <w:rsid w:val="005F3697"/>
    <w:rsid w:val="005F6C0F"/>
    <w:rsid w:val="005F6C1F"/>
    <w:rsid w:val="006051D2"/>
    <w:rsid w:val="0060623A"/>
    <w:rsid w:val="006079C3"/>
    <w:rsid w:val="00607C35"/>
    <w:rsid w:val="0061730B"/>
    <w:rsid w:val="00622447"/>
    <w:rsid w:val="00627A14"/>
    <w:rsid w:val="00630D92"/>
    <w:rsid w:val="006348AB"/>
    <w:rsid w:val="00643705"/>
    <w:rsid w:val="006474BA"/>
    <w:rsid w:val="00662288"/>
    <w:rsid w:val="00667AD1"/>
    <w:rsid w:val="00670143"/>
    <w:rsid w:val="00672CE3"/>
    <w:rsid w:val="00681B27"/>
    <w:rsid w:val="00690721"/>
    <w:rsid w:val="0069532B"/>
    <w:rsid w:val="006964D1"/>
    <w:rsid w:val="006975C3"/>
    <w:rsid w:val="006A109F"/>
    <w:rsid w:val="006A3867"/>
    <w:rsid w:val="006A4A92"/>
    <w:rsid w:val="006A56F0"/>
    <w:rsid w:val="006A68BF"/>
    <w:rsid w:val="006B16B8"/>
    <w:rsid w:val="006B17D5"/>
    <w:rsid w:val="006B1985"/>
    <w:rsid w:val="006B4C80"/>
    <w:rsid w:val="006C16D3"/>
    <w:rsid w:val="006C2650"/>
    <w:rsid w:val="006C27FC"/>
    <w:rsid w:val="006C430E"/>
    <w:rsid w:val="006C59D3"/>
    <w:rsid w:val="006C5E37"/>
    <w:rsid w:val="006D0E9B"/>
    <w:rsid w:val="006D345E"/>
    <w:rsid w:val="006D5667"/>
    <w:rsid w:val="006D7C1F"/>
    <w:rsid w:val="006E0189"/>
    <w:rsid w:val="006E1B15"/>
    <w:rsid w:val="006E2362"/>
    <w:rsid w:val="006E6E95"/>
    <w:rsid w:val="006F12CB"/>
    <w:rsid w:val="006F1E06"/>
    <w:rsid w:val="006F2C3A"/>
    <w:rsid w:val="00700D93"/>
    <w:rsid w:val="00701813"/>
    <w:rsid w:val="0070181F"/>
    <w:rsid w:val="007037EE"/>
    <w:rsid w:val="0071035F"/>
    <w:rsid w:val="007112D5"/>
    <w:rsid w:val="00712EA6"/>
    <w:rsid w:val="007220D9"/>
    <w:rsid w:val="0073008A"/>
    <w:rsid w:val="007370F0"/>
    <w:rsid w:val="00737D3E"/>
    <w:rsid w:val="00750356"/>
    <w:rsid w:val="00755FD3"/>
    <w:rsid w:val="007630C4"/>
    <w:rsid w:val="00766CE3"/>
    <w:rsid w:val="00767D94"/>
    <w:rsid w:val="00771D7E"/>
    <w:rsid w:val="00773991"/>
    <w:rsid w:val="007876E7"/>
    <w:rsid w:val="00791B7D"/>
    <w:rsid w:val="00791DD9"/>
    <w:rsid w:val="007921B8"/>
    <w:rsid w:val="007A10B4"/>
    <w:rsid w:val="007A25EF"/>
    <w:rsid w:val="007A29D1"/>
    <w:rsid w:val="007A29DA"/>
    <w:rsid w:val="007A3E08"/>
    <w:rsid w:val="007A507F"/>
    <w:rsid w:val="007A776C"/>
    <w:rsid w:val="007B3984"/>
    <w:rsid w:val="007C1D19"/>
    <w:rsid w:val="007D2BE1"/>
    <w:rsid w:val="007D5F12"/>
    <w:rsid w:val="007D7D2A"/>
    <w:rsid w:val="007D7EA2"/>
    <w:rsid w:val="007E0EF9"/>
    <w:rsid w:val="007E461F"/>
    <w:rsid w:val="007E47D1"/>
    <w:rsid w:val="007F642E"/>
    <w:rsid w:val="007F7BDB"/>
    <w:rsid w:val="008011E1"/>
    <w:rsid w:val="0080244C"/>
    <w:rsid w:val="00810034"/>
    <w:rsid w:val="0081243D"/>
    <w:rsid w:val="008166DB"/>
    <w:rsid w:val="00821329"/>
    <w:rsid w:val="00824A04"/>
    <w:rsid w:val="00832FE3"/>
    <w:rsid w:val="00833B26"/>
    <w:rsid w:val="00834399"/>
    <w:rsid w:val="0083777D"/>
    <w:rsid w:val="0083777F"/>
    <w:rsid w:val="008443C6"/>
    <w:rsid w:val="008450B5"/>
    <w:rsid w:val="00846807"/>
    <w:rsid w:val="0085243A"/>
    <w:rsid w:val="008539CD"/>
    <w:rsid w:val="00854B1F"/>
    <w:rsid w:val="00860B07"/>
    <w:rsid w:val="00863394"/>
    <w:rsid w:val="00863398"/>
    <w:rsid w:val="00863D4C"/>
    <w:rsid w:val="008641F6"/>
    <w:rsid w:val="00866202"/>
    <w:rsid w:val="00881661"/>
    <w:rsid w:val="00884B8E"/>
    <w:rsid w:val="00886C76"/>
    <w:rsid w:val="008903EF"/>
    <w:rsid w:val="008943EC"/>
    <w:rsid w:val="00896160"/>
    <w:rsid w:val="008A06F4"/>
    <w:rsid w:val="008A2E12"/>
    <w:rsid w:val="008A6360"/>
    <w:rsid w:val="008A68F3"/>
    <w:rsid w:val="008B0FAB"/>
    <w:rsid w:val="008B4618"/>
    <w:rsid w:val="008B4B6F"/>
    <w:rsid w:val="008B6818"/>
    <w:rsid w:val="008B76FF"/>
    <w:rsid w:val="008C0837"/>
    <w:rsid w:val="008C346F"/>
    <w:rsid w:val="008C5F99"/>
    <w:rsid w:val="008D23D6"/>
    <w:rsid w:val="008D3380"/>
    <w:rsid w:val="008D546E"/>
    <w:rsid w:val="008D6037"/>
    <w:rsid w:val="008E0CCF"/>
    <w:rsid w:val="008E5CA3"/>
    <w:rsid w:val="008E71F0"/>
    <w:rsid w:val="00902079"/>
    <w:rsid w:val="00910489"/>
    <w:rsid w:val="00917046"/>
    <w:rsid w:val="00920C5A"/>
    <w:rsid w:val="00921166"/>
    <w:rsid w:val="00930FA5"/>
    <w:rsid w:val="009342EC"/>
    <w:rsid w:val="0094297B"/>
    <w:rsid w:val="00942A22"/>
    <w:rsid w:val="00946768"/>
    <w:rsid w:val="009526A0"/>
    <w:rsid w:val="00961FDC"/>
    <w:rsid w:val="00970B5E"/>
    <w:rsid w:val="00970C46"/>
    <w:rsid w:val="00972D8B"/>
    <w:rsid w:val="009733CF"/>
    <w:rsid w:val="0097512C"/>
    <w:rsid w:val="00982DBB"/>
    <w:rsid w:val="00990739"/>
    <w:rsid w:val="0099215E"/>
    <w:rsid w:val="009958C5"/>
    <w:rsid w:val="009965C6"/>
    <w:rsid w:val="00997435"/>
    <w:rsid w:val="009A211C"/>
    <w:rsid w:val="009A3781"/>
    <w:rsid w:val="009B32D8"/>
    <w:rsid w:val="009C0AE2"/>
    <w:rsid w:val="009C0F75"/>
    <w:rsid w:val="009C10CA"/>
    <w:rsid w:val="009C12C6"/>
    <w:rsid w:val="009C380A"/>
    <w:rsid w:val="009D00EC"/>
    <w:rsid w:val="009D0763"/>
    <w:rsid w:val="009D090A"/>
    <w:rsid w:val="009D3B44"/>
    <w:rsid w:val="009E1E0A"/>
    <w:rsid w:val="009E1EE0"/>
    <w:rsid w:val="009E526E"/>
    <w:rsid w:val="009F3840"/>
    <w:rsid w:val="00A01289"/>
    <w:rsid w:val="00A025D5"/>
    <w:rsid w:val="00A028F0"/>
    <w:rsid w:val="00A208E1"/>
    <w:rsid w:val="00A22882"/>
    <w:rsid w:val="00A24A66"/>
    <w:rsid w:val="00A32C74"/>
    <w:rsid w:val="00A46A98"/>
    <w:rsid w:val="00A47C37"/>
    <w:rsid w:val="00A5110B"/>
    <w:rsid w:val="00A55723"/>
    <w:rsid w:val="00A602E0"/>
    <w:rsid w:val="00A60F4D"/>
    <w:rsid w:val="00A61E1D"/>
    <w:rsid w:val="00A62140"/>
    <w:rsid w:val="00A72EBF"/>
    <w:rsid w:val="00A80289"/>
    <w:rsid w:val="00A8139F"/>
    <w:rsid w:val="00A855F5"/>
    <w:rsid w:val="00A905BE"/>
    <w:rsid w:val="00A90EF1"/>
    <w:rsid w:val="00A90FC6"/>
    <w:rsid w:val="00A92725"/>
    <w:rsid w:val="00A9403A"/>
    <w:rsid w:val="00AA092A"/>
    <w:rsid w:val="00AA154D"/>
    <w:rsid w:val="00AA1796"/>
    <w:rsid w:val="00AA2F24"/>
    <w:rsid w:val="00AA63CA"/>
    <w:rsid w:val="00AB6534"/>
    <w:rsid w:val="00AC4562"/>
    <w:rsid w:val="00AC50E7"/>
    <w:rsid w:val="00AC59AA"/>
    <w:rsid w:val="00AC74E4"/>
    <w:rsid w:val="00AE5A77"/>
    <w:rsid w:val="00AE748B"/>
    <w:rsid w:val="00AF4C37"/>
    <w:rsid w:val="00AF5264"/>
    <w:rsid w:val="00B003A3"/>
    <w:rsid w:val="00B005FC"/>
    <w:rsid w:val="00B03E39"/>
    <w:rsid w:val="00B04D06"/>
    <w:rsid w:val="00B0503A"/>
    <w:rsid w:val="00B05ED9"/>
    <w:rsid w:val="00B06DA7"/>
    <w:rsid w:val="00B11803"/>
    <w:rsid w:val="00B1264A"/>
    <w:rsid w:val="00B14F9A"/>
    <w:rsid w:val="00B151C1"/>
    <w:rsid w:val="00B20C5E"/>
    <w:rsid w:val="00B20FA4"/>
    <w:rsid w:val="00B25B42"/>
    <w:rsid w:val="00B25ED7"/>
    <w:rsid w:val="00B321C4"/>
    <w:rsid w:val="00B3431D"/>
    <w:rsid w:val="00B36627"/>
    <w:rsid w:val="00B3797D"/>
    <w:rsid w:val="00B4210A"/>
    <w:rsid w:val="00B50831"/>
    <w:rsid w:val="00B51BCB"/>
    <w:rsid w:val="00B54548"/>
    <w:rsid w:val="00B54B74"/>
    <w:rsid w:val="00B60FC9"/>
    <w:rsid w:val="00B6203D"/>
    <w:rsid w:val="00B751EE"/>
    <w:rsid w:val="00B86420"/>
    <w:rsid w:val="00B86509"/>
    <w:rsid w:val="00B900E4"/>
    <w:rsid w:val="00B90ECB"/>
    <w:rsid w:val="00B9219D"/>
    <w:rsid w:val="00B94CE0"/>
    <w:rsid w:val="00B96F1A"/>
    <w:rsid w:val="00BA4B0F"/>
    <w:rsid w:val="00BB7A27"/>
    <w:rsid w:val="00BC4C43"/>
    <w:rsid w:val="00BC780D"/>
    <w:rsid w:val="00BD0659"/>
    <w:rsid w:val="00BD1B82"/>
    <w:rsid w:val="00BE1BAD"/>
    <w:rsid w:val="00BE434A"/>
    <w:rsid w:val="00BE7BA6"/>
    <w:rsid w:val="00BF4183"/>
    <w:rsid w:val="00BF614E"/>
    <w:rsid w:val="00C01661"/>
    <w:rsid w:val="00C067D7"/>
    <w:rsid w:val="00C10617"/>
    <w:rsid w:val="00C12909"/>
    <w:rsid w:val="00C1447B"/>
    <w:rsid w:val="00C1683D"/>
    <w:rsid w:val="00C22CFB"/>
    <w:rsid w:val="00C2676C"/>
    <w:rsid w:val="00C26D7E"/>
    <w:rsid w:val="00C27E53"/>
    <w:rsid w:val="00C319D0"/>
    <w:rsid w:val="00C32C8D"/>
    <w:rsid w:val="00C333CE"/>
    <w:rsid w:val="00C34508"/>
    <w:rsid w:val="00C3540F"/>
    <w:rsid w:val="00C443ED"/>
    <w:rsid w:val="00C524DE"/>
    <w:rsid w:val="00C6071A"/>
    <w:rsid w:val="00C66F7E"/>
    <w:rsid w:val="00C701F3"/>
    <w:rsid w:val="00C70A6A"/>
    <w:rsid w:val="00C736E2"/>
    <w:rsid w:val="00C73FC5"/>
    <w:rsid w:val="00C747BA"/>
    <w:rsid w:val="00C7591E"/>
    <w:rsid w:val="00C75F3F"/>
    <w:rsid w:val="00C8077E"/>
    <w:rsid w:val="00C82D95"/>
    <w:rsid w:val="00C85828"/>
    <w:rsid w:val="00C90A35"/>
    <w:rsid w:val="00C91092"/>
    <w:rsid w:val="00C91DA5"/>
    <w:rsid w:val="00C92772"/>
    <w:rsid w:val="00C95F51"/>
    <w:rsid w:val="00CA5A47"/>
    <w:rsid w:val="00CA6FE0"/>
    <w:rsid w:val="00CA753C"/>
    <w:rsid w:val="00CB3932"/>
    <w:rsid w:val="00CB3E5E"/>
    <w:rsid w:val="00CB74B3"/>
    <w:rsid w:val="00CC1CDB"/>
    <w:rsid w:val="00CC350C"/>
    <w:rsid w:val="00CC5576"/>
    <w:rsid w:val="00CD236F"/>
    <w:rsid w:val="00CD28FA"/>
    <w:rsid w:val="00CD672D"/>
    <w:rsid w:val="00CE05F2"/>
    <w:rsid w:val="00CE4AA1"/>
    <w:rsid w:val="00CF44BD"/>
    <w:rsid w:val="00D02742"/>
    <w:rsid w:val="00D0318E"/>
    <w:rsid w:val="00D03668"/>
    <w:rsid w:val="00D043AA"/>
    <w:rsid w:val="00D06E61"/>
    <w:rsid w:val="00D13D72"/>
    <w:rsid w:val="00D21E0E"/>
    <w:rsid w:val="00D232A2"/>
    <w:rsid w:val="00D26846"/>
    <w:rsid w:val="00D26AC9"/>
    <w:rsid w:val="00D3218C"/>
    <w:rsid w:val="00D343DF"/>
    <w:rsid w:val="00D35ACF"/>
    <w:rsid w:val="00D4061C"/>
    <w:rsid w:val="00D41063"/>
    <w:rsid w:val="00D46077"/>
    <w:rsid w:val="00D4633A"/>
    <w:rsid w:val="00D47799"/>
    <w:rsid w:val="00D55F57"/>
    <w:rsid w:val="00D57B31"/>
    <w:rsid w:val="00D70C48"/>
    <w:rsid w:val="00D71555"/>
    <w:rsid w:val="00D762F4"/>
    <w:rsid w:val="00D76D82"/>
    <w:rsid w:val="00D81AE3"/>
    <w:rsid w:val="00D81F89"/>
    <w:rsid w:val="00D87D23"/>
    <w:rsid w:val="00D906EB"/>
    <w:rsid w:val="00D95338"/>
    <w:rsid w:val="00D95D70"/>
    <w:rsid w:val="00DA0542"/>
    <w:rsid w:val="00DB0260"/>
    <w:rsid w:val="00DC0744"/>
    <w:rsid w:val="00DC3439"/>
    <w:rsid w:val="00DC4DB2"/>
    <w:rsid w:val="00DC6C53"/>
    <w:rsid w:val="00DD165A"/>
    <w:rsid w:val="00DD2DD1"/>
    <w:rsid w:val="00DD617E"/>
    <w:rsid w:val="00DD6D6F"/>
    <w:rsid w:val="00DE2CBC"/>
    <w:rsid w:val="00DE7F2C"/>
    <w:rsid w:val="00E00B48"/>
    <w:rsid w:val="00E00FDD"/>
    <w:rsid w:val="00E12E21"/>
    <w:rsid w:val="00E1439B"/>
    <w:rsid w:val="00E17021"/>
    <w:rsid w:val="00E222A7"/>
    <w:rsid w:val="00E25650"/>
    <w:rsid w:val="00E32CE3"/>
    <w:rsid w:val="00E3349A"/>
    <w:rsid w:val="00E37957"/>
    <w:rsid w:val="00E43AF7"/>
    <w:rsid w:val="00E44322"/>
    <w:rsid w:val="00E47FC5"/>
    <w:rsid w:val="00E51369"/>
    <w:rsid w:val="00E6187A"/>
    <w:rsid w:val="00E71AB9"/>
    <w:rsid w:val="00E736DC"/>
    <w:rsid w:val="00E76570"/>
    <w:rsid w:val="00E802AA"/>
    <w:rsid w:val="00E8456A"/>
    <w:rsid w:val="00E85E7F"/>
    <w:rsid w:val="00E94E77"/>
    <w:rsid w:val="00EA17FB"/>
    <w:rsid w:val="00EA57F2"/>
    <w:rsid w:val="00EB0210"/>
    <w:rsid w:val="00EB19EF"/>
    <w:rsid w:val="00EB209D"/>
    <w:rsid w:val="00EB347F"/>
    <w:rsid w:val="00EB7751"/>
    <w:rsid w:val="00EC16D3"/>
    <w:rsid w:val="00EC5834"/>
    <w:rsid w:val="00EC5DB4"/>
    <w:rsid w:val="00ED3CAC"/>
    <w:rsid w:val="00ED4ACD"/>
    <w:rsid w:val="00ED6AA1"/>
    <w:rsid w:val="00EE04CD"/>
    <w:rsid w:val="00EE05AA"/>
    <w:rsid w:val="00EE3C3D"/>
    <w:rsid w:val="00EE48B7"/>
    <w:rsid w:val="00EE48CC"/>
    <w:rsid w:val="00EF5D99"/>
    <w:rsid w:val="00EF7BEC"/>
    <w:rsid w:val="00F048BE"/>
    <w:rsid w:val="00F07660"/>
    <w:rsid w:val="00F10783"/>
    <w:rsid w:val="00F1413E"/>
    <w:rsid w:val="00F255DD"/>
    <w:rsid w:val="00F25E7C"/>
    <w:rsid w:val="00F31C0F"/>
    <w:rsid w:val="00F377A2"/>
    <w:rsid w:val="00F40034"/>
    <w:rsid w:val="00F40524"/>
    <w:rsid w:val="00F4106F"/>
    <w:rsid w:val="00F41B2E"/>
    <w:rsid w:val="00F452AF"/>
    <w:rsid w:val="00F45504"/>
    <w:rsid w:val="00F457B3"/>
    <w:rsid w:val="00F461C5"/>
    <w:rsid w:val="00F5338D"/>
    <w:rsid w:val="00F556AD"/>
    <w:rsid w:val="00F61E7A"/>
    <w:rsid w:val="00F61E8C"/>
    <w:rsid w:val="00F651A4"/>
    <w:rsid w:val="00F6524D"/>
    <w:rsid w:val="00F70BD8"/>
    <w:rsid w:val="00F72662"/>
    <w:rsid w:val="00F734D3"/>
    <w:rsid w:val="00F7351D"/>
    <w:rsid w:val="00F7525F"/>
    <w:rsid w:val="00F770F2"/>
    <w:rsid w:val="00F81392"/>
    <w:rsid w:val="00F864C2"/>
    <w:rsid w:val="00F940E0"/>
    <w:rsid w:val="00FA2C0B"/>
    <w:rsid w:val="00FA3848"/>
    <w:rsid w:val="00FA3AE2"/>
    <w:rsid w:val="00FA76A2"/>
    <w:rsid w:val="00FB5024"/>
    <w:rsid w:val="00FB5119"/>
    <w:rsid w:val="00FB61B2"/>
    <w:rsid w:val="00FC4E68"/>
    <w:rsid w:val="00FC543B"/>
    <w:rsid w:val="00FC5878"/>
    <w:rsid w:val="00FC5B6E"/>
    <w:rsid w:val="00FC5E1D"/>
    <w:rsid w:val="00FD12DE"/>
    <w:rsid w:val="00FE4055"/>
    <w:rsid w:val="00FE7CC5"/>
    <w:rsid w:val="00FF07FD"/>
    <w:rsid w:val="00FF0E7F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4E83E-C1F1-4897-8D4B-4D51B80D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5604"/>
    <w:pPr>
      <w:spacing w:before="120" w:after="120" w:line="240" w:lineRule="auto"/>
    </w:pPr>
    <w:rPr>
      <w:rFonts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1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Colorful List - Accent 11"/>
    <w:basedOn w:val="Normal"/>
    <w:link w:val="ListParagraphChar"/>
    <w:uiPriority w:val="34"/>
    <w:qFormat/>
    <w:rsid w:val="008C0837"/>
    <w:pPr>
      <w:widowControl w:val="0"/>
      <w:tabs>
        <w:tab w:val="num" w:pos="340"/>
        <w:tab w:val="left" w:pos="426"/>
        <w:tab w:val="left" w:pos="1412"/>
      </w:tabs>
      <w:autoSpaceDE w:val="0"/>
      <w:autoSpaceDN w:val="0"/>
      <w:adjustRightInd w:val="0"/>
      <w:ind w:left="340" w:hanging="340"/>
      <w:contextualSpacing/>
    </w:pPr>
    <w:rPr>
      <w:rFonts w:ascii="Univers for KPMG Light" w:eastAsia="Calibri" w:hAnsi="Univers for KPMG Light" w:cs="Times New Roman"/>
      <w:szCs w:val="22"/>
      <w:lang w:val="en-GB"/>
    </w:rPr>
  </w:style>
  <w:style w:type="character" w:customStyle="1" w:styleId="ListParagraphChar">
    <w:name w:val="List Paragraph Char"/>
    <w:aliases w:val="List Paragraph1 Char,List Paragraph11 Char,Colorful List - Accent 11 Char"/>
    <w:basedOn w:val="DefaultParagraphFont"/>
    <w:link w:val="ListParagraph"/>
    <w:uiPriority w:val="34"/>
    <w:locked/>
    <w:rsid w:val="008C0837"/>
    <w:rPr>
      <w:rFonts w:ascii="Univers for KPMG Light" w:eastAsia="Calibri" w:hAnsi="Univers for KPMG Light" w:cs="Times New Roman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8C08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F75"/>
  </w:style>
  <w:style w:type="character" w:customStyle="1" w:styleId="CommentTextChar">
    <w:name w:val="Comment Text Char"/>
    <w:basedOn w:val="DefaultParagraphFont"/>
    <w:link w:val="CommentText"/>
    <w:uiPriority w:val="99"/>
    <w:rsid w:val="009C0F75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75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F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F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0F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32F8E"/>
    <w:pPr>
      <w:spacing w:after="0" w:line="240" w:lineRule="auto"/>
    </w:pPr>
    <w:rPr>
      <w:rFonts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E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1E7A"/>
    <w:rPr>
      <w:rFonts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E7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1E7A"/>
    <w:rPr>
      <w:rFonts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01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39CD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9CD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9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03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2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85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3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037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8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7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4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3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education.vic.gov.au/Documents/about/department/strategicpla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ervices/communications/Guidelines/DEECD%20Corporate%20Sponsorship%20Policy%20and%20Guideline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yperlink" Target="https://edugate.eduweb.vic.gov.au/edrms/collaboration/PD/GPS/Policy%20Library/DET%20Gifts%20Benefits%20and%20Hospitality%20Policy.docx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s://edugate.eduweb.vic.gov.au/edrms/collaboration/PD/GPS/Policy%20Library/DET%20Grants%20Policy.pdf?Web=1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97</Value>
      <Value>94</Value>
      <Value>118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Supports Department staff with responsibilities related to philanthropic engagements.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>https://edugate.eduweb.vic.gov.au/edrms/collaboration/PSD/Policy and Strategy Documents Library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BC0E-AF1B-4B23-8775-77602F4B571C}"/>
</file>

<file path=customXml/itemProps2.xml><?xml version="1.0" encoding="utf-8"?>
<ds:datastoreItem xmlns:ds="http://schemas.openxmlformats.org/officeDocument/2006/customXml" ds:itemID="{67D56013-4336-4355-A261-587FAA26E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2156B-597F-4BF6-8404-C2FBC31198F9}">
  <ds:schemaRefs>
    <ds:schemaRef ds:uri="http://schemas.microsoft.com/office/2006/metadata/properties"/>
    <ds:schemaRef ds:uri="http://schemas.microsoft.com/office/infopath/2007/PartnerControls"/>
    <ds:schemaRef ds:uri="fa5f1c67-54c3-494a-90f0-44b31348d00b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4C79BAD-7C40-41D0-93F7-917B93BC96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7BD813-6CBE-405B-8030-5701372823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E99C09E-D0DA-4D7B-B39C-09ACE6D7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on public-philanthropic partnerships</dc:title>
  <dc:subject/>
  <dc:creator>Ouzman, Michele M</dc:creator>
  <cp:keywords/>
  <dc:description/>
  <cp:lastModifiedBy>Bance, Jennie A</cp:lastModifiedBy>
  <cp:revision>2</cp:revision>
  <cp:lastPrinted>2018-03-29T06:11:00Z</cp:lastPrinted>
  <dcterms:created xsi:type="dcterms:W3CDTF">2019-07-11T05:50:00Z</dcterms:created>
  <dcterms:modified xsi:type="dcterms:W3CDTF">2019-07-11T05:50:00Z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34;#13.1.1 Outward Facing Policy|c167ca3e-8c60-41a9-853e-4dd20761c000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ListId">
    <vt:lpwstr>{fa5f1c67-54c3-494a-90f0-44b31348d00b}</vt:lpwstr>
  </property>
  <property fmtid="{D5CDD505-2E9C-101B-9397-08002B2CF9AE}" pid="7" name="RecordPoint_ActiveItemUniqueId">
    <vt:lpwstr>{012dce27-f1b1-4dfe-a798-8d20b5877910}</vt:lpwstr>
  </property>
  <property fmtid="{D5CDD505-2E9C-101B-9397-08002B2CF9AE}" pid="8" name="RecordPoint_ActiveItemWebId">
    <vt:lpwstr>{d8562a3d-26b1-45f8-b7ad-9d70d2757376}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RecordNumberSubmitted">
    <vt:lpwstr>R0001143953</vt:lpwstr>
  </property>
  <property fmtid="{D5CDD505-2E9C-101B-9397-08002B2CF9AE}" pid="11" name="RecordPoint_SubmissionCompleted">
    <vt:lpwstr>2018-03-27T12:33:59.6623341+11:00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DEECD_Author">
    <vt:lpwstr>94;#Education|5232e41c-5101-41fe-b638-7d41d1371531</vt:lpwstr>
  </property>
  <property fmtid="{D5CDD505-2E9C-101B-9397-08002B2CF9AE}" pid="16" name="DEECD_ItemType">
    <vt:lpwstr>97;#Guide / Manual|b3949c2d-9e4b-4ecf-ba30-8067d8603b3b</vt:lpwstr>
  </property>
  <property fmtid="{D5CDD505-2E9C-101B-9397-08002B2CF9AE}" pid="17" name="DEECD_SubjectCategory">
    <vt:lpwstr/>
  </property>
  <property fmtid="{D5CDD505-2E9C-101B-9397-08002B2CF9AE}" pid="18" name="DEECD_Audience">
    <vt:lpwstr>118;#Principals|a4f56333-bce8-49bd-95df-bc27ddd10ec3</vt:lpwstr>
  </property>
</Properties>
</file>