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BD606" w14:textId="07E76CD9" w:rsidR="00E45985" w:rsidRPr="00867092" w:rsidRDefault="008762B7" w:rsidP="00B8252A">
      <w:pPr>
        <w:pStyle w:val="Subtitle"/>
        <w:rPr>
          <w:b/>
          <w:bCs/>
          <w:iCs/>
          <w:color w:val="AF272F"/>
          <w:spacing w:val="5"/>
          <w:kern w:val="28"/>
          <w:sz w:val="28"/>
          <w:szCs w:val="36"/>
          <w:lang w:val="en-AU"/>
        </w:rPr>
      </w:pPr>
      <w:r w:rsidRPr="00867092">
        <w:rPr>
          <w:b/>
          <w:bCs/>
          <w:iCs/>
          <w:color w:val="AF272F"/>
          <w:spacing w:val="5"/>
          <w:kern w:val="28"/>
          <w:sz w:val="28"/>
          <w:szCs w:val="36"/>
          <w:lang w:val="en-AU"/>
        </w:rPr>
        <w:t>Policy Guidance, p</w:t>
      </w:r>
      <w:r w:rsidR="00E45985" w:rsidRPr="00867092">
        <w:rPr>
          <w:b/>
          <w:bCs/>
          <w:iCs/>
          <w:color w:val="AF272F"/>
          <w:spacing w:val="5"/>
          <w:kern w:val="28"/>
          <w:sz w:val="28"/>
          <w:szCs w:val="36"/>
          <w:lang w:val="en-AU"/>
        </w:rPr>
        <w:t>rocedures</w:t>
      </w:r>
      <w:r w:rsidRPr="00867092">
        <w:rPr>
          <w:b/>
          <w:bCs/>
          <w:iCs/>
          <w:color w:val="AF272F"/>
          <w:spacing w:val="5"/>
          <w:kern w:val="28"/>
          <w:sz w:val="28"/>
          <w:szCs w:val="36"/>
          <w:lang w:val="en-AU"/>
        </w:rPr>
        <w:t>,</w:t>
      </w:r>
      <w:r w:rsidR="00E45985" w:rsidRPr="00867092">
        <w:rPr>
          <w:b/>
          <w:bCs/>
          <w:iCs/>
          <w:color w:val="AF272F"/>
          <w:spacing w:val="5"/>
          <w:kern w:val="28"/>
          <w:sz w:val="28"/>
          <w:szCs w:val="36"/>
          <w:lang w:val="en-AU"/>
        </w:rPr>
        <w:t xml:space="preserve"> and Resources for th</w:t>
      </w:r>
      <w:r w:rsidRPr="00867092">
        <w:rPr>
          <w:b/>
          <w:bCs/>
          <w:iCs/>
          <w:color w:val="AF272F"/>
          <w:spacing w:val="5"/>
          <w:kern w:val="28"/>
          <w:sz w:val="28"/>
          <w:szCs w:val="36"/>
          <w:lang w:val="en-AU"/>
        </w:rPr>
        <w:t>e Reduction and Elimination of R</w:t>
      </w:r>
      <w:r w:rsidR="00E45985" w:rsidRPr="00867092">
        <w:rPr>
          <w:b/>
          <w:bCs/>
          <w:iCs/>
          <w:color w:val="AF272F"/>
          <w:spacing w:val="5"/>
          <w:kern w:val="28"/>
          <w:sz w:val="28"/>
          <w:szCs w:val="36"/>
          <w:lang w:val="en-AU"/>
        </w:rPr>
        <w:t>estra</w:t>
      </w:r>
      <w:r w:rsidRPr="00867092">
        <w:rPr>
          <w:b/>
          <w:bCs/>
          <w:iCs/>
          <w:color w:val="AF272F"/>
          <w:spacing w:val="5"/>
          <w:kern w:val="28"/>
          <w:sz w:val="28"/>
          <w:szCs w:val="36"/>
          <w:lang w:val="en-AU"/>
        </w:rPr>
        <w:t>int and Seclusion in Victorian Government S</w:t>
      </w:r>
      <w:r w:rsidR="00E45985" w:rsidRPr="00867092">
        <w:rPr>
          <w:b/>
          <w:bCs/>
          <w:iCs/>
          <w:color w:val="AF272F"/>
          <w:spacing w:val="5"/>
          <w:kern w:val="28"/>
          <w:sz w:val="28"/>
          <w:szCs w:val="36"/>
          <w:lang w:val="en-AU"/>
        </w:rPr>
        <w:t>chools</w:t>
      </w:r>
    </w:p>
    <w:p w14:paraId="3A14EBA7" w14:textId="77777777" w:rsidR="00751081" w:rsidRDefault="00751081" w:rsidP="00B8252A">
      <w:pPr>
        <w:pStyle w:val="Heading1"/>
        <w:jc w:val="both"/>
      </w:pPr>
    </w:p>
    <w:p w14:paraId="3CBA9EC7" w14:textId="7F29F7B9" w:rsidR="003E29B5" w:rsidRDefault="00E72974" w:rsidP="00B8252A">
      <w:pPr>
        <w:jc w:val="both"/>
      </w:pPr>
      <w:r>
        <w:t xml:space="preserve">In October 2015 the Department released the </w:t>
      </w:r>
      <w:r w:rsidRPr="00E72974">
        <w:rPr>
          <w:i/>
        </w:rPr>
        <w:t>Violent and Dangerous Student Behaviour of Concern Guidance</w:t>
      </w:r>
      <w:r>
        <w:rPr>
          <w:i/>
        </w:rPr>
        <w:t xml:space="preserve"> </w:t>
      </w:r>
      <w:r>
        <w:t xml:space="preserve">with the understanding that this guidance was to be reviewed.  After an extensive consultation process, the </w:t>
      </w:r>
      <w:r w:rsidR="00A01722">
        <w:t>revision is completed.</w:t>
      </w:r>
      <w:r>
        <w:t xml:space="preserve">  The resulting document has been renamed </w:t>
      </w:r>
      <w:r w:rsidRPr="00E72974">
        <w:rPr>
          <w:i/>
        </w:rPr>
        <w:t>Policy Guidance Procedures and Resources for the Reduction and E</w:t>
      </w:r>
      <w:r w:rsidR="00CA385C">
        <w:rPr>
          <w:i/>
        </w:rPr>
        <w:t>limination of R</w:t>
      </w:r>
      <w:r w:rsidRPr="00E72974">
        <w:rPr>
          <w:i/>
        </w:rPr>
        <w:t xml:space="preserve">estraint and </w:t>
      </w:r>
      <w:r w:rsidR="00CA385C">
        <w:rPr>
          <w:i/>
        </w:rPr>
        <w:t>S</w:t>
      </w:r>
      <w:r w:rsidRPr="00E72974">
        <w:rPr>
          <w:i/>
        </w:rPr>
        <w:t xml:space="preserve">eclusion in Victorian </w:t>
      </w:r>
      <w:r w:rsidR="00E363DF">
        <w:rPr>
          <w:i/>
        </w:rPr>
        <w:t>G</w:t>
      </w:r>
      <w:r w:rsidR="003540F9">
        <w:rPr>
          <w:i/>
        </w:rPr>
        <w:t>overnment Schools</w:t>
      </w:r>
      <w:r w:rsidR="00690213">
        <w:t>.</w:t>
      </w:r>
    </w:p>
    <w:p w14:paraId="45814CD6" w14:textId="77777777" w:rsidR="00B8252A" w:rsidRPr="003E29B5" w:rsidRDefault="00B8252A" w:rsidP="00B8252A">
      <w:pPr>
        <w:jc w:val="both"/>
      </w:pPr>
    </w:p>
    <w:p w14:paraId="1BDE2753" w14:textId="24A755F8" w:rsidR="00E72974" w:rsidRPr="00E72974" w:rsidRDefault="00E72974" w:rsidP="00B8252A">
      <w:pPr>
        <w:jc w:val="both"/>
        <w:rPr>
          <w:rFonts w:eastAsiaTheme="majorEastAsia" w:cstheme="majorBidi"/>
          <w:b/>
          <w:bCs/>
          <w:caps/>
          <w:color w:val="AF272F"/>
          <w:sz w:val="20"/>
          <w:szCs w:val="20"/>
          <w:lang w:val="en-AU"/>
        </w:rPr>
      </w:pPr>
      <w:r w:rsidRPr="00E72974">
        <w:rPr>
          <w:rFonts w:eastAsiaTheme="majorEastAsia" w:cstheme="majorBidi"/>
          <w:b/>
          <w:bCs/>
          <w:caps/>
          <w:color w:val="AF272F"/>
          <w:sz w:val="20"/>
          <w:szCs w:val="20"/>
          <w:lang w:val="en-AU"/>
        </w:rPr>
        <w:t xml:space="preserve">Why do we need a policy and </w:t>
      </w:r>
      <w:r>
        <w:rPr>
          <w:rFonts w:eastAsiaTheme="majorEastAsia" w:cstheme="majorBidi"/>
          <w:b/>
          <w:bCs/>
          <w:caps/>
          <w:color w:val="AF272F"/>
          <w:sz w:val="20"/>
          <w:szCs w:val="20"/>
          <w:lang w:val="en-AU"/>
        </w:rPr>
        <w:t xml:space="preserve">guidance </w:t>
      </w:r>
      <w:r w:rsidRPr="00E72974">
        <w:rPr>
          <w:rFonts w:eastAsiaTheme="majorEastAsia" w:cstheme="majorBidi"/>
          <w:b/>
          <w:bCs/>
          <w:caps/>
          <w:color w:val="AF272F"/>
          <w:sz w:val="20"/>
          <w:szCs w:val="20"/>
          <w:lang w:val="en-AU"/>
        </w:rPr>
        <w:t>on restraint and seclusion?</w:t>
      </w:r>
    </w:p>
    <w:p w14:paraId="73566DBE" w14:textId="39A0F87E" w:rsidR="00E72974" w:rsidRDefault="00690213" w:rsidP="00B8252A">
      <w:pPr>
        <w:spacing w:before="120"/>
        <w:jc w:val="both"/>
      </w:pPr>
      <w:r>
        <w:t>All</w:t>
      </w:r>
      <w:r w:rsidR="00E72974" w:rsidRPr="00E72974">
        <w:t xml:space="preserve"> students should have the opportunity to learn in a safe, positive and supportive classroom environment.</w:t>
      </w:r>
      <w:r>
        <w:t xml:space="preserve"> </w:t>
      </w:r>
      <w:r w:rsidR="00E72974" w:rsidRPr="00E72974">
        <w:t xml:space="preserve">Sometimes behaviours of concern (behaviours causing harm to self or others), </w:t>
      </w:r>
      <w:r w:rsidR="00CA385C">
        <w:t>can occur and staff need to take steps to ensure that the student, other students and the staff are safe.</w:t>
      </w:r>
    </w:p>
    <w:p w14:paraId="15AE2D89" w14:textId="60828A06" w:rsidR="00CA385C" w:rsidRPr="00CA385C" w:rsidRDefault="00CA385C" w:rsidP="00B8252A">
      <w:pPr>
        <w:jc w:val="both"/>
      </w:pPr>
      <w:r w:rsidRPr="00CA385C">
        <w:t xml:space="preserve">The </w:t>
      </w:r>
      <w:r>
        <w:t>law</w:t>
      </w:r>
      <w:r w:rsidRPr="00CA385C">
        <w:t xml:space="preserve"> permits school staff to take reasonable action to restrain a student from behaviour that poses a threat to their own safety and/or to the safety of others </w:t>
      </w:r>
      <w:r w:rsidRPr="00CA385C">
        <w:rPr>
          <w:i/>
        </w:rPr>
        <w:t xml:space="preserve">(Regulation 15 of the Education and Training Reform Regulations 2007 and common law duty of care). </w:t>
      </w:r>
    </w:p>
    <w:p w14:paraId="56C85B46" w14:textId="77777777" w:rsidR="007C254C" w:rsidRDefault="007C254C" w:rsidP="00B8252A">
      <w:pPr>
        <w:spacing w:before="120"/>
        <w:jc w:val="both"/>
        <w:rPr>
          <w:rFonts w:eastAsiaTheme="majorEastAsia" w:cstheme="majorBidi"/>
          <w:b/>
          <w:bCs/>
          <w:caps/>
          <w:color w:val="AF272F"/>
          <w:sz w:val="20"/>
          <w:szCs w:val="20"/>
          <w:lang w:val="en-AU"/>
        </w:rPr>
      </w:pPr>
    </w:p>
    <w:p w14:paraId="5BEE0EBC" w14:textId="4123D6AF" w:rsidR="00CA385C" w:rsidRPr="00CA385C" w:rsidRDefault="00CA385C" w:rsidP="00B8252A">
      <w:pPr>
        <w:spacing w:before="120"/>
        <w:jc w:val="both"/>
        <w:rPr>
          <w:rFonts w:eastAsiaTheme="majorEastAsia" w:cstheme="majorBidi"/>
          <w:b/>
          <w:bCs/>
          <w:caps/>
          <w:color w:val="AF272F"/>
          <w:sz w:val="20"/>
          <w:szCs w:val="20"/>
          <w:lang w:val="en-AU"/>
        </w:rPr>
      </w:pPr>
      <w:r w:rsidRPr="00CA385C">
        <w:rPr>
          <w:rFonts w:eastAsiaTheme="majorEastAsia" w:cstheme="majorBidi"/>
          <w:b/>
          <w:bCs/>
          <w:caps/>
          <w:color w:val="AF272F"/>
          <w:sz w:val="20"/>
          <w:szCs w:val="20"/>
          <w:lang w:val="en-AU"/>
        </w:rPr>
        <w:t>What is physical restraint?</w:t>
      </w:r>
    </w:p>
    <w:p w14:paraId="6982144F" w14:textId="74BCF676" w:rsidR="00AA40B1" w:rsidRDefault="00AA40B1" w:rsidP="00B8252A">
      <w:pPr>
        <w:jc w:val="both"/>
        <w:rPr>
          <w:kern w:val="1"/>
        </w:rPr>
      </w:pPr>
      <w:r>
        <w:rPr>
          <w:kern w:val="1"/>
        </w:rPr>
        <w:t xml:space="preserve">Physical </w:t>
      </w:r>
      <w:r w:rsidR="00D72B77">
        <w:rPr>
          <w:kern w:val="1"/>
        </w:rPr>
        <w:t xml:space="preserve">restraint </w:t>
      </w:r>
      <w:r>
        <w:rPr>
          <w:kern w:val="1"/>
        </w:rPr>
        <w:t>is t</w:t>
      </w:r>
      <w:r w:rsidRPr="00AA40B1">
        <w:rPr>
          <w:kern w:val="1"/>
        </w:rPr>
        <w:t>he use of physical force to prevent, restrict or subdue the movement of a person’s body or part of their body.</w:t>
      </w:r>
      <w:r w:rsidRPr="00AA40B1">
        <w:rPr>
          <w:rStyle w:val="FootnoteReference"/>
          <w:kern w:val="1"/>
        </w:rPr>
        <w:footnoteReference w:id="1"/>
      </w:r>
      <w:r w:rsidRPr="00AA40B1">
        <w:rPr>
          <w:kern w:val="1"/>
        </w:rPr>
        <w:t xml:space="preserve">  Students are not free to move away when they are being physically restrained. </w:t>
      </w:r>
    </w:p>
    <w:p w14:paraId="75326912" w14:textId="10F9F7B0" w:rsidR="00AA40B1" w:rsidRDefault="00AA40B1" w:rsidP="00B8252A">
      <w:pPr>
        <w:jc w:val="both"/>
        <w:rPr>
          <w:i/>
          <w:kern w:val="1"/>
        </w:rPr>
      </w:pPr>
      <w:r w:rsidRPr="00AA40B1">
        <w:rPr>
          <w:i/>
          <w:kern w:val="1"/>
        </w:rPr>
        <w:t xml:space="preserve">Note: Physical restraint </w:t>
      </w:r>
      <w:r w:rsidR="00690213">
        <w:rPr>
          <w:i/>
          <w:kern w:val="1"/>
          <w:u w:val="single"/>
        </w:rPr>
        <w:t>should not be confused with</w:t>
      </w:r>
      <w:r w:rsidRPr="00AA40B1">
        <w:rPr>
          <w:i/>
          <w:kern w:val="1"/>
        </w:rPr>
        <w:t xml:space="preserve"> </w:t>
      </w:r>
      <w:r w:rsidRPr="00AA40B1">
        <w:rPr>
          <w:b/>
          <w:kern w:val="1"/>
        </w:rPr>
        <w:t>protective physical interventions</w:t>
      </w:r>
      <w:r w:rsidR="00690213">
        <w:rPr>
          <w:b/>
          <w:kern w:val="1"/>
        </w:rPr>
        <w:t>,</w:t>
      </w:r>
      <w:r w:rsidRPr="00AA40B1">
        <w:rPr>
          <w:i/>
          <w:kern w:val="1"/>
        </w:rPr>
        <w:t xml:space="preserve"> which involve physical contact that serves to block, deflect or redirect a student’s actions, or disengage from a student’s grip, but from which a student can move freely away. </w:t>
      </w:r>
    </w:p>
    <w:p w14:paraId="2D35AC64" w14:textId="77777777" w:rsidR="00086CF4" w:rsidRDefault="00086CF4" w:rsidP="00B8252A">
      <w:pPr>
        <w:spacing w:before="120"/>
        <w:jc w:val="both"/>
        <w:rPr>
          <w:i/>
          <w:kern w:val="1"/>
        </w:rPr>
      </w:pPr>
    </w:p>
    <w:p w14:paraId="064D21EA" w14:textId="63C239F1" w:rsidR="00CA385C" w:rsidRPr="00CA385C" w:rsidRDefault="00CA385C" w:rsidP="00B8252A">
      <w:pPr>
        <w:spacing w:before="120"/>
        <w:jc w:val="both"/>
        <w:rPr>
          <w:rFonts w:eastAsiaTheme="majorEastAsia" w:cstheme="majorBidi"/>
          <w:b/>
          <w:bCs/>
          <w:caps/>
          <w:color w:val="AF272F"/>
          <w:sz w:val="20"/>
          <w:szCs w:val="20"/>
          <w:lang w:val="en-AU"/>
        </w:rPr>
      </w:pPr>
      <w:r w:rsidRPr="00CA385C">
        <w:rPr>
          <w:rFonts w:eastAsiaTheme="majorEastAsia" w:cstheme="majorBidi"/>
          <w:b/>
          <w:bCs/>
          <w:caps/>
          <w:color w:val="AF272F"/>
          <w:sz w:val="20"/>
          <w:szCs w:val="20"/>
          <w:lang w:val="en-AU"/>
        </w:rPr>
        <w:t xml:space="preserve">What is </w:t>
      </w:r>
      <w:r>
        <w:rPr>
          <w:rFonts w:eastAsiaTheme="majorEastAsia" w:cstheme="majorBidi"/>
          <w:b/>
          <w:bCs/>
          <w:caps/>
          <w:color w:val="AF272F"/>
          <w:sz w:val="20"/>
          <w:szCs w:val="20"/>
          <w:lang w:val="en-AU"/>
        </w:rPr>
        <w:t>seclusion</w:t>
      </w:r>
      <w:r w:rsidRPr="00CA385C">
        <w:rPr>
          <w:rFonts w:eastAsiaTheme="majorEastAsia" w:cstheme="majorBidi"/>
          <w:b/>
          <w:bCs/>
          <w:caps/>
          <w:color w:val="AF272F"/>
          <w:sz w:val="20"/>
          <w:szCs w:val="20"/>
          <w:lang w:val="en-AU"/>
        </w:rPr>
        <w:t>?</w:t>
      </w:r>
    </w:p>
    <w:p w14:paraId="036562FB" w14:textId="609FD2D5" w:rsidR="00AA40B1" w:rsidRPr="00AA40B1" w:rsidRDefault="00AA40B1" w:rsidP="00B8252A">
      <w:pPr>
        <w:spacing w:before="120"/>
        <w:jc w:val="both"/>
        <w:rPr>
          <w:lang w:val="en-AU"/>
        </w:rPr>
      </w:pPr>
      <w:r w:rsidRPr="00AA40B1">
        <w:rPr>
          <w:lang w:val="en-AU"/>
        </w:rPr>
        <w:t xml:space="preserve">Seclusion is the solitary confinement of a person in a room or area from which their exit is prevented by a barrier or another person. When used by a staff member in immediate response to behaviours of concern, seclusion may also include situations where a student is </w:t>
      </w:r>
      <w:r w:rsidRPr="00AA40B1">
        <w:rPr>
          <w:lang w:val="en-AU"/>
        </w:rPr>
        <w:lastRenderedPageBreak/>
        <w:t>left alone in a room or area and reasonably believes they cannot leave that room or area even if they would physically be able to, i.e. it is not locked</w:t>
      </w:r>
      <w:r w:rsidRPr="00AA40B1">
        <w:rPr>
          <w:vertAlign w:val="superscript"/>
          <w:lang w:val="en-AU"/>
        </w:rPr>
        <w:footnoteReference w:id="2"/>
      </w:r>
      <w:r w:rsidRPr="00AA40B1">
        <w:rPr>
          <w:lang w:val="en-AU"/>
        </w:rPr>
        <w:t xml:space="preserve">. </w:t>
      </w:r>
    </w:p>
    <w:p w14:paraId="1549F231" w14:textId="2C0247A7" w:rsidR="00AA40B1" w:rsidRPr="00AA40B1" w:rsidRDefault="00AA40B1" w:rsidP="00B8252A">
      <w:pPr>
        <w:spacing w:before="120"/>
        <w:jc w:val="both"/>
        <w:rPr>
          <w:i/>
          <w:lang w:val="en-AU"/>
        </w:rPr>
      </w:pPr>
      <w:r w:rsidRPr="00AA40B1">
        <w:rPr>
          <w:i/>
          <w:lang w:val="en-AU"/>
        </w:rPr>
        <w:t xml:space="preserve">Seclusion </w:t>
      </w:r>
      <w:r w:rsidRPr="00AA40B1">
        <w:rPr>
          <w:i/>
          <w:u w:val="single"/>
          <w:lang w:val="en-AU"/>
        </w:rPr>
        <w:t>does not</w:t>
      </w:r>
      <w:r w:rsidRPr="00AA40B1">
        <w:rPr>
          <w:i/>
          <w:lang w:val="en-AU"/>
        </w:rPr>
        <w:t xml:space="preserve"> include timeout, safe space, or chill out rooms. It also </w:t>
      </w:r>
      <w:r w:rsidRPr="00AA40B1">
        <w:rPr>
          <w:i/>
          <w:u w:val="single"/>
          <w:lang w:val="en-AU"/>
        </w:rPr>
        <w:t>does not</w:t>
      </w:r>
      <w:r w:rsidRPr="00AA40B1">
        <w:rPr>
          <w:i/>
          <w:lang w:val="en-AU"/>
        </w:rPr>
        <w:t xml:space="preserve"> include or refer to situations such as supervised in-school suspensions, detentions, exam situations,</w:t>
      </w:r>
      <w:r w:rsidR="00690213">
        <w:rPr>
          <w:i/>
          <w:lang w:val="en-AU"/>
        </w:rPr>
        <w:t xml:space="preserve"> and</w:t>
      </w:r>
      <w:r w:rsidRPr="00AA40B1">
        <w:rPr>
          <w:i/>
          <w:lang w:val="en-AU"/>
        </w:rPr>
        <w:t xml:space="preserve"> situations where the student can freely exit an area </w:t>
      </w:r>
      <w:r w:rsidRPr="00AA40B1">
        <w:rPr>
          <w:i/>
          <w:iCs/>
          <w:lang w:val="en-AU"/>
        </w:rPr>
        <w:t xml:space="preserve">or other situations </w:t>
      </w:r>
      <w:r w:rsidR="00690213" w:rsidRPr="00AA40B1">
        <w:rPr>
          <w:i/>
          <w:iCs/>
          <w:lang w:val="en-AU"/>
        </w:rPr>
        <w:t>that</w:t>
      </w:r>
      <w:r w:rsidRPr="00AA40B1">
        <w:rPr>
          <w:i/>
          <w:iCs/>
          <w:lang w:val="en-AU"/>
        </w:rPr>
        <w:t xml:space="preserve"> are not a response to behaviours of concern.</w:t>
      </w:r>
      <w:r w:rsidRPr="00AA40B1">
        <w:rPr>
          <w:i/>
          <w:lang w:val="en-AU"/>
        </w:rPr>
        <w:t xml:space="preserve"> </w:t>
      </w:r>
    </w:p>
    <w:p w14:paraId="04893342" w14:textId="16EFD05E" w:rsidR="008762B7" w:rsidRPr="00AA40B1" w:rsidRDefault="008762B7" w:rsidP="00B8252A">
      <w:pPr>
        <w:spacing w:before="120"/>
        <w:jc w:val="both"/>
        <w:rPr>
          <w:lang w:val="en-AU"/>
        </w:rPr>
      </w:pPr>
    </w:p>
    <w:p w14:paraId="055491C3" w14:textId="41E88783" w:rsidR="00CA385C" w:rsidRPr="00CA385C" w:rsidRDefault="00CA385C" w:rsidP="00B8252A">
      <w:pPr>
        <w:spacing w:before="120"/>
        <w:jc w:val="both"/>
        <w:rPr>
          <w:rFonts w:eastAsiaTheme="majorEastAsia" w:cstheme="majorBidi"/>
          <w:b/>
          <w:bCs/>
          <w:caps/>
          <w:color w:val="AF272F"/>
          <w:sz w:val="20"/>
          <w:szCs w:val="20"/>
          <w:lang w:val="en-AU"/>
        </w:rPr>
      </w:pPr>
      <w:r w:rsidRPr="00CA385C">
        <w:rPr>
          <w:rFonts w:eastAsiaTheme="majorEastAsia" w:cstheme="majorBidi"/>
          <w:b/>
          <w:bCs/>
          <w:caps/>
          <w:color w:val="AF272F"/>
          <w:sz w:val="20"/>
          <w:szCs w:val="20"/>
          <w:lang w:val="en-AU"/>
        </w:rPr>
        <w:t xml:space="preserve">What </w:t>
      </w:r>
      <w:r>
        <w:rPr>
          <w:rFonts w:eastAsiaTheme="majorEastAsia" w:cstheme="majorBidi"/>
          <w:b/>
          <w:bCs/>
          <w:caps/>
          <w:color w:val="AF272F"/>
          <w:sz w:val="20"/>
          <w:szCs w:val="20"/>
          <w:lang w:val="en-AU"/>
        </w:rPr>
        <w:t>has changed</w:t>
      </w:r>
      <w:r w:rsidRPr="00CA385C">
        <w:rPr>
          <w:rFonts w:eastAsiaTheme="majorEastAsia" w:cstheme="majorBidi"/>
          <w:b/>
          <w:bCs/>
          <w:caps/>
          <w:color w:val="AF272F"/>
          <w:sz w:val="20"/>
          <w:szCs w:val="20"/>
          <w:lang w:val="en-AU"/>
        </w:rPr>
        <w:t>?</w:t>
      </w:r>
    </w:p>
    <w:p w14:paraId="3D198AAD" w14:textId="68055E9C" w:rsidR="00AA40B1" w:rsidRPr="00AA40B1" w:rsidRDefault="008A30E2" w:rsidP="00B8252A">
      <w:pPr>
        <w:spacing w:before="120"/>
        <w:jc w:val="both"/>
        <w:rPr>
          <w:lang w:val="en-AU"/>
        </w:rPr>
      </w:pPr>
      <w:r>
        <w:rPr>
          <w:lang w:val="en-AU"/>
        </w:rPr>
        <w:t>T</w:t>
      </w:r>
      <w:r w:rsidRPr="00AA40B1">
        <w:rPr>
          <w:lang w:val="en-AU"/>
        </w:rPr>
        <w:t>he</w:t>
      </w:r>
      <w:r w:rsidRPr="00AA40B1">
        <w:rPr>
          <w:i/>
          <w:lang w:val="en-AU"/>
        </w:rPr>
        <w:t xml:space="preserve"> Policy Guidance, Procedures and Resources</w:t>
      </w:r>
      <w:r>
        <w:rPr>
          <w:lang w:val="en-AU"/>
        </w:rPr>
        <w:t xml:space="preserve"> provides c</w:t>
      </w:r>
      <w:r w:rsidR="00AA40B1" w:rsidRPr="00AA40B1">
        <w:rPr>
          <w:lang w:val="en-AU"/>
        </w:rPr>
        <w:t xml:space="preserve">learer definitions of restraint and seclusion </w:t>
      </w:r>
      <w:r>
        <w:rPr>
          <w:lang w:val="en-AU"/>
        </w:rPr>
        <w:t>and has</w:t>
      </w:r>
      <w:r w:rsidR="00AA40B1" w:rsidRPr="00AA40B1">
        <w:rPr>
          <w:lang w:val="en-AU"/>
        </w:rPr>
        <w:t xml:space="preserve"> a stronger emphasis on the Victorian Charter of Human Rights and Responsibilities</w:t>
      </w:r>
      <w:r>
        <w:rPr>
          <w:lang w:val="en-AU"/>
        </w:rPr>
        <w:t>,</w:t>
      </w:r>
      <w:r w:rsidR="00AA40B1" w:rsidRPr="00AA40B1">
        <w:rPr>
          <w:lang w:val="en-AU"/>
        </w:rPr>
        <w:t xml:space="preserve"> as well as </w:t>
      </w:r>
      <w:r>
        <w:rPr>
          <w:lang w:val="en-AU"/>
        </w:rPr>
        <w:t xml:space="preserve">the </w:t>
      </w:r>
      <w:r w:rsidR="00AA40B1" w:rsidRPr="00AA40B1">
        <w:rPr>
          <w:lang w:val="en-AU"/>
        </w:rPr>
        <w:t>understanding of and prevention of behaviours of concern.</w:t>
      </w:r>
    </w:p>
    <w:p w14:paraId="17E9E23F" w14:textId="3F0E7C25" w:rsidR="00AA40B1" w:rsidRDefault="00690213" w:rsidP="00B8252A">
      <w:pPr>
        <w:spacing w:before="120"/>
        <w:jc w:val="both"/>
        <w:rPr>
          <w:lang w:val="en-AU"/>
        </w:rPr>
      </w:pPr>
      <w:r>
        <w:rPr>
          <w:lang w:val="en-AU"/>
        </w:rPr>
        <w:t>The Department has adopted</w:t>
      </w:r>
      <w:r w:rsidR="00AA40B1" w:rsidRPr="00AA40B1">
        <w:rPr>
          <w:lang w:val="en-AU"/>
        </w:rPr>
        <w:t xml:space="preserve"> </w:t>
      </w:r>
      <w:r w:rsidR="00AA40B1" w:rsidRPr="00AA40B1">
        <w:rPr>
          <w:i/>
          <w:lang w:val="en-AU"/>
        </w:rPr>
        <w:t>15 Principles</w:t>
      </w:r>
      <w:r w:rsidR="00AA40B1" w:rsidRPr="00AA40B1">
        <w:rPr>
          <w:lang w:val="en-AU"/>
        </w:rPr>
        <w:t xml:space="preserve"> to ensure that restraint and seclusion are reduced and eliminated in Victorian government schools. </w:t>
      </w:r>
    </w:p>
    <w:p w14:paraId="044BE66B" w14:textId="77777777" w:rsidR="00B8252A" w:rsidRPr="00AA40B1" w:rsidRDefault="00B8252A" w:rsidP="00B8252A">
      <w:pPr>
        <w:spacing w:before="120"/>
        <w:jc w:val="both"/>
        <w:rPr>
          <w:lang w:val="en-AU"/>
        </w:rPr>
      </w:pPr>
    </w:p>
    <w:p w14:paraId="47BCE0FD" w14:textId="1432FC5C" w:rsidR="00CA385C" w:rsidRPr="00CA385C" w:rsidRDefault="00CA385C" w:rsidP="00B8252A">
      <w:pPr>
        <w:spacing w:before="120"/>
        <w:jc w:val="both"/>
        <w:rPr>
          <w:rFonts w:eastAsiaTheme="majorEastAsia" w:cstheme="majorBidi"/>
          <w:b/>
          <w:bCs/>
          <w:caps/>
          <w:color w:val="AF272F"/>
          <w:sz w:val="20"/>
          <w:szCs w:val="20"/>
          <w:lang w:val="en-AU"/>
        </w:rPr>
      </w:pPr>
      <w:r w:rsidRPr="00CA385C">
        <w:rPr>
          <w:rFonts w:eastAsiaTheme="majorEastAsia" w:cstheme="majorBidi"/>
          <w:b/>
          <w:bCs/>
          <w:caps/>
          <w:color w:val="AF272F"/>
          <w:sz w:val="20"/>
          <w:szCs w:val="20"/>
          <w:lang w:val="en-AU"/>
        </w:rPr>
        <w:t xml:space="preserve">What is </w:t>
      </w:r>
      <w:r>
        <w:rPr>
          <w:rFonts w:eastAsiaTheme="majorEastAsia" w:cstheme="majorBidi"/>
          <w:b/>
          <w:bCs/>
          <w:caps/>
          <w:color w:val="AF272F"/>
          <w:sz w:val="20"/>
          <w:szCs w:val="20"/>
          <w:lang w:val="en-AU"/>
        </w:rPr>
        <w:t>the same</w:t>
      </w:r>
      <w:r w:rsidRPr="00CA385C">
        <w:rPr>
          <w:rFonts w:eastAsiaTheme="majorEastAsia" w:cstheme="majorBidi"/>
          <w:b/>
          <w:bCs/>
          <w:caps/>
          <w:color w:val="AF272F"/>
          <w:sz w:val="20"/>
          <w:szCs w:val="20"/>
          <w:lang w:val="en-AU"/>
        </w:rPr>
        <w:t>?</w:t>
      </w:r>
    </w:p>
    <w:p w14:paraId="4F3891AD" w14:textId="77777777" w:rsidR="00AA40B1" w:rsidRPr="00AA40B1" w:rsidRDefault="00AA40B1" w:rsidP="00B8252A">
      <w:pPr>
        <w:numPr>
          <w:ilvl w:val="0"/>
          <w:numId w:val="13"/>
        </w:numPr>
        <w:spacing w:before="120"/>
        <w:jc w:val="both"/>
        <w:rPr>
          <w:lang w:val="en-AU"/>
        </w:rPr>
      </w:pPr>
      <w:r w:rsidRPr="00AA40B1">
        <w:rPr>
          <w:lang w:val="en-AU"/>
        </w:rPr>
        <w:t>Prone restraint and supine restraint remain strictly prohibited.</w:t>
      </w:r>
    </w:p>
    <w:p w14:paraId="48397077" w14:textId="77777777" w:rsidR="00AA40B1" w:rsidRPr="00AA40B1" w:rsidRDefault="00AA40B1" w:rsidP="00B8252A">
      <w:pPr>
        <w:numPr>
          <w:ilvl w:val="0"/>
          <w:numId w:val="13"/>
        </w:numPr>
        <w:spacing w:before="120"/>
        <w:jc w:val="both"/>
        <w:rPr>
          <w:b/>
          <w:lang w:val="en-AU"/>
        </w:rPr>
      </w:pPr>
      <w:r w:rsidRPr="00AA40B1">
        <w:rPr>
          <w:lang w:val="en-AU"/>
        </w:rPr>
        <w:t>Rooms or areas designed specifically or used solely or primarily for the purpose of seclusion are not permitted in Victorian government schools.</w:t>
      </w:r>
    </w:p>
    <w:p w14:paraId="5E9C5E2B" w14:textId="6ED33AC2" w:rsidR="00AA40B1" w:rsidRPr="00B8252A" w:rsidRDefault="00AA40B1" w:rsidP="00B8252A">
      <w:pPr>
        <w:numPr>
          <w:ilvl w:val="0"/>
          <w:numId w:val="13"/>
        </w:numPr>
        <w:spacing w:before="120"/>
        <w:jc w:val="both"/>
        <w:rPr>
          <w:b/>
          <w:lang w:val="en-AU"/>
        </w:rPr>
      </w:pPr>
      <w:r w:rsidRPr="00AA40B1">
        <w:rPr>
          <w:lang w:val="en-AU"/>
        </w:rPr>
        <w:t xml:space="preserve">Any use of restraint or seclusion </w:t>
      </w:r>
      <w:r w:rsidR="00160656" w:rsidRPr="00867092">
        <w:rPr>
          <w:b/>
          <w:lang w:val="en-AU"/>
        </w:rPr>
        <w:t>must</w:t>
      </w:r>
      <w:r w:rsidR="008A30E2" w:rsidRPr="00867092">
        <w:rPr>
          <w:b/>
          <w:lang w:val="en-AU"/>
        </w:rPr>
        <w:t xml:space="preserve"> </w:t>
      </w:r>
      <w:r w:rsidRPr="00867092">
        <w:rPr>
          <w:b/>
          <w:lang w:val="en-AU"/>
        </w:rPr>
        <w:t>be</w:t>
      </w:r>
      <w:r w:rsidRPr="00EB3B00">
        <w:rPr>
          <w:lang w:val="en-AU"/>
        </w:rPr>
        <w:t xml:space="preserve"> reported.  </w:t>
      </w:r>
    </w:p>
    <w:p w14:paraId="7A5B0034" w14:textId="77777777" w:rsidR="00E0011A" w:rsidRDefault="00E0011A" w:rsidP="00867092">
      <w:pPr>
        <w:spacing w:before="120"/>
        <w:ind w:left="360"/>
        <w:jc w:val="both"/>
        <w:rPr>
          <w:rFonts w:eastAsiaTheme="majorEastAsia" w:cstheme="majorBidi"/>
          <w:b/>
          <w:bCs/>
          <w:caps/>
          <w:color w:val="AF272F"/>
          <w:sz w:val="20"/>
          <w:szCs w:val="20"/>
          <w:lang w:val="en-AU"/>
        </w:rPr>
      </w:pPr>
    </w:p>
    <w:p w14:paraId="580C0D6F" w14:textId="0490DBF7" w:rsidR="00E0011A" w:rsidRPr="00E0011A" w:rsidRDefault="00E0011A" w:rsidP="00867092">
      <w:pPr>
        <w:spacing w:before="120"/>
        <w:jc w:val="both"/>
        <w:rPr>
          <w:rFonts w:eastAsiaTheme="majorEastAsia" w:cstheme="majorBidi"/>
          <w:b/>
          <w:bCs/>
          <w:caps/>
          <w:color w:val="AF272F"/>
          <w:sz w:val="20"/>
          <w:szCs w:val="20"/>
          <w:lang w:val="en-AU"/>
        </w:rPr>
      </w:pPr>
      <w:r w:rsidRPr="00E0011A">
        <w:rPr>
          <w:rFonts w:eastAsiaTheme="majorEastAsia" w:cstheme="majorBidi"/>
          <w:b/>
          <w:bCs/>
          <w:caps/>
          <w:color w:val="AF272F"/>
          <w:sz w:val="20"/>
          <w:szCs w:val="20"/>
          <w:lang w:val="en-AU"/>
        </w:rPr>
        <w:t>Does the Use of restraint and seclusion need to be reported?</w:t>
      </w:r>
    </w:p>
    <w:p w14:paraId="445346BB" w14:textId="099E4BD9" w:rsidR="00E0011A" w:rsidRPr="00E0011A" w:rsidRDefault="00E0011A" w:rsidP="00867092">
      <w:pPr>
        <w:rPr>
          <w:lang w:val="en-AU"/>
        </w:rPr>
      </w:pPr>
      <w:r>
        <w:rPr>
          <w:lang w:val="en-AU"/>
        </w:rPr>
        <w:t>Yes. Any use of restraint or seclusion must be reported to the DET Security Services Unit</w:t>
      </w:r>
      <w:bookmarkStart w:id="0" w:name="_GoBack"/>
      <w:bookmarkEnd w:id="0"/>
    </w:p>
    <w:p w14:paraId="76972901" w14:textId="1A583773" w:rsidR="00B8252A" w:rsidRPr="00CA385C" w:rsidRDefault="00CA385C" w:rsidP="00B8252A">
      <w:pPr>
        <w:spacing w:before="120"/>
        <w:jc w:val="both"/>
        <w:rPr>
          <w:rFonts w:eastAsiaTheme="majorEastAsia" w:cstheme="majorBidi"/>
          <w:b/>
          <w:bCs/>
          <w:caps/>
          <w:color w:val="AF272F"/>
          <w:sz w:val="20"/>
          <w:szCs w:val="20"/>
          <w:lang w:val="en-AU"/>
        </w:rPr>
      </w:pPr>
      <w:r w:rsidRPr="00CA385C">
        <w:rPr>
          <w:rFonts w:eastAsiaTheme="majorEastAsia" w:cstheme="majorBidi"/>
          <w:b/>
          <w:bCs/>
          <w:caps/>
          <w:color w:val="AF272F"/>
          <w:sz w:val="20"/>
          <w:szCs w:val="20"/>
          <w:lang w:val="en-AU"/>
        </w:rPr>
        <w:t xml:space="preserve">Under what circumstances </w:t>
      </w:r>
      <w:r w:rsidR="00EB3B00">
        <w:rPr>
          <w:rFonts w:eastAsiaTheme="majorEastAsia" w:cstheme="majorBidi"/>
          <w:b/>
          <w:bCs/>
          <w:caps/>
          <w:color w:val="AF272F"/>
          <w:sz w:val="20"/>
          <w:szCs w:val="20"/>
          <w:lang w:val="en-AU"/>
        </w:rPr>
        <w:t>might restraint and seclusion be used?</w:t>
      </w:r>
    </w:p>
    <w:p w14:paraId="7F6FD8B9" w14:textId="155D5BDB" w:rsidR="00AA40B1" w:rsidRPr="00A01722" w:rsidRDefault="00AA40B1" w:rsidP="00B8252A">
      <w:pPr>
        <w:jc w:val="both"/>
      </w:pPr>
      <w:r w:rsidRPr="00A01722">
        <w:t>Physical restraint or seclusion must not be used except</w:t>
      </w:r>
      <w:r w:rsidR="00BD0CF6">
        <w:t>:</w:t>
      </w:r>
      <w:r w:rsidRPr="00A01722">
        <w:t xml:space="preserve"> </w:t>
      </w:r>
    </w:p>
    <w:p w14:paraId="00DA3E00" w14:textId="35DF519C" w:rsidR="00AA40B1" w:rsidRPr="00A01722" w:rsidRDefault="00AA40B1" w:rsidP="00B8252A">
      <w:pPr>
        <w:pStyle w:val="ListParagraph"/>
        <w:numPr>
          <w:ilvl w:val="0"/>
          <w:numId w:val="14"/>
        </w:numPr>
        <w:spacing w:after="120" w:line="240" w:lineRule="atLeast"/>
        <w:jc w:val="both"/>
        <w:rPr>
          <w:rFonts w:ascii="Arial" w:eastAsiaTheme="minorHAnsi" w:hAnsi="Arial" w:cs="Arial"/>
          <w:sz w:val="18"/>
          <w:szCs w:val="18"/>
        </w:rPr>
      </w:pPr>
      <w:r w:rsidRPr="00A01722">
        <w:rPr>
          <w:rFonts w:ascii="Arial" w:hAnsi="Arial" w:cs="Arial"/>
          <w:sz w:val="18"/>
          <w:szCs w:val="18"/>
        </w:rPr>
        <w:t>where the student’s behaviour poses an imminent threat of physical harm or danger to self or others; and</w:t>
      </w:r>
    </w:p>
    <w:p w14:paraId="4F89452A" w14:textId="6E182BA7" w:rsidR="00AA40B1" w:rsidRPr="00A01722" w:rsidRDefault="00AA40B1" w:rsidP="00B8252A">
      <w:pPr>
        <w:pStyle w:val="ListParagraph"/>
        <w:numPr>
          <w:ilvl w:val="0"/>
          <w:numId w:val="14"/>
        </w:numPr>
        <w:spacing w:after="120" w:line="240" w:lineRule="atLeast"/>
        <w:jc w:val="both"/>
        <w:rPr>
          <w:rFonts w:ascii="Arial" w:eastAsiaTheme="minorHAnsi" w:hAnsi="Arial" w:cs="Arial"/>
          <w:sz w:val="18"/>
          <w:szCs w:val="18"/>
        </w:rPr>
      </w:pPr>
      <w:r w:rsidRPr="00A01722">
        <w:rPr>
          <w:rFonts w:ascii="Arial" w:hAnsi="Arial" w:cs="Arial"/>
          <w:sz w:val="18"/>
          <w:szCs w:val="18"/>
        </w:rPr>
        <w:t xml:space="preserve">to physically restrain or seclude would be considered reasonable in all the circumstances; and </w:t>
      </w:r>
    </w:p>
    <w:p w14:paraId="602F3AD1" w14:textId="304F9A1C" w:rsidR="00AA40B1" w:rsidRPr="00A01722" w:rsidRDefault="00AA40B1" w:rsidP="00B8252A">
      <w:pPr>
        <w:pStyle w:val="ListParagraph"/>
        <w:numPr>
          <w:ilvl w:val="0"/>
          <w:numId w:val="14"/>
        </w:numPr>
        <w:spacing w:after="120" w:line="240" w:lineRule="atLeast"/>
        <w:jc w:val="both"/>
        <w:rPr>
          <w:rFonts w:ascii="Arial" w:eastAsiaTheme="minorHAnsi" w:hAnsi="Arial" w:cs="Arial"/>
          <w:sz w:val="18"/>
          <w:szCs w:val="18"/>
        </w:rPr>
      </w:pPr>
      <w:r w:rsidRPr="00A01722">
        <w:rPr>
          <w:rFonts w:ascii="Arial" w:hAnsi="Arial" w:cs="Arial"/>
          <w:sz w:val="18"/>
          <w:szCs w:val="18"/>
        </w:rPr>
        <w:t xml:space="preserve">there is no less restrictive means of responding in the circumstances. </w:t>
      </w:r>
    </w:p>
    <w:p w14:paraId="0EF05213" w14:textId="35AF351B" w:rsidR="00AA40B1" w:rsidRDefault="00AA40B1" w:rsidP="00867092">
      <w:pPr>
        <w:jc w:val="both"/>
      </w:pPr>
      <w:r w:rsidRPr="00A01722">
        <w:lastRenderedPageBreak/>
        <w:t xml:space="preserve">Restraint or seclusion should be discontinued as soon as the immediate danger has </w:t>
      </w:r>
      <w:r w:rsidR="008A30E2">
        <w:t>passed.</w:t>
      </w:r>
    </w:p>
    <w:p w14:paraId="4F2BDC7B" w14:textId="77777777" w:rsidR="00C90BD6" w:rsidRPr="00A01722" w:rsidRDefault="00C90BD6" w:rsidP="00867092">
      <w:pPr>
        <w:jc w:val="both"/>
        <w:rPr>
          <w:rFonts w:eastAsiaTheme="minorHAnsi"/>
        </w:rPr>
      </w:pPr>
    </w:p>
    <w:p w14:paraId="2D5F63FF" w14:textId="1637558A" w:rsidR="00B8252A" w:rsidRPr="00CA385C" w:rsidRDefault="00CA385C" w:rsidP="00B8252A">
      <w:pPr>
        <w:spacing w:before="120"/>
        <w:jc w:val="both"/>
        <w:rPr>
          <w:rFonts w:eastAsiaTheme="majorEastAsia" w:cstheme="majorBidi"/>
          <w:b/>
          <w:bCs/>
          <w:caps/>
          <w:color w:val="AF272F"/>
          <w:sz w:val="20"/>
          <w:szCs w:val="20"/>
          <w:lang w:val="en-AU"/>
        </w:rPr>
      </w:pPr>
      <w:r w:rsidRPr="00CA385C">
        <w:rPr>
          <w:rFonts w:eastAsiaTheme="majorEastAsia" w:cstheme="majorBidi"/>
          <w:b/>
          <w:bCs/>
          <w:caps/>
          <w:color w:val="AF272F"/>
          <w:sz w:val="20"/>
          <w:szCs w:val="20"/>
          <w:lang w:val="en-AU"/>
        </w:rPr>
        <w:t>Can a school use chemical or mechanical restraint?</w:t>
      </w:r>
    </w:p>
    <w:p w14:paraId="7883BD43" w14:textId="78D7E222" w:rsidR="00CA385C" w:rsidRDefault="00160656" w:rsidP="00B8252A">
      <w:pPr>
        <w:spacing w:before="120"/>
        <w:jc w:val="both"/>
      </w:pPr>
      <w:r>
        <w:t>No.</w:t>
      </w:r>
      <w:r w:rsidR="00EB3B00">
        <w:t xml:space="preserve"> </w:t>
      </w:r>
      <w:r>
        <w:t xml:space="preserve">The use of a device </w:t>
      </w:r>
      <w:r w:rsidR="008A30E2">
        <w:t xml:space="preserve">(mechanical restraint) </w:t>
      </w:r>
      <w:r>
        <w:t>or a medication</w:t>
      </w:r>
      <w:r w:rsidR="008A30E2">
        <w:t xml:space="preserve"> (chemical restraint) </w:t>
      </w:r>
      <w:r>
        <w:t>to influence behaviour would not be considered a reasonable action in response to an emergency situation within a school context.</w:t>
      </w:r>
    </w:p>
    <w:p w14:paraId="779DA0CB" w14:textId="77777777" w:rsidR="00B8252A" w:rsidRPr="00E72974" w:rsidRDefault="00B8252A" w:rsidP="00B8252A">
      <w:pPr>
        <w:spacing w:before="120"/>
        <w:jc w:val="both"/>
      </w:pPr>
    </w:p>
    <w:p w14:paraId="49F9B068" w14:textId="0D0B3AE0" w:rsidR="00CA385C" w:rsidRPr="00CA385C" w:rsidRDefault="00CA385C" w:rsidP="00B8252A">
      <w:pPr>
        <w:spacing w:before="120"/>
        <w:jc w:val="both"/>
        <w:rPr>
          <w:rFonts w:eastAsiaTheme="majorEastAsia" w:cstheme="majorBidi"/>
          <w:b/>
          <w:bCs/>
          <w:caps/>
          <w:color w:val="AF272F"/>
          <w:sz w:val="20"/>
          <w:szCs w:val="20"/>
          <w:lang w:val="en-AU"/>
        </w:rPr>
      </w:pPr>
      <w:r w:rsidRPr="00CA385C">
        <w:rPr>
          <w:rFonts w:eastAsiaTheme="majorEastAsia" w:cstheme="majorBidi"/>
          <w:b/>
          <w:bCs/>
          <w:caps/>
          <w:color w:val="AF272F"/>
          <w:sz w:val="20"/>
          <w:szCs w:val="20"/>
          <w:lang w:val="en-AU"/>
        </w:rPr>
        <w:t>Are teachers required to intervene in a fight between students?</w:t>
      </w:r>
    </w:p>
    <w:p w14:paraId="78D0EB01" w14:textId="09693432" w:rsidR="00AA40B1" w:rsidRPr="00AA40B1" w:rsidRDefault="00BD0CF6" w:rsidP="007479DB">
      <w:pPr>
        <w:shd w:val="clear" w:color="auto" w:fill="FFFFFF"/>
        <w:suppressAutoHyphens/>
        <w:spacing w:line="276" w:lineRule="auto"/>
        <w:jc w:val="both"/>
        <w:textAlignment w:val="top"/>
        <w:rPr>
          <w:lang w:eastAsia="ar-SA"/>
        </w:rPr>
      </w:pPr>
      <w:r>
        <w:rPr>
          <w:lang w:eastAsia="ar-SA"/>
        </w:rPr>
        <w:t>S</w:t>
      </w:r>
      <w:r w:rsidR="00AA40B1" w:rsidRPr="00AA40B1">
        <w:rPr>
          <w:lang w:eastAsia="ar-SA"/>
        </w:rPr>
        <w:t xml:space="preserve">chool staff should </w:t>
      </w:r>
      <w:r w:rsidR="007479DB">
        <w:rPr>
          <w:lang w:eastAsia="ar-SA"/>
        </w:rPr>
        <w:t>protect</w:t>
      </w:r>
      <w:r w:rsidR="00AA40B1" w:rsidRPr="00AA40B1">
        <w:rPr>
          <w:lang w:eastAsia="ar-SA"/>
        </w:rPr>
        <w:t xml:space="preserve"> the safety of all students (including the student at risk of causing physical harm or danger to self or others), themselves and other staff. Intervention should be reasonable and proportionate to the situation, and have regard for the dignity of the student who is the focus of the intervention.</w:t>
      </w:r>
      <w:r w:rsidR="00AA40B1" w:rsidRPr="00AA40B1">
        <w:rPr>
          <w:lang w:eastAsia="ar-SA"/>
        </w:rPr>
        <w:br/>
      </w:r>
    </w:p>
    <w:p w14:paraId="01D4753C" w14:textId="77777777" w:rsidR="00AA40B1" w:rsidRPr="00AA40B1" w:rsidRDefault="00AA40B1" w:rsidP="00B8252A">
      <w:pPr>
        <w:shd w:val="clear" w:color="auto" w:fill="FFFFFF"/>
        <w:suppressAutoHyphens/>
        <w:spacing w:line="276" w:lineRule="auto"/>
        <w:jc w:val="both"/>
        <w:textAlignment w:val="top"/>
        <w:rPr>
          <w:lang w:eastAsia="ar-SA"/>
        </w:rPr>
      </w:pPr>
      <w:r w:rsidRPr="00AA40B1">
        <w:rPr>
          <w:lang w:eastAsia="ar-SA"/>
        </w:rPr>
        <w:t>Where possible, staff members should:</w:t>
      </w:r>
    </w:p>
    <w:p w14:paraId="4EA2399D" w14:textId="24040B60" w:rsidR="00AA40B1" w:rsidRPr="00B8252A" w:rsidRDefault="00AA40B1" w:rsidP="00B8252A">
      <w:pPr>
        <w:pStyle w:val="ListParagraph"/>
        <w:numPr>
          <w:ilvl w:val="0"/>
          <w:numId w:val="19"/>
        </w:numPr>
        <w:shd w:val="clear" w:color="auto" w:fill="FFFFFF"/>
        <w:tabs>
          <w:tab w:val="left" w:pos="360"/>
        </w:tabs>
        <w:suppressAutoHyphens/>
        <w:spacing w:after="200"/>
        <w:jc w:val="both"/>
        <w:textAlignment w:val="top"/>
        <w:rPr>
          <w:rFonts w:ascii="Arial" w:hAnsi="Arial" w:cs="Arial"/>
          <w:sz w:val="18"/>
          <w:lang w:eastAsia="ar-SA"/>
        </w:rPr>
      </w:pPr>
      <w:r w:rsidRPr="00B8252A">
        <w:rPr>
          <w:rFonts w:ascii="Arial" w:hAnsi="Arial" w:cs="Arial"/>
          <w:sz w:val="18"/>
          <w:lang w:eastAsia="ar-SA"/>
        </w:rPr>
        <w:t xml:space="preserve">seek help from school leadership and other staff </w:t>
      </w:r>
    </w:p>
    <w:p w14:paraId="40892C6E" w14:textId="77777777" w:rsidR="00AA40B1" w:rsidRPr="00B8252A" w:rsidRDefault="00AA40B1" w:rsidP="00B8252A">
      <w:pPr>
        <w:pStyle w:val="ListParagraph"/>
        <w:numPr>
          <w:ilvl w:val="0"/>
          <w:numId w:val="19"/>
        </w:numPr>
        <w:shd w:val="clear" w:color="auto" w:fill="FFFFFF"/>
        <w:tabs>
          <w:tab w:val="left" w:pos="360"/>
        </w:tabs>
        <w:suppressAutoHyphens/>
        <w:spacing w:after="200"/>
        <w:jc w:val="both"/>
        <w:textAlignment w:val="top"/>
        <w:rPr>
          <w:rFonts w:ascii="Arial" w:hAnsi="Arial" w:cs="Arial"/>
          <w:sz w:val="18"/>
          <w:lang w:eastAsia="ar-SA"/>
        </w:rPr>
      </w:pPr>
      <w:r w:rsidRPr="00B8252A">
        <w:rPr>
          <w:rFonts w:ascii="Arial" w:hAnsi="Arial" w:cs="Arial"/>
          <w:sz w:val="18"/>
          <w:lang w:eastAsia="ar-SA"/>
        </w:rPr>
        <w:t>move all other students in the vicinity to a safe distance away from the student exhibiting concerning behaviour</w:t>
      </w:r>
    </w:p>
    <w:p w14:paraId="697A541F" w14:textId="77777777" w:rsidR="00AA40B1" w:rsidRPr="00B8252A" w:rsidRDefault="00AA40B1" w:rsidP="00B8252A">
      <w:pPr>
        <w:pStyle w:val="ListParagraph"/>
        <w:numPr>
          <w:ilvl w:val="0"/>
          <w:numId w:val="19"/>
        </w:numPr>
        <w:shd w:val="clear" w:color="auto" w:fill="FFFFFF"/>
        <w:tabs>
          <w:tab w:val="left" w:pos="360"/>
        </w:tabs>
        <w:suppressAutoHyphens/>
        <w:spacing w:after="200"/>
        <w:jc w:val="both"/>
        <w:textAlignment w:val="top"/>
        <w:rPr>
          <w:rFonts w:ascii="Arial" w:hAnsi="Arial" w:cs="Arial"/>
          <w:sz w:val="18"/>
          <w:lang w:eastAsia="ar-SA"/>
        </w:rPr>
      </w:pPr>
      <w:r w:rsidRPr="00B8252A">
        <w:rPr>
          <w:rFonts w:ascii="Arial" w:hAnsi="Arial" w:cs="Arial"/>
          <w:sz w:val="18"/>
          <w:lang w:eastAsia="ar-SA"/>
        </w:rPr>
        <w:t>if safe to do so, remove objects that may be used to cause harm away from the student</w:t>
      </w:r>
    </w:p>
    <w:p w14:paraId="14FA1323" w14:textId="77777777" w:rsidR="00AA40B1" w:rsidRPr="00B8252A" w:rsidRDefault="00AA40B1" w:rsidP="00B8252A">
      <w:pPr>
        <w:pStyle w:val="ListParagraph"/>
        <w:numPr>
          <w:ilvl w:val="0"/>
          <w:numId w:val="19"/>
        </w:numPr>
        <w:shd w:val="clear" w:color="auto" w:fill="FFFFFF"/>
        <w:tabs>
          <w:tab w:val="left" w:pos="360"/>
        </w:tabs>
        <w:suppressAutoHyphens/>
        <w:spacing w:after="200"/>
        <w:jc w:val="both"/>
        <w:textAlignment w:val="top"/>
        <w:rPr>
          <w:rFonts w:ascii="Arial" w:hAnsi="Arial" w:cs="Arial"/>
          <w:sz w:val="20"/>
          <w:lang w:eastAsia="ar-SA"/>
        </w:rPr>
      </w:pPr>
      <w:r w:rsidRPr="00B8252A">
        <w:rPr>
          <w:rFonts w:ascii="Arial" w:hAnsi="Arial" w:cs="Arial"/>
          <w:sz w:val="18"/>
          <w:lang w:eastAsia="ar-SA"/>
        </w:rPr>
        <w:t>follow emergency response procedures set out in the school’s Emergency Management Plan, including calling emergency services on 000 if necessary</w:t>
      </w:r>
      <w:r w:rsidRPr="00B8252A">
        <w:rPr>
          <w:rFonts w:ascii="Arial" w:hAnsi="Arial" w:cs="Arial"/>
          <w:sz w:val="20"/>
          <w:lang w:eastAsia="ar-SA"/>
        </w:rPr>
        <w:t>.</w:t>
      </w:r>
    </w:p>
    <w:p w14:paraId="2DF770A2" w14:textId="4FC97F98" w:rsidR="00B92932" w:rsidRPr="00AA40B1" w:rsidRDefault="00AA40B1" w:rsidP="00B8252A">
      <w:pPr>
        <w:jc w:val="both"/>
        <w:rPr>
          <w:rFonts w:eastAsiaTheme="minorHAnsi"/>
        </w:rPr>
      </w:pPr>
      <w:r w:rsidRPr="00AA40B1">
        <w:rPr>
          <w:rFonts w:eastAsiaTheme="minorHAnsi"/>
        </w:rPr>
        <w:t xml:space="preserve">Intervention does not always have to be physical and can involve verbal intervention, physically approaching students, and calling for support from other staff. Staff are required to take reasonable care for their own health and safety, which is balanced with their duty to intervene. </w:t>
      </w:r>
    </w:p>
    <w:p w14:paraId="7A4FDBDF" w14:textId="77777777" w:rsidR="000B30DC" w:rsidRDefault="000B30DC" w:rsidP="00B8252A">
      <w:pPr>
        <w:spacing w:before="120"/>
        <w:jc w:val="both"/>
        <w:rPr>
          <w:rFonts w:eastAsiaTheme="majorEastAsia" w:cstheme="majorBidi"/>
          <w:b/>
          <w:bCs/>
          <w:caps/>
          <w:color w:val="AF272F"/>
          <w:sz w:val="20"/>
          <w:szCs w:val="20"/>
          <w:lang w:val="en-AU"/>
        </w:rPr>
      </w:pPr>
    </w:p>
    <w:p w14:paraId="0A07732C" w14:textId="0030D9DE" w:rsidR="00CA385C" w:rsidRPr="00CA385C" w:rsidRDefault="00CA385C" w:rsidP="00B8252A">
      <w:pPr>
        <w:spacing w:before="120"/>
        <w:jc w:val="both"/>
        <w:rPr>
          <w:rFonts w:eastAsiaTheme="majorEastAsia" w:cstheme="majorBidi"/>
          <w:b/>
          <w:bCs/>
          <w:caps/>
          <w:color w:val="AF272F"/>
          <w:sz w:val="20"/>
          <w:szCs w:val="20"/>
          <w:lang w:val="en-AU"/>
        </w:rPr>
      </w:pPr>
      <w:r w:rsidRPr="00CA385C">
        <w:rPr>
          <w:rFonts w:eastAsiaTheme="majorEastAsia" w:cstheme="majorBidi"/>
          <w:b/>
          <w:bCs/>
          <w:caps/>
          <w:color w:val="AF272F"/>
          <w:sz w:val="20"/>
          <w:szCs w:val="20"/>
          <w:lang w:val="en-AU"/>
        </w:rPr>
        <w:t>How can parents</w:t>
      </w:r>
      <w:r w:rsidR="00BD0CF6">
        <w:rPr>
          <w:rFonts w:eastAsiaTheme="majorEastAsia" w:cstheme="majorBidi"/>
          <w:b/>
          <w:bCs/>
          <w:caps/>
          <w:color w:val="AF272F"/>
          <w:sz w:val="20"/>
          <w:szCs w:val="20"/>
          <w:lang w:val="en-AU"/>
        </w:rPr>
        <w:t>/</w:t>
      </w:r>
      <w:r w:rsidRPr="00CA385C">
        <w:rPr>
          <w:rFonts w:eastAsiaTheme="majorEastAsia" w:cstheme="majorBidi"/>
          <w:b/>
          <w:bCs/>
          <w:caps/>
          <w:color w:val="AF272F"/>
          <w:sz w:val="20"/>
          <w:szCs w:val="20"/>
          <w:lang w:val="en-AU"/>
        </w:rPr>
        <w:t>carers and schools work together to help prevent behaviours of concern?</w:t>
      </w:r>
    </w:p>
    <w:p w14:paraId="5EAFEBFF" w14:textId="77777777" w:rsidR="00A01722" w:rsidRPr="00A01722" w:rsidRDefault="00A01722" w:rsidP="00B8252A">
      <w:pPr>
        <w:spacing w:before="120"/>
        <w:jc w:val="both"/>
        <w:rPr>
          <w:lang w:val="en-AU"/>
        </w:rPr>
      </w:pPr>
      <w:r w:rsidRPr="00A01722">
        <w:rPr>
          <w:lang w:val="en-AU"/>
        </w:rPr>
        <w:t>Parents/carers will often be able to:</w:t>
      </w:r>
    </w:p>
    <w:p w14:paraId="1DFD7147" w14:textId="77777777" w:rsidR="00A01722" w:rsidRPr="00A01722" w:rsidRDefault="00A01722" w:rsidP="00B8252A">
      <w:pPr>
        <w:numPr>
          <w:ilvl w:val="0"/>
          <w:numId w:val="17"/>
        </w:numPr>
        <w:spacing w:before="120"/>
        <w:jc w:val="both"/>
        <w:rPr>
          <w:lang w:val="en-AU"/>
        </w:rPr>
      </w:pPr>
      <w:r w:rsidRPr="00A01722">
        <w:rPr>
          <w:lang w:val="en-AU"/>
        </w:rPr>
        <w:t>share critical information about a student’s needs, preferences and the function of, and triggers for their behaviours</w:t>
      </w:r>
    </w:p>
    <w:p w14:paraId="1EEF69E4" w14:textId="77777777" w:rsidR="00A01722" w:rsidRPr="00A01722" w:rsidRDefault="00A01722" w:rsidP="00B8252A">
      <w:pPr>
        <w:numPr>
          <w:ilvl w:val="0"/>
          <w:numId w:val="17"/>
        </w:numPr>
        <w:spacing w:before="120"/>
        <w:jc w:val="both"/>
        <w:rPr>
          <w:lang w:val="en-AU"/>
        </w:rPr>
      </w:pPr>
      <w:r w:rsidRPr="00A01722">
        <w:rPr>
          <w:lang w:val="en-AU"/>
        </w:rPr>
        <w:t>provide details of others, such as health and support services, who may already be working with the student</w:t>
      </w:r>
    </w:p>
    <w:p w14:paraId="61BE1309" w14:textId="77777777" w:rsidR="00A01722" w:rsidRPr="00A01722" w:rsidRDefault="00A01722" w:rsidP="00B8252A">
      <w:pPr>
        <w:numPr>
          <w:ilvl w:val="0"/>
          <w:numId w:val="17"/>
        </w:numPr>
        <w:spacing w:before="120"/>
        <w:jc w:val="both"/>
        <w:rPr>
          <w:lang w:val="en-AU"/>
        </w:rPr>
      </w:pPr>
      <w:r w:rsidRPr="00A01722">
        <w:rPr>
          <w:lang w:val="en-AU"/>
        </w:rPr>
        <w:lastRenderedPageBreak/>
        <w:t>discuss strategies that have been successful at home and could be tried at school (agreeing on strategies at home and school will help to maintain consistency, promote positive behaviour and avoid confusion for the student).</w:t>
      </w:r>
    </w:p>
    <w:p w14:paraId="151BBC4F" w14:textId="31437F36" w:rsidR="00B92932" w:rsidRDefault="00A01722" w:rsidP="00B8252A">
      <w:pPr>
        <w:spacing w:before="120"/>
        <w:jc w:val="both"/>
        <w:rPr>
          <w:lang w:val="en-AU"/>
        </w:rPr>
      </w:pPr>
      <w:r w:rsidRPr="00A01722">
        <w:rPr>
          <w:lang w:val="en-AU"/>
        </w:rPr>
        <w:t>When a student’s behaviour has escalated to the point where the existing supports have not been effective in addressing the concerning behaviour it may be necessary to seek the support of other relevant professionals. A team of individuals who can work together to devise, implement and evaluate an individualised plan</w:t>
      </w:r>
      <w:r w:rsidR="00BD0CF6">
        <w:rPr>
          <w:lang w:val="en-AU"/>
        </w:rPr>
        <w:t>,</w:t>
      </w:r>
      <w:r w:rsidRPr="00A01722">
        <w:rPr>
          <w:lang w:val="en-AU"/>
        </w:rPr>
        <w:t xml:space="preserve"> known as a ‘wrap around’ service</w:t>
      </w:r>
      <w:r w:rsidR="00EB3B00">
        <w:rPr>
          <w:lang w:val="en-AU"/>
        </w:rPr>
        <w:t xml:space="preserve">. </w:t>
      </w:r>
      <w:r w:rsidRPr="00A01722">
        <w:rPr>
          <w:lang w:val="en-AU"/>
        </w:rPr>
        <w:t>In addition to supports within the student’s life such as family, extended family, cultural or community supports, other professionals may be helpful</w:t>
      </w:r>
      <w:r>
        <w:rPr>
          <w:lang w:val="en-AU"/>
        </w:rPr>
        <w:t>.</w:t>
      </w:r>
    </w:p>
    <w:p w14:paraId="6BD22290" w14:textId="77777777" w:rsidR="00B92932" w:rsidRDefault="00B92932" w:rsidP="00B8252A">
      <w:pPr>
        <w:spacing w:before="120"/>
        <w:jc w:val="both"/>
        <w:rPr>
          <w:lang w:val="en-AU"/>
        </w:rPr>
      </w:pPr>
    </w:p>
    <w:p w14:paraId="3E3BB518" w14:textId="131C4D11" w:rsidR="00CA385C" w:rsidRPr="00CA385C" w:rsidRDefault="00CA385C" w:rsidP="00B8252A">
      <w:pPr>
        <w:spacing w:before="120"/>
        <w:jc w:val="both"/>
        <w:rPr>
          <w:rFonts w:eastAsiaTheme="majorEastAsia" w:cstheme="majorBidi"/>
          <w:b/>
          <w:bCs/>
          <w:caps/>
          <w:color w:val="AF272F"/>
          <w:sz w:val="20"/>
          <w:szCs w:val="20"/>
          <w:lang w:val="en-AU"/>
        </w:rPr>
      </w:pPr>
      <w:r w:rsidRPr="00CA385C">
        <w:rPr>
          <w:rFonts w:eastAsiaTheme="majorEastAsia" w:cstheme="majorBidi"/>
          <w:b/>
          <w:bCs/>
          <w:caps/>
          <w:color w:val="AF272F"/>
          <w:sz w:val="20"/>
          <w:szCs w:val="20"/>
          <w:lang w:val="en-AU"/>
        </w:rPr>
        <w:t>What professional development is available</w:t>
      </w:r>
      <w:r w:rsidR="00BD0CF6">
        <w:rPr>
          <w:rFonts w:eastAsiaTheme="majorEastAsia" w:cstheme="majorBidi"/>
          <w:b/>
          <w:bCs/>
          <w:caps/>
          <w:color w:val="AF272F"/>
          <w:sz w:val="20"/>
          <w:szCs w:val="20"/>
          <w:lang w:val="en-AU"/>
        </w:rPr>
        <w:t xml:space="preserve"> for school staff</w:t>
      </w:r>
      <w:r w:rsidRPr="00CA385C">
        <w:rPr>
          <w:rFonts w:eastAsiaTheme="majorEastAsia" w:cstheme="majorBidi"/>
          <w:b/>
          <w:bCs/>
          <w:caps/>
          <w:color w:val="AF272F"/>
          <w:sz w:val="20"/>
          <w:szCs w:val="20"/>
          <w:lang w:val="en-AU"/>
        </w:rPr>
        <w:t>?</w:t>
      </w:r>
    </w:p>
    <w:p w14:paraId="625EFE62" w14:textId="305C0C11" w:rsidR="005468D3" w:rsidRDefault="00AA40B1" w:rsidP="00B8252A">
      <w:pPr>
        <w:spacing w:before="120"/>
        <w:jc w:val="both"/>
        <w:rPr>
          <w:lang w:val="en-AU"/>
        </w:rPr>
      </w:pPr>
      <w:r w:rsidRPr="00AA40B1">
        <w:rPr>
          <w:lang w:val="en-AU"/>
        </w:rPr>
        <w:t>Strengthening the capacity of principals, teachers, wellbeing professionals, allied health and education support staff to address student behaviours of concern is essential</w:t>
      </w:r>
      <w:r w:rsidR="005468D3">
        <w:rPr>
          <w:lang w:val="en-AU"/>
        </w:rPr>
        <w:t>.</w:t>
      </w:r>
      <w:r w:rsidRPr="00AA40B1">
        <w:rPr>
          <w:lang w:val="en-AU"/>
        </w:rPr>
        <w:t xml:space="preserve"> </w:t>
      </w:r>
    </w:p>
    <w:p w14:paraId="3F4EC4CF" w14:textId="56B2360C" w:rsidR="000B30DC" w:rsidRDefault="00AA40B1" w:rsidP="00B8252A">
      <w:pPr>
        <w:spacing w:before="120"/>
        <w:jc w:val="both"/>
        <w:rPr>
          <w:lang w:val="en-AU"/>
        </w:rPr>
      </w:pPr>
      <w:r w:rsidRPr="00AA40B1">
        <w:rPr>
          <w:lang w:val="en-AU"/>
        </w:rPr>
        <w:t xml:space="preserve">A range of professional learning opportunities </w:t>
      </w:r>
      <w:r w:rsidR="00D72B77">
        <w:rPr>
          <w:lang w:val="en-AU"/>
        </w:rPr>
        <w:t>is</w:t>
      </w:r>
      <w:r w:rsidR="00D72B77" w:rsidRPr="00AA40B1">
        <w:rPr>
          <w:lang w:val="en-AU"/>
        </w:rPr>
        <w:t xml:space="preserve"> </w:t>
      </w:r>
      <w:r w:rsidRPr="00AA40B1">
        <w:rPr>
          <w:lang w:val="en-AU"/>
        </w:rPr>
        <w:t>available to DET staff</w:t>
      </w:r>
      <w:r w:rsidR="008A30E2">
        <w:rPr>
          <w:lang w:val="en-AU"/>
        </w:rPr>
        <w:t xml:space="preserve"> and can be found on </w:t>
      </w:r>
      <w:r w:rsidR="002F0867">
        <w:rPr>
          <w:lang w:val="en-AU"/>
        </w:rPr>
        <w:t>Intranet</w:t>
      </w:r>
    </w:p>
    <w:p w14:paraId="127C5123" w14:textId="77777777" w:rsidR="000B30DC" w:rsidRDefault="000B30DC" w:rsidP="00B8252A">
      <w:pPr>
        <w:spacing w:before="120"/>
        <w:jc w:val="both"/>
        <w:rPr>
          <w:rFonts w:eastAsiaTheme="majorEastAsia" w:cstheme="majorBidi"/>
          <w:b/>
          <w:bCs/>
          <w:caps/>
          <w:color w:val="AF272F"/>
          <w:sz w:val="20"/>
          <w:szCs w:val="20"/>
          <w:lang w:val="en-AU"/>
        </w:rPr>
      </w:pPr>
    </w:p>
    <w:p w14:paraId="5571D40E" w14:textId="4BE104A7" w:rsidR="00CA385C" w:rsidRPr="00CA385C" w:rsidRDefault="00CA385C" w:rsidP="00B8252A">
      <w:pPr>
        <w:spacing w:before="120"/>
        <w:jc w:val="both"/>
        <w:rPr>
          <w:rFonts w:eastAsiaTheme="majorEastAsia" w:cstheme="majorBidi"/>
          <w:b/>
          <w:bCs/>
          <w:caps/>
          <w:color w:val="AF272F"/>
          <w:sz w:val="20"/>
          <w:szCs w:val="20"/>
          <w:lang w:val="en-AU"/>
        </w:rPr>
      </w:pPr>
      <w:r w:rsidRPr="00CA385C">
        <w:rPr>
          <w:rFonts w:eastAsiaTheme="majorEastAsia" w:cstheme="majorBidi"/>
          <w:b/>
          <w:bCs/>
          <w:caps/>
          <w:color w:val="AF272F"/>
          <w:sz w:val="20"/>
          <w:szCs w:val="20"/>
          <w:lang w:val="en-AU"/>
        </w:rPr>
        <w:t>Where can I find out more information?</w:t>
      </w:r>
    </w:p>
    <w:p w14:paraId="4E7EB654" w14:textId="77777777" w:rsidR="002F0867" w:rsidRDefault="002F0867" w:rsidP="00B8252A">
      <w:hyperlink r:id="rId12" w:history="1">
        <w:r>
          <w:rPr>
            <w:rStyle w:val="Hyperlink"/>
          </w:rPr>
          <w:t>http://www.education.vic.gov.au/school/principals/participation/Pages/behaviourofconcern.aspx</w:t>
        </w:r>
      </w:hyperlink>
    </w:p>
    <w:p w14:paraId="5AED5D42" w14:textId="68E5AF30" w:rsidR="008A30E2" w:rsidRPr="008A30E2" w:rsidRDefault="003540F9" w:rsidP="00B8252A">
      <w:pPr>
        <w:rPr>
          <w:lang w:val="en-AU"/>
        </w:rPr>
      </w:pPr>
      <w:r w:rsidRPr="008A30E2">
        <w:rPr>
          <w:lang w:val="en-AU"/>
        </w:rPr>
        <w:t>Alternatively,</w:t>
      </w:r>
      <w:r w:rsidR="008A30E2" w:rsidRPr="008A30E2">
        <w:rPr>
          <w:lang w:val="en-AU"/>
        </w:rPr>
        <w:t xml:space="preserve"> contact, Mandy Donley,</w:t>
      </w:r>
      <w:r w:rsidRPr="003540F9">
        <w:rPr>
          <w:lang w:val="en-AU"/>
        </w:rPr>
        <w:t xml:space="preserve"> </w:t>
      </w:r>
      <w:r w:rsidRPr="008A30E2">
        <w:rPr>
          <w:lang w:val="en-AU"/>
        </w:rPr>
        <w:t>Principal Practice Leader - Education</w:t>
      </w:r>
      <w:r w:rsidR="008A30E2" w:rsidRPr="008A30E2">
        <w:rPr>
          <w:lang w:val="en-AU"/>
        </w:rPr>
        <w:t xml:space="preserve"> </w:t>
      </w:r>
      <w:hyperlink r:id="rId13" w:history="1">
        <w:r w:rsidRPr="00AD16D6">
          <w:rPr>
            <w:rStyle w:val="Hyperlink"/>
            <w:lang w:val="en-AU"/>
          </w:rPr>
          <w:t>mandy.donley@dhhs.vic.gov.au</w:t>
        </w:r>
      </w:hyperlink>
      <w:r>
        <w:rPr>
          <w:lang w:val="en-AU"/>
        </w:rPr>
        <w:t xml:space="preserve"> </w:t>
      </w:r>
    </w:p>
    <w:p w14:paraId="2862F764" w14:textId="77777777" w:rsidR="00980015" w:rsidRDefault="00980015" w:rsidP="00B8252A">
      <w:pPr>
        <w:jc w:val="both"/>
      </w:pPr>
    </w:p>
    <w:sectPr w:rsidR="00980015" w:rsidSect="00326F48">
      <w:headerReference w:type="default" r:id="rId14"/>
      <w:footerReference w:type="default" r:id="rId15"/>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3A800" w14:textId="77777777" w:rsidR="005E30FF" w:rsidRDefault="005E30FF" w:rsidP="008766A4">
      <w:r>
        <w:separator/>
      </w:r>
    </w:p>
  </w:endnote>
  <w:endnote w:type="continuationSeparator" w:id="0">
    <w:p w14:paraId="766B4D9D" w14:textId="77777777" w:rsidR="005E30FF" w:rsidRDefault="005E30FF"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604AA" w14:textId="77777777" w:rsidR="005E30FF" w:rsidRDefault="005E30FF" w:rsidP="008766A4">
      <w:r>
        <w:separator/>
      </w:r>
    </w:p>
  </w:footnote>
  <w:footnote w:type="continuationSeparator" w:id="0">
    <w:p w14:paraId="432E36DB" w14:textId="77777777" w:rsidR="005E30FF" w:rsidRDefault="005E30FF" w:rsidP="008766A4">
      <w:r>
        <w:continuationSeparator/>
      </w:r>
    </w:p>
  </w:footnote>
  <w:footnote w:id="1">
    <w:p w14:paraId="29F5DF03" w14:textId="77777777" w:rsidR="00AA40B1" w:rsidRPr="008762B7" w:rsidRDefault="00AA40B1" w:rsidP="00AA40B1">
      <w:pPr>
        <w:pStyle w:val="FootnoteText"/>
        <w:rPr>
          <w:sz w:val="18"/>
        </w:rPr>
      </w:pPr>
      <w:r w:rsidRPr="008762B7">
        <w:rPr>
          <w:rStyle w:val="FootnoteReference"/>
          <w:sz w:val="18"/>
        </w:rPr>
        <w:footnoteRef/>
      </w:r>
      <w:r w:rsidRPr="008762B7">
        <w:rPr>
          <w:sz w:val="18"/>
        </w:rPr>
        <w:t xml:space="preserve"> Adapted from Senior Practitioner Physical Restraint Direction Paper – May 2011</w:t>
      </w:r>
    </w:p>
  </w:footnote>
  <w:footnote w:id="2">
    <w:p w14:paraId="4907E776" w14:textId="77777777" w:rsidR="00AA40B1" w:rsidRDefault="00AA40B1" w:rsidP="00AA40B1">
      <w:pPr>
        <w:pStyle w:val="FootnoteText"/>
      </w:pPr>
      <w:r w:rsidRPr="008762B7">
        <w:rPr>
          <w:rStyle w:val="FootnoteReference"/>
          <w:sz w:val="18"/>
        </w:rPr>
        <w:footnoteRef/>
      </w:r>
      <w:r w:rsidRPr="008762B7">
        <w:rPr>
          <w:sz w:val="18"/>
        </w:rPr>
        <w:t xml:space="preserve"> Adapted from Australian Psychological Society 2011 </w:t>
      </w:r>
      <w:r w:rsidRPr="008762B7">
        <w:rPr>
          <w:i/>
          <w:iCs/>
          <w:color w:val="1F497D"/>
          <w:sz w:val="18"/>
        </w:rPr>
        <w:t>Evidence based guidelines for reducing the need for restrictive practices in the disability sector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703D5E66">
          <wp:simplePos x="0" y="0"/>
          <wp:positionH relativeFrom="page">
            <wp:posOffset>0</wp:posOffset>
          </wp:positionH>
          <wp:positionV relativeFrom="page">
            <wp:posOffset>0</wp:posOffset>
          </wp:positionV>
          <wp:extent cx="7562088" cy="201777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4"/>
    <w:multiLevelType w:val="singleLevel"/>
    <w:tmpl w:val="00000004"/>
    <w:name w:val="WW8Num4"/>
    <w:lvl w:ilvl="0">
      <w:start w:val="1"/>
      <w:numFmt w:val="bullet"/>
      <w:lvlText w:val=""/>
      <w:lvlJc w:val="left"/>
      <w:pPr>
        <w:tabs>
          <w:tab w:val="num" w:pos="-324"/>
        </w:tabs>
        <w:ind w:left="786" w:hanging="360"/>
      </w:pPr>
      <w:rPr>
        <w:rFonts w:ascii="Symbol" w:hAnsi="Symbol" w:cs="Symbol" w:hint="default"/>
        <w:sz w:val="22"/>
        <w:szCs w:val="22"/>
      </w:rPr>
    </w:lvl>
  </w:abstractNum>
  <w:abstractNum w:abstractNumId="12" w15:restartNumberingAfterBreak="0">
    <w:nsid w:val="0000001C"/>
    <w:multiLevelType w:val="multilevel"/>
    <w:tmpl w:val="FD8ED17A"/>
    <w:lvl w:ilvl="0">
      <w:start w:val="1"/>
      <w:numFmt w:val="bullet"/>
      <w:lvlText w:val=""/>
      <w:lvlJc w:val="left"/>
      <w:pPr>
        <w:tabs>
          <w:tab w:val="num" w:pos="720"/>
        </w:tabs>
        <w:ind w:left="720" w:hanging="360"/>
      </w:pPr>
      <w:rPr>
        <w:rFonts w:ascii="Symbol" w:hAnsi="Symbol" w:hint="default"/>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06EC43ED"/>
    <w:multiLevelType w:val="hybridMultilevel"/>
    <w:tmpl w:val="7C64A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307E07"/>
    <w:multiLevelType w:val="hybridMultilevel"/>
    <w:tmpl w:val="325AF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5C2619"/>
    <w:multiLevelType w:val="hybridMultilevel"/>
    <w:tmpl w:val="9EB053FC"/>
    <w:lvl w:ilvl="0" w:tplc="4E2C7EF2">
      <w:start w:val="1"/>
      <w:numFmt w:val="bullet"/>
      <w:lvlText w:val="•"/>
      <w:lvlJc w:val="left"/>
      <w:pPr>
        <w:tabs>
          <w:tab w:val="num" w:pos="720"/>
        </w:tabs>
        <w:ind w:left="720" w:hanging="360"/>
      </w:pPr>
      <w:rPr>
        <w:rFonts w:ascii="Arial" w:hAnsi="Arial" w:hint="default"/>
      </w:rPr>
    </w:lvl>
    <w:lvl w:ilvl="1" w:tplc="AECC7E56" w:tentative="1">
      <w:start w:val="1"/>
      <w:numFmt w:val="bullet"/>
      <w:lvlText w:val="•"/>
      <w:lvlJc w:val="left"/>
      <w:pPr>
        <w:tabs>
          <w:tab w:val="num" w:pos="1440"/>
        </w:tabs>
        <w:ind w:left="1440" w:hanging="360"/>
      </w:pPr>
      <w:rPr>
        <w:rFonts w:ascii="Arial" w:hAnsi="Arial" w:hint="default"/>
      </w:rPr>
    </w:lvl>
    <w:lvl w:ilvl="2" w:tplc="3508F5B8" w:tentative="1">
      <w:start w:val="1"/>
      <w:numFmt w:val="bullet"/>
      <w:lvlText w:val="•"/>
      <w:lvlJc w:val="left"/>
      <w:pPr>
        <w:tabs>
          <w:tab w:val="num" w:pos="2160"/>
        </w:tabs>
        <w:ind w:left="2160" w:hanging="360"/>
      </w:pPr>
      <w:rPr>
        <w:rFonts w:ascii="Arial" w:hAnsi="Arial" w:hint="default"/>
      </w:rPr>
    </w:lvl>
    <w:lvl w:ilvl="3" w:tplc="5F0006E8" w:tentative="1">
      <w:start w:val="1"/>
      <w:numFmt w:val="bullet"/>
      <w:lvlText w:val="•"/>
      <w:lvlJc w:val="left"/>
      <w:pPr>
        <w:tabs>
          <w:tab w:val="num" w:pos="2880"/>
        </w:tabs>
        <w:ind w:left="2880" w:hanging="360"/>
      </w:pPr>
      <w:rPr>
        <w:rFonts w:ascii="Arial" w:hAnsi="Arial" w:hint="default"/>
      </w:rPr>
    </w:lvl>
    <w:lvl w:ilvl="4" w:tplc="2FECBA76" w:tentative="1">
      <w:start w:val="1"/>
      <w:numFmt w:val="bullet"/>
      <w:lvlText w:val="•"/>
      <w:lvlJc w:val="left"/>
      <w:pPr>
        <w:tabs>
          <w:tab w:val="num" w:pos="3600"/>
        </w:tabs>
        <w:ind w:left="3600" w:hanging="360"/>
      </w:pPr>
      <w:rPr>
        <w:rFonts w:ascii="Arial" w:hAnsi="Arial" w:hint="default"/>
      </w:rPr>
    </w:lvl>
    <w:lvl w:ilvl="5" w:tplc="D3DA00FA" w:tentative="1">
      <w:start w:val="1"/>
      <w:numFmt w:val="bullet"/>
      <w:lvlText w:val="•"/>
      <w:lvlJc w:val="left"/>
      <w:pPr>
        <w:tabs>
          <w:tab w:val="num" w:pos="4320"/>
        </w:tabs>
        <w:ind w:left="4320" w:hanging="360"/>
      </w:pPr>
      <w:rPr>
        <w:rFonts w:ascii="Arial" w:hAnsi="Arial" w:hint="default"/>
      </w:rPr>
    </w:lvl>
    <w:lvl w:ilvl="6" w:tplc="F3186906" w:tentative="1">
      <w:start w:val="1"/>
      <w:numFmt w:val="bullet"/>
      <w:lvlText w:val="•"/>
      <w:lvlJc w:val="left"/>
      <w:pPr>
        <w:tabs>
          <w:tab w:val="num" w:pos="5040"/>
        </w:tabs>
        <w:ind w:left="5040" w:hanging="360"/>
      </w:pPr>
      <w:rPr>
        <w:rFonts w:ascii="Arial" w:hAnsi="Arial" w:hint="default"/>
      </w:rPr>
    </w:lvl>
    <w:lvl w:ilvl="7" w:tplc="8C2AC6BA" w:tentative="1">
      <w:start w:val="1"/>
      <w:numFmt w:val="bullet"/>
      <w:lvlText w:val="•"/>
      <w:lvlJc w:val="left"/>
      <w:pPr>
        <w:tabs>
          <w:tab w:val="num" w:pos="5760"/>
        </w:tabs>
        <w:ind w:left="5760" w:hanging="360"/>
      </w:pPr>
      <w:rPr>
        <w:rFonts w:ascii="Arial" w:hAnsi="Arial" w:hint="default"/>
      </w:rPr>
    </w:lvl>
    <w:lvl w:ilvl="8" w:tplc="565427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CB7E6F"/>
    <w:multiLevelType w:val="hybridMultilevel"/>
    <w:tmpl w:val="9E1C3784"/>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7" w15:restartNumberingAfterBreak="0">
    <w:nsid w:val="564D0796"/>
    <w:multiLevelType w:val="hybridMultilevel"/>
    <w:tmpl w:val="C3F2A23C"/>
    <w:lvl w:ilvl="0" w:tplc="DB028FD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EC01C6"/>
    <w:multiLevelType w:val="hybridMultilevel"/>
    <w:tmpl w:val="5282A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8"/>
  </w:num>
  <w:num w:numId="15">
    <w:abstractNumId w:val="12"/>
  </w:num>
  <w:num w:numId="16">
    <w:abstractNumId w:val="17"/>
  </w:num>
  <w:num w:numId="17">
    <w:abstractNumId w:val="11"/>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86CF4"/>
    <w:rsid w:val="000B30DC"/>
    <w:rsid w:val="000C499D"/>
    <w:rsid w:val="0014310A"/>
    <w:rsid w:val="00160656"/>
    <w:rsid w:val="001E2380"/>
    <w:rsid w:val="0022212D"/>
    <w:rsid w:val="002730AE"/>
    <w:rsid w:val="002B19E4"/>
    <w:rsid w:val="002F0867"/>
    <w:rsid w:val="00326F48"/>
    <w:rsid w:val="003540F9"/>
    <w:rsid w:val="003B01B0"/>
    <w:rsid w:val="003E29B5"/>
    <w:rsid w:val="00433028"/>
    <w:rsid w:val="004904E1"/>
    <w:rsid w:val="005468D3"/>
    <w:rsid w:val="00596923"/>
    <w:rsid w:val="005E30FF"/>
    <w:rsid w:val="00600EB1"/>
    <w:rsid w:val="00653C43"/>
    <w:rsid w:val="00690213"/>
    <w:rsid w:val="007479DB"/>
    <w:rsid w:val="00751081"/>
    <w:rsid w:val="00784798"/>
    <w:rsid w:val="007C254C"/>
    <w:rsid w:val="00816ED5"/>
    <w:rsid w:val="00825C0B"/>
    <w:rsid w:val="00867092"/>
    <w:rsid w:val="008762B7"/>
    <w:rsid w:val="008766A4"/>
    <w:rsid w:val="008A30E2"/>
    <w:rsid w:val="008E5D2E"/>
    <w:rsid w:val="00980015"/>
    <w:rsid w:val="009F2302"/>
    <w:rsid w:val="00A01722"/>
    <w:rsid w:val="00A428C2"/>
    <w:rsid w:val="00AA40B1"/>
    <w:rsid w:val="00AA76A2"/>
    <w:rsid w:val="00B8252A"/>
    <w:rsid w:val="00B92932"/>
    <w:rsid w:val="00BD0CF6"/>
    <w:rsid w:val="00C052CB"/>
    <w:rsid w:val="00C90BD6"/>
    <w:rsid w:val="00CA385C"/>
    <w:rsid w:val="00CE535F"/>
    <w:rsid w:val="00D31299"/>
    <w:rsid w:val="00D61AF7"/>
    <w:rsid w:val="00D72B77"/>
    <w:rsid w:val="00E0011A"/>
    <w:rsid w:val="00E363DF"/>
    <w:rsid w:val="00E42811"/>
    <w:rsid w:val="00E45985"/>
    <w:rsid w:val="00E72974"/>
    <w:rsid w:val="00EB3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FCCD2"/>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CA385C"/>
    <w:pPr>
      <w:spacing w:after="0" w:line="240" w:lineRule="auto"/>
      <w:ind w:left="720"/>
      <w:contextualSpacing/>
    </w:pPr>
    <w:rPr>
      <w:rFonts w:ascii="Calibri" w:eastAsia="Calibri" w:hAnsi="Calibri" w:cs="Times New Roman"/>
      <w:sz w:val="24"/>
      <w:szCs w:val="24"/>
    </w:rPr>
  </w:style>
  <w:style w:type="paragraph" w:customStyle="1" w:styleId="Standard">
    <w:name w:val="Standard"/>
    <w:rsid w:val="00CA385C"/>
    <w:pPr>
      <w:suppressAutoHyphens/>
      <w:autoSpaceDN w:val="0"/>
      <w:spacing w:after="200" w:line="276" w:lineRule="auto"/>
      <w:textAlignment w:val="baseline"/>
    </w:pPr>
    <w:rPr>
      <w:rFonts w:ascii="Calibri" w:eastAsia="SimSun" w:hAnsi="Calibri" w:cs="Tahoma"/>
      <w:kern w:val="3"/>
      <w:sz w:val="22"/>
      <w:szCs w:val="22"/>
      <w:lang w:val="en-AU"/>
    </w:rPr>
  </w:style>
  <w:style w:type="paragraph" w:styleId="FootnoteText">
    <w:name w:val="footnote text"/>
    <w:basedOn w:val="Normal"/>
    <w:link w:val="FootnoteTextChar"/>
    <w:uiPriority w:val="99"/>
    <w:rsid w:val="00AA40B1"/>
    <w:pPr>
      <w:suppressAutoHyphens/>
      <w:spacing w:after="0" w:line="240" w:lineRule="auto"/>
    </w:pPr>
    <w:rPr>
      <w:rFonts w:ascii="Calibri" w:eastAsia="Times New Roman" w:hAnsi="Calibri" w:cs="Calibri"/>
      <w:sz w:val="20"/>
      <w:szCs w:val="20"/>
      <w:lang w:val="en-AU" w:eastAsia="ar-SA"/>
    </w:rPr>
  </w:style>
  <w:style w:type="character" w:customStyle="1" w:styleId="FootnoteTextChar">
    <w:name w:val="Footnote Text Char"/>
    <w:basedOn w:val="DefaultParagraphFont"/>
    <w:link w:val="FootnoteText"/>
    <w:uiPriority w:val="99"/>
    <w:rsid w:val="00AA40B1"/>
    <w:rPr>
      <w:rFonts w:ascii="Calibri" w:eastAsia="Times New Roman" w:hAnsi="Calibri" w:cs="Calibri"/>
      <w:sz w:val="20"/>
      <w:szCs w:val="20"/>
      <w:lang w:val="en-AU" w:eastAsia="ar-SA"/>
    </w:rPr>
  </w:style>
  <w:style w:type="character" w:styleId="FootnoteReference">
    <w:name w:val="footnote reference"/>
    <w:basedOn w:val="DefaultParagraphFont"/>
    <w:uiPriority w:val="99"/>
    <w:rsid w:val="00AA40B1"/>
    <w:rPr>
      <w:rFonts w:cs="Times New Roman"/>
      <w:vertAlign w:val="superscript"/>
    </w:rPr>
  </w:style>
  <w:style w:type="character" w:styleId="Hyperlink">
    <w:name w:val="Hyperlink"/>
    <w:basedOn w:val="DefaultParagraphFont"/>
    <w:uiPriority w:val="99"/>
    <w:unhideWhenUsed/>
    <w:rsid w:val="008A30E2"/>
    <w:rPr>
      <w:color w:val="0000FF" w:themeColor="hyperlink"/>
      <w:u w:val="single"/>
    </w:rPr>
  </w:style>
  <w:style w:type="character" w:styleId="FollowedHyperlink">
    <w:name w:val="FollowedHyperlink"/>
    <w:basedOn w:val="DefaultParagraphFont"/>
    <w:uiPriority w:val="99"/>
    <w:semiHidden/>
    <w:unhideWhenUsed/>
    <w:rsid w:val="003540F9"/>
    <w:rPr>
      <w:color w:val="800080" w:themeColor="followedHyperlink"/>
      <w:u w:val="single"/>
    </w:rPr>
  </w:style>
  <w:style w:type="paragraph" w:styleId="Revision">
    <w:name w:val="Revision"/>
    <w:hidden/>
    <w:uiPriority w:val="99"/>
    <w:semiHidden/>
    <w:rsid w:val="00690213"/>
    <w:rPr>
      <w:rFonts w:ascii="Arial" w:hAnsi="Arial" w:cs="Arial"/>
      <w:sz w:val="18"/>
      <w:szCs w:val="18"/>
    </w:rPr>
  </w:style>
  <w:style w:type="character" w:styleId="CommentReference">
    <w:name w:val="annotation reference"/>
    <w:basedOn w:val="DefaultParagraphFont"/>
    <w:uiPriority w:val="99"/>
    <w:semiHidden/>
    <w:unhideWhenUsed/>
    <w:rsid w:val="00BD0CF6"/>
    <w:rPr>
      <w:sz w:val="16"/>
      <w:szCs w:val="16"/>
    </w:rPr>
  </w:style>
  <w:style w:type="paragraph" w:styleId="CommentText">
    <w:name w:val="annotation text"/>
    <w:basedOn w:val="Normal"/>
    <w:link w:val="CommentTextChar"/>
    <w:uiPriority w:val="99"/>
    <w:semiHidden/>
    <w:unhideWhenUsed/>
    <w:rsid w:val="00BD0CF6"/>
    <w:pPr>
      <w:spacing w:line="240" w:lineRule="auto"/>
    </w:pPr>
    <w:rPr>
      <w:sz w:val="20"/>
      <w:szCs w:val="20"/>
    </w:rPr>
  </w:style>
  <w:style w:type="character" w:customStyle="1" w:styleId="CommentTextChar">
    <w:name w:val="Comment Text Char"/>
    <w:basedOn w:val="DefaultParagraphFont"/>
    <w:link w:val="CommentText"/>
    <w:uiPriority w:val="99"/>
    <w:semiHidden/>
    <w:rsid w:val="00BD0CF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D0CF6"/>
    <w:rPr>
      <w:b/>
      <w:bCs/>
    </w:rPr>
  </w:style>
  <w:style w:type="character" w:customStyle="1" w:styleId="CommentSubjectChar">
    <w:name w:val="Comment Subject Char"/>
    <w:basedOn w:val="CommentTextChar"/>
    <w:link w:val="CommentSubject"/>
    <w:uiPriority w:val="99"/>
    <w:semiHidden/>
    <w:rsid w:val="00BD0CF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8690">
      <w:bodyDiv w:val="1"/>
      <w:marLeft w:val="0"/>
      <w:marRight w:val="0"/>
      <w:marTop w:val="0"/>
      <w:marBottom w:val="0"/>
      <w:divBdr>
        <w:top w:val="none" w:sz="0" w:space="0" w:color="auto"/>
        <w:left w:val="none" w:sz="0" w:space="0" w:color="auto"/>
        <w:bottom w:val="none" w:sz="0" w:space="0" w:color="auto"/>
        <w:right w:val="none" w:sz="0" w:space="0" w:color="auto"/>
      </w:divBdr>
      <w:divsChild>
        <w:div w:id="948582544">
          <w:marLeft w:val="274"/>
          <w:marRight w:val="0"/>
          <w:marTop w:val="100"/>
          <w:marBottom w:val="100"/>
          <w:divBdr>
            <w:top w:val="none" w:sz="0" w:space="0" w:color="auto"/>
            <w:left w:val="none" w:sz="0" w:space="0" w:color="auto"/>
            <w:bottom w:val="none" w:sz="0" w:space="0" w:color="auto"/>
            <w:right w:val="none" w:sz="0" w:space="0" w:color="auto"/>
          </w:divBdr>
        </w:div>
        <w:div w:id="273679367">
          <w:marLeft w:val="274"/>
          <w:marRight w:val="0"/>
          <w:marTop w:val="100"/>
          <w:marBottom w:val="100"/>
          <w:divBdr>
            <w:top w:val="none" w:sz="0" w:space="0" w:color="auto"/>
            <w:left w:val="none" w:sz="0" w:space="0" w:color="auto"/>
            <w:bottom w:val="none" w:sz="0" w:space="0" w:color="auto"/>
            <w:right w:val="none" w:sz="0" w:space="0" w:color="auto"/>
          </w:divBdr>
        </w:div>
        <w:div w:id="606085082">
          <w:marLeft w:val="274"/>
          <w:marRight w:val="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ndy.donley@dhhs.vic.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school/principals/participation/Pages/behaviourofconcern.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A66E8-BEDF-4CC9-A9D0-A0D341F95659}"/>
</file>

<file path=customXml/itemProps2.xml><?xml version="1.0" encoding="utf-8"?>
<ds:datastoreItem xmlns:ds="http://schemas.openxmlformats.org/officeDocument/2006/customXml" ds:itemID="{C19B747E-ED09-4C30-A8F2-6F0178620CCF}"/>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42BA66E8-BEDF-4CC9-A9D0-A0D341F9565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72904EEB-FDDA-4FF3-A2B6-624A8BD2E791}"/>
</file>

<file path=docProps/app.xml><?xml version="1.0" encoding="utf-8"?>
<Properties xmlns="http://schemas.openxmlformats.org/officeDocument/2006/extended-properties" xmlns:vt="http://schemas.openxmlformats.org/officeDocument/2006/docPropsVTypes">
  <Template>Normal</Template>
  <TotalTime>7</TotalTime>
  <Pages>2</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Van Dijk, Robbie R</cp:lastModifiedBy>
  <cp:revision>5</cp:revision>
  <dcterms:created xsi:type="dcterms:W3CDTF">2017-05-23T05:00:00Z</dcterms:created>
  <dcterms:modified xsi:type="dcterms:W3CDTF">2017-05-24T00:30:00Z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