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C62C" w14:textId="77777777" w:rsidR="00FD2848" w:rsidRPr="00620ABB" w:rsidRDefault="00620ABB" w:rsidP="00620ABB">
      <w:pPr>
        <w:jc w:val="center"/>
        <w:rPr>
          <w:b/>
          <w:color w:val="00325E"/>
          <w:sz w:val="28"/>
        </w:rPr>
      </w:pPr>
      <w:r w:rsidRPr="00620ABB">
        <w:rPr>
          <w:b/>
          <w:color w:val="00325E"/>
          <w:sz w:val="28"/>
        </w:rPr>
        <w:t>International Student Program in Victorian Government Schools</w:t>
      </w:r>
    </w:p>
    <w:p w14:paraId="79776A03" w14:textId="77777777" w:rsidR="00620ABB" w:rsidRDefault="0067668F" w:rsidP="00620ABB">
      <w:pPr>
        <w:rPr>
          <w:b/>
        </w:rPr>
      </w:pPr>
      <w:r>
        <w:rPr>
          <w:b/>
        </w:rPr>
        <w:t>CASES21 – International Students</w:t>
      </w:r>
    </w:p>
    <w:p w14:paraId="3ACB7F2B" w14:textId="7BDAA3FF" w:rsidR="00D75B46" w:rsidRDefault="00D75B46" w:rsidP="00BC2F25">
      <w:pPr>
        <w:spacing w:after="0"/>
      </w:pPr>
      <w:r w:rsidRPr="00D75B46">
        <w:t xml:space="preserve">Schools </w:t>
      </w:r>
      <w:r w:rsidR="008467D9">
        <w:t xml:space="preserve">and ELC’s </w:t>
      </w:r>
      <w:r w:rsidRPr="00D75B46">
        <w:t xml:space="preserve">are </w:t>
      </w:r>
      <w:r w:rsidR="003F1D2B">
        <w:t>reminded</w:t>
      </w:r>
      <w:r w:rsidRPr="00D75B46">
        <w:t xml:space="preserve"> to maintain accurate i</w:t>
      </w:r>
      <w:r w:rsidR="008467D9">
        <w:t>nternational student data</w:t>
      </w:r>
      <w:r w:rsidRPr="00D75B46">
        <w:t xml:space="preserve"> on CASES21 for the duration of the student’s enrolment.</w:t>
      </w:r>
    </w:p>
    <w:p w14:paraId="372E24FA" w14:textId="77777777" w:rsidR="00F607C8" w:rsidRDefault="00F607C8" w:rsidP="00F607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8651"/>
        <w:gridCol w:w="4985"/>
      </w:tblGrid>
      <w:tr w:rsidR="004615C4" w14:paraId="34ED0178" w14:textId="77777777" w:rsidTr="003F1D2B">
        <w:tc>
          <w:tcPr>
            <w:tcW w:w="534" w:type="dxa"/>
            <w:shd w:val="clear" w:color="auto" w:fill="F2F2F2" w:themeFill="background1" w:themeFillShade="F2"/>
          </w:tcPr>
          <w:p w14:paraId="0E9DE648" w14:textId="732E5594" w:rsidR="004615C4" w:rsidRPr="004615C4" w:rsidRDefault="004615C4" w:rsidP="00F607C8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654" w:type="dxa"/>
            <w:shd w:val="clear" w:color="auto" w:fill="D9D9D9" w:themeFill="background1" w:themeFillShade="D9"/>
          </w:tcPr>
          <w:p w14:paraId="7009ECDE" w14:textId="7A2B02E8" w:rsidR="004615C4" w:rsidRPr="003F1D2B" w:rsidRDefault="00832EF9" w:rsidP="00F607C8">
            <w:pPr>
              <w:rPr>
                <w:b/>
              </w:rPr>
            </w:pPr>
            <w:r>
              <w:rPr>
                <w:b/>
              </w:rPr>
              <w:t>ADVICE</w:t>
            </w:r>
          </w:p>
        </w:tc>
        <w:tc>
          <w:tcPr>
            <w:tcW w:w="4986" w:type="dxa"/>
            <w:shd w:val="clear" w:color="auto" w:fill="DDD9C3" w:themeFill="background2" w:themeFillShade="E6"/>
          </w:tcPr>
          <w:p w14:paraId="47D0EBA5" w14:textId="3802805A" w:rsidR="004615C4" w:rsidRPr="004615C4" w:rsidRDefault="004615C4" w:rsidP="00F607C8">
            <w:pPr>
              <w:rPr>
                <w:b/>
              </w:rPr>
            </w:pPr>
            <w:r w:rsidRPr="004615C4">
              <w:rPr>
                <w:b/>
              </w:rPr>
              <w:t>WHY?</w:t>
            </w:r>
          </w:p>
        </w:tc>
      </w:tr>
      <w:tr w:rsidR="004615C4" w14:paraId="7DBFA13F" w14:textId="77777777" w:rsidTr="003F1D2B">
        <w:tc>
          <w:tcPr>
            <w:tcW w:w="534" w:type="dxa"/>
            <w:shd w:val="clear" w:color="auto" w:fill="F2F2F2" w:themeFill="background1" w:themeFillShade="F2"/>
          </w:tcPr>
          <w:p w14:paraId="15148243" w14:textId="539610C4" w:rsidR="004615C4" w:rsidRPr="00D75B46" w:rsidRDefault="004615C4" w:rsidP="004615C4">
            <w:r>
              <w:t>1</w:t>
            </w:r>
          </w:p>
        </w:tc>
        <w:tc>
          <w:tcPr>
            <w:tcW w:w="8654" w:type="dxa"/>
            <w:shd w:val="clear" w:color="auto" w:fill="auto"/>
          </w:tcPr>
          <w:p w14:paraId="3EF6A5C1" w14:textId="66962612" w:rsidR="004615C4" w:rsidRPr="003F1D2B" w:rsidRDefault="004615C4" w:rsidP="004615C4">
            <w:pPr>
              <w:rPr>
                <w:sz w:val="20"/>
                <w:szCs w:val="20"/>
              </w:rPr>
            </w:pPr>
            <w:r w:rsidRPr="003F1D2B">
              <w:rPr>
                <w:sz w:val="20"/>
                <w:szCs w:val="20"/>
              </w:rPr>
              <w:t xml:space="preserve">Ensure all student </w:t>
            </w:r>
            <w:r w:rsidR="008467D9" w:rsidRPr="003F1D2B">
              <w:rPr>
                <w:sz w:val="20"/>
                <w:szCs w:val="20"/>
              </w:rPr>
              <w:t>data</w:t>
            </w:r>
            <w:r w:rsidRPr="003F1D2B">
              <w:rPr>
                <w:sz w:val="20"/>
                <w:szCs w:val="20"/>
              </w:rPr>
              <w:t xml:space="preserve"> </w:t>
            </w:r>
            <w:r w:rsidR="008467D9" w:rsidRPr="003F1D2B">
              <w:rPr>
                <w:sz w:val="20"/>
                <w:szCs w:val="20"/>
              </w:rPr>
              <w:t xml:space="preserve">is </w:t>
            </w:r>
            <w:r w:rsidRPr="003F1D2B">
              <w:rPr>
                <w:sz w:val="20"/>
                <w:szCs w:val="20"/>
              </w:rPr>
              <w:t xml:space="preserve">entered </w:t>
            </w:r>
            <w:r w:rsidR="008467D9" w:rsidRPr="003F1D2B">
              <w:rPr>
                <w:sz w:val="20"/>
                <w:szCs w:val="20"/>
              </w:rPr>
              <w:t xml:space="preserve">onto CASES21 </w:t>
            </w:r>
            <w:r w:rsidRPr="003F1D2B">
              <w:rPr>
                <w:sz w:val="20"/>
                <w:szCs w:val="20"/>
              </w:rPr>
              <w:t xml:space="preserve">and </w:t>
            </w:r>
            <w:r w:rsidR="008467D9" w:rsidRPr="003F1D2B">
              <w:rPr>
                <w:sz w:val="20"/>
                <w:szCs w:val="20"/>
              </w:rPr>
              <w:t xml:space="preserve">that </w:t>
            </w:r>
            <w:r w:rsidRPr="003F1D2B">
              <w:rPr>
                <w:sz w:val="20"/>
                <w:szCs w:val="20"/>
              </w:rPr>
              <w:t xml:space="preserve">the student is marked as </w:t>
            </w:r>
            <w:r w:rsidR="008467D9" w:rsidRPr="003F1D2B">
              <w:rPr>
                <w:b/>
                <w:sz w:val="20"/>
                <w:szCs w:val="20"/>
              </w:rPr>
              <w:t>active</w:t>
            </w:r>
            <w:r w:rsidRPr="003F1D2B">
              <w:rPr>
                <w:b/>
                <w:sz w:val="20"/>
                <w:szCs w:val="20"/>
              </w:rPr>
              <w:t xml:space="preserve"> </w:t>
            </w:r>
            <w:r w:rsidRPr="003F1D2B">
              <w:rPr>
                <w:sz w:val="20"/>
                <w:szCs w:val="20"/>
              </w:rPr>
              <w:t xml:space="preserve">within </w:t>
            </w:r>
            <w:r w:rsidRPr="003F1D2B">
              <w:rPr>
                <w:b/>
                <w:sz w:val="20"/>
                <w:szCs w:val="20"/>
              </w:rPr>
              <w:t>3 days</w:t>
            </w:r>
            <w:r w:rsidRPr="003F1D2B">
              <w:rPr>
                <w:sz w:val="20"/>
                <w:szCs w:val="20"/>
              </w:rPr>
              <w:t xml:space="preserve"> of the student’s actual start date</w:t>
            </w:r>
          </w:p>
          <w:p w14:paraId="035E1AFC" w14:textId="77777777" w:rsidR="004615C4" w:rsidRPr="003F1D2B" w:rsidRDefault="004615C4" w:rsidP="00F607C8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</w:tcPr>
          <w:p w14:paraId="4C3DE67A" w14:textId="20858F89" w:rsidR="004615C4" w:rsidRPr="00A852AA" w:rsidRDefault="008467D9" w:rsidP="008467D9">
            <w:pPr>
              <w:rPr>
                <w:sz w:val="20"/>
                <w:szCs w:val="20"/>
              </w:rPr>
            </w:pPr>
            <w:r w:rsidRPr="00A852AA">
              <w:rPr>
                <w:sz w:val="20"/>
                <w:szCs w:val="20"/>
              </w:rPr>
              <w:t xml:space="preserve">Under ESOS </w:t>
            </w:r>
            <w:r w:rsidR="004615C4" w:rsidRPr="00A852AA">
              <w:rPr>
                <w:sz w:val="20"/>
                <w:szCs w:val="20"/>
              </w:rPr>
              <w:t xml:space="preserve">DET is required to report all students that do not commence within 5 working days of their proposed </w:t>
            </w:r>
            <w:r w:rsidRPr="00A852AA">
              <w:rPr>
                <w:sz w:val="20"/>
                <w:szCs w:val="20"/>
              </w:rPr>
              <w:t xml:space="preserve">course </w:t>
            </w:r>
            <w:r w:rsidR="004615C4" w:rsidRPr="00A852AA">
              <w:rPr>
                <w:sz w:val="20"/>
                <w:szCs w:val="20"/>
              </w:rPr>
              <w:t xml:space="preserve">start date. DET relies on the </w:t>
            </w:r>
            <w:r w:rsidRPr="00A852AA">
              <w:rPr>
                <w:sz w:val="20"/>
                <w:szCs w:val="20"/>
              </w:rPr>
              <w:t>data</w:t>
            </w:r>
            <w:r w:rsidR="004615C4" w:rsidRPr="00A852AA">
              <w:rPr>
                <w:sz w:val="20"/>
                <w:szCs w:val="20"/>
              </w:rPr>
              <w:t xml:space="preserve"> entered onto CASES21 by the school </w:t>
            </w:r>
            <w:r w:rsidRPr="00A852AA">
              <w:rPr>
                <w:sz w:val="20"/>
                <w:szCs w:val="20"/>
              </w:rPr>
              <w:t xml:space="preserve">or ELC </w:t>
            </w:r>
            <w:r w:rsidR="004615C4" w:rsidRPr="00A852AA">
              <w:rPr>
                <w:sz w:val="20"/>
                <w:szCs w:val="20"/>
              </w:rPr>
              <w:t xml:space="preserve">to confirm commencement </w:t>
            </w:r>
            <w:r w:rsidRPr="00A852AA">
              <w:rPr>
                <w:sz w:val="20"/>
                <w:szCs w:val="20"/>
              </w:rPr>
              <w:t>or non-commencement</w:t>
            </w:r>
          </w:p>
        </w:tc>
      </w:tr>
      <w:tr w:rsidR="004615C4" w14:paraId="1A073BEC" w14:textId="77777777" w:rsidTr="003F1D2B">
        <w:tc>
          <w:tcPr>
            <w:tcW w:w="534" w:type="dxa"/>
            <w:shd w:val="clear" w:color="auto" w:fill="F2F2F2" w:themeFill="background1" w:themeFillShade="F2"/>
          </w:tcPr>
          <w:p w14:paraId="010404F0" w14:textId="3F0E0EBD" w:rsidR="004615C4" w:rsidRDefault="004615C4" w:rsidP="00F607C8">
            <w:r>
              <w:t>2</w:t>
            </w:r>
          </w:p>
        </w:tc>
        <w:tc>
          <w:tcPr>
            <w:tcW w:w="8654" w:type="dxa"/>
            <w:shd w:val="clear" w:color="auto" w:fill="auto"/>
          </w:tcPr>
          <w:p w14:paraId="4C1A5F8E" w14:textId="1C5E4D12" w:rsidR="00A852AA" w:rsidRPr="003F1D2B" w:rsidRDefault="004615C4" w:rsidP="008467D9">
            <w:pPr>
              <w:rPr>
                <w:sz w:val="20"/>
                <w:szCs w:val="20"/>
              </w:rPr>
            </w:pPr>
            <w:r w:rsidRPr="003F1D2B">
              <w:rPr>
                <w:sz w:val="20"/>
                <w:szCs w:val="20"/>
              </w:rPr>
              <w:t xml:space="preserve">Ensure student </w:t>
            </w:r>
            <w:r w:rsidR="008467D9" w:rsidRPr="003F1D2B">
              <w:rPr>
                <w:sz w:val="20"/>
                <w:szCs w:val="20"/>
              </w:rPr>
              <w:t>data</w:t>
            </w:r>
            <w:r w:rsidRPr="003F1D2B">
              <w:rPr>
                <w:sz w:val="20"/>
                <w:szCs w:val="20"/>
              </w:rPr>
              <w:t xml:space="preserve"> that is entered onto CASES21 is accurate</w:t>
            </w:r>
            <w:r w:rsidR="00A852AA" w:rsidRPr="003F1D2B">
              <w:rPr>
                <w:sz w:val="20"/>
                <w:szCs w:val="20"/>
              </w:rPr>
              <w:t>. Where any element of the student data does not match the IED’s database the data cannot be reconciled and the school or ELC will have to be contacted.</w:t>
            </w:r>
          </w:p>
          <w:p w14:paraId="54D01997" w14:textId="77777777" w:rsidR="00A852AA" w:rsidRPr="003F1D2B" w:rsidRDefault="00A852AA" w:rsidP="008467D9">
            <w:pPr>
              <w:rPr>
                <w:sz w:val="20"/>
                <w:szCs w:val="20"/>
              </w:rPr>
            </w:pPr>
          </w:p>
          <w:p w14:paraId="3B99E04E" w14:textId="3639B9BD" w:rsidR="00A852AA" w:rsidRPr="003F1D2B" w:rsidRDefault="00D0203D" w:rsidP="0083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NB: Where you need to identify an international student using an asterisk p</w:t>
            </w:r>
            <w:bookmarkStart w:id="0" w:name="_GoBack"/>
            <w:bookmarkEnd w:id="0"/>
            <w:r>
              <w:rPr>
                <w:sz w:val="20"/>
                <w:szCs w:val="20"/>
              </w:rPr>
              <w:t>lease do this using the preferred name section</w:t>
            </w:r>
          </w:p>
        </w:tc>
        <w:tc>
          <w:tcPr>
            <w:tcW w:w="4986" w:type="dxa"/>
            <w:shd w:val="clear" w:color="auto" w:fill="auto"/>
          </w:tcPr>
          <w:p w14:paraId="1D4866F3" w14:textId="2DC70D8A" w:rsidR="004615C4" w:rsidRPr="00A852AA" w:rsidRDefault="008467D9" w:rsidP="00F607C8">
            <w:pPr>
              <w:rPr>
                <w:sz w:val="20"/>
                <w:szCs w:val="20"/>
              </w:rPr>
            </w:pPr>
            <w:r w:rsidRPr="00A852AA">
              <w:rPr>
                <w:sz w:val="20"/>
                <w:szCs w:val="20"/>
              </w:rPr>
              <w:t>If the student data</w:t>
            </w:r>
            <w:r w:rsidR="004615C4" w:rsidRPr="00A852AA">
              <w:rPr>
                <w:sz w:val="20"/>
                <w:szCs w:val="20"/>
              </w:rPr>
              <w:t xml:space="preserve"> is not accurate the IED will not receive the information from CASES21 a</w:t>
            </w:r>
            <w:r w:rsidR="00A852AA" w:rsidRPr="00A852AA">
              <w:rPr>
                <w:sz w:val="20"/>
                <w:szCs w:val="20"/>
              </w:rPr>
              <w:t>nd will be required to contact the</w:t>
            </w:r>
            <w:r w:rsidR="004615C4" w:rsidRPr="00A852AA">
              <w:rPr>
                <w:sz w:val="20"/>
                <w:szCs w:val="20"/>
              </w:rPr>
              <w:t xml:space="preserve"> school</w:t>
            </w:r>
            <w:r w:rsidR="00A852AA" w:rsidRPr="00A852AA">
              <w:rPr>
                <w:sz w:val="20"/>
                <w:szCs w:val="20"/>
              </w:rPr>
              <w:t xml:space="preserve"> or ELC</w:t>
            </w:r>
            <w:r w:rsidR="004615C4" w:rsidRPr="00A852AA">
              <w:rPr>
                <w:sz w:val="20"/>
                <w:szCs w:val="20"/>
              </w:rPr>
              <w:t xml:space="preserve">. </w:t>
            </w:r>
            <w:r w:rsidR="00A852AA" w:rsidRPr="00A852AA">
              <w:rPr>
                <w:sz w:val="20"/>
                <w:szCs w:val="20"/>
              </w:rPr>
              <w:t>Inaccurate student data</w:t>
            </w:r>
            <w:r w:rsidR="004615C4" w:rsidRPr="00A852AA">
              <w:rPr>
                <w:sz w:val="20"/>
                <w:szCs w:val="20"/>
              </w:rPr>
              <w:t xml:space="preserve"> can also cause issues with </w:t>
            </w:r>
            <w:r w:rsidR="00832EF9">
              <w:rPr>
                <w:sz w:val="20"/>
                <w:szCs w:val="20"/>
              </w:rPr>
              <w:t xml:space="preserve">the </w:t>
            </w:r>
            <w:r w:rsidR="004615C4" w:rsidRPr="00A852AA">
              <w:rPr>
                <w:sz w:val="20"/>
                <w:szCs w:val="20"/>
              </w:rPr>
              <w:t xml:space="preserve">disbursement of </w:t>
            </w:r>
            <w:r w:rsidR="00832EF9">
              <w:rPr>
                <w:sz w:val="20"/>
                <w:szCs w:val="20"/>
              </w:rPr>
              <w:t>tuition</w:t>
            </w:r>
            <w:r w:rsidR="004615C4" w:rsidRPr="00A852AA">
              <w:rPr>
                <w:sz w:val="20"/>
                <w:szCs w:val="20"/>
              </w:rPr>
              <w:t xml:space="preserve"> fees to your school.</w:t>
            </w:r>
            <w:r w:rsidR="00A852AA" w:rsidRPr="00A852AA">
              <w:rPr>
                <w:sz w:val="20"/>
                <w:szCs w:val="20"/>
              </w:rPr>
              <w:t xml:space="preserve"> </w:t>
            </w:r>
          </w:p>
          <w:p w14:paraId="193ED1E7" w14:textId="18DACF1E" w:rsidR="00A852AA" w:rsidRPr="00A852AA" w:rsidRDefault="00A852AA" w:rsidP="00F607C8">
            <w:pPr>
              <w:rPr>
                <w:sz w:val="20"/>
                <w:szCs w:val="20"/>
              </w:rPr>
            </w:pPr>
          </w:p>
        </w:tc>
      </w:tr>
      <w:tr w:rsidR="004615C4" w14:paraId="3D7904E2" w14:textId="77777777" w:rsidTr="003F1D2B">
        <w:tc>
          <w:tcPr>
            <w:tcW w:w="534" w:type="dxa"/>
            <w:shd w:val="clear" w:color="auto" w:fill="F2F2F2" w:themeFill="background1" w:themeFillShade="F2"/>
          </w:tcPr>
          <w:p w14:paraId="759E00BF" w14:textId="60FE6335" w:rsidR="004615C4" w:rsidRDefault="004615C4" w:rsidP="00F607C8">
            <w:r>
              <w:t>3</w:t>
            </w:r>
          </w:p>
        </w:tc>
        <w:tc>
          <w:tcPr>
            <w:tcW w:w="8654" w:type="dxa"/>
            <w:shd w:val="clear" w:color="auto" w:fill="auto"/>
          </w:tcPr>
          <w:p w14:paraId="22929EA2" w14:textId="74B0DF0E" w:rsidR="004615C4" w:rsidRPr="003F1D2B" w:rsidRDefault="004615C4" w:rsidP="00832EF9">
            <w:pPr>
              <w:rPr>
                <w:sz w:val="20"/>
                <w:szCs w:val="20"/>
              </w:rPr>
            </w:pPr>
            <w:r w:rsidRPr="003F1D2B">
              <w:rPr>
                <w:sz w:val="20"/>
                <w:szCs w:val="20"/>
              </w:rPr>
              <w:t xml:space="preserve">Ensure the parent (home country) information entered </w:t>
            </w:r>
            <w:r w:rsidR="00A852AA" w:rsidRPr="003F1D2B">
              <w:rPr>
                <w:sz w:val="20"/>
                <w:szCs w:val="20"/>
              </w:rPr>
              <w:t xml:space="preserve">onto CASES21 </w:t>
            </w:r>
            <w:r w:rsidRPr="003F1D2B">
              <w:rPr>
                <w:sz w:val="20"/>
                <w:szCs w:val="20"/>
              </w:rPr>
              <w:t xml:space="preserve">is accurate, especially the parents email address. This should be entered into the </w:t>
            </w:r>
            <w:r w:rsidR="00832EF9">
              <w:rPr>
                <w:b/>
                <w:sz w:val="20"/>
                <w:szCs w:val="20"/>
              </w:rPr>
              <w:t>Alternative</w:t>
            </w:r>
            <w:r w:rsidRPr="003F1D2B">
              <w:rPr>
                <w:b/>
                <w:sz w:val="20"/>
                <w:szCs w:val="20"/>
              </w:rPr>
              <w:t xml:space="preserve"> Family</w:t>
            </w:r>
            <w:r w:rsidRPr="003F1D2B">
              <w:rPr>
                <w:sz w:val="20"/>
                <w:szCs w:val="20"/>
              </w:rPr>
              <w:t xml:space="preserve"> section (see attachment </w:t>
            </w:r>
            <w:r w:rsidR="002D5EC9">
              <w:rPr>
                <w:b/>
                <w:i/>
                <w:sz w:val="20"/>
                <w:szCs w:val="20"/>
              </w:rPr>
              <w:t xml:space="preserve">CASES21: </w:t>
            </w:r>
            <w:r w:rsidRPr="003F1D2B">
              <w:rPr>
                <w:b/>
                <w:i/>
                <w:sz w:val="20"/>
                <w:szCs w:val="20"/>
              </w:rPr>
              <w:t>International Students</w:t>
            </w:r>
            <w:r w:rsidR="00832EF9">
              <w:rPr>
                <w:b/>
                <w:i/>
                <w:sz w:val="20"/>
                <w:szCs w:val="20"/>
              </w:rPr>
              <w:t xml:space="preserve"> – FAMILY DATA</w:t>
            </w:r>
            <w:r w:rsidRPr="003F1D2B">
              <w:rPr>
                <w:sz w:val="20"/>
                <w:szCs w:val="20"/>
              </w:rPr>
              <w:t>)</w:t>
            </w:r>
          </w:p>
        </w:tc>
        <w:tc>
          <w:tcPr>
            <w:tcW w:w="4986" w:type="dxa"/>
            <w:shd w:val="clear" w:color="auto" w:fill="auto"/>
          </w:tcPr>
          <w:p w14:paraId="6DDC74C8" w14:textId="02F970B0" w:rsidR="00A852AA" w:rsidRPr="00A852AA" w:rsidRDefault="00832EF9" w:rsidP="00832EF9">
            <w:pPr>
              <w:rPr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The IED will use the Alternative</w:t>
            </w:r>
            <w:r w:rsidR="004615C4" w:rsidRPr="00A852AA">
              <w:rPr>
                <w:sz w:val="20"/>
                <w:szCs w:val="20"/>
              </w:rPr>
              <w:t xml:space="preserve"> Family section of CASES21 to source the parent’s current email address. This email will be used to send invoices</w:t>
            </w:r>
            <w:r w:rsidR="004615C4" w:rsidRPr="00A852AA">
              <w:rPr>
                <w:i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4615C4" w14:paraId="104CD4E8" w14:textId="77777777" w:rsidTr="003F1D2B">
        <w:tc>
          <w:tcPr>
            <w:tcW w:w="534" w:type="dxa"/>
            <w:shd w:val="clear" w:color="auto" w:fill="F2F2F2" w:themeFill="background1" w:themeFillShade="F2"/>
          </w:tcPr>
          <w:p w14:paraId="22A44B44" w14:textId="2B68FFA2" w:rsidR="004615C4" w:rsidRDefault="004615C4" w:rsidP="00F607C8">
            <w:r>
              <w:t>4</w:t>
            </w:r>
          </w:p>
        </w:tc>
        <w:tc>
          <w:tcPr>
            <w:tcW w:w="8654" w:type="dxa"/>
            <w:shd w:val="clear" w:color="auto" w:fill="auto"/>
          </w:tcPr>
          <w:p w14:paraId="66BD1F0D" w14:textId="3B6DFD03" w:rsidR="004615C4" w:rsidRPr="003F1D2B" w:rsidRDefault="004615C4" w:rsidP="00F607C8">
            <w:pPr>
              <w:rPr>
                <w:sz w:val="20"/>
                <w:szCs w:val="20"/>
              </w:rPr>
            </w:pPr>
            <w:r w:rsidRPr="003F1D2B">
              <w:rPr>
                <w:sz w:val="20"/>
                <w:szCs w:val="20"/>
              </w:rPr>
              <w:t xml:space="preserve">Ensure the Australian residential address and contact information (Homestay, Third Party or relative residing in Australia) </w:t>
            </w:r>
            <w:r w:rsidR="00A852AA" w:rsidRPr="003F1D2B">
              <w:rPr>
                <w:sz w:val="20"/>
                <w:szCs w:val="20"/>
              </w:rPr>
              <w:t xml:space="preserve">entered onto CASES21 </w:t>
            </w:r>
            <w:r w:rsidRPr="003F1D2B">
              <w:rPr>
                <w:sz w:val="20"/>
                <w:szCs w:val="20"/>
              </w:rPr>
              <w:t xml:space="preserve">is accurate. This should be entered into the </w:t>
            </w:r>
            <w:r w:rsidRPr="003F1D2B">
              <w:rPr>
                <w:b/>
                <w:sz w:val="20"/>
                <w:szCs w:val="20"/>
              </w:rPr>
              <w:t>Primary Family</w:t>
            </w:r>
            <w:r w:rsidRPr="003F1D2B">
              <w:rPr>
                <w:sz w:val="20"/>
                <w:szCs w:val="20"/>
              </w:rPr>
              <w:t xml:space="preserve"> section (see attachment</w:t>
            </w:r>
            <w:r w:rsidR="002D5EC9">
              <w:rPr>
                <w:b/>
                <w:i/>
                <w:sz w:val="20"/>
                <w:szCs w:val="20"/>
              </w:rPr>
              <w:t xml:space="preserve"> CASES21:</w:t>
            </w:r>
            <w:r w:rsidRPr="003F1D2B">
              <w:rPr>
                <w:sz w:val="20"/>
                <w:szCs w:val="20"/>
              </w:rPr>
              <w:t xml:space="preserve"> </w:t>
            </w:r>
            <w:r w:rsidR="002D5EC9" w:rsidRPr="003F1D2B">
              <w:rPr>
                <w:b/>
                <w:i/>
                <w:sz w:val="20"/>
                <w:szCs w:val="20"/>
              </w:rPr>
              <w:t>International Students</w:t>
            </w:r>
            <w:r w:rsidR="00832EF9">
              <w:rPr>
                <w:b/>
                <w:i/>
                <w:sz w:val="20"/>
                <w:szCs w:val="20"/>
              </w:rPr>
              <w:t xml:space="preserve"> – FAMILY DATA</w:t>
            </w:r>
            <w:r w:rsidRPr="003F1D2B">
              <w:rPr>
                <w:sz w:val="20"/>
                <w:szCs w:val="20"/>
              </w:rPr>
              <w:t>)</w:t>
            </w:r>
          </w:p>
        </w:tc>
        <w:tc>
          <w:tcPr>
            <w:tcW w:w="4986" w:type="dxa"/>
            <w:shd w:val="clear" w:color="auto" w:fill="auto"/>
          </w:tcPr>
          <w:p w14:paraId="0ABD38A9" w14:textId="77777777" w:rsidR="004615C4" w:rsidRPr="00A852AA" w:rsidRDefault="004615C4" w:rsidP="004615C4">
            <w:pPr>
              <w:rPr>
                <w:sz w:val="20"/>
                <w:szCs w:val="20"/>
              </w:rPr>
            </w:pPr>
            <w:r w:rsidRPr="00A852AA">
              <w:rPr>
                <w:sz w:val="20"/>
                <w:szCs w:val="20"/>
              </w:rPr>
              <w:t>Under ESOS schools are required to confirm a student’s Australian contact details every 6 months, in writing. DET provides a template for this purpose. The student’s address should then be updated on CASES21</w:t>
            </w:r>
          </w:p>
          <w:p w14:paraId="005D2479" w14:textId="77777777" w:rsidR="004615C4" w:rsidRPr="00A852AA" w:rsidRDefault="004615C4" w:rsidP="00F607C8">
            <w:pPr>
              <w:rPr>
                <w:sz w:val="20"/>
                <w:szCs w:val="20"/>
              </w:rPr>
            </w:pPr>
          </w:p>
        </w:tc>
      </w:tr>
      <w:tr w:rsidR="004615C4" w14:paraId="6C3984EB" w14:textId="77777777" w:rsidTr="003F1D2B">
        <w:tc>
          <w:tcPr>
            <w:tcW w:w="534" w:type="dxa"/>
            <w:shd w:val="clear" w:color="auto" w:fill="F2F2F2" w:themeFill="background1" w:themeFillShade="F2"/>
          </w:tcPr>
          <w:p w14:paraId="6CF2BB11" w14:textId="75AD2C2B" w:rsidR="004615C4" w:rsidRDefault="004615C4" w:rsidP="00F607C8">
            <w:r>
              <w:t>5</w:t>
            </w:r>
          </w:p>
        </w:tc>
        <w:tc>
          <w:tcPr>
            <w:tcW w:w="8654" w:type="dxa"/>
            <w:shd w:val="clear" w:color="auto" w:fill="auto"/>
          </w:tcPr>
          <w:p w14:paraId="36FF5FF5" w14:textId="236DA146" w:rsidR="004615C4" w:rsidRPr="003F1D2B" w:rsidRDefault="008467D9" w:rsidP="00832EF9">
            <w:pPr>
              <w:rPr>
                <w:sz w:val="20"/>
                <w:szCs w:val="20"/>
              </w:rPr>
            </w:pPr>
            <w:r w:rsidRPr="003F1D2B">
              <w:rPr>
                <w:sz w:val="20"/>
                <w:szCs w:val="20"/>
              </w:rPr>
              <w:t xml:space="preserve">Ensure the visa details (subclass and expiry date) are entered onto CASES21 as soon as </w:t>
            </w:r>
            <w:r w:rsidR="00A852AA" w:rsidRPr="003F1D2B">
              <w:rPr>
                <w:sz w:val="20"/>
                <w:szCs w:val="20"/>
              </w:rPr>
              <w:t xml:space="preserve">the </w:t>
            </w:r>
            <w:r w:rsidRPr="003F1D2B">
              <w:rPr>
                <w:sz w:val="20"/>
                <w:szCs w:val="20"/>
              </w:rPr>
              <w:t xml:space="preserve">student commences, whether this is the ELC or the host school (see attachment </w:t>
            </w:r>
            <w:r w:rsidRPr="003F1D2B">
              <w:rPr>
                <w:b/>
                <w:i/>
                <w:sz w:val="20"/>
                <w:szCs w:val="20"/>
              </w:rPr>
              <w:t>CASES21</w:t>
            </w:r>
            <w:r w:rsidR="002D5EC9">
              <w:rPr>
                <w:b/>
                <w:i/>
                <w:sz w:val="20"/>
                <w:szCs w:val="20"/>
              </w:rPr>
              <w:t xml:space="preserve">: </w:t>
            </w:r>
            <w:r w:rsidR="002D5EC9" w:rsidRPr="003F1D2B">
              <w:rPr>
                <w:b/>
                <w:i/>
                <w:sz w:val="20"/>
                <w:szCs w:val="20"/>
              </w:rPr>
              <w:t>International Students</w:t>
            </w:r>
            <w:r w:rsidR="002D5EC9">
              <w:rPr>
                <w:b/>
                <w:i/>
                <w:sz w:val="20"/>
                <w:szCs w:val="20"/>
              </w:rPr>
              <w:t xml:space="preserve"> </w:t>
            </w:r>
            <w:r w:rsidR="00832EF9">
              <w:rPr>
                <w:b/>
                <w:i/>
                <w:sz w:val="20"/>
                <w:szCs w:val="20"/>
              </w:rPr>
              <w:t>–</w:t>
            </w:r>
            <w:r w:rsidR="002D5EC9">
              <w:rPr>
                <w:b/>
                <w:i/>
                <w:sz w:val="20"/>
                <w:szCs w:val="20"/>
              </w:rPr>
              <w:t xml:space="preserve"> </w:t>
            </w:r>
            <w:r w:rsidR="00832EF9">
              <w:rPr>
                <w:b/>
                <w:i/>
                <w:sz w:val="20"/>
                <w:szCs w:val="20"/>
              </w:rPr>
              <w:t>VISA DETAILS</w:t>
            </w:r>
            <w:r w:rsidRPr="003F1D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986" w:type="dxa"/>
            <w:shd w:val="clear" w:color="auto" w:fill="auto"/>
          </w:tcPr>
          <w:p w14:paraId="3117B30D" w14:textId="77777777" w:rsidR="004615C4" w:rsidRPr="00A852AA" w:rsidRDefault="008467D9" w:rsidP="008467D9">
            <w:pPr>
              <w:rPr>
                <w:sz w:val="20"/>
                <w:szCs w:val="20"/>
              </w:rPr>
            </w:pPr>
            <w:r w:rsidRPr="00A852AA">
              <w:rPr>
                <w:sz w:val="20"/>
                <w:szCs w:val="20"/>
              </w:rPr>
              <w:t xml:space="preserve">Under ESOS DET is required to maintain accurate records of the student’s visa. DET use this data from CASES21 to confirm all relevant students have a valid student visa. </w:t>
            </w:r>
          </w:p>
          <w:p w14:paraId="7E10F951" w14:textId="6E3FFCE4" w:rsidR="008467D9" w:rsidRPr="00A852AA" w:rsidRDefault="008467D9" w:rsidP="008467D9">
            <w:pPr>
              <w:rPr>
                <w:sz w:val="20"/>
                <w:szCs w:val="20"/>
              </w:rPr>
            </w:pPr>
            <w:r w:rsidRPr="00A852AA">
              <w:rPr>
                <w:sz w:val="20"/>
                <w:szCs w:val="20"/>
              </w:rPr>
              <w:t xml:space="preserve">NB: DET has encountered issues with visa grant notices being read incorrectly which has led to the input of incorrect data. DET has provided a template grant notice which highlights the relevant data that should be entered onto CASES21. Please ensure the administrator entering the data is provided with a copy of the attachment </w:t>
            </w:r>
            <w:r w:rsidR="002D5EC9" w:rsidRPr="003F1D2B">
              <w:rPr>
                <w:b/>
                <w:i/>
                <w:sz w:val="20"/>
                <w:szCs w:val="20"/>
              </w:rPr>
              <w:t>CASES21</w:t>
            </w:r>
            <w:r w:rsidR="002D5EC9">
              <w:rPr>
                <w:b/>
                <w:i/>
                <w:sz w:val="20"/>
                <w:szCs w:val="20"/>
              </w:rPr>
              <w:t xml:space="preserve">: </w:t>
            </w:r>
            <w:r w:rsidR="002D5EC9" w:rsidRPr="003F1D2B">
              <w:rPr>
                <w:b/>
                <w:i/>
                <w:sz w:val="20"/>
                <w:szCs w:val="20"/>
              </w:rPr>
              <w:t>International Students</w:t>
            </w:r>
            <w:r w:rsidR="002D5EC9">
              <w:rPr>
                <w:b/>
                <w:i/>
                <w:sz w:val="20"/>
                <w:szCs w:val="20"/>
              </w:rPr>
              <w:t xml:space="preserve"> </w:t>
            </w:r>
            <w:r w:rsidR="00832EF9">
              <w:rPr>
                <w:b/>
                <w:i/>
                <w:sz w:val="20"/>
                <w:szCs w:val="20"/>
              </w:rPr>
              <w:t>–</w:t>
            </w:r>
            <w:r w:rsidR="002D5EC9">
              <w:rPr>
                <w:b/>
                <w:i/>
                <w:sz w:val="20"/>
                <w:szCs w:val="20"/>
              </w:rPr>
              <w:t xml:space="preserve"> </w:t>
            </w:r>
            <w:r w:rsidR="00832EF9">
              <w:rPr>
                <w:b/>
                <w:i/>
                <w:sz w:val="20"/>
                <w:szCs w:val="20"/>
              </w:rPr>
              <w:t>VISA DETAILS</w:t>
            </w:r>
          </w:p>
        </w:tc>
      </w:tr>
    </w:tbl>
    <w:p w14:paraId="004D6065" w14:textId="77777777" w:rsidR="00F607C8" w:rsidRDefault="00F607C8" w:rsidP="00F607C8">
      <w:pPr>
        <w:spacing w:after="0"/>
      </w:pPr>
    </w:p>
    <w:p w14:paraId="0F52C6CD" w14:textId="77777777" w:rsidR="00F607C8" w:rsidRDefault="00F607C8" w:rsidP="00F607C8">
      <w:pPr>
        <w:spacing w:after="0"/>
      </w:pPr>
    </w:p>
    <w:sectPr w:rsidR="00F607C8" w:rsidSect="00DD0594">
      <w:headerReference w:type="default" r:id="rId13"/>
      <w:headerReference w:type="first" r:id="rId14"/>
      <w:pgSz w:w="16838" w:h="11906" w:orient="landscape"/>
      <w:pgMar w:top="1440" w:right="1440" w:bottom="28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BE8F7" w14:textId="77777777" w:rsidR="00D0203D" w:rsidRDefault="00D0203D" w:rsidP="00620ABB">
      <w:pPr>
        <w:spacing w:after="0" w:line="240" w:lineRule="auto"/>
      </w:pPr>
      <w:r>
        <w:separator/>
      </w:r>
    </w:p>
  </w:endnote>
  <w:endnote w:type="continuationSeparator" w:id="0">
    <w:p w14:paraId="0E4DB8FB" w14:textId="77777777" w:rsidR="00D0203D" w:rsidRDefault="00D0203D" w:rsidP="0062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C783" w14:textId="77777777" w:rsidR="00D0203D" w:rsidRDefault="00D0203D" w:rsidP="00620ABB">
      <w:pPr>
        <w:spacing w:after="0" w:line="240" w:lineRule="auto"/>
      </w:pPr>
      <w:r>
        <w:separator/>
      </w:r>
    </w:p>
  </w:footnote>
  <w:footnote w:type="continuationSeparator" w:id="0">
    <w:p w14:paraId="14A33ECC" w14:textId="77777777" w:rsidR="00D0203D" w:rsidRDefault="00D0203D" w:rsidP="0062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0848" w14:textId="7B92B540" w:rsidR="00D0203D" w:rsidRDefault="00D0203D" w:rsidP="00820D80">
    <w:pPr>
      <w:pStyle w:val="Header"/>
      <w:tabs>
        <w:tab w:val="clear" w:pos="9026"/>
        <w:tab w:val="right" w:pos="10348"/>
      </w:tabs>
      <w:ind w:right="-13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02A9" w14:textId="7FDAAEE0" w:rsidR="00D0203D" w:rsidRDefault="00820D80" w:rsidP="00D75B4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373BC44" wp14:editId="45F80E96">
          <wp:extent cx="7559040" cy="1078992"/>
          <wp:effectExtent l="0" t="0" r="381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 IED Form Banner 2015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3E4"/>
    <w:multiLevelType w:val="hybridMultilevel"/>
    <w:tmpl w:val="DB4237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33FE"/>
    <w:multiLevelType w:val="hybridMultilevel"/>
    <w:tmpl w:val="B0785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5FFA"/>
    <w:multiLevelType w:val="hybridMultilevel"/>
    <w:tmpl w:val="A3D4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1F520B"/>
    <w:rsid w:val="002D5EC9"/>
    <w:rsid w:val="0033350C"/>
    <w:rsid w:val="003F1D2B"/>
    <w:rsid w:val="0045613F"/>
    <w:rsid w:val="004615C4"/>
    <w:rsid w:val="005C7DD3"/>
    <w:rsid w:val="00620ABB"/>
    <w:rsid w:val="006258CF"/>
    <w:rsid w:val="0067668F"/>
    <w:rsid w:val="00756E6B"/>
    <w:rsid w:val="007D4BEC"/>
    <w:rsid w:val="00820D80"/>
    <w:rsid w:val="00832BCF"/>
    <w:rsid w:val="00832EF9"/>
    <w:rsid w:val="008467D9"/>
    <w:rsid w:val="0086614E"/>
    <w:rsid w:val="008A5BED"/>
    <w:rsid w:val="00A852AA"/>
    <w:rsid w:val="00BC2F25"/>
    <w:rsid w:val="00C74578"/>
    <w:rsid w:val="00D0203D"/>
    <w:rsid w:val="00D127CC"/>
    <w:rsid w:val="00D12C29"/>
    <w:rsid w:val="00D75B46"/>
    <w:rsid w:val="00D954F0"/>
    <w:rsid w:val="00DD0594"/>
    <w:rsid w:val="00F607C8"/>
    <w:rsid w:val="00FD2848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92E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BB"/>
  </w:style>
  <w:style w:type="paragraph" w:styleId="Footer">
    <w:name w:val="footer"/>
    <w:basedOn w:val="Normal"/>
    <w:link w:val="FooterChar"/>
    <w:uiPriority w:val="99"/>
    <w:unhideWhenUsed/>
    <w:rsid w:val="0062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BB"/>
  </w:style>
  <w:style w:type="paragraph" w:styleId="BalloonText">
    <w:name w:val="Balloon Text"/>
    <w:basedOn w:val="Normal"/>
    <w:link w:val="BalloonTextChar"/>
    <w:uiPriority w:val="99"/>
    <w:semiHidden/>
    <w:unhideWhenUsed/>
    <w:rsid w:val="006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68F"/>
    <w:pPr>
      <w:ind w:left="720"/>
      <w:contextualSpacing/>
    </w:pPr>
  </w:style>
  <w:style w:type="table" w:styleId="TableGrid">
    <w:name w:val="Table Grid"/>
    <w:basedOn w:val="TableNormal"/>
    <w:uiPriority w:val="59"/>
    <w:rsid w:val="004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BB"/>
  </w:style>
  <w:style w:type="paragraph" w:styleId="Footer">
    <w:name w:val="footer"/>
    <w:basedOn w:val="Normal"/>
    <w:link w:val="FooterChar"/>
    <w:uiPriority w:val="99"/>
    <w:unhideWhenUsed/>
    <w:rsid w:val="0062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BB"/>
  </w:style>
  <w:style w:type="paragraph" w:styleId="BalloonText">
    <w:name w:val="Balloon Text"/>
    <w:basedOn w:val="Normal"/>
    <w:link w:val="BalloonTextChar"/>
    <w:uiPriority w:val="99"/>
    <w:semiHidden/>
    <w:unhideWhenUsed/>
    <w:rsid w:val="006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68F"/>
    <w:pPr>
      <w:ind w:left="720"/>
      <w:contextualSpacing/>
    </w:pPr>
  </w:style>
  <w:style w:type="table" w:styleId="TableGrid">
    <w:name w:val="Table Grid"/>
    <w:basedOn w:val="TableNormal"/>
    <w:uiPriority w:val="59"/>
    <w:rsid w:val="004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104</Value>
      <Value>94</Value>
      <Value>118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DEECD_Expired xmlns="http://schemas.microsoft.com/sharepoint/v3">false</DEECD_Expired>
    <DEECD_Keywords xmlns="http://schemas.microsoft.com/sharepoint/v3">ISP, International Student Program, Quality Standards, School Resources</DEECD_Keywords>
    <PublishingExpirationDate xmlns="http://schemas.microsoft.com/sharepoint/v3" xsi:nil="true"/>
    <DEECD_Description xmlns="http://schemas.microsoft.com/sharepoint/v3">International Student Program - CASES21 Quick Reference Guide for International Students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BA437-A523-44AA-B98A-6FD32A513A46}"/>
</file>

<file path=customXml/itemProps2.xml><?xml version="1.0" encoding="utf-8"?>
<ds:datastoreItem xmlns:ds="http://schemas.openxmlformats.org/officeDocument/2006/customXml" ds:itemID="{6E066C22-60B1-48F2-9816-A3C4F46BC8FB}"/>
</file>

<file path=customXml/itemProps3.xml><?xml version="1.0" encoding="utf-8"?>
<ds:datastoreItem xmlns:ds="http://schemas.openxmlformats.org/officeDocument/2006/customXml" ds:itemID="{61BA67ED-9F18-4CD8-B17E-EBC97AE780F9}"/>
</file>

<file path=customXml/itemProps4.xml><?xml version="1.0" encoding="utf-8"?>
<ds:datastoreItem xmlns:ds="http://schemas.openxmlformats.org/officeDocument/2006/customXml" ds:itemID="{288BA437-A523-44AA-B98A-6FD32A513A46}"/>
</file>

<file path=customXml/itemProps5.xml><?xml version="1.0" encoding="utf-8"?>
<ds:datastoreItem xmlns:ds="http://schemas.openxmlformats.org/officeDocument/2006/customXml" ds:itemID="{0EABE563-7CC0-4002-8404-D18D9AE22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CASES21 Quick Reference Guide</dc:title>
  <dc:subject/>
  <dc:creator>Flemming, Matthew J</dc:creator>
  <cp:keywords/>
  <dc:description/>
  <cp:lastModifiedBy>Lovett, Zena Z</cp:lastModifiedBy>
  <cp:revision>5</cp:revision>
  <dcterms:created xsi:type="dcterms:W3CDTF">2015-06-10T04:36:00Z</dcterms:created>
  <dcterms:modified xsi:type="dcterms:W3CDTF">2016-03-31T01:29:00Z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_docset_NoMedatataSyncRequired">
    <vt:lpwstr>False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{04d225fa-e24e-42a3-9050-635ec767bf59}</vt:lpwstr>
  </property>
  <property fmtid="{D5CDD505-2E9C-101B-9397-08002B2CF9AE}" pid="9" name="RecordPoint_ActiveItemUniqueId">
    <vt:lpwstr>{d4c92f29-84b1-4096-ba71-af1b74321816}</vt:lpwstr>
  </property>
  <property fmtid="{D5CDD505-2E9C-101B-9397-08002B2CF9AE}" pid="10" name="RecordPoint_ActiveItemWebId">
    <vt:lpwstr>{33f2dceb-ec1c-4184-8ebe-88a5d08334d5}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SubjectCategory">
    <vt:lpwstr/>
  </property>
  <property fmtid="{D5CDD505-2E9C-101B-9397-08002B2CF9AE}" pid="14" name="DEECD_ItemType">
    <vt:lpwstr>104;#Factsheet|4ed27b92-5062-455b-9739-b4dd34197d20</vt:lpwstr>
  </property>
  <property fmtid="{D5CDD505-2E9C-101B-9397-08002B2CF9AE}" pid="15" name="DEECD_Audience">
    <vt:lpwstr>118;#Principals|a4f56333-bce8-49bd-95df-bc27ddd10ec3</vt:lpwstr>
  </property>
</Properties>
</file>