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25" w:rsidRDefault="009D6D25" w:rsidP="00915CE9">
      <w:pPr>
        <w:spacing w:after="0"/>
        <w:rPr>
          <w:rFonts w:ascii="Arial" w:hAnsi="Arial" w:cs="Arial"/>
          <w:b/>
          <w:sz w:val="24"/>
        </w:rPr>
      </w:pPr>
    </w:p>
    <w:p w:rsidR="00A049AB" w:rsidRDefault="000D0ACD" w:rsidP="00915CE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Issue</w:t>
      </w:r>
    </w:p>
    <w:p w:rsidR="007832EA" w:rsidRDefault="00D56189" w:rsidP="00D75EEB">
      <w:pPr>
        <w:spacing w:after="0"/>
        <w:rPr>
          <w:rFonts w:ascii="Arial" w:hAnsi="Arial" w:cs="Arial"/>
        </w:rPr>
      </w:pPr>
      <w:r w:rsidRPr="00D75EEB">
        <w:rPr>
          <w:rFonts w:ascii="Arial" w:hAnsi="Arial" w:cs="Arial"/>
        </w:rPr>
        <w:t>Energy S</w:t>
      </w:r>
      <w:r w:rsidR="00CB09FE" w:rsidRPr="00D75EEB">
        <w:rPr>
          <w:rFonts w:ascii="Arial" w:hAnsi="Arial" w:cs="Arial"/>
        </w:rPr>
        <w:t xml:space="preserve">afe Victoria is warning Victorians not to use </w:t>
      </w:r>
      <w:r w:rsidR="00D75EEB" w:rsidRPr="00D75EEB">
        <w:rPr>
          <w:rFonts w:ascii="Arial" w:hAnsi="Arial" w:cs="Arial"/>
        </w:rPr>
        <w:t xml:space="preserve">or purchase banned </w:t>
      </w:r>
      <w:r w:rsidR="00CB09FE" w:rsidRPr="00D75EEB">
        <w:rPr>
          <w:rFonts w:ascii="Arial" w:hAnsi="Arial" w:cs="Arial"/>
        </w:rPr>
        <w:t xml:space="preserve">butane canister or </w:t>
      </w:r>
      <w:r w:rsidR="002855FE">
        <w:rPr>
          <w:rFonts w:ascii="Arial" w:hAnsi="Arial" w:cs="Arial"/>
        </w:rPr>
        <w:t>‘</w:t>
      </w:r>
      <w:r w:rsidR="00CB09FE" w:rsidRPr="00D75EEB">
        <w:rPr>
          <w:rFonts w:ascii="Arial" w:hAnsi="Arial" w:cs="Arial"/>
        </w:rPr>
        <w:t>lunchbox</w:t>
      </w:r>
      <w:r w:rsidR="002855FE">
        <w:rPr>
          <w:rFonts w:ascii="Arial" w:hAnsi="Arial" w:cs="Arial"/>
        </w:rPr>
        <w:t>’</w:t>
      </w:r>
      <w:bookmarkStart w:id="0" w:name="_GoBack"/>
      <w:bookmarkEnd w:id="0"/>
      <w:r w:rsidR="002855FE" w:rsidRPr="00D75EEB">
        <w:rPr>
          <w:rFonts w:ascii="Arial" w:hAnsi="Arial" w:cs="Arial"/>
        </w:rPr>
        <w:t xml:space="preserve"> </w:t>
      </w:r>
      <w:r w:rsidR="00CB09FE" w:rsidRPr="00D75EEB">
        <w:rPr>
          <w:rFonts w:ascii="Arial" w:hAnsi="Arial" w:cs="Arial"/>
        </w:rPr>
        <w:t>cookers due to concerns they may overheat, catch fire or explode</w:t>
      </w:r>
      <w:r w:rsidR="00F15695" w:rsidRPr="00D75EEB">
        <w:rPr>
          <w:rFonts w:ascii="Arial" w:hAnsi="Arial" w:cs="Arial"/>
        </w:rPr>
        <w:t>.</w:t>
      </w:r>
    </w:p>
    <w:p w:rsidR="00D75EEB" w:rsidRPr="00D75EEB" w:rsidRDefault="00D75EEB" w:rsidP="00D75EEB">
      <w:pPr>
        <w:spacing w:after="0"/>
        <w:rPr>
          <w:rFonts w:ascii="Arial" w:hAnsi="Arial" w:cs="Arial"/>
        </w:rPr>
      </w:pPr>
    </w:p>
    <w:p w:rsidR="00D75EEB" w:rsidRPr="00D75EEB" w:rsidRDefault="00D56189" w:rsidP="00D75EEB">
      <w:pPr>
        <w:spacing w:after="0" w:line="240" w:lineRule="auto"/>
        <w:rPr>
          <w:rFonts w:ascii="Arial" w:hAnsi="Arial" w:cs="Arial"/>
        </w:rPr>
      </w:pPr>
      <w:r w:rsidRPr="00D75EEB">
        <w:rPr>
          <w:rFonts w:ascii="Arial" w:hAnsi="Arial" w:cs="Arial"/>
        </w:rPr>
        <w:t>Gas regulators have</w:t>
      </w:r>
      <w:r w:rsidR="00152E41">
        <w:rPr>
          <w:rFonts w:ascii="Arial" w:hAnsi="Arial" w:cs="Arial"/>
        </w:rPr>
        <w:t xml:space="preserve"> identified specific models of</w:t>
      </w:r>
      <w:r w:rsidRPr="00D75EEB">
        <w:rPr>
          <w:rFonts w:ascii="Arial" w:hAnsi="Arial" w:cs="Arial"/>
        </w:rPr>
        <w:t xml:space="preserve"> portable butane </w:t>
      </w:r>
      <w:r w:rsidR="00152E41">
        <w:rPr>
          <w:rFonts w:ascii="Arial" w:hAnsi="Arial" w:cs="Arial"/>
        </w:rPr>
        <w:t>canister</w:t>
      </w:r>
      <w:r w:rsidR="00152E41" w:rsidRPr="00D75EEB">
        <w:rPr>
          <w:rFonts w:ascii="Arial" w:hAnsi="Arial" w:cs="Arial"/>
        </w:rPr>
        <w:t xml:space="preserve"> </w:t>
      </w:r>
      <w:r w:rsidR="002855FE">
        <w:rPr>
          <w:rFonts w:ascii="Arial" w:hAnsi="Arial" w:cs="Arial"/>
        </w:rPr>
        <w:t>‘</w:t>
      </w:r>
      <w:r w:rsidRPr="00D75EEB">
        <w:rPr>
          <w:rFonts w:ascii="Arial" w:hAnsi="Arial" w:cs="Arial"/>
        </w:rPr>
        <w:t>lunchbox</w:t>
      </w:r>
      <w:r w:rsidR="002855FE">
        <w:rPr>
          <w:rFonts w:ascii="Arial" w:hAnsi="Arial" w:cs="Arial"/>
        </w:rPr>
        <w:t>’</w:t>
      </w:r>
      <w:r w:rsidR="002855FE" w:rsidRPr="00D75EEB">
        <w:rPr>
          <w:rFonts w:ascii="Arial" w:hAnsi="Arial" w:cs="Arial"/>
        </w:rPr>
        <w:t xml:space="preserve"> </w:t>
      </w:r>
      <w:r w:rsidRPr="00D75EEB">
        <w:rPr>
          <w:rFonts w:ascii="Arial" w:hAnsi="Arial" w:cs="Arial"/>
        </w:rPr>
        <w:t xml:space="preserve">cookers </w:t>
      </w:r>
      <w:r w:rsidR="00152E41">
        <w:rPr>
          <w:rFonts w:ascii="Arial" w:hAnsi="Arial" w:cs="Arial"/>
        </w:rPr>
        <w:t>that do not meet relevant</w:t>
      </w:r>
      <w:r w:rsidR="00550A9B" w:rsidRPr="00550A9B">
        <w:rPr>
          <w:rFonts w:ascii="Arial" w:hAnsi="Arial" w:cs="Arial"/>
        </w:rPr>
        <w:t xml:space="preserve"> </w:t>
      </w:r>
      <w:r w:rsidR="00152E41">
        <w:rPr>
          <w:rFonts w:ascii="Arial" w:hAnsi="Arial" w:cs="Arial"/>
        </w:rPr>
        <w:t>Australian Standards</w:t>
      </w:r>
      <w:r w:rsidRPr="00D75EEB">
        <w:rPr>
          <w:rFonts w:ascii="Arial" w:hAnsi="Arial" w:cs="Arial"/>
        </w:rPr>
        <w:t xml:space="preserve">. </w:t>
      </w:r>
      <w:r w:rsidR="00B3359D">
        <w:rPr>
          <w:rFonts w:ascii="Arial" w:hAnsi="Arial" w:cs="Arial"/>
        </w:rPr>
        <w:t xml:space="preserve"> </w:t>
      </w:r>
      <w:r w:rsidR="00D75EEB" w:rsidRPr="00D75EEB">
        <w:rPr>
          <w:rFonts w:ascii="Arial" w:hAnsi="Arial" w:cs="Arial"/>
        </w:rPr>
        <w:t>A list</w:t>
      </w:r>
      <w:r w:rsidR="00E363E3">
        <w:rPr>
          <w:rFonts w:ascii="Arial" w:hAnsi="Arial" w:cs="Arial"/>
        </w:rPr>
        <w:t xml:space="preserve"> </w:t>
      </w:r>
      <w:r w:rsidR="00B66F86">
        <w:rPr>
          <w:rFonts w:ascii="Arial" w:hAnsi="Arial" w:cs="Arial"/>
        </w:rPr>
        <w:t xml:space="preserve">of affected models has been </w:t>
      </w:r>
      <w:r w:rsidR="00152E41">
        <w:rPr>
          <w:rFonts w:ascii="Arial" w:hAnsi="Arial" w:cs="Arial"/>
        </w:rPr>
        <w:t xml:space="preserve">sourced </w:t>
      </w:r>
      <w:r w:rsidR="00E363E3">
        <w:rPr>
          <w:rFonts w:ascii="Arial" w:hAnsi="Arial" w:cs="Arial"/>
        </w:rPr>
        <w:t xml:space="preserve">from </w:t>
      </w:r>
      <w:r w:rsidR="006D4C99">
        <w:rPr>
          <w:rFonts w:ascii="Arial" w:hAnsi="Arial" w:cs="Arial"/>
        </w:rPr>
        <w:t>E</w:t>
      </w:r>
      <w:r w:rsidR="00E363E3">
        <w:rPr>
          <w:rFonts w:ascii="Arial" w:hAnsi="Arial" w:cs="Arial"/>
        </w:rPr>
        <w:t>nergy</w:t>
      </w:r>
      <w:r w:rsidR="008752DA">
        <w:rPr>
          <w:rFonts w:ascii="Arial" w:hAnsi="Arial" w:cs="Arial"/>
        </w:rPr>
        <w:t xml:space="preserve"> S</w:t>
      </w:r>
      <w:r w:rsidR="00E363E3">
        <w:rPr>
          <w:rFonts w:ascii="Arial" w:hAnsi="Arial" w:cs="Arial"/>
        </w:rPr>
        <w:t>afe Victoria</w:t>
      </w:r>
      <w:r w:rsidR="00B66F86">
        <w:rPr>
          <w:rFonts w:ascii="Arial" w:hAnsi="Arial" w:cs="Arial"/>
        </w:rPr>
        <w:t>,</w:t>
      </w:r>
      <w:r w:rsidR="00E363E3">
        <w:rPr>
          <w:rFonts w:ascii="Arial" w:hAnsi="Arial" w:cs="Arial"/>
        </w:rPr>
        <w:t xml:space="preserve"> see </w:t>
      </w:r>
      <w:r w:rsidR="00B66F86">
        <w:rPr>
          <w:rFonts w:ascii="Arial" w:hAnsi="Arial" w:cs="Arial"/>
        </w:rPr>
        <w:t xml:space="preserve">table </w:t>
      </w:r>
      <w:r w:rsidR="00E363E3">
        <w:rPr>
          <w:rFonts w:ascii="Arial" w:hAnsi="Arial" w:cs="Arial"/>
        </w:rPr>
        <w:t>below.</w:t>
      </w:r>
    </w:p>
    <w:p w:rsidR="00D75EEB" w:rsidRDefault="00D75EEB" w:rsidP="00D75EEB">
      <w:pPr>
        <w:spacing w:after="0"/>
        <w:rPr>
          <w:rFonts w:ascii="Arial" w:hAnsi="Arial" w:cs="Arial"/>
        </w:rPr>
      </w:pPr>
    </w:p>
    <w:p w:rsidR="00D56189" w:rsidRDefault="00D56189" w:rsidP="00D75EEB">
      <w:pPr>
        <w:spacing w:after="0"/>
        <w:rPr>
          <w:rFonts w:ascii="Arial" w:hAnsi="Arial" w:cs="Arial"/>
        </w:rPr>
      </w:pPr>
      <w:r w:rsidRPr="00D75EEB">
        <w:rPr>
          <w:rFonts w:ascii="Arial" w:hAnsi="Arial" w:cs="Arial"/>
        </w:rPr>
        <w:t>The A</w:t>
      </w:r>
      <w:r w:rsidR="00152E41">
        <w:rPr>
          <w:rFonts w:ascii="Arial" w:hAnsi="Arial" w:cs="Arial"/>
        </w:rPr>
        <w:t>ustralian Competition and Consumer Commission (A</w:t>
      </w:r>
      <w:r w:rsidRPr="00D75EEB">
        <w:rPr>
          <w:rFonts w:ascii="Arial" w:hAnsi="Arial" w:cs="Arial"/>
        </w:rPr>
        <w:t>CCC</w:t>
      </w:r>
      <w:r w:rsidR="00152E41">
        <w:rPr>
          <w:rFonts w:ascii="Arial" w:hAnsi="Arial" w:cs="Arial"/>
        </w:rPr>
        <w:t>)</w:t>
      </w:r>
      <w:r w:rsidRPr="00D75EEB">
        <w:rPr>
          <w:rFonts w:ascii="Arial" w:hAnsi="Arial" w:cs="Arial"/>
        </w:rPr>
        <w:t xml:space="preserve"> </w:t>
      </w:r>
      <w:r w:rsidR="00152E41">
        <w:rPr>
          <w:rFonts w:ascii="Arial" w:hAnsi="Arial" w:cs="Arial"/>
        </w:rPr>
        <w:t>are</w:t>
      </w:r>
      <w:r w:rsidR="00152E41" w:rsidRPr="00D75EEB">
        <w:rPr>
          <w:rFonts w:ascii="Arial" w:hAnsi="Arial" w:cs="Arial"/>
        </w:rPr>
        <w:t xml:space="preserve"> </w:t>
      </w:r>
      <w:r w:rsidR="00A4157B" w:rsidRPr="00D75EEB">
        <w:rPr>
          <w:rFonts w:ascii="Arial" w:hAnsi="Arial" w:cs="Arial"/>
        </w:rPr>
        <w:t xml:space="preserve">working with gas regulators </w:t>
      </w:r>
      <w:r w:rsidR="00152E41">
        <w:rPr>
          <w:rFonts w:ascii="Arial" w:hAnsi="Arial" w:cs="Arial"/>
        </w:rPr>
        <w:t>around Australia</w:t>
      </w:r>
      <w:r w:rsidR="00152E41" w:rsidRPr="00D75EEB">
        <w:rPr>
          <w:rFonts w:ascii="Arial" w:hAnsi="Arial" w:cs="Arial"/>
        </w:rPr>
        <w:t xml:space="preserve"> </w:t>
      </w:r>
      <w:r w:rsidR="00A4157B" w:rsidRPr="00D75EEB">
        <w:rPr>
          <w:rFonts w:ascii="Arial" w:hAnsi="Arial" w:cs="Arial"/>
        </w:rPr>
        <w:t>to recall these models and stop their sale.</w:t>
      </w:r>
      <w:r w:rsidR="00B3359D">
        <w:rPr>
          <w:rFonts w:ascii="Arial" w:hAnsi="Arial" w:cs="Arial"/>
        </w:rPr>
        <w:t xml:space="preserve"> </w:t>
      </w:r>
      <w:r w:rsidR="00A4157B" w:rsidRPr="00D75EEB">
        <w:rPr>
          <w:rFonts w:ascii="Arial" w:hAnsi="Arial" w:cs="Arial"/>
        </w:rPr>
        <w:t xml:space="preserve"> Affected portable </w:t>
      </w:r>
      <w:r w:rsidR="00152E41">
        <w:rPr>
          <w:rFonts w:ascii="Arial" w:hAnsi="Arial" w:cs="Arial"/>
        </w:rPr>
        <w:t xml:space="preserve">butane </w:t>
      </w:r>
      <w:proofErr w:type="gramStart"/>
      <w:r w:rsidR="00152E41">
        <w:rPr>
          <w:rFonts w:ascii="Arial" w:hAnsi="Arial" w:cs="Arial"/>
        </w:rPr>
        <w:t xml:space="preserve">canister </w:t>
      </w:r>
      <w:r w:rsidR="002855FE">
        <w:rPr>
          <w:rFonts w:ascii="Arial" w:hAnsi="Arial" w:cs="Arial"/>
        </w:rPr>
        <w:t xml:space="preserve"> ‘</w:t>
      </w:r>
      <w:r w:rsidR="00152E41">
        <w:rPr>
          <w:rFonts w:ascii="Arial" w:hAnsi="Arial" w:cs="Arial"/>
        </w:rPr>
        <w:t>lunchbox</w:t>
      </w:r>
      <w:r w:rsidR="002855FE">
        <w:rPr>
          <w:rFonts w:ascii="Arial" w:hAnsi="Arial" w:cs="Arial"/>
        </w:rPr>
        <w:t>’</w:t>
      </w:r>
      <w:proofErr w:type="gramEnd"/>
      <w:r w:rsidR="002855FE">
        <w:rPr>
          <w:rFonts w:ascii="Arial" w:hAnsi="Arial" w:cs="Arial"/>
        </w:rPr>
        <w:t xml:space="preserve"> </w:t>
      </w:r>
      <w:r w:rsidR="00152E41">
        <w:rPr>
          <w:rFonts w:ascii="Arial" w:hAnsi="Arial" w:cs="Arial"/>
        </w:rPr>
        <w:t>cookers</w:t>
      </w:r>
      <w:r w:rsidR="00A4157B" w:rsidRPr="00D75EEB">
        <w:rPr>
          <w:rFonts w:ascii="Arial" w:hAnsi="Arial" w:cs="Arial"/>
        </w:rPr>
        <w:t xml:space="preserve"> have had their certificates of conformance withdrawn.</w:t>
      </w:r>
    </w:p>
    <w:p w:rsidR="00E16FF8" w:rsidRPr="00D75EEB" w:rsidRDefault="00F05D83" w:rsidP="00D75E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  <w:r w:rsidR="00802030">
        <w:rPr>
          <w:noProof/>
          <w:lang w:eastAsia="en-AU"/>
        </w:rPr>
        <w:drawing>
          <wp:inline distT="0" distB="0" distL="0" distR="0" wp14:anchorId="000517DA" wp14:editId="5E70AE81">
            <wp:extent cx="5135880" cy="1767840"/>
            <wp:effectExtent l="0" t="0" r="7620" b="3810"/>
            <wp:docPr id="2" name="Picture 2" descr="cid:image001.png@01D083FF.96E2A7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083FF.96E2A7C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7D1" w:rsidRPr="00D75EEB" w:rsidRDefault="00DF67D1" w:rsidP="00D75EEB">
      <w:pPr>
        <w:spacing w:after="0" w:line="240" w:lineRule="auto"/>
        <w:rPr>
          <w:rFonts w:ascii="Arial" w:hAnsi="Arial" w:cs="Arial"/>
        </w:rPr>
      </w:pPr>
    </w:p>
    <w:p w:rsidR="00803D5A" w:rsidRPr="0041790E" w:rsidRDefault="00803D5A" w:rsidP="0041790E">
      <w:pPr>
        <w:spacing w:after="120" w:line="240" w:lineRule="auto"/>
        <w:rPr>
          <w:rFonts w:ascii="Arial" w:hAnsi="Arial" w:cs="Arial"/>
          <w:b/>
          <w:sz w:val="24"/>
        </w:rPr>
      </w:pPr>
      <w:r w:rsidRPr="0041790E">
        <w:rPr>
          <w:rFonts w:ascii="Arial" w:hAnsi="Arial" w:cs="Arial"/>
          <w:b/>
          <w:sz w:val="24"/>
        </w:rPr>
        <w:t>Factors</w:t>
      </w:r>
      <w:r w:rsidR="00FD623B">
        <w:rPr>
          <w:rFonts w:ascii="Arial" w:hAnsi="Arial" w:cs="Arial"/>
          <w:b/>
          <w:sz w:val="24"/>
        </w:rPr>
        <w:t xml:space="preserve"> </w:t>
      </w:r>
      <w:r w:rsidRPr="0041790E">
        <w:rPr>
          <w:rFonts w:ascii="Arial" w:hAnsi="Arial" w:cs="Arial"/>
          <w:b/>
          <w:sz w:val="24"/>
        </w:rPr>
        <w:t xml:space="preserve">/ Risks to consider </w:t>
      </w:r>
    </w:p>
    <w:p w:rsidR="00D56189" w:rsidRDefault="00D56189" w:rsidP="00CC778C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The use of butane canister or ‘lunchbox’ cookers may explode if they over heat</w:t>
      </w:r>
    </w:p>
    <w:p w:rsidR="00D75EEB" w:rsidRDefault="00D75EEB" w:rsidP="00CC778C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Testing undertaken by State gas regulators found a fault with the cookers’ shut-off valves posing a risk the devices may overheat and could explode</w:t>
      </w:r>
    </w:p>
    <w:p w:rsidR="00786F50" w:rsidRDefault="00786F50" w:rsidP="00CC778C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If these devices malfunction they can potentially cause serious injury.</w:t>
      </w:r>
    </w:p>
    <w:p w:rsidR="00AD1973" w:rsidRPr="0041790E" w:rsidRDefault="003F3FFB" w:rsidP="00441FE0">
      <w:pPr>
        <w:spacing w:after="120"/>
        <w:rPr>
          <w:rFonts w:ascii="Arial" w:hAnsi="Arial" w:cs="Arial"/>
          <w:b/>
          <w:sz w:val="24"/>
        </w:rPr>
      </w:pPr>
      <w:r w:rsidRPr="0041790E">
        <w:rPr>
          <w:rFonts w:ascii="Arial" w:hAnsi="Arial" w:cs="Arial"/>
          <w:b/>
          <w:sz w:val="24"/>
        </w:rPr>
        <w:t>Reco</w:t>
      </w:r>
      <w:r w:rsidR="00F77DA4" w:rsidRPr="0041790E">
        <w:rPr>
          <w:rFonts w:ascii="Arial" w:hAnsi="Arial" w:cs="Arial"/>
          <w:b/>
          <w:sz w:val="24"/>
        </w:rPr>
        <w:t>mmendations</w:t>
      </w:r>
      <w:r w:rsidR="009D2792" w:rsidRPr="0041790E">
        <w:rPr>
          <w:rFonts w:ascii="Arial" w:hAnsi="Arial" w:cs="Arial"/>
          <w:b/>
          <w:sz w:val="24"/>
        </w:rPr>
        <w:t>/Action required</w:t>
      </w:r>
    </w:p>
    <w:p w:rsidR="001B570D" w:rsidRDefault="00DF67D1" w:rsidP="001B570D">
      <w:pPr>
        <w:pStyle w:val="ListParagraph"/>
        <w:numPr>
          <w:ilvl w:val="0"/>
          <w:numId w:val="16"/>
        </w:numPr>
        <w:spacing w:before="120" w:after="120" w:line="240" w:lineRule="auto"/>
        <w:rPr>
          <w:rFonts w:ascii="Arial" w:hAnsi="Arial" w:cs="Arial"/>
          <w:b/>
        </w:rPr>
      </w:pPr>
      <w:r w:rsidRPr="00D75EEB">
        <w:rPr>
          <w:rFonts w:ascii="Arial" w:hAnsi="Arial" w:cs="Arial"/>
          <w:b/>
        </w:rPr>
        <w:t>R</w:t>
      </w:r>
      <w:r w:rsidR="00A22C05" w:rsidRPr="00D75EEB">
        <w:rPr>
          <w:rFonts w:ascii="Arial" w:hAnsi="Arial" w:cs="Arial"/>
          <w:b/>
        </w:rPr>
        <w:t>emov</w:t>
      </w:r>
      <w:r w:rsidR="00550A9B">
        <w:rPr>
          <w:rFonts w:ascii="Arial" w:hAnsi="Arial" w:cs="Arial"/>
          <w:b/>
        </w:rPr>
        <w:t>e</w:t>
      </w:r>
      <w:r w:rsidR="00A22C05" w:rsidRPr="00D75EEB">
        <w:rPr>
          <w:rFonts w:ascii="Arial" w:hAnsi="Arial" w:cs="Arial"/>
          <w:b/>
        </w:rPr>
        <w:t xml:space="preserve"> </w:t>
      </w:r>
      <w:r w:rsidR="00F82E40" w:rsidRPr="00D75EEB">
        <w:rPr>
          <w:rFonts w:ascii="Arial" w:hAnsi="Arial" w:cs="Arial"/>
          <w:b/>
        </w:rPr>
        <w:t xml:space="preserve">banned butane </w:t>
      </w:r>
      <w:r w:rsidR="00B3359D">
        <w:rPr>
          <w:rFonts w:ascii="Arial" w:hAnsi="Arial" w:cs="Arial"/>
          <w:b/>
        </w:rPr>
        <w:t>canister</w:t>
      </w:r>
      <w:r w:rsidR="00B3359D" w:rsidRPr="00D75EEB">
        <w:rPr>
          <w:rFonts w:ascii="Arial" w:hAnsi="Arial" w:cs="Arial"/>
          <w:b/>
        </w:rPr>
        <w:t xml:space="preserve"> </w:t>
      </w:r>
      <w:r w:rsidR="00F82E40" w:rsidRPr="00D75EEB">
        <w:rPr>
          <w:rFonts w:ascii="Arial" w:hAnsi="Arial" w:cs="Arial"/>
          <w:b/>
        </w:rPr>
        <w:t xml:space="preserve">‘lunchbox’ cookers from </w:t>
      </w:r>
      <w:r w:rsidR="00A22C05" w:rsidRPr="00D75EEB">
        <w:rPr>
          <w:rFonts w:ascii="Arial" w:hAnsi="Arial" w:cs="Arial"/>
          <w:b/>
        </w:rPr>
        <w:t>DE</w:t>
      </w:r>
      <w:r w:rsidRPr="00D75EEB">
        <w:rPr>
          <w:rFonts w:ascii="Arial" w:hAnsi="Arial" w:cs="Arial"/>
          <w:b/>
        </w:rPr>
        <w:t>T</w:t>
      </w:r>
      <w:r w:rsidR="00A22C05" w:rsidRPr="00D75EEB">
        <w:rPr>
          <w:rFonts w:ascii="Arial" w:hAnsi="Arial" w:cs="Arial"/>
          <w:b/>
        </w:rPr>
        <w:t xml:space="preserve"> schools</w:t>
      </w:r>
      <w:r w:rsidR="00D86597">
        <w:rPr>
          <w:rFonts w:ascii="Arial" w:hAnsi="Arial" w:cs="Arial"/>
          <w:b/>
        </w:rPr>
        <w:t>:</w:t>
      </w:r>
    </w:p>
    <w:p w:rsidR="001B570D" w:rsidRPr="001B570D" w:rsidRDefault="00D86597" w:rsidP="001B570D">
      <w:pPr>
        <w:pStyle w:val="ListParagraph"/>
        <w:numPr>
          <w:ilvl w:val="0"/>
          <w:numId w:val="29"/>
        </w:numPr>
        <w:spacing w:before="120" w:after="120" w:line="240" w:lineRule="auto"/>
        <w:rPr>
          <w:rFonts w:ascii="Arial" w:hAnsi="Arial" w:cs="Arial"/>
          <w:b/>
        </w:rPr>
      </w:pPr>
      <w:r w:rsidRPr="001B570D">
        <w:rPr>
          <w:rFonts w:ascii="Arial" w:hAnsi="Arial" w:cs="Arial"/>
        </w:rPr>
        <w:t>DET workplaces are</w:t>
      </w:r>
      <w:r w:rsidR="00F832C9" w:rsidRPr="001B570D">
        <w:rPr>
          <w:rFonts w:ascii="Arial" w:hAnsi="Arial" w:cs="Arial"/>
          <w:b/>
          <w:color w:val="FF0000"/>
        </w:rPr>
        <w:t xml:space="preserve"> </w:t>
      </w:r>
      <w:r w:rsidR="00A22C05" w:rsidRPr="001B570D">
        <w:rPr>
          <w:rFonts w:ascii="Arial" w:hAnsi="Arial" w:cs="Arial"/>
          <w:b/>
          <w:color w:val="FF0000"/>
          <w:u w:val="single"/>
        </w:rPr>
        <w:t>not</w:t>
      </w:r>
      <w:r w:rsidRPr="001B570D">
        <w:rPr>
          <w:rFonts w:ascii="Arial" w:hAnsi="Arial" w:cs="Arial"/>
          <w:b/>
          <w:color w:val="FF0000"/>
          <w:u w:val="single"/>
        </w:rPr>
        <w:t xml:space="preserve"> to</w:t>
      </w:r>
      <w:r w:rsidR="00A22C05" w:rsidRPr="001B570D">
        <w:rPr>
          <w:rFonts w:ascii="Arial" w:hAnsi="Arial" w:cs="Arial"/>
          <w:b/>
          <w:color w:val="FF0000"/>
          <w:u w:val="single"/>
        </w:rPr>
        <w:t xml:space="preserve"> </w:t>
      </w:r>
      <w:r w:rsidR="000801EB" w:rsidRPr="001B570D">
        <w:rPr>
          <w:rFonts w:ascii="Arial" w:hAnsi="Arial" w:cs="Arial"/>
          <w:b/>
          <w:color w:val="FF0000"/>
          <w:u w:val="single"/>
        </w:rPr>
        <w:t xml:space="preserve">purchase or </w:t>
      </w:r>
      <w:r w:rsidR="001E6FD6" w:rsidRPr="001B570D">
        <w:rPr>
          <w:rFonts w:ascii="Arial" w:hAnsi="Arial" w:cs="Arial"/>
          <w:b/>
          <w:color w:val="FF0000"/>
          <w:u w:val="single"/>
        </w:rPr>
        <w:t>use</w:t>
      </w:r>
      <w:r w:rsidR="00A22C05" w:rsidRPr="001B570D">
        <w:rPr>
          <w:rFonts w:ascii="Arial" w:hAnsi="Arial" w:cs="Arial"/>
          <w:color w:val="FF0000"/>
        </w:rPr>
        <w:t xml:space="preserve"> </w:t>
      </w:r>
      <w:r w:rsidR="00DF67D1" w:rsidRPr="001B570D">
        <w:rPr>
          <w:rFonts w:ascii="Arial" w:hAnsi="Arial" w:cs="Arial"/>
        </w:rPr>
        <w:t>banned portable butane</w:t>
      </w:r>
      <w:r w:rsidR="00B3359D">
        <w:rPr>
          <w:rFonts w:ascii="Arial" w:hAnsi="Arial" w:cs="Arial"/>
        </w:rPr>
        <w:t xml:space="preserve"> canister</w:t>
      </w:r>
      <w:r w:rsidR="00DF67D1" w:rsidRPr="001B570D">
        <w:rPr>
          <w:rFonts w:ascii="Arial" w:hAnsi="Arial" w:cs="Arial"/>
        </w:rPr>
        <w:t xml:space="preserve"> </w:t>
      </w:r>
      <w:r w:rsidR="00B3359D">
        <w:rPr>
          <w:rFonts w:ascii="Arial" w:hAnsi="Arial" w:cs="Arial"/>
        </w:rPr>
        <w:t>’</w:t>
      </w:r>
      <w:r w:rsidR="00152E41">
        <w:rPr>
          <w:rFonts w:ascii="Arial" w:hAnsi="Arial" w:cs="Arial"/>
        </w:rPr>
        <w:t>lunchbox</w:t>
      </w:r>
      <w:r w:rsidR="00B3359D">
        <w:rPr>
          <w:rFonts w:ascii="Arial" w:hAnsi="Arial" w:cs="Arial"/>
        </w:rPr>
        <w:t>’</w:t>
      </w:r>
      <w:r w:rsidR="00DF67D1" w:rsidRPr="001B570D">
        <w:rPr>
          <w:rFonts w:ascii="Arial" w:hAnsi="Arial" w:cs="Arial"/>
        </w:rPr>
        <w:t xml:space="preserve"> cookers</w:t>
      </w:r>
    </w:p>
    <w:p w:rsidR="001B570D" w:rsidRDefault="00D86597" w:rsidP="001B570D">
      <w:pPr>
        <w:pStyle w:val="ListParagraph"/>
        <w:numPr>
          <w:ilvl w:val="0"/>
          <w:numId w:val="29"/>
        </w:numPr>
      </w:pPr>
      <w:r w:rsidRPr="001B570D">
        <w:rPr>
          <w:rFonts w:ascii="Arial" w:hAnsi="Arial" w:cs="Arial"/>
          <w:b/>
        </w:rPr>
        <w:t>I</w:t>
      </w:r>
      <w:r w:rsidR="00A22C05" w:rsidRPr="001B570D">
        <w:rPr>
          <w:rFonts w:ascii="Arial" w:hAnsi="Arial" w:cs="Arial"/>
          <w:b/>
        </w:rPr>
        <w:t xml:space="preserve">mmediately </w:t>
      </w:r>
      <w:r w:rsidR="00E363E3" w:rsidRPr="001B570D">
        <w:rPr>
          <w:rFonts w:ascii="Arial" w:hAnsi="Arial" w:cs="Arial"/>
          <w:b/>
        </w:rPr>
        <w:t>dispose</w:t>
      </w:r>
      <w:r w:rsidR="001B570D" w:rsidRPr="001B570D">
        <w:rPr>
          <w:rFonts w:ascii="Arial" w:hAnsi="Arial" w:cs="Arial"/>
          <w:b/>
        </w:rPr>
        <w:t xml:space="preserve"> </w:t>
      </w:r>
      <w:r w:rsidR="001B570D" w:rsidRPr="001B570D">
        <w:rPr>
          <w:rFonts w:ascii="Arial" w:hAnsi="Arial" w:cs="Arial"/>
        </w:rPr>
        <w:t>of</w:t>
      </w:r>
      <w:r w:rsidR="00E363E3" w:rsidRPr="001B570D">
        <w:rPr>
          <w:rFonts w:ascii="Arial" w:hAnsi="Arial" w:cs="Arial"/>
        </w:rPr>
        <w:t xml:space="preserve"> </w:t>
      </w:r>
      <w:r w:rsidR="00A22C05" w:rsidRPr="001B570D">
        <w:rPr>
          <w:rFonts w:ascii="Arial" w:hAnsi="Arial" w:cs="Arial"/>
        </w:rPr>
        <w:t xml:space="preserve">existing </w:t>
      </w:r>
      <w:r w:rsidRPr="001B570D">
        <w:rPr>
          <w:rFonts w:ascii="Arial" w:hAnsi="Arial" w:cs="Arial"/>
        </w:rPr>
        <w:t xml:space="preserve">banned models of </w:t>
      </w:r>
      <w:r w:rsidR="00DF67D1" w:rsidRPr="001B570D">
        <w:rPr>
          <w:rFonts w:ascii="Arial" w:hAnsi="Arial" w:cs="Arial"/>
        </w:rPr>
        <w:t xml:space="preserve">portable butane </w:t>
      </w:r>
      <w:r w:rsidR="00152E41">
        <w:rPr>
          <w:rFonts w:ascii="Arial" w:hAnsi="Arial" w:cs="Arial"/>
        </w:rPr>
        <w:t xml:space="preserve">canister </w:t>
      </w:r>
      <w:r w:rsidR="00B3359D">
        <w:rPr>
          <w:rFonts w:ascii="Arial" w:hAnsi="Arial" w:cs="Arial"/>
        </w:rPr>
        <w:t>‘</w:t>
      </w:r>
      <w:r w:rsidR="00DF67D1" w:rsidRPr="001B570D">
        <w:rPr>
          <w:rFonts w:ascii="Arial" w:hAnsi="Arial" w:cs="Arial"/>
        </w:rPr>
        <w:t>lunchbox</w:t>
      </w:r>
      <w:r w:rsidR="00B3359D">
        <w:rPr>
          <w:rFonts w:ascii="Arial" w:hAnsi="Arial" w:cs="Arial"/>
        </w:rPr>
        <w:t>’</w:t>
      </w:r>
      <w:r w:rsidR="00DF67D1" w:rsidRPr="001B570D">
        <w:rPr>
          <w:rFonts w:ascii="Arial" w:hAnsi="Arial" w:cs="Arial"/>
        </w:rPr>
        <w:t xml:space="preserve"> cookers</w:t>
      </w:r>
      <w:r w:rsidR="00E363E3" w:rsidRPr="001B570D">
        <w:rPr>
          <w:rFonts w:ascii="Arial" w:hAnsi="Arial" w:cs="Arial"/>
        </w:rPr>
        <w:t xml:space="preserve"> in a safe manner through the</w:t>
      </w:r>
      <w:r w:rsidR="006D4C99">
        <w:rPr>
          <w:rFonts w:ascii="Arial" w:hAnsi="Arial" w:cs="Arial"/>
        </w:rPr>
        <w:t xml:space="preserve"> general</w:t>
      </w:r>
      <w:r w:rsidR="00E363E3" w:rsidRPr="001B570D">
        <w:rPr>
          <w:rFonts w:ascii="Arial" w:hAnsi="Arial" w:cs="Arial"/>
        </w:rPr>
        <w:t xml:space="preserve"> waste</w:t>
      </w:r>
    </w:p>
    <w:p w:rsidR="00AA24A2" w:rsidRPr="001B570D" w:rsidRDefault="00152E41" w:rsidP="001B570D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Contact the </w:t>
      </w:r>
      <w:r w:rsidR="00DF67D1" w:rsidRPr="001B570D">
        <w:rPr>
          <w:rFonts w:ascii="Arial" w:hAnsi="Arial" w:cs="Arial"/>
        </w:rPr>
        <w:t>DET</w:t>
      </w:r>
      <w:r w:rsidR="000801EB" w:rsidRPr="001B570D">
        <w:rPr>
          <w:rFonts w:ascii="Arial" w:hAnsi="Arial" w:cs="Arial"/>
        </w:rPr>
        <w:t xml:space="preserve"> OHS Advisory Service</w:t>
      </w:r>
      <w:r w:rsidR="00AB0BA6" w:rsidRPr="001B570D">
        <w:rPr>
          <w:rFonts w:ascii="Arial" w:hAnsi="Arial" w:cs="Arial"/>
        </w:rPr>
        <w:t xml:space="preserve"> for further </w:t>
      </w:r>
      <w:r w:rsidR="001B570D" w:rsidRPr="001B570D">
        <w:rPr>
          <w:rFonts w:ascii="Arial" w:hAnsi="Arial" w:cs="Arial"/>
        </w:rPr>
        <w:t xml:space="preserve">information and </w:t>
      </w:r>
      <w:r w:rsidR="00AB0BA6" w:rsidRPr="001B570D">
        <w:rPr>
          <w:rFonts w:ascii="Arial" w:hAnsi="Arial" w:cs="Arial"/>
        </w:rPr>
        <w:t>advice</w:t>
      </w:r>
      <w:r w:rsidR="00AB05F1" w:rsidRPr="001B570D">
        <w:rPr>
          <w:rFonts w:ascii="Arial" w:hAnsi="Arial" w:cs="Arial"/>
        </w:rPr>
        <w:t xml:space="preserve"> on </w:t>
      </w:r>
      <w:r>
        <w:rPr>
          <w:rFonts w:ascii="Arial" w:hAnsi="Arial" w:cs="Arial"/>
        </w:rPr>
        <w:t>P</w:t>
      </w:r>
      <w:r w:rsidRPr="001B570D">
        <w:rPr>
          <w:rFonts w:ascii="Arial" w:hAnsi="Arial" w:cs="Arial"/>
        </w:rPr>
        <w:t>h</w:t>
      </w:r>
      <w:r w:rsidR="00AB05F1" w:rsidRPr="001B570D">
        <w:rPr>
          <w:rFonts w:ascii="Arial" w:hAnsi="Arial" w:cs="Arial"/>
        </w:rPr>
        <w:t xml:space="preserve">. </w:t>
      </w:r>
      <w:r w:rsidR="00AD26ED" w:rsidRPr="001B570D">
        <w:rPr>
          <w:rFonts w:ascii="Arial" w:hAnsi="Arial" w:cs="Arial"/>
          <w:b/>
        </w:rPr>
        <w:t xml:space="preserve">1300 074 </w:t>
      </w:r>
      <w:r w:rsidR="000801EB" w:rsidRPr="001B570D">
        <w:rPr>
          <w:rFonts w:ascii="Arial" w:hAnsi="Arial" w:cs="Arial"/>
          <w:b/>
        </w:rPr>
        <w:t>715</w:t>
      </w:r>
      <w:r>
        <w:rPr>
          <w:rFonts w:ascii="Arial" w:hAnsi="Arial" w:cs="Arial"/>
          <w:b/>
        </w:rPr>
        <w:t xml:space="preserve"> or email </w:t>
      </w:r>
      <w:hyperlink r:id="rId14" w:history="1">
        <w:r w:rsidRPr="00BE07D7">
          <w:rPr>
            <w:rStyle w:val="Hyperlink"/>
            <w:rFonts w:ascii="Arial" w:hAnsi="Arial" w:cs="Arial"/>
            <w:b/>
          </w:rPr>
          <w:t>safety@edumail.vic.gov.au</w:t>
        </w:r>
      </w:hyperlink>
      <w:r>
        <w:rPr>
          <w:rFonts w:ascii="Arial" w:hAnsi="Arial" w:cs="Arial"/>
          <w:b/>
        </w:rPr>
        <w:t xml:space="preserve"> </w:t>
      </w:r>
      <w:r w:rsidRPr="00152E41">
        <w:rPr>
          <w:rFonts w:ascii="Arial" w:hAnsi="Arial" w:cs="Arial"/>
        </w:rPr>
        <w:t>if required.</w:t>
      </w:r>
    </w:p>
    <w:p w:rsidR="00D75EEB" w:rsidRPr="0081503C" w:rsidRDefault="00D75EEB" w:rsidP="0041790E">
      <w:pPr>
        <w:pStyle w:val="ListParagraph"/>
        <w:spacing w:before="120" w:after="120" w:line="240" w:lineRule="auto"/>
        <w:ind w:left="0"/>
        <w:rPr>
          <w:rFonts w:ascii="Arial" w:hAnsi="Arial" w:cs="Arial"/>
          <w:b/>
          <w:sz w:val="24"/>
        </w:rPr>
      </w:pPr>
    </w:p>
    <w:p w:rsidR="00212425" w:rsidRPr="001B570D" w:rsidRDefault="004F50F6" w:rsidP="00AB05F1">
      <w:pPr>
        <w:pStyle w:val="ListParagraph"/>
        <w:numPr>
          <w:ilvl w:val="0"/>
          <w:numId w:val="16"/>
        </w:numPr>
        <w:spacing w:before="120" w:after="120" w:line="240" w:lineRule="auto"/>
        <w:rPr>
          <w:rFonts w:ascii="Arial" w:hAnsi="Arial" w:cs="Arial"/>
          <w:b/>
        </w:rPr>
      </w:pPr>
      <w:r w:rsidRPr="001B570D">
        <w:rPr>
          <w:rFonts w:ascii="Arial" w:hAnsi="Arial" w:cs="Arial"/>
          <w:b/>
        </w:rPr>
        <w:t>OHS Management</w:t>
      </w:r>
    </w:p>
    <w:p w:rsidR="004F50F6" w:rsidRPr="00D75EEB" w:rsidRDefault="004F50F6" w:rsidP="0041790E">
      <w:pPr>
        <w:pStyle w:val="ListParagraph"/>
        <w:spacing w:before="120" w:after="120" w:line="240" w:lineRule="auto"/>
        <w:ind w:left="0"/>
        <w:rPr>
          <w:rFonts w:ascii="Arial" w:hAnsi="Arial" w:cs="Arial"/>
          <w:b/>
        </w:rPr>
      </w:pPr>
    </w:p>
    <w:p w:rsidR="00650A98" w:rsidRPr="00D75EEB" w:rsidRDefault="00DF67D1" w:rsidP="0041790E">
      <w:pPr>
        <w:pStyle w:val="ListParagraph"/>
        <w:spacing w:before="120" w:after="120" w:line="240" w:lineRule="auto"/>
        <w:ind w:left="0"/>
        <w:rPr>
          <w:rFonts w:ascii="Arial" w:hAnsi="Arial" w:cs="Arial"/>
        </w:rPr>
      </w:pPr>
      <w:r w:rsidRPr="00D75EEB">
        <w:rPr>
          <w:rFonts w:ascii="Arial" w:hAnsi="Arial" w:cs="Arial"/>
        </w:rPr>
        <w:lastRenderedPageBreak/>
        <w:t>The DET</w:t>
      </w:r>
      <w:r w:rsidR="00C65A71" w:rsidRPr="00D75EEB">
        <w:rPr>
          <w:rFonts w:ascii="Arial" w:hAnsi="Arial" w:cs="Arial"/>
        </w:rPr>
        <w:t xml:space="preserve"> </w:t>
      </w:r>
      <w:r w:rsidR="001E558E" w:rsidRPr="00D75EEB">
        <w:rPr>
          <w:rFonts w:ascii="Arial" w:hAnsi="Arial" w:cs="Arial"/>
          <w:b/>
        </w:rPr>
        <w:t>OHS Management System</w:t>
      </w:r>
      <w:r w:rsidR="00441FE0" w:rsidRPr="00D75EEB">
        <w:rPr>
          <w:rFonts w:ascii="Arial" w:hAnsi="Arial" w:cs="Arial"/>
        </w:rPr>
        <w:t xml:space="preserve"> (OHSMS)</w:t>
      </w:r>
      <w:r w:rsidR="001E558E" w:rsidRPr="00D75EEB">
        <w:rPr>
          <w:rFonts w:ascii="Arial" w:hAnsi="Arial" w:cs="Arial"/>
        </w:rPr>
        <w:t xml:space="preserve"> </w:t>
      </w:r>
      <w:r w:rsidR="00C65A71" w:rsidRPr="00D75EEB">
        <w:rPr>
          <w:rFonts w:ascii="Arial" w:hAnsi="Arial" w:cs="Arial"/>
        </w:rPr>
        <w:t>procedures</w:t>
      </w:r>
      <w:r w:rsidR="001E558E" w:rsidRPr="00D75EEB">
        <w:rPr>
          <w:rFonts w:ascii="Arial" w:hAnsi="Arial" w:cs="Arial"/>
        </w:rPr>
        <w:t xml:space="preserve"> </w:t>
      </w:r>
      <w:r w:rsidR="00441FE0" w:rsidRPr="00D75EEB">
        <w:rPr>
          <w:rFonts w:ascii="Arial" w:hAnsi="Arial" w:cs="Arial"/>
        </w:rPr>
        <w:t xml:space="preserve">help </w:t>
      </w:r>
      <w:r w:rsidR="001E558E" w:rsidRPr="00D75EEB">
        <w:rPr>
          <w:rFonts w:ascii="Arial" w:hAnsi="Arial" w:cs="Arial"/>
        </w:rPr>
        <w:t>identify and manage risks</w:t>
      </w:r>
      <w:r w:rsidR="004F50F6" w:rsidRPr="00D75EEB">
        <w:rPr>
          <w:rFonts w:ascii="Arial" w:hAnsi="Arial" w:cs="Arial"/>
        </w:rPr>
        <w:t xml:space="preserve"> associated with the purchase of </w:t>
      </w:r>
      <w:r w:rsidR="00550A9B">
        <w:rPr>
          <w:rFonts w:ascii="Arial" w:hAnsi="Arial" w:cs="Arial"/>
        </w:rPr>
        <w:t>equipment.</w:t>
      </w:r>
    </w:p>
    <w:p w:rsidR="001E558E" w:rsidRPr="00D75EEB" w:rsidRDefault="00441FE0" w:rsidP="0041790E">
      <w:pPr>
        <w:pStyle w:val="ListParagraph"/>
        <w:spacing w:before="120" w:after="120" w:line="240" w:lineRule="auto"/>
        <w:ind w:left="0"/>
        <w:rPr>
          <w:rFonts w:ascii="Arial" w:hAnsi="Arial" w:cs="Arial"/>
        </w:rPr>
      </w:pPr>
      <w:r w:rsidRPr="00D75EEB">
        <w:rPr>
          <w:rFonts w:ascii="Arial" w:hAnsi="Arial" w:cs="Arial"/>
        </w:rPr>
        <w:t xml:space="preserve"> </w:t>
      </w:r>
    </w:p>
    <w:p w:rsidR="009D2792" w:rsidRPr="00D75EEB" w:rsidRDefault="00546E1E" w:rsidP="00AB05F1">
      <w:pPr>
        <w:pStyle w:val="ListParagraph"/>
        <w:numPr>
          <w:ilvl w:val="0"/>
          <w:numId w:val="10"/>
        </w:numPr>
        <w:spacing w:before="120" w:after="120" w:line="240" w:lineRule="auto"/>
        <w:ind w:left="567" w:hanging="425"/>
        <w:contextualSpacing w:val="0"/>
        <w:rPr>
          <w:rFonts w:ascii="Arial" w:hAnsi="Arial" w:cs="Arial"/>
        </w:rPr>
      </w:pPr>
      <w:r w:rsidRPr="00D75EEB">
        <w:rPr>
          <w:rFonts w:ascii="Arial" w:hAnsi="Arial" w:cs="Arial"/>
        </w:rPr>
        <w:t xml:space="preserve">Use the </w:t>
      </w:r>
      <w:hyperlink r:id="rId15" w:history="1">
        <w:r w:rsidRPr="00D75EEB">
          <w:rPr>
            <w:rStyle w:val="Hyperlink"/>
            <w:rFonts w:ascii="Arial" w:hAnsi="Arial" w:cs="Arial"/>
          </w:rPr>
          <w:t>OHS Purchasing Checklist</w:t>
        </w:r>
      </w:hyperlink>
      <w:r w:rsidRPr="00D75EEB">
        <w:rPr>
          <w:rFonts w:ascii="Arial" w:hAnsi="Arial" w:cs="Arial"/>
        </w:rPr>
        <w:t xml:space="preserve"> </w:t>
      </w:r>
      <w:r w:rsidR="00441FE0" w:rsidRPr="00D75EEB">
        <w:rPr>
          <w:rFonts w:ascii="Arial" w:hAnsi="Arial" w:cs="Arial"/>
        </w:rPr>
        <w:t>to identify potential hazards for the product</w:t>
      </w:r>
      <w:r w:rsidR="00926B98" w:rsidRPr="00D75EEB">
        <w:rPr>
          <w:rFonts w:ascii="Arial" w:hAnsi="Arial" w:cs="Arial"/>
        </w:rPr>
        <w:t xml:space="preserve"> being considered.</w:t>
      </w:r>
      <w:r w:rsidR="00B3359D">
        <w:rPr>
          <w:rFonts w:ascii="Arial" w:hAnsi="Arial" w:cs="Arial"/>
        </w:rPr>
        <w:t xml:space="preserve"> </w:t>
      </w:r>
      <w:r w:rsidR="00926B98" w:rsidRPr="00D75EEB">
        <w:rPr>
          <w:rFonts w:ascii="Arial" w:hAnsi="Arial" w:cs="Arial"/>
        </w:rPr>
        <w:t xml:space="preserve"> If a hazard is identified: </w:t>
      </w:r>
    </w:p>
    <w:p w:rsidR="00546E1E" w:rsidRPr="00D75EEB" w:rsidRDefault="00AB05F1" w:rsidP="00926B98">
      <w:pPr>
        <w:pStyle w:val="ListParagraph"/>
        <w:numPr>
          <w:ilvl w:val="1"/>
          <w:numId w:val="10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D75EEB">
        <w:rPr>
          <w:rFonts w:ascii="Arial" w:hAnsi="Arial" w:cs="Arial"/>
        </w:rPr>
        <w:t xml:space="preserve">se </w:t>
      </w:r>
      <w:r w:rsidR="00441FE0" w:rsidRPr="00D75EEB">
        <w:rPr>
          <w:rFonts w:ascii="Arial" w:hAnsi="Arial" w:cs="Arial"/>
        </w:rPr>
        <w:t xml:space="preserve">the </w:t>
      </w:r>
      <w:hyperlink r:id="rId16" w:history="1">
        <w:r w:rsidR="00546E1E" w:rsidRPr="00D75EEB">
          <w:rPr>
            <w:rStyle w:val="Hyperlink"/>
            <w:rFonts w:ascii="Arial" w:hAnsi="Arial" w:cs="Arial"/>
          </w:rPr>
          <w:t>Task Based Risk Management Form</w:t>
        </w:r>
      </w:hyperlink>
      <w:r w:rsidR="00441FE0" w:rsidRPr="00D75EEB">
        <w:rPr>
          <w:rFonts w:ascii="Arial" w:hAnsi="Arial" w:cs="Arial"/>
        </w:rPr>
        <w:t xml:space="preserve"> </w:t>
      </w:r>
      <w:r w:rsidR="00441FE0" w:rsidRPr="00D75EEB">
        <w:rPr>
          <w:rFonts w:ascii="Arial" w:hAnsi="Arial" w:cs="Arial"/>
          <w:b/>
        </w:rPr>
        <w:t>Appendix A</w:t>
      </w:r>
      <w:r w:rsidR="00441FE0" w:rsidRPr="00D75EEB">
        <w:rPr>
          <w:rFonts w:ascii="Arial" w:hAnsi="Arial" w:cs="Arial"/>
        </w:rPr>
        <w:t xml:space="preserve"> to help identify the specific hazards in the task and document </w:t>
      </w:r>
      <w:r w:rsidR="009D2792" w:rsidRPr="00D75EEB">
        <w:rPr>
          <w:rFonts w:ascii="Arial" w:hAnsi="Arial" w:cs="Arial"/>
        </w:rPr>
        <w:t xml:space="preserve">the controls put in place </w:t>
      </w:r>
    </w:p>
    <w:p w:rsidR="000E5AB4" w:rsidRPr="00D75EEB" w:rsidRDefault="00CB050E" w:rsidP="00926B98">
      <w:pPr>
        <w:pStyle w:val="ListParagraph"/>
        <w:numPr>
          <w:ilvl w:val="1"/>
          <w:numId w:val="10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26B98" w:rsidRPr="00D75EEB">
        <w:rPr>
          <w:rFonts w:ascii="Arial" w:hAnsi="Arial" w:cs="Arial"/>
        </w:rPr>
        <w:t>se</w:t>
      </w:r>
      <w:r w:rsidR="009D2792" w:rsidRPr="00D75EEB">
        <w:rPr>
          <w:rFonts w:ascii="Arial" w:hAnsi="Arial" w:cs="Arial"/>
        </w:rPr>
        <w:t xml:space="preserve"> </w:t>
      </w:r>
      <w:hyperlink r:id="rId17" w:history="1">
        <w:r w:rsidR="000E5AB4" w:rsidRPr="00D75EEB">
          <w:rPr>
            <w:rStyle w:val="Hyperlink"/>
            <w:rFonts w:ascii="Arial" w:hAnsi="Arial" w:cs="Arial"/>
          </w:rPr>
          <w:t>Safe Work Procedure Template</w:t>
        </w:r>
      </w:hyperlink>
      <w:r w:rsidR="000E5AB4" w:rsidRPr="00D75EEB">
        <w:rPr>
          <w:rFonts w:ascii="Arial" w:hAnsi="Arial" w:cs="Arial"/>
        </w:rPr>
        <w:t xml:space="preserve"> </w:t>
      </w:r>
      <w:r w:rsidR="009D2792" w:rsidRPr="00D75EEB">
        <w:rPr>
          <w:rFonts w:ascii="Arial" w:hAnsi="Arial" w:cs="Arial"/>
        </w:rPr>
        <w:t>to document both (a)</w:t>
      </w:r>
      <w:r w:rsidR="00926B98" w:rsidRPr="00D75EEB">
        <w:rPr>
          <w:rFonts w:ascii="Arial" w:hAnsi="Arial" w:cs="Arial"/>
        </w:rPr>
        <w:t xml:space="preserve"> clear instructions and procedures for safe use</w:t>
      </w:r>
      <w:r w:rsidR="009D2792" w:rsidRPr="00D75EEB">
        <w:rPr>
          <w:rFonts w:ascii="Arial" w:hAnsi="Arial" w:cs="Arial"/>
        </w:rPr>
        <w:t xml:space="preserve"> and (b) persons deemed competent to use the equipment. </w:t>
      </w:r>
    </w:p>
    <w:p w:rsidR="00E305A7" w:rsidRPr="00D75EEB" w:rsidRDefault="0026453B" w:rsidP="009D2792">
      <w:pPr>
        <w:pStyle w:val="ListParagraph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</w:rPr>
      </w:pPr>
      <w:r w:rsidRPr="00D75EEB">
        <w:rPr>
          <w:rFonts w:ascii="Arial" w:hAnsi="Arial" w:cs="Arial"/>
        </w:rPr>
        <w:t>U</w:t>
      </w:r>
      <w:r w:rsidR="009D2792" w:rsidRPr="00D75EEB">
        <w:rPr>
          <w:rFonts w:ascii="Arial" w:hAnsi="Arial" w:cs="Arial"/>
        </w:rPr>
        <w:t xml:space="preserve">pdate school’s </w:t>
      </w:r>
      <w:hyperlink r:id="rId18" w:history="1">
        <w:r w:rsidR="000E5AB4" w:rsidRPr="00D75EEB">
          <w:rPr>
            <w:rStyle w:val="Hyperlink"/>
            <w:rFonts w:ascii="Arial" w:hAnsi="Arial" w:cs="Arial"/>
          </w:rPr>
          <w:t>OHS Risk Register</w:t>
        </w:r>
      </w:hyperlink>
      <w:r w:rsidR="000E5AB4" w:rsidRPr="00D75EEB">
        <w:rPr>
          <w:rFonts w:ascii="Arial" w:hAnsi="Arial" w:cs="Arial"/>
        </w:rPr>
        <w:t xml:space="preserve"> </w:t>
      </w:r>
      <w:r w:rsidR="00C65A71" w:rsidRPr="00D75EEB">
        <w:rPr>
          <w:rFonts w:ascii="Arial" w:hAnsi="Arial" w:cs="Arial"/>
        </w:rPr>
        <w:t xml:space="preserve">to identify </w:t>
      </w:r>
      <w:r w:rsidR="00650A98" w:rsidRPr="00D75EEB">
        <w:rPr>
          <w:rFonts w:ascii="Arial" w:hAnsi="Arial" w:cs="Arial"/>
        </w:rPr>
        <w:t xml:space="preserve">hazards </w:t>
      </w:r>
      <w:r w:rsidR="009D2792" w:rsidRPr="00D75EEB">
        <w:rPr>
          <w:rFonts w:ascii="Arial" w:hAnsi="Arial" w:cs="Arial"/>
        </w:rPr>
        <w:t>and</w:t>
      </w:r>
      <w:r w:rsidR="00550A9B">
        <w:rPr>
          <w:rFonts w:ascii="Arial" w:hAnsi="Arial" w:cs="Arial"/>
        </w:rPr>
        <w:t xml:space="preserve"> record</w:t>
      </w:r>
      <w:r w:rsidR="009D2792" w:rsidRPr="00D75EEB">
        <w:rPr>
          <w:rFonts w:ascii="Arial" w:hAnsi="Arial" w:cs="Arial"/>
        </w:rPr>
        <w:t xml:space="preserve"> controls implemented to </w:t>
      </w:r>
      <w:r w:rsidRPr="00D75EEB">
        <w:rPr>
          <w:rFonts w:ascii="Arial" w:hAnsi="Arial" w:cs="Arial"/>
        </w:rPr>
        <w:t>manage</w:t>
      </w:r>
      <w:r w:rsidR="009D2792" w:rsidRPr="00D75EEB">
        <w:rPr>
          <w:rFonts w:ascii="Arial" w:hAnsi="Arial" w:cs="Arial"/>
        </w:rPr>
        <w:t xml:space="preserve"> the risk. </w:t>
      </w:r>
    </w:p>
    <w:p w:rsidR="00D75EEB" w:rsidRDefault="00D75EEB">
      <w:pPr>
        <w:rPr>
          <w:rFonts w:ascii="Arial" w:hAnsi="Arial" w:cs="Arial"/>
          <w:b/>
          <w:sz w:val="24"/>
        </w:rPr>
      </w:pPr>
    </w:p>
    <w:p w:rsidR="00AD1973" w:rsidRPr="0041790E" w:rsidRDefault="00235998">
      <w:pPr>
        <w:rPr>
          <w:rFonts w:ascii="Arial" w:hAnsi="Arial" w:cs="Arial"/>
          <w:b/>
          <w:sz w:val="24"/>
        </w:rPr>
      </w:pPr>
      <w:r w:rsidRPr="0041790E">
        <w:rPr>
          <w:rFonts w:ascii="Arial" w:hAnsi="Arial" w:cs="Arial"/>
          <w:b/>
          <w:sz w:val="24"/>
        </w:rPr>
        <w:t>Further information</w:t>
      </w:r>
    </w:p>
    <w:p w:rsidR="00235998" w:rsidRPr="00D3092A" w:rsidRDefault="00235998">
      <w:pPr>
        <w:rPr>
          <w:rFonts w:ascii="Arial" w:hAnsi="Arial" w:cs="Arial"/>
        </w:rPr>
      </w:pPr>
      <w:r w:rsidRPr="00D3092A">
        <w:rPr>
          <w:rFonts w:ascii="Arial" w:hAnsi="Arial" w:cs="Arial"/>
        </w:rPr>
        <w:t>The D</w:t>
      </w:r>
      <w:r w:rsidR="00F832C9">
        <w:rPr>
          <w:rFonts w:ascii="Arial" w:hAnsi="Arial" w:cs="Arial"/>
        </w:rPr>
        <w:t>ET</w:t>
      </w:r>
      <w:r w:rsidRPr="00D3092A">
        <w:rPr>
          <w:rFonts w:ascii="Arial" w:hAnsi="Arial" w:cs="Arial"/>
        </w:rPr>
        <w:t xml:space="preserve">’s </w:t>
      </w:r>
      <w:hyperlink r:id="rId19" w:history="1">
        <w:r w:rsidRPr="00D3092A">
          <w:rPr>
            <w:rStyle w:val="Hyperlink"/>
            <w:rFonts w:ascii="Arial" w:hAnsi="Arial" w:cs="Arial"/>
          </w:rPr>
          <w:t>Occupational Health and Safety Management System</w:t>
        </w:r>
      </w:hyperlink>
      <w:r w:rsidRPr="00D3092A">
        <w:rPr>
          <w:rFonts w:ascii="Arial" w:hAnsi="Arial" w:cs="Arial"/>
        </w:rPr>
        <w:t xml:space="preserve"> provide policies and procedures for managing </w:t>
      </w:r>
      <w:r w:rsidR="001E6FD6">
        <w:rPr>
          <w:rFonts w:ascii="Arial" w:hAnsi="Arial" w:cs="Arial"/>
        </w:rPr>
        <w:t>dangerous goods in the workplace.</w:t>
      </w:r>
    </w:p>
    <w:p w:rsidR="009D1A91" w:rsidRPr="00D3092A" w:rsidRDefault="00BE6301">
      <w:pPr>
        <w:rPr>
          <w:rFonts w:ascii="Arial" w:hAnsi="Arial" w:cs="Arial"/>
        </w:rPr>
      </w:pPr>
      <w:r>
        <w:rPr>
          <w:rFonts w:ascii="Arial" w:hAnsi="Arial" w:cs="Arial"/>
        </w:rPr>
        <w:t>Fo</w:t>
      </w:r>
      <w:r w:rsidR="00235998" w:rsidRPr="00D3092A">
        <w:rPr>
          <w:rFonts w:ascii="Arial" w:hAnsi="Arial" w:cs="Arial"/>
        </w:rPr>
        <w:t>r further assistance contact the OHS Adviso</w:t>
      </w:r>
      <w:r w:rsidR="00BC4159">
        <w:rPr>
          <w:rFonts w:ascii="Arial" w:hAnsi="Arial" w:cs="Arial"/>
        </w:rPr>
        <w:t>ry Service on 1300 074 715 or e</w:t>
      </w:r>
      <w:r w:rsidR="00235998" w:rsidRPr="00D3092A">
        <w:rPr>
          <w:rFonts w:ascii="Arial" w:hAnsi="Arial" w:cs="Arial"/>
        </w:rPr>
        <w:t>mail</w:t>
      </w:r>
      <w:r w:rsidR="00BC4159">
        <w:rPr>
          <w:rFonts w:ascii="Arial" w:hAnsi="Arial" w:cs="Arial"/>
        </w:rPr>
        <w:t xml:space="preserve"> </w:t>
      </w:r>
      <w:hyperlink r:id="rId20" w:history="1">
        <w:r w:rsidR="00235998" w:rsidRPr="00D3092A">
          <w:rPr>
            <w:rStyle w:val="Hyperlink"/>
            <w:rFonts w:ascii="Arial" w:hAnsi="Arial" w:cs="Arial"/>
          </w:rPr>
          <w:t>safety@edumail.vic.gov.au</w:t>
        </w:r>
      </w:hyperlink>
      <w:r w:rsidR="00235998" w:rsidRPr="00D3092A">
        <w:rPr>
          <w:rFonts w:ascii="Arial" w:hAnsi="Arial" w:cs="Arial"/>
        </w:rPr>
        <w:t>.</w:t>
      </w:r>
    </w:p>
    <w:p w:rsidR="001964B5" w:rsidRDefault="001964B5" w:rsidP="004F50F6">
      <w:pPr>
        <w:pStyle w:val="Pa0"/>
        <w:rPr>
          <w:rFonts w:ascii="Arial" w:hAnsi="Arial" w:cs="Arial"/>
          <w:b/>
          <w:bCs/>
          <w:color w:val="221E1F"/>
          <w:sz w:val="18"/>
          <w:szCs w:val="18"/>
        </w:rPr>
      </w:pPr>
    </w:p>
    <w:p w:rsidR="00D75EEB" w:rsidRDefault="00D75EEB" w:rsidP="002373AB">
      <w:pPr>
        <w:rPr>
          <w:rFonts w:ascii="Arial" w:hAnsi="Arial" w:cs="Arial"/>
          <w:b/>
        </w:rPr>
      </w:pPr>
    </w:p>
    <w:p w:rsidR="00D75EEB" w:rsidRDefault="00D75EEB" w:rsidP="002373AB">
      <w:pPr>
        <w:rPr>
          <w:rFonts w:ascii="Arial" w:hAnsi="Arial" w:cs="Arial"/>
          <w:b/>
        </w:rPr>
      </w:pPr>
    </w:p>
    <w:p w:rsidR="00D75EEB" w:rsidRDefault="00D75EEB" w:rsidP="002373AB">
      <w:pPr>
        <w:rPr>
          <w:rFonts w:ascii="Arial" w:hAnsi="Arial" w:cs="Arial"/>
          <w:b/>
        </w:rPr>
      </w:pPr>
    </w:p>
    <w:p w:rsidR="00D75EEB" w:rsidRDefault="00D75EEB" w:rsidP="002373AB">
      <w:pPr>
        <w:rPr>
          <w:rFonts w:ascii="Arial" w:hAnsi="Arial" w:cs="Arial"/>
          <w:b/>
        </w:rPr>
      </w:pPr>
    </w:p>
    <w:p w:rsidR="00D75EEB" w:rsidRDefault="00D75EEB" w:rsidP="002373AB">
      <w:pPr>
        <w:rPr>
          <w:rFonts w:ascii="Arial" w:hAnsi="Arial" w:cs="Arial"/>
          <w:b/>
        </w:rPr>
      </w:pPr>
    </w:p>
    <w:p w:rsidR="002373AB" w:rsidRDefault="002373AB" w:rsidP="002373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Acknowledgement</w:t>
      </w:r>
    </w:p>
    <w:p w:rsidR="00B53A2D" w:rsidRPr="00D75EEB" w:rsidRDefault="00B53A2D" w:rsidP="00D75EEB">
      <w:pPr>
        <w:spacing w:line="240" w:lineRule="auto"/>
        <w:rPr>
          <w:rFonts w:ascii="Arial" w:hAnsi="Arial" w:cs="Arial"/>
        </w:rPr>
      </w:pPr>
      <w:r w:rsidRPr="00D75EEB">
        <w:rPr>
          <w:rFonts w:ascii="Arial" w:hAnsi="Arial" w:cs="Arial"/>
        </w:rPr>
        <w:t xml:space="preserve">Energy </w:t>
      </w:r>
      <w:r w:rsidR="00152E41">
        <w:rPr>
          <w:rFonts w:ascii="Arial" w:hAnsi="Arial" w:cs="Arial"/>
        </w:rPr>
        <w:t>S</w:t>
      </w:r>
      <w:r w:rsidR="00152E41" w:rsidRPr="00D75EEB">
        <w:rPr>
          <w:rFonts w:ascii="Arial" w:hAnsi="Arial" w:cs="Arial"/>
        </w:rPr>
        <w:t xml:space="preserve">afe </w:t>
      </w:r>
      <w:r w:rsidRPr="00D75EEB">
        <w:rPr>
          <w:rFonts w:ascii="Arial" w:hAnsi="Arial" w:cs="Arial"/>
        </w:rPr>
        <w:t>Victoria</w:t>
      </w:r>
    </w:p>
    <w:p w:rsidR="00B53A2D" w:rsidRDefault="00D75EEB" w:rsidP="00D75EEB">
      <w:pPr>
        <w:spacing w:line="240" w:lineRule="auto"/>
        <w:rPr>
          <w:rFonts w:ascii="Arial" w:hAnsi="Arial" w:cs="Arial"/>
        </w:rPr>
      </w:pPr>
      <w:r w:rsidRPr="00D75EEB">
        <w:rPr>
          <w:rFonts w:ascii="Arial" w:hAnsi="Arial" w:cs="Arial"/>
        </w:rPr>
        <w:t>Fair Trading NSW Government</w:t>
      </w:r>
    </w:p>
    <w:p w:rsidR="00152E41" w:rsidRPr="00152E41" w:rsidRDefault="00152E41" w:rsidP="00D75EEB">
      <w:pPr>
        <w:spacing w:line="240" w:lineRule="auto"/>
        <w:rPr>
          <w:rFonts w:ascii="Arial" w:hAnsi="Arial" w:cs="Arial"/>
        </w:rPr>
      </w:pPr>
      <w:r w:rsidRPr="00152E41">
        <w:rPr>
          <w:rFonts w:ascii="Arial" w:hAnsi="Arial" w:cs="Arial"/>
        </w:rPr>
        <w:t>Product Safety Recalls Australia</w:t>
      </w:r>
    </w:p>
    <w:p w:rsidR="00322ABA" w:rsidRDefault="00322ABA" w:rsidP="0038411D">
      <w:pPr>
        <w:pStyle w:val="Pa0"/>
        <w:rPr>
          <w:rFonts w:ascii="Arial" w:hAnsi="Arial" w:cs="Arial"/>
          <w:b/>
          <w:bCs/>
          <w:color w:val="221E1F"/>
          <w:sz w:val="18"/>
          <w:szCs w:val="18"/>
        </w:rPr>
      </w:pPr>
    </w:p>
    <w:p w:rsidR="0038411D" w:rsidRPr="00C61B3B" w:rsidRDefault="0038411D" w:rsidP="0038411D">
      <w:pPr>
        <w:pStyle w:val="Pa0"/>
        <w:rPr>
          <w:rFonts w:ascii="Arial" w:hAnsi="Arial" w:cs="Arial"/>
          <w:color w:val="221E1F"/>
          <w:sz w:val="18"/>
          <w:szCs w:val="18"/>
        </w:rPr>
      </w:pPr>
      <w:r w:rsidRPr="00C61B3B">
        <w:rPr>
          <w:rFonts w:ascii="Arial" w:hAnsi="Arial" w:cs="Arial"/>
          <w:b/>
          <w:bCs/>
          <w:color w:val="221E1F"/>
          <w:sz w:val="18"/>
          <w:szCs w:val="18"/>
        </w:rPr>
        <w:t>Disclaimer</w:t>
      </w:r>
    </w:p>
    <w:p w:rsidR="0038411D" w:rsidRDefault="0038411D" w:rsidP="0038411D">
      <w:pPr>
        <w:spacing w:line="240" w:lineRule="auto"/>
        <w:rPr>
          <w:rFonts w:ascii="Arial" w:hAnsi="Arial" w:cs="Arial"/>
        </w:rPr>
      </w:pPr>
      <w:r w:rsidRPr="00C61B3B">
        <w:rPr>
          <w:rStyle w:val="A5"/>
          <w:rFonts w:ascii="Arial" w:hAnsi="Arial" w:cs="Arial"/>
          <w:sz w:val="16"/>
          <w:szCs w:val="16"/>
        </w:rPr>
        <w:t>This Alert contains information following DE</w:t>
      </w:r>
      <w:r w:rsidR="00152E41">
        <w:rPr>
          <w:rStyle w:val="A5"/>
          <w:rFonts w:ascii="Arial" w:hAnsi="Arial" w:cs="Arial"/>
          <w:sz w:val="16"/>
          <w:szCs w:val="16"/>
        </w:rPr>
        <w:t>T</w:t>
      </w:r>
      <w:r w:rsidRPr="00C61B3B">
        <w:rPr>
          <w:rStyle w:val="A5"/>
          <w:rFonts w:ascii="Arial" w:hAnsi="Arial" w:cs="Arial"/>
          <w:sz w:val="16"/>
          <w:szCs w:val="16"/>
        </w:rPr>
        <w:t>’s inquiries into an incident at the date of this report. The information contained in this report does not necessarily reflect the final outcome of DE</w:t>
      </w:r>
      <w:r w:rsidR="00152E41">
        <w:rPr>
          <w:rStyle w:val="A5"/>
          <w:rFonts w:ascii="Arial" w:hAnsi="Arial" w:cs="Arial"/>
          <w:sz w:val="16"/>
          <w:szCs w:val="16"/>
        </w:rPr>
        <w:t>T</w:t>
      </w:r>
      <w:r w:rsidRPr="00C61B3B">
        <w:rPr>
          <w:rStyle w:val="A5"/>
          <w:rFonts w:ascii="Arial" w:hAnsi="Arial" w:cs="Arial"/>
          <w:sz w:val="16"/>
          <w:szCs w:val="16"/>
        </w:rPr>
        <w:t>’s action with respect to this incident. DE</w:t>
      </w:r>
      <w:r w:rsidR="00152E41">
        <w:rPr>
          <w:rStyle w:val="A5"/>
          <w:rFonts w:ascii="Arial" w:hAnsi="Arial" w:cs="Arial"/>
          <w:sz w:val="16"/>
          <w:szCs w:val="16"/>
        </w:rPr>
        <w:t>T</w:t>
      </w:r>
      <w:r w:rsidRPr="00C61B3B">
        <w:rPr>
          <w:rStyle w:val="A5"/>
          <w:rFonts w:ascii="Arial" w:hAnsi="Arial" w:cs="Arial"/>
          <w:sz w:val="16"/>
          <w:szCs w:val="16"/>
        </w:rPr>
        <w:t xml:space="preserve"> does not warrant the information in this report is complete or up-to-date and does not accept any liability to any person in relation to the information in this report or as to its use</w:t>
      </w:r>
      <w:r>
        <w:rPr>
          <w:rStyle w:val="A5"/>
          <w:rFonts w:ascii="Arial" w:hAnsi="Arial" w:cs="Arial"/>
        </w:rPr>
        <w:t>.</w:t>
      </w:r>
    </w:p>
    <w:p w:rsidR="00AD1973" w:rsidRPr="00152E41" w:rsidRDefault="00AD1973" w:rsidP="00152E41">
      <w:pPr>
        <w:spacing w:line="240" w:lineRule="auto"/>
        <w:rPr>
          <w:rStyle w:val="A5"/>
          <w:rFonts w:asciiTheme="minorHAnsi" w:hAnsiTheme="minorHAnsi"/>
          <w:b/>
          <w:i w:val="0"/>
          <w:iCs w:val="0"/>
          <w:color w:val="auto"/>
        </w:rPr>
      </w:pPr>
    </w:p>
    <w:tbl>
      <w:tblPr>
        <w:tblW w:w="93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34"/>
        <w:gridCol w:w="4670"/>
      </w:tblGrid>
      <w:tr w:rsidR="00B53A2D" w:rsidRPr="0024237E" w:rsidTr="00F832C9">
        <w:trPr>
          <w:trHeight w:val="181"/>
          <w:tblCellSpacing w:w="0" w:type="dxa"/>
        </w:trPr>
        <w:tc>
          <w:tcPr>
            <w:tcW w:w="93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B53A2D" w:rsidRPr="0024237E" w:rsidRDefault="00B53A2D" w:rsidP="00B53A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AU"/>
              </w:rPr>
              <w:lastRenderedPageBreak/>
              <w:t>U</w:t>
            </w:r>
            <w:r w:rsidRPr="0024237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AU"/>
              </w:rPr>
              <w:t xml:space="preserve">NCERTIFIED PRODUCTS – </w:t>
            </w:r>
            <w:r w:rsidRPr="00F832C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n-AU"/>
              </w:rPr>
              <w:t>DON’T USE</w:t>
            </w:r>
          </w:p>
        </w:tc>
      </w:tr>
      <w:tr w:rsidR="00B53A2D" w:rsidRPr="0024237E" w:rsidTr="00B53A2D">
        <w:trPr>
          <w:trHeight w:val="181"/>
          <w:tblCellSpacing w:w="0" w:type="dxa"/>
        </w:trPr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AU"/>
              </w:rPr>
              <w:t>Brands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AU"/>
              </w:rPr>
              <w:t>Model number</w:t>
            </w:r>
          </w:p>
        </w:tc>
      </w:tr>
      <w:tr w:rsidR="00B53A2D" w:rsidRPr="0024237E" w:rsidTr="00B53A2D">
        <w:trPr>
          <w:trHeight w:val="595"/>
          <w:tblCellSpacing w:w="0" w:type="dxa"/>
        </w:trPr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Home Essentials, Red Stone, My Collection, Bai Hui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BDZ-168</w:t>
            </w:r>
          </w:p>
          <w:p w:rsidR="00B53A2D" w:rsidRPr="0024237E" w:rsidRDefault="00B53A2D" w:rsidP="00B53A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BDZ-163S</w:t>
            </w:r>
          </w:p>
        </w:tc>
      </w:tr>
      <w:tr w:rsidR="00B53A2D" w:rsidRPr="0024237E" w:rsidTr="00A32298">
        <w:trPr>
          <w:trHeight w:val="568"/>
          <w:tblCellSpacing w:w="0" w:type="dxa"/>
        </w:trPr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Five Star</w:t>
            </w:r>
          </w:p>
          <w:p w:rsidR="00B53A2D" w:rsidRPr="0024237E" w:rsidRDefault="00B53A2D" w:rsidP="00B53A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Gasmate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MS-2000</w:t>
            </w:r>
          </w:p>
          <w:p w:rsidR="00B53A2D" w:rsidRPr="0024237E" w:rsidRDefault="00B53A2D" w:rsidP="00B53A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Plus MS-2000</w:t>
            </w:r>
          </w:p>
        </w:tc>
      </w:tr>
      <w:tr w:rsidR="00B53A2D" w:rsidRPr="0024237E" w:rsidTr="00A32298">
        <w:trPr>
          <w:trHeight w:val="1528"/>
          <w:tblCellSpacing w:w="0" w:type="dxa"/>
        </w:trPr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Gasmate</w:t>
            </w:r>
          </w:p>
          <w:p w:rsidR="00B53A2D" w:rsidRPr="0024237E" w:rsidRDefault="00B53A2D" w:rsidP="00B53A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Gasmaster</w:t>
            </w:r>
          </w:p>
          <w:p w:rsidR="00B53A2D" w:rsidRPr="0024237E" w:rsidRDefault="00B53A2D" w:rsidP="00B53A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Jumbuck</w:t>
            </w:r>
          </w:p>
          <w:p w:rsidR="00B53A2D" w:rsidRPr="0024237E" w:rsidRDefault="00B53A2D" w:rsidP="00B53A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Jackeroo</w:t>
            </w:r>
          </w:p>
          <w:p w:rsidR="00B53A2D" w:rsidRPr="0024237E" w:rsidRDefault="00B53A2D" w:rsidP="00B53A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Excalibur</w:t>
            </w:r>
          </w:p>
          <w:p w:rsidR="00B53A2D" w:rsidRPr="0024237E" w:rsidRDefault="00B53A2D" w:rsidP="00B53A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Adventure Ridge</w:t>
            </w:r>
          </w:p>
          <w:p w:rsidR="00B53A2D" w:rsidRPr="0024237E" w:rsidRDefault="00B53A2D" w:rsidP="00B53A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Buy Right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PC1060, KPC1060, MPC1060, PC1065, JPC1065 PC1070, PC1075, PC2070, KPC2070, MPC2070, AR2070, PC2075, BBC2075, PC2080</w:t>
            </w:r>
          </w:p>
        </w:tc>
      </w:tr>
      <w:tr w:rsidR="00B53A2D" w:rsidRPr="0024237E" w:rsidTr="00B53A2D">
        <w:trPr>
          <w:trHeight w:val="712"/>
          <w:tblCellSpacing w:w="0" w:type="dxa"/>
        </w:trPr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Campmaster, Red Centre, Grillrite, Rough It, Fiesta, Falcon, Wild Country, Festiva,Campers Collection, Spinifex, Oztrail, Roman, Progaz, Escape and Gas Craft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**2150, **2250, **2250SP, **2160, **2160S              (** = customer code)</w:t>
            </w:r>
          </w:p>
        </w:tc>
      </w:tr>
      <w:tr w:rsidR="00B53A2D" w:rsidRPr="0024237E" w:rsidTr="00B53A2D">
        <w:trPr>
          <w:trHeight w:val="712"/>
          <w:tblCellSpacing w:w="0" w:type="dxa"/>
        </w:trPr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Campmaster, Kookaburra, Grillpro, Topstove, Fiesta, Falcon, Wild Country, Freetime, Festiva, The Stove, Sunshine, Campers Collection, Oztrail, Roman, Progaz, Escape &amp; Gas Craft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CM2100, CM2200, STO990, ST7000, FT2100, FT2200, ST1, ST2</w:t>
            </w:r>
          </w:p>
        </w:tc>
      </w:tr>
      <w:tr w:rsidR="00B53A2D" w:rsidRPr="0024237E" w:rsidTr="00B53A2D">
        <w:trPr>
          <w:trHeight w:val="712"/>
          <w:tblCellSpacing w:w="0" w:type="dxa"/>
        </w:trPr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Campmaster, Kookaburra, Grillpro, Topstove, Fiesta, Falcon, Wild Country, Freetime, Festiva, The Stove, Sunshine, Campers Collection, Oztrail, Roman, Progaz, Escape, Gas Craft &amp; Spinifex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**2170* &amp; **2270*           (** = customer code)</w:t>
            </w:r>
          </w:p>
        </w:tc>
      </w:tr>
      <w:tr w:rsidR="00B53A2D" w:rsidRPr="0024237E" w:rsidTr="00B53A2D">
        <w:trPr>
          <w:trHeight w:val="181"/>
          <w:tblCellSpacing w:w="0" w:type="dxa"/>
        </w:trPr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Auscrown, Wild Country Handy Range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AD90</w:t>
            </w:r>
          </w:p>
        </w:tc>
      </w:tr>
      <w:tr w:rsidR="00B53A2D" w:rsidRPr="0024237E" w:rsidTr="00B53A2D">
        <w:trPr>
          <w:trHeight w:val="181"/>
          <w:tblCellSpacing w:w="0" w:type="dxa"/>
        </w:trPr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U-Bute Traveller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U-Bute Traveller</w:t>
            </w:r>
          </w:p>
        </w:tc>
      </w:tr>
      <w:tr w:rsidR="00B53A2D" w:rsidRPr="0024237E" w:rsidTr="00B53A2D">
        <w:trPr>
          <w:trHeight w:val="181"/>
          <w:tblCellSpacing w:w="0" w:type="dxa"/>
        </w:trPr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Jackeroo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PL-121</w:t>
            </w:r>
          </w:p>
        </w:tc>
      </w:tr>
      <w:tr w:rsidR="00B53A2D" w:rsidRPr="0024237E" w:rsidTr="00B53A2D">
        <w:trPr>
          <w:trHeight w:val="168"/>
          <w:tblCellSpacing w:w="0" w:type="dxa"/>
        </w:trPr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Adventuridge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509245</w:t>
            </w:r>
          </w:p>
        </w:tc>
      </w:tr>
      <w:tr w:rsidR="00B53A2D" w:rsidRPr="0024237E" w:rsidTr="00B53A2D">
        <w:trPr>
          <w:trHeight w:val="181"/>
          <w:tblCellSpacing w:w="0" w:type="dxa"/>
        </w:trPr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Companion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COMP523</w:t>
            </w:r>
          </w:p>
        </w:tc>
      </w:tr>
      <w:tr w:rsidR="00B53A2D" w:rsidRPr="0024237E" w:rsidTr="00B53A2D">
        <w:trPr>
          <w:trHeight w:val="181"/>
          <w:tblCellSpacing w:w="0" w:type="dxa"/>
        </w:trPr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House Brand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509245</w:t>
            </w:r>
          </w:p>
        </w:tc>
      </w:tr>
      <w:tr w:rsidR="00B53A2D" w:rsidRPr="0024237E" w:rsidTr="00B53A2D">
        <w:trPr>
          <w:trHeight w:val="181"/>
          <w:tblCellSpacing w:w="0" w:type="dxa"/>
        </w:trPr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Kookaburra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ST0990</w:t>
            </w:r>
          </w:p>
        </w:tc>
      </w:tr>
      <w:tr w:rsidR="00B53A2D" w:rsidRPr="0024237E" w:rsidTr="00B53A2D">
        <w:trPr>
          <w:trHeight w:val="181"/>
          <w:tblCellSpacing w:w="0" w:type="dxa"/>
        </w:trPr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Primus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2240</w:t>
            </w:r>
          </w:p>
        </w:tc>
      </w:tr>
      <w:tr w:rsidR="00B53A2D" w:rsidRPr="0024237E" w:rsidTr="00B53A2D">
        <w:trPr>
          <w:trHeight w:val="168"/>
          <w:tblCellSpacing w:w="0" w:type="dxa"/>
        </w:trPr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Primus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2271</w:t>
            </w:r>
          </w:p>
        </w:tc>
      </w:tr>
      <w:tr w:rsidR="00B53A2D" w:rsidRPr="0024237E" w:rsidTr="00B53A2D">
        <w:trPr>
          <w:trHeight w:val="181"/>
          <w:tblCellSpacing w:w="0" w:type="dxa"/>
        </w:trPr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Primus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TLB-102L</w:t>
            </w:r>
          </w:p>
        </w:tc>
      </w:tr>
      <w:tr w:rsidR="00B53A2D" w:rsidRPr="0024237E" w:rsidTr="00B53A2D">
        <w:trPr>
          <w:trHeight w:val="181"/>
          <w:tblCellSpacing w:w="0" w:type="dxa"/>
        </w:trPr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Red Desert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509230</w:t>
            </w:r>
          </w:p>
        </w:tc>
      </w:tr>
      <w:tr w:rsidR="00B53A2D" w:rsidRPr="0024237E" w:rsidTr="00B53A2D">
        <w:trPr>
          <w:trHeight w:val="181"/>
          <w:tblCellSpacing w:w="0" w:type="dxa"/>
        </w:trPr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Spinifex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7027612</w:t>
            </w:r>
          </w:p>
        </w:tc>
      </w:tr>
      <w:tr w:rsidR="00B53A2D" w:rsidRPr="0024237E" w:rsidTr="00B53A2D">
        <w:trPr>
          <w:trHeight w:val="181"/>
          <w:tblCellSpacing w:w="0" w:type="dxa"/>
        </w:trPr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Spinifex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A2D" w:rsidRPr="0024237E" w:rsidRDefault="00B53A2D" w:rsidP="00B53A2D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24237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90024574</w:t>
            </w:r>
          </w:p>
        </w:tc>
      </w:tr>
    </w:tbl>
    <w:p w:rsidR="00B53A2D" w:rsidRDefault="00B53A2D" w:rsidP="00A32298"/>
    <w:sectPr w:rsidR="00B53A2D" w:rsidSect="0039085A">
      <w:headerReference w:type="default" r:id="rId21"/>
      <w:footerReference w:type="default" r:id="rId22"/>
      <w:pgSz w:w="11906" w:h="16838"/>
      <w:pgMar w:top="1440" w:right="1080" w:bottom="1134" w:left="108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B15" w:rsidRDefault="00065B15" w:rsidP="00394CD8">
      <w:pPr>
        <w:spacing w:after="0" w:line="240" w:lineRule="auto"/>
      </w:pPr>
      <w:r>
        <w:separator/>
      </w:r>
    </w:p>
  </w:endnote>
  <w:endnote w:type="continuationSeparator" w:id="0">
    <w:p w:rsidR="00065B15" w:rsidRDefault="00065B15" w:rsidP="0039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 Bold">
    <w:altName w:val="Times New Roman"/>
    <w:charset w:val="00"/>
    <w:family w:val="auto"/>
    <w:pitch w:val="default"/>
  </w:font>
  <w:font w:name="Akzidenz Grotesk B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EB" w:rsidRDefault="00D75EEB" w:rsidP="00D3092A">
    <w:pPr>
      <w:pStyle w:val="Footer"/>
      <w:pBdr>
        <w:top w:val="single" w:sz="18" w:space="1" w:color="auto"/>
      </w:pBdr>
      <w:rPr>
        <w:rFonts w:ascii="Verdana" w:hAnsi="Verdana" w:cs="Arial"/>
        <w:b/>
      </w:rPr>
    </w:pPr>
    <w:r w:rsidRPr="004B167F">
      <w:rPr>
        <w:rFonts w:ascii="Verdana" w:hAnsi="Verdana" w:cs="Arial"/>
        <w:b/>
      </w:rPr>
      <w:t xml:space="preserve"> </w:t>
    </w:r>
  </w:p>
  <w:tbl>
    <w:tblPr>
      <w:tblStyle w:val="TableGrid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73"/>
      <w:gridCol w:w="6658"/>
    </w:tblGrid>
    <w:tr w:rsidR="00D75EEB" w:rsidTr="0038411D">
      <w:tc>
        <w:tcPr>
          <w:tcW w:w="3373" w:type="dxa"/>
          <w:vAlign w:val="center"/>
        </w:tcPr>
        <w:p w:rsidR="00D75EEB" w:rsidRDefault="00AB05F1" w:rsidP="004B167F">
          <w:pPr>
            <w:pStyle w:val="Footer"/>
          </w:pPr>
          <w:r>
            <w:rPr>
              <w:noProof/>
              <w:lang w:eastAsia="en-AU"/>
            </w:rPr>
            <w:drawing>
              <wp:inline distT="0" distB="0" distL="0" distR="0" wp14:anchorId="24994FD4" wp14:editId="28983A07">
                <wp:extent cx="2004695" cy="433705"/>
                <wp:effectExtent l="0" t="0" r="0" b="4445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695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8" w:type="dxa"/>
          <w:vAlign w:val="center"/>
        </w:tcPr>
        <w:p w:rsidR="00D75EEB" w:rsidRDefault="00D75EEB" w:rsidP="0038411D">
          <w:pPr>
            <w:pStyle w:val="Footer"/>
            <w:jc w:val="right"/>
          </w:pPr>
          <w:r w:rsidRPr="00335A29">
            <w:rPr>
              <w:rFonts w:ascii="Verdana" w:hAnsi="Verdana" w:cs="Arial"/>
              <w:b/>
            </w:rPr>
            <w:t xml:space="preserve">Health, Safety and </w:t>
          </w:r>
          <w:r w:rsidR="0038411D">
            <w:rPr>
              <w:rFonts w:ascii="Verdana" w:hAnsi="Verdana" w:cs="Arial"/>
              <w:b/>
            </w:rPr>
            <w:t>Workers’ Compensation</w:t>
          </w:r>
        </w:p>
      </w:tc>
    </w:tr>
  </w:tbl>
  <w:p w:rsidR="00D75EEB" w:rsidRDefault="00D75EEB" w:rsidP="004B167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B15" w:rsidRDefault="00065B15" w:rsidP="00394CD8">
      <w:pPr>
        <w:spacing w:after="0" w:line="240" w:lineRule="auto"/>
      </w:pPr>
      <w:r>
        <w:separator/>
      </w:r>
    </w:p>
  </w:footnote>
  <w:footnote w:type="continuationSeparator" w:id="0">
    <w:p w:rsidR="00065B15" w:rsidRDefault="00065B15" w:rsidP="00394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EB" w:rsidRPr="00394CD8" w:rsidRDefault="00D75EEB" w:rsidP="00B66F86">
    <w:pPr>
      <w:pStyle w:val="Header"/>
      <w:rPr>
        <w:rFonts w:ascii="Arial" w:hAnsi="Arial" w:cs="Arial"/>
        <w:b/>
        <w:sz w:val="52"/>
      </w:rPr>
    </w:pPr>
    <w:r>
      <w:rPr>
        <w:rFonts w:ascii="Arial" w:hAnsi="Arial" w:cs="Arial"/>
        <w:b/>
        <w:sz w:val="52"/>
      </w:rPr>
      <w:t>Workplace Health and Safety Hazard Alert</w:t>
    </w:r>
  </w:p>
  <w:p w:rsidR="00D75EEB" w:rsidRDefault="00D75EEB">
    <w:pPr>
      <w:pStyle w:val="Header"/>
    </w:pPr>
  </w:p>
  <w:p w:rsidR="00D75EEB" w:rsidRPr="00394CD8" w:rsidRDefault="00D75EEB" w:rsidP="00B66F86">
    <w:pPr>
      <w:pStyle w:val="Header"/>
      <w:rPr>
        <w:b/>
        <w:sz w:val="44"/>
      </w:rPr>
    </w:pPr>
    <w:r>
      <w:rPr>
        <w:b/>
        <w:sz w:val="44"/>
      </w:rPr>
      <w:t xml:space="preserve">Butane canister </w:t>
    </w:r>
    <w:r w:rsidR="002855FE">
      <w:rPr>
        <w:b/>
        <w:sz w:val="44"/>
      </w:rPr>
      <w:t>‘</w:t>
    </w:r>
    <w:r>
      <w:rPr>
        <w:b/>
        <w:sz w:val="44"/>
      </w:rPr>
      <w:t>lunchbox</w:t>
    </w:r>
    <w:r w:rsidR="002855FE">
      <w:rPr>
        <w:b/>
        <w:sz w:val="44"/>
      </w:rPr>
      <w:t>’</w:t>
    </w:r>
    <w:r w:rsidR="002855FE">
      <w:rPr>
        <w:b/>
        <w:sz w:val="44"/>
      </w:rPr>
      <w:t xml:space="preserve"> </w:t>
    </w:r>
    <w:r>
      <w:rPr>
        <w:b/>
        <w:sz w:val="44"/>
      </w:rPr>
      <w:t>cookers</w:t>
    </w:r>
  </w:p>
  <w:p w:rsidR="00D75EEB" w:rsidRDefault="0038411D" w:rsidP="00B66F86">
    <w:pPr>
      <w:pStyle w:val="Header"/>
    </w:pPr>
    <w:r>
      <w:t xml:space="preserve">May </w:t>
    </w:r>
    <w:r w:rsidR="00D75EEB">
      <w:t>2015</w:t>
    </w:r>
  </w:p>
  <w:p w:rsidR="00D75EEB" w:rsidRDefault="00D75EEB" w:rsidP="00AB5432">
    <w:pPr>
      <w:pStyle w:val="Header"/>
      <w:pBdr>
        <w:bottom w:val="single" w:sz="2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AB43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D0D59"/>
    <w:multiLevelType w:val="hybridMultilevel"/>
    <w:tmpl w:val="A7D41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51E8C"/>
    <w:multiLevelType w:val="hybridMultilevel"/>
    <w:tmpl w:val="4CEED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D34DC"/>
    <w:multiLevelType w:val="hybridMultilevel"/>
    <w:tmpl w:val="157818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D5B27"/>
    <w:multiLevelType w:val="hybridMultilevel"/>
    <w:tmpl w:val="76E80D4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1377A8"/>
    <w:multiLevelType w:val="hybridMultilevel"/>
    <w:tmpl w:val="96A009E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FAA1374"/>
    <w:multiLevelType w:val="hybridMultilevel"/>
    <w:tmpl w:val="EAB6D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057E5"/>
    <w:multiLevelType w:val="hybridMultilevel"/>
    <w:tmpl w:val="D80262EC"/>
    <w:lvl w:ilvl="0" w:tplc="231E9D6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B274A79"/>
    <w:multiLevelType w:val="hybridMultilevel"/>
    <w:tmpl w:val="342617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D4333"/>
    <w:multiLevelType w:val="hybridMultilevel"/>
    <w:tmpl w:val="58C61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C77EF"/>
    <w:multiLevelType w:val="hybridMultilevel"/>
    <w:tmpl w:val="C4266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545AF"/>
    <w:multiLevelType w:val="hybridMultilevel"/>
    <w:tmpl w:val="02A82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D2316"/>
    <w:multiLevelType w:val="hybridMultilevel"/>
    <w:tmpl w:val="51BC005A"/>
    <w:lvl w:ilvl="0" w:tplc="B934B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C6352"/>
    <w:multiLevelType w:val="hybridMultilevel"/>
    <w:tmpl w:val="163C5D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055A0"/>
    <w:multiLevelType w:val="hybridMultilevel"/>
    <w:tmpl w:val="BEC65D66"/>
    <w:lvl w:ilvl="0" w:tplc="BBDC87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B38AB"/>
    <w:multiLevelType w:val="hybridMultilevel"/>
    <w:tmpl w:val="7700D60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D18119A"/>
    <w:multiLevelType w:val="hybridMultilevel"/>
    <w:tmpl w:val="C85AD3B4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FC53B00"/>
    <w:multiLevelType w:val="hybridMultilevel"/>
    <w:tmpl w:val="7E4A7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82397"/>
    <w:multiLevelType w:val="hybridMultilevel"/>
    <w:tmpl w:val="072ED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0E2693"/>
    <w:multiLevelType w:val="hybridMultilevel"/>
    <w:tmpl w:val="4C303CC8"/>
    <w:lvl w:ilvl="0" w:tplc="0C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517C5A65"/>
    <w:multiLevelType w:val="hybridMultilevel"/>
    <w:tmpl w:val="28662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82F79"/>
    <w:multiLevelType w:val="hybridMultilevel"/>
    <w:tmpl w:val="95F8C30C"/>
    <w:lvl w:ilvl="0" w:tplc="B934B5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5061A0"/>
    <w:multiLevelType w:val="hybridMultilevel"/>
    <w:tmpl w:val="68DAEC0E"/>
    <w:lvl w:ilvl="0" w:tplc="B934B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E3D4E"/>
    <w:multiLevelType w:val="hybridMultilevel"/>
    <w:tmpl w:val="DA3012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9C451E"/>
    <w:multiLevelType w:val="hybridMultilevel"/>
    <w:tmpl w:val="ACF01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B59D1"/>
    <w:multiLevelType w:val="hybridMultilevel"/>
    <w:tmpl w:val="802E04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B6FF7"/>
    <w:multiLevelType w:val="hybridMultilevel"/>
    <w:tmpl w:val="6CA4329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FD31A34"/>
    <w:multiLevelType w:val="hybridMultilevel"/>
    <w:tmpl w:val="E6BA2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27"/>
  </w:num>
  <w:num w:numId="4">
    <w:abstractNumId w:val="25"/>
  </w:num>
  <w:num w:numId="5">
    <w:abstractNumId w:val="13"/>
  </w:num>
  <w:num w:numId="6">
    <w:abstractNumId w:val="19"/>
  </w:num>
  <w:num w:numId="7">
    <w:abstractNumId w:val="17"/>
  </w:num>
  <w:num w:numId="8">
    <w:abstractNumId w:val="9"/>
  </w:num>
  <w:num w:numId="9">
    <w:abstractNumId w:val="6"/>
  </w:num>
  <w:num w:numId="10">
    <w:abstractNumId w:val="16"/>
  </w:num>
  <w:num w:numId="11">
    <w:abstractNumId w:val="14"/>
  </w:num>
  <w:num w:numId="12">
    <w:abstractNumId w:val="26"/>
  </w:num>
  <w:num w:numId="13">
    <w:abstractNumId w:val="4"/>
  </w:num>
  <w:num w:numId="14">
    <w:abstractNumId w:val="15"/>
  </w:num>
  <w:num w:numId="15">
    <w:abstractNumId w:val="8"/>
  </w:num>
  <w:num w:numId="16">
    <w:abstractNumId w:val="21"/>
  </w:num>
  <w:num w:numId="17">
    <w:abstractNumId w:val="22"/>
  </w:num>
  <w:num w:numId="18">
    <w:abstractNumId w:val="12"/>
  </w:num>
  <w:num w:numId="19">
    <w:abstractNumId w:val="5"/>
  </w:num>
  <w:num w:numId="20">
    <w:abstractNumId w:val="0"/>
  </w:num>
  <w:num w:numId="21">
    <w:abstractNumId w:val="10"/>
  </w:num>
  <w:num w:numId="22">
    <w:abstractNumId w:val="7"/>
  </w:num>
  <w:num w:numId="23">
    <w:abstractNumId w:val="2"/>
  </w:num>
  <w:num w:numId="24">
    <w:abstractNumId w:val="20"/>
  </w:num>
  <w:num w:numId="25">
    <w:abstractNumId w:val="24"/>
  </w:num>
  <w:num w:numId="26">
    <w:abstractNumId w:val="3"/>
  </w:num>
  <w:num w:numId="27">
    <w:abstractNumId w:val="1"/>
  </w:num>
  <w:num w:numId="28">
    <w:abstractNumId w:val="1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D8"/>
    <w:rsid w:val="00011543"/>
    <w:rsid w:val="0002751F"/>
    <w:rsid w:val="000428D8"/>
    <w:rsid w:val="00065B15"/>
    <w:rsid w:val="000801EB"/>
    <w:rsid w:val="000814FB"/>
    <w:rsid w:val="000A7A90"/>
    <w:rsid w:val="000D09BF"/>
    <w:rsid w:val="000D0ACD"/>
    <w:rsid w:val="000D1EE0"/>
    <w:rsid w:val="000E1707"/>
    <w:rsid w:val="000E2E72"/>
    <w:rsid w:val="000E5AB4"/>
    <w:rsid w:val="00124B48"/>
    <w:rsid w:val="0013122B"/>
    <w:rsid w:val="00142E60"/>
    <w:rsid w:val="00152E41"/>
    <w:rsid w:val="001770DD"/>
    <w:rsid w:val="00190C72"/>
    <w:rsid w:val="00195A50"/>
    <w:rsid w:val="001964B5"/>
    <w:rsid w:val="001A1812"/>
    <w:rsid w:val="001B2107"/>
    <w:rsid w:val="001B570D"/>
    <w:rsid w:val="001C2017"/>
    <w:rsid w:val="001D2BC1"/>
    <w:rsid w:val="001E558E"/>
    <w:rsid w:val="001E6FD6"/>
    <w:rsid w:val="00212425"/>
    <w:rsid w:val="00235998"/>
    <w:rsid w:val="002370D8"/>
    <w:rsid w:val="002373AB"/>
    <w:rsid w:val="002543F8"/>
    <w:rsid w:val="0026453B"/>
    <w:rsid w:val="00280715"/>
    <w:rsid w:val="002855FE"/>
    <w:rsid w:val="002C3BB0"/>
    <w:rsid w:val="003048C0"/>
    <w:rsid w:val="0030759D"/>
    <w:rsid w:val="003216E9"/>
    <w:rsid w:val="00322ABA"/>
    <w:rsid w:val="0037434F"/>
    <w:rsid w:val="0038206C"/>
    <w:rsid w:val="0038411D"/>
    <w:rsid w:val="0039085A"/>
    <w:rsid w:val="00394CD8"/>
    <w:rsid w:val="0039529B"/>
    <w:rsid w:val="00396D53"/>
    <w:rsid w:val="00397A19"/>
    <w:rsid w:val="003B40D4"/>
    <w:rsid w:val="003E19AE"/>
    <w:rsid w:val="003E4E2F"/>
    <w:rsid w:val="003E5241"/>
    <w:rsid w:val="003F3FFB"/>
    <w:rsid w:val="0041790E"/>
    <w:rsid w:val="00436094"/>
    <w:rsid w:val="00441FE0"/>
    <w:rsid w:val="00460D15"/>
    <w:rsid w:val="00467796"/>
    <w:rsid w:val="00472B3B"/>
    <w:rsid w:val="00476A50"/>
    <w:rsid w:val="00490DB0"/>
    <w:rsid w:val="004A6FCF"/>
    <w:rsid w:val="004B167F"/>
    <w:rsid w:val="004B376E"/>
    <w:rsid w:val="004B57C0"/>
    <w:rsid w:val="004C71CF"/>
    <w:rsid w:val="004E3F26"/>
    <w:rsid w:val="004E749F"/>
    <w:rsid w:val="004F50F6"/>
    <w:rsid w:val="004F681E"/>
    <w:rsid w:val="0050774F"/>
    <w:rsid w:val="00537B06"/>
    <w:rsid w:val="00546E1E"/>
    <w:rsid w:val="00550A9B"/>
    <w:rsid w:val="005B68C7"/>
    <w:rsid w:val="005E54F7"/>
    <w:rsid w:val="005E5C25"/>
    <w:rsid w:val="005F7D2F"/>
    <w:rsid w:val="00632DA2"/>
    <w:rsid w:val="006404EF"/>
    <w:rsid w:val="00650A98"/>
    <w:rsid w:val="00671F8E"/>
    <w:rsid w:val="00673859"/>
    <w:rsid w:val="0068105E"/>
    <w:rsid w:val="006928FE"/>
    <w:rsid w:val="006B2014"/>
    <w:rsid w:val="006C568E"/>
    <w:rsid w:val="006D4C99"/>
    <w:rsid w:val="006E0171"/>
    <w:rsid w:val="006E476C"/>
    <w:rsid w:val="006F4735"/>
    <w:rsid w:val="00703EFB"/>
    <w:rsid w:val="0070654E"/>
    <w:rsid w:val="00714437"/>
    <w:rsid w:val="00723B6E"/>
    <w:rsid w:val="00733A2B"/>
    <w:rsid w:val="00761607"/>
    <w:rsid w:val="007832EA"/>
    <w:rsid w:val="00786F50"/>
    <w:rsid w:val="0079365A"/>
    <w:rsid w:val="007A3DA2"/>
    <w:rsid w:val="007C2147"/>
    <w:rsid w:val="007D2036"/>
    <w:rsid w:val="007D4E27"/>
    <w:rsid w:val="007D5E46"/>
    <w:rsid w:val="007E717B"/>
    <w:rsid w:val="007F27B5"/>
    <w:rsid w:val="00802030"/>
    <w:rsid w:val="00803D5A"/>
    <w:rsid w:val="0080508D"/>
    <w:rsid w:val="0081503C"/>
    <w:rsid w:val="008752DA"/>
    <w:rsid w:val="008774FC"/>
    <w:rsid w:val="00896CC9"/>
    <w:rsid w:val="008B6535"/>
    <w:rsid w:val="008B6E41"/>
    <w:rsid w:val="008C0BEF"/>
    <w:rsid w:val="008E3FFE"/>
    <w:rsid w:val="008E47ED"/>
    <w:rsid w:val="00900D31"/>
    <w:rsid w:val="00906F69"/>
    <w:rsid w:val="00915CE9"/>
    <w:rsid w:val="00926B98"/>
    <w:rsid w:val="00932442"/>
    <w:rsid w:val="00932CF0"/>
    <w:rsid w:val="009522CD"/>
    <w:rsid w:val="00966374"/>
    <w:rsid w:val="0099217B"/>
    <w:rsid w:val="009B675E"/>
    <w:rsid w:val="009C06F6"/>
    <w:rsid w:val="009C2103"/>
    <w:rsid w:val="009D1A91"/>
    <w:rsid w:val="009D2792"/>
    <w:rsid w:val="009D28A5"/>
    <w:rsid w:val="009D6D25"/>
    <w:rsid w:val="009E1BA8"/>
    <w:rsid w:val="00A014DB"/>
    <w:rsid w:val="00A049AB"/>
    <w:rsid w:val="00A22C05"/>
    <w:rsid w:val="00A319CC"/>
    <w:rsid w:val="00A32298"/>
    <w:rsid w:val="00A3612C"/>
    <w:rsid w:val="00A4157B"/>
    <w:rsid w:val="00A93BFB"/>
    <w:rsid w:val="00AA24A2"/>
    <w:rsid w:val="00AA5DED"/>
    <w:rsid w:val="00AB05F1"/>
    <w:rsid w:val="00AB0BA6"/>
    <w:rsid w:val="00AB5432"/>
    <w:rsid w:val="00AD1973"/>
    <w:rsid w:val="00AD26ED"/>
    <w:rsid w:val="00AD77C9"/>
    <w:rsid w:val="00AF363D"/>
    <w:rsid w:val="00B047D7"/>
    <w:rsid w:val="00B3359D"/>
    <w:rsid w:val="00B37D2A"/>
    <w:rsid w:val="00B4574F"/>
    <w:rsid w:val="00B53A2D"/>
    <w:rsid w:val="00B66F86"/>
    <w:rsid w:val="00BB0C1B"/>
    <w:rsid w:val="00BB4A6B"/>
    <w:rsid w:val="00BB4F23"/>
    <w:rsid w:val="00BC3536"/>
    <w:rsid w:val="00BC4159"/>
    <w:rsid w:val="00BE6301"/>
    <w:rsid w:val="00BF5B9B"/>
    <w:rsid w:val="00C07C90"/>
    <w:rsid w:val="00C10E56"/>
    <w:rsid w:val="00C3117B"/>
    <w:rsid w:val="00C4265B"/>
    <w:rsid w:val="00C65A71"/>
    <w:rsid w:val="00C772CD"/>
    <w:rsid w:val="00C807AA"/>
    <w:rsid w:val="00C950CD"/>
    <w:rsid w:val="00CA3B7F"/>
    <w:rsid w:val="00CB050E"/>
    <w:rsid w:val="00CB09FE"/>
    <w:rsid w:val="00CB1D9E"/>
    <w:rsid w:val="00CC778C"/>
    <w:rsid w:val="00CE3A88"/>
    <w:rsid w:val="00CF7BDD"/>
    <w:rsid w:val="00D3092A"/>
    <w:rsid w:val="00D32205"/>
    <w:rsid w:val="00D4052B"/>
    <w:rsid w:val="00D4758F"/>
    <w:rsid w:val="00D56189"/>
    <w:rsid w:val="00D754B5"/>
    <w:rsid w:val="00D75EEB"/>
    <w:rsid w:val="00D76405"/>
    <w:rsid w:val="00D839D3"/>
    <w:rsid w:val="00D86597"/>
    <w:rsid w:val="00D969BA"/>
    <w:rsid w:val="00DC071C"/>
    <w:rsid w:val="00DD041E"/>
    <w:rsid w:val="00DD7700"/>
    <w:rsid w:val="00DE1545"/>
    <w:rsid w:val="00DF67D1"/>
    <w:rsid w:val="00DF6FB0"/>
    <w:rsid w:val="00E15DE9"/>
    <w:rsid w:val="00E16FF8"/>
    <w:rsid w:val="00E305A7"/>
    <w:rsid w:val="00E363E3"/>
    <w:rsid w:val="00E54C95"/>
    <w:rsid w:val="00E54D23"/>
    <w:rsid w:val="00E741EF"/>
    <w:rsid w:val="00EA1DB8"/>
    <w:rsid w:val="00EA35FD"/>
    <w:rsid w:val="00EA4AE0"/>
    <w:rsid w:val="00EB71E2"/>
    <w:rsid w:val="00EC177A"/>
    <w:rsid w:val="00ED0C95"/>
    <w:rsid w:val="00EF53D0"/>
    <w:rsid w:val="00F02434"/>
    <w:rsid w:val="00F05D83"/>
    <w:rsid w:val="00F15695"/>
    <w:rsid w:val="00F2698F"/>
    <w:rsid w:val="00F2795B"/>
    <w:rsid w:val="00F30137"/>
    <w:rsid w:val="00F37C6E"/>
    <w:rsid w:val="00F46125"/>
    <w:rsid w:val="00F607C8"/>
    <w:rsid w:val="00F77DA4"/>
    <w:rsid w:val="00F82E40"/>
    <w:rsid w:val="00F832C9"/>
    <w:rsid w:val="00FA3381"/>
    <w:rsid w:val="00FB6C16"/>
    <w:rsid w:val="00FD0524"/>
    <w:rsid w:val="00FD623B"/>
    <w:rsid w:val="00FE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CD8"/>
  </w:style>
  <w:style w:type="paragraph" w:styleId="Footer">
    <w:name w:val="footer"/>
    <w:basedOn w:val="Normal"/>
    <w:link w:val="FooterChar"/>
    <w:uiPriority w:val="99"/>
    <w:unhideWhenUsed/>
    <w:rsid w:val="00394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CD8"/>
  </w:style>
  <w:style w:type="paragraph" w:styleId="BalloonText">
    <w:name w:val="Balloon Text"/>
    <w:basedOn w:val="Normal"/>
    <w:link w:val="BalloonTextChar"/>
    <w:uiPriority w:val="99"/>
    <w:semiHidden/>
    <w:unhideWhenUsed/>
    <w:rsid w:val="0039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C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59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998"/>
    <w:pPr>
      <w:ind w:left="720"/>
      <w:contextualSpacing/>
    </w:pPr>
  </w:style>
  <w:style w:type="table" w:styleId="TableGrid">
    <w:name w:val="Table Grid"/>
    <w:basedOn w:val="TableNormal"/>
    <w:uiPriority w:val="59"/>
    <w:rsid w:val="004B1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al"/>
    <w:uiPriority w:val="99"/>
    <w:rsid w:val="00E741EF"/>
    <w:pPr>
      <w:autoSpaceDE w:val="0"/>
      <w:autoSpaceDN w:val="0"/>
      <w:spacing w:after="0" w:line="241" w:lineRule="atLeast"/>
    </w:pPr>
    <w:rPr>
      <w:rFonts w:ascii="Akzidenz Grotesk BE Bold" w:eastAsia="Calibri" w:hAnsi="Akzidenz Grotesk BE Bold" w:cs="Times New Roman"/>
      <w:sz w:val="24"/>
      <w:szCs w:val="24"/>
      <w:lang w:eastAsia="en-AU"/>
    </w:rPr>
  </w:style>
  <w:style w:type="character" w:customStyle="1" w:styleId="A5">
    <w:name w:val="A5"/>
    <w:uiPriority w:val="99"/>
    <w:rsid w:val="00E741EF"/>
    <w:rPr>
      <w:rFonts w:ascii="Akzidenz Grotesk BE" w:hAnsi="Akzidenz Grotesk BE" w:hint="default"/>
      <w:i/>
      <w:iCs/>
      <w:color w:val="221E1F"/>
    </w:rPr>
  </w:style>
  <w:style w:type="character" w:styleId="FollowedHyperlink">
    <w:name w:val="FollowedHyperlink"/>
    <w:basedOn w:val="DefaultParagraphFont"/>
    <w:uiPriority w:val="99"/>
    <w:semiHidden/>
    <w:unhideWhenUsed/>
    <w:rsid w:val="00546E1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F681E"/>
    <w:pPr>
      <w:spacing w:after="0" w:line="240" w:lineRule="auto"/>
    </w:pPr>
  </w:style>
  <w:style w:type="paragraph" w:styleId="ListBullet">
    <w:name w:val="List Bullet"/>
    <w:basedOn w:val="Normal"/>
    <w:rsid w:val="009B675E"/>
    <w:pPr>
      <w:numPr>
        <w:numId w:val="20"/>
      </w:numPr>
      <w:tabs>
        <w:tab w:val="clear" w:pos="360"/>
        <w:tab w:val="num" w:pos="1080"/>
      </w:tabs>
      <w:spacing w:before="120" w:after="120" w:line="240" w:lineRule="auto"/>
      <w:ind w:left="1077" w:hanging="357"/>
    </w:pPr>
    <w:rPr>
      <w:rFonts w:ascii="Arial" w:eastAsia="Times New Roman" w:hAnsi="Arial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50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A9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CD8"/>
  </w:style>
  <w:style w:type="paragraph" w:styleId="Footer">
    <w:name w:val="footer"/>
    <w:basedOn w:val="Normal"/>
    <w:link w:val="FooterChar"/>
    <w:uiPriority w:val="99"/>
    <w:unhideWhenUsed/>
    <w:rsid w:val="00394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CD8"/>
  </w:style>
  <w:style w:type="paragraph" w:styleId="BalloonText">
    <w:name w:val="Balloon Text"/>
    <w:basedOn w:val="Normal"/>
    <w:link w:val="BalloonTextChar"/>
    <w:uiPriority w:val="99"/>
    <w:semiHidden/>
    <w:unhideWhenUsed/>
    <w:rsid w:val="0039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C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59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998"/>
    <w:pPr>
      <w:ind w:left="720"/>
      <w:contextualSpacing/>
    </w:pPr>
  </w:style>
  <w:style w:type="table" w:styleId="TableGrid">
    <w:name w:val="Table Grid"/>
    <w:basedOn w:val="TableNormal"/>
    <w:uiPriority w:val="59"/>
    <w:rsid w:val="004B1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al"/>
    <w:uiPriority w:val="99"/>
    <w:rsid w:val="00E741EF"/>
    <w:pPr>
      <w:autoSpaceDE w:val="0"/>
      <w:autoSpaceDN w:val="0"/>
      <w:spacing w:after="0" w:line="241" w:lineRule="atLeast"/>
    </w:pPr>
    <w:rPr>
      <w:rFonts w:ascii="Akzidenz Grotesk BE Bold" w:eastAsia="Calibri" w:hAnsi="Akzidenz Grotesk BE Bold" w:cs="Times New Roman"/>
      <w:sz w:val="24"/>
      <w:szCs w:val="24"/>
      <w:lang w:eastAsia="en-AU"/>
    </w:rPr>
  </w:style>
  <w:style w:type="character" w:customStyle="1" w:styleId="A5">
    <w:name w:val="A5"/>
    <w:uiPriority w:val="99"/>
    <w:rsid w:val="00E741EF"/>
    <w:rPr>
      <w:rFonts w:ascii="Akzidenz Grotesk BE" w:hAnsi="Akzidenz Grotesk BE" w:hint="default"/>
      <w:i/>
      <w:iCs/>
      <w:color w:val="221E1F"/>
    </w:rPr>
  </w:style>
  <w:style w:type="character" w:styleId="FollowedHyperlink">
    <w:name w:val="FollowedHyperlink"/>
    <w:basedOn w:val="DefaultParagraphFont"/>
    <w:uiPriority w:val="99"/>
    <w:semiHidden/>
    <w:unhideWhenUsed/>
    <w:rsid w:val="00546E1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F681E"/>
    <w:pPr>
      <w:spacing w:after="0" w:line="240" w:lineRule="auto"/>
    </w:pPr>
  </w:style>
  <w:style w:type="paragraph" w:styleId="ListBullet">
    <w:name w:val="List Bullet"/>
    <w:basedOn w:val="Normal"/>
    <w:rsid w:val="009B675E"/>
    <w:pPr>
      <w:numPr>
        <w:numId w:val="20"/>
      </w:numPr>
      <w:tabs>
        <w:tab w:val="clear" w:pos="360"/>
        <w:tab w:val="num" w:pos="1080"/>
      </w:tabs>
      <w:spacing w:before="120" w:after="120" w:line="240" w:lineRule="auto"/>
      <w:ind w:left="1077" w:hanging="357"/>
    </w:pPr>
    <w:rPr>
      <w:rFonts w:ascii="Arial" w:eastAsia="Times New Roman" w:hAnsi="Arial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50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A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png@01D083FF.96E2A7C0" TargetMode="External"/><Relationship Id="rId18" Type="http://schemas.openxmlformats.org/officeDocument/2006/relationships/hyperlink" Target="http://www.education.vic.gov.au/Documents/school/principals/management/ohsriskregister.xls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://www.education.vic.gov.au/Documents/school/principals/management/safeworkproceduretemplate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ducation.vic.gov.au/Documents/school/principals/management/taskbasedriskmgtform.docx" TargetMode="External"/><Relationship Id="rId20" Type="http://schemas.openxmlformats.org/officeDocument/2006/relationships/hyperlink" Target="mailto:safety@edumail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education.vic.gov.au/Documents/school/principals/management/ohspurchasingchecklist.docx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education.vic.gov.au/school/principals/management/Pages/ohsmgtsystem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afety@edumail.vic.gov.au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4ed27b92-5062-455b-9739-b4dd34197d20</TermId>
        </TermInfo>
      </Terms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>ohs, hazard, safety,</DEECD_Keywords>
    <DEECD_Publisher xmlns="http://schemas.microsoft.com/sharepoint/v3">Department of Education and early Childhood Development</DEECD_Publisher>
    <TaxCatchAll xmlns="cb9114c1-daad-44dd-acad-30f4246641f2">
      <Value>118</Value>
      <Value>94</Value>
      <Value>104</Value>
    </TaxCatchAll>
    <DEECD_Description xmlns="http://schemas.microsoft.com/sharepoint/v3">OHS Hazard Alert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B453-39C1-479C-BE51-2E2C764C1D6A}"/>
</file>

<file path=customXml/itemProps2.xml><?xml version="1.0" encoding="utf-8"?>
<ds:datastoreItem xmlns:ds="http://schemas.openxmlformats.org/officeDocument/2006/customXml" ds:itemID="{BDC1B2DF-2373-4D07-A991-BDB549403E18}"/>
</file>

<file path=customXml/itemProps3.xml><?xml version="1.0" encoding="utf-8"?>
<ds:datastoreItem xmlns:ds="http://schemas.openxmlformats.org/officeDocument/2006/customXml" ds:itemID="{2CC3C7FD-FEAA-4B7C-A9F9-4CCE2CA915BE}"/>
</file>

<file path=customXml/itemProps4.xml><?xml version="1.0" encoding="utf-8"?>
<ds:datastoreItem xmlns:ds="http://schemas.openxmlformats.org/officeDocument/2006/customXml" ds:itemID="{A10FE389-B3AC-47BA-8C8E-F06A580111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Starting Caps Hazard Alert</vt:lpstr>
    </vt:vector>
  </TitlesOfParts>
  <Company>DEECD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OHS Hazard Alert - Butane Canister 'lunchbox' cooker </dc:title>
  <dc:creator>Scamporlino, Kara A</dc:creator>
  <cp:lastModifiedBy>Fournie, Kara A</cp:lastModifiedBy>
  <cp:revision>2</cp:revision>
  <cp:lastPrinted>2014-03-23T22:15:00Z</cp:lastPrinted>
  <dcterms:created xsi:type="dcterms:W3CDTF">2015-05-06T23:02:00Z</dcterms:created>
  <dcterms:modified xsi:type="dcterms:W3CDTF">2015-05-06T23:02:00Z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ContentTypeId">
    <vt:lpwstr>0x0101008840106FE30D4F50BC61A726A7CA6E3800A01D47DD30CBB54F95863B7DC80A2CEC</vt:lpwstr>
  </property>
  <property fmtid="{D5CDD505-2E9C-101B-9397-08002B2CF9AE}" pid="4" name="DEECD_ItemType">
    <vt:lpwstr>104;#Factsheet|4ed27b92-5062-455b-9739-b4dd34197d20</vt:lpwstr>
  </property>
  <property fmtid="{D5CDD505-2E9C-101B-9397-08002B2CF9AE}" pid="5" name="DEECD_Audience">
    <vt:lpwstr>118;#Principals|a4f56333-bce8-49bd-95df-bc27ddd10ec3</vt:lpwstr>
  </property>
  <property fmtid="{D5CDD505-2E9C-101B-9397-08002B2CF9AE}" pid="6" name="DEECD_SubjectCategory">
    <vt:lpwstr/>
  </property>
  <property fmtid="{D5CDD505-2E9C-101B-9397-08002B2CF9AE}" pid="7" name="Order">
    <vt:r8>1822200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