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8C10" w14:textId="690E873D" w:rsidR="00C925A6" w:rsidRDefault="00C925A6" w:rsidP="00D63ABA">
      <w:pPr>
        <w:pStyle w:val="Heading1"/>
        <w:framePr w:wrap="around"/>
      </w:pPr>
      <w:r>
        <w:t>7. Activity Sequence and Choice</w:t>
      </w:r>
      <w:r w:rsidR="00A45449">
        <w:br/>
      </w:r>
    </w:p>
    <w:p w14:paraId="68ABE6D3" w14:textId="77777777" w:rsidR="00C925A6" w:rsidRDefault="00C925A6" w:rsidP="00B53D91">
      <w:pPr>
        <w:pStyle w:val="Heading2"/>
        <w:spacing w:before="0"/>
      </w:pPr>
      <w:r>
        <w:t>Definition</w:t>
      </w:r>
    </w:p>
    <w:p w14:paraId="25C32284" w14:textId="77777777" w:rsidR="00C925A6" w:rsidRDefault="00C925A6" w:rsidP="00C925A6">
      <w:pPr>
        <w:pStyle w:val="NoParagraphStyle"/>
        <w:suppressAutoHyphens/>
        <w:spacing w:after="57"/>
        <w:rPr>
          <w:sz w:val="20"/>
          <w:szCs w:val="20"/>
          <w:lang w:val="en-GB"/>
        </w:rPr>
      </w:pPr>
      <w:r>
        <w:rPr>
          <w:rStyle w:val="Bold"/>
          <w:sz w:val="20"/>
          <w:szCs w:val="20"/>
          <w:lang w:val="en-GB"/>
        </w:rPr>
        <w:t>Activity sequencing:</w:t>
      </w:r>
      <w:r>
        <w:rPr>
          <w:sz w:val="20"/>
          <w:szCs w:val="20"/>
          <w:lang w:val="en-GB"/>
        </w:rPr>
        <w:t xml:space="preserve"> this involves thoughtful </w:t>
      </w:r>
      <w:r>
        <w:rPr>
          <w:spacing w:val="-2"/>
          <w:sz w:val="20"/>
          <w:szCs w:val="20"/>
          <w:lang w:val="en-GB"/>
        </w:rPr>
        <w:t>consideration and adjustment of the order in which</w:t>
      </w:r>
      <w:r>
        <w:rPr>
          <w:sz w:val="20"/>
          <w:szCs w:val="20"/>
          <w:lang w:val="en-GB"/>
        </w:rPr>
        <w:t xml:space="preserve"> instructional tasks, activities, or requests are presented. The goal is to optimise learning outcomes and foster desired behaviours by strategically interspersing tasks and leveraging behaviour momentum.</w:t>
      </w:r>
    </w:p>
    <w:p w14:paraId="4A0FF114" w14:textId="52DFE345" w:rsidR="00C925A6" w:rsidRDefault="00C925A6" w:rsidP="00C925A6">
      <w:pPr>
        <w:pStyle w:val="NoParagraphStyle"/>
        <w:suppressAutoHyphens/>
        <w:spacing w:after="113"/>
      </w:pPr>
      <w:r>
        <w:rPr>
          <w:rStyle w:val="Bold"/>
          <w:sz w:val="20"/>
          <w:szCs w:val="20"/>
          <w:lang w:val="en-GB"/>
        </w:rPr>
        <w:t xml:space="preserve">Offering choice: </w:t>
      </w:r>
      <w:r>
        <w:rPr>
          <w:sz w:val="20"/>
          <w:szCs w:val="20"/>
          <w:lang w:val="en-GB"/>
        </w:rPr>
        <w:t xml:space="preserve">intentionally planning to provide options to students. Options could include method of response, </w:t>
      </w:r>
      <w:proofErr w:type="gramStart"/>
      <w:r>
        <w:rPr>
          <w:sz w:val="20"/>
          <w:szCs w:val="20"/>
          <w:lang w:val="en-GB"/>
        </w:rPr>
        <w:t>tools</w:t>
      </w:r>
      <w:proofErr w:type="gramEnd"/>
      <w:r>
        <w:rPr>
          <w:sz w:val="20"/>
          <w:szCs w:val="20"/>
          <w:lang w:val="en-GB"/>
        </w:rPr>
        <w:t xml:space="preserve"> and supplies, working independently or with peers, order of tasks or location for working</w:t>
      </w:r>
      <w:r w:rsidR="00FE1A96">
        <w:rPr>
          <w:sz w:val="20"/>
          <w:szCs w:val="20"/>
          <w:lang w:val="en-GB"/>
        </w:rPr>
        <w:t>.</w:t>
      </w:r>
    </w:p>
    <w:p w14:paraId="60A05EE9" w14:textId="77777777" w:rsidR="00C925A6" w:rsidRDefault="00C925A6" w:rsidP="008235C4">
      <w:pPr>
        <w:pStyle w:val="Heading2"/>
      </w:pPr>
      <w:r>
        <w:t>Rationale</w:t>
      </w:r>
    </w:p>
    <w:p w14:paraId="0365F7E6" w14:textId="77777777" w:rsidR="00C925A6" w:rsidRDefault="00C925A6" w:rsidP="00C925A6">
      <w:pPr>
        <w:pStyle w:val="NoParagraphStyle"/>
        <w:suppressAutoHyphens/>
        <w:spacing w:after="5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For students who can do the task, but choose not to do it, activity sequencing and choice strategies may be helpful. </w:t>
      </w:r>
      <w:r>
        <w:rPr>
          <w:rStyle w:val="Citation"/>
        </w:rPr>
        <w:t>(Kern &amp; Clemens, 2007; Stormont, et al., 2012)</w:t>
      </w:r>
    </w:p>
    <w:p w14:paraId="79E3F191" w14:textId="77777777" w:rsidR="00C925A6" w:rsidRDefault="00C925A6" w:rsidP="00C925A6">
      <w:pPr>
        <w:pStyle w:val="NoParagraphStyle"/>
        <w:suppressAutoHyphens/>
        <w:spacing w:after="113"/>
        <w:rPr>
          <w:rStyle w:val="Italic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Activity sequencing and offering choice are preventive (antecedent interventions) because they are implemented before problem behaviours occur. </w:t>
      </w:r>
      <w:r>
        <w:rPr>
          <w:rStyle w:val="Citation"/>
        </w:rPr>
        <w:t>(Kern &amp; State, 2009)</w:t>
      </w:r>
    </w:p>
    <w:p w14:paraId="38B73EAA" w14:textId="77777777" w:rsidR="00C925A6" w:rsidRDefault="00C925A6" w:rsidP="008235C4">
      <w:pPr>
        <w:pStyle w:val="Heading3"/>
      </w:pPr>
      <w:r>
        <w:t xml:space="preserve">Task </w:t>
      </w:r>
      <w:r w:rsidRPr="00FE1A96">
        <w:t>interspersal</w:t>
      </w:r>
      <w:r>
        <w:t>:</w:t>
      </w:r>
    </w:p>
    <w:p w14:paraId="68EBC451" w14:textId="77777777" w:rsidR="00C925A6" w:rsidRPr="00FE1A96" w:rsidRDefault="00C925A6" w:rsidP="00FE1A96">
      <w:pPr>
        <w:pStyle w:val="Bullet1"/>
      </w:pPr>
      <w:r w:rsidRPr="00FE1A96">
        <w:t xml:space="preserve">allows for review of previous </w:t>
      </w:r>
      <w:proofErr w:type="gramStart"/>
      <w:r w:rsidRPr="00FE1A96">
        <w:t>content</w:t>
      </w:r>
      <w:proofErr w:type="gramEnd"/>
    </w:p>
    <w:p w14:paraId="37D738FC" w14:textId="77777777" w:rsidR="00C925A6" w:rsidRPr="00FE1A96" w:rsidRDefault="00C925A6" w:rsidP="00FE1A96">
      <w:pPr>
        <w:pStyle w:val="Bullet1"/>
      </w:pPr>
      <w:r w:rsidRPr="00FE1A96">
        <w:t xml:space="preserve">promotes greater confidence and </w:t>
      </w:r>
      <w:proofErr w:type="gramStart"/>
      <w:r w:rsidRPr="00FE1A96">
        <w:t>motivation</w:t>
      </w:r>
      <w:proofErr w:type="gramEnd"/>
      <w:r w:rsidRPr="00FE1A96">
        <w:t xml:space="preserve"> </w:t>
      </w:r>
    </w:p>
    <w:p w14:paraId="56B1E20E" w14:textId="77777777" w:rsidR="00C925A6" w:rsidRPr="00FE1A96" w:rsidRDefault="00C925A6" w:rsidP="00FE1A96">
      <w:pPr>
        <w:pStyle w:val="Bullet1"/>
      </w:pPr>
      <w:r w:rsidRPr="00FE1A96">
        <w:t xml:space="preserve">encourages sustained work and task </w:t>
      </w:r>
      <w:proofErr w:type="gramStart"/>
      <w:r w:rsidRPr="00FE1A96">
        <w:t>completion</w:t>
      </w:r>
      <w:proofErr w:type="gramEnd"/>
      <w:r w:rsidRPr="00FE1A96">
        <w:t xml:space="preserve"> </w:t>
      </w:r>
    </w:p>
    <w:p w14:paraId="013A0A02" w14:textId="77777777" w:rsidR="00C925A6" w:rsidRDefault="00C925A6" w:rsidP="00FE1A96">
      <w:pPr>
        <w:pStyle w:val="Bullet1last0"/>
      </w:pPr>
      <w:r w:rsidRPr="00FE1A96">
        <w:t>positively impacts student perception of the assignment</w:t>
      </w:r>
      <w:r>
        <w:rPr>
          <w:spacing w:val="-4"/>
        </w:rPr>
        <w:t xml:space="preserve">. </w:t>
      </w:r>
    </w:p>
    <w:p w14:paraId="2A9E96D1" w14:textId="77777777" w:rsidR="00C925A6" w:rsidRDefault="00C925A6" w:rsidP="008235C4">
      <w:pPr>
        <w:pStyle w:val="Heading3"/>
      </w:pPr>
      <w:proofErr w:type="spellStart"/>
      <w:r>
        <w:t>Behavioural</w:t>
      </w:r>
      <w:proofErr w:type="spellEnd"/>
      <w:r>
        <w:t xml:space="preserve"> </w:t>
      </w:r>
      <w:r w:rsidRPr="00FE1A96">
        <w:t>momentum</w:t>
      </w:r>
      <w:r>
        <w:t>:</w:t>
      </w:r>
    </w:p>
    <w:p w14:paraId="210C8A39" w14:textId="77777777" w:rsidR="00C925A6" w:rsidRDefault="00C925A6" w:rsidP="00FE1A96">
      <w:pPr>
        <w:pStyle w:val="Bullet1"/>
        <w:rPr>
          <w:rStyle w:val="Italic"/>
          <w:lang w:val="en-GB"/>
        </w:rPr>
      </w:pPr>
      <w:r>
        <w:t xml:space="preserve">increases the </w:t>
      </w:r>
      <w:r w:rsidRPr="00FE1A96">
        <w:t>likelihood</w:t>
      </w:r>
      <w:r>
        <w:t xml:space="preserve"> the more difficult task will be completed </w:t>
      </w:r>
      <w:r>
        <w:rPr>
          <w:rStyle w:val="Citation"/>
        </w:rPr>
        <w:t>(Bross et al., 2018)</w:t>
      </w:r>
    </w:p>
    <w:p w14:paraId="791F77D2" w14:textId="77777777" w:rsidR="00C925A6" w:rsidRDefault="00C925A6" w:rsidP="00FE1A96">
      <w:pPr>
        <w:pStyle w:val="Bullet1"/>
      </w:pPr>
      <w:r>
        <w:t>helps build positive adult-</w:t>
      </w:r>
      <w:r w:rsidRPr="00FE1A96">
        <w:t>student</w:t>
      </w:r>
      <w:r>
        <w:t xml:space="preserve"> relationships.</w:t>
      </w:r>
    </w:p>
    <w:p w14:paraId="4744A3F2" w14:textId="77777777" w:rsidR="00C925A6" w:rsidRDefault="00C925A6" w:rsidP="008235C4">
      <w:pPr>
        <w:pStyle w:val="Heading3"/>
      </w:pPr>
      <w:r>
        <w:t xml:space="preserve">Choice of </w:t>
      </w:r>
      <w:r w:rsidRPr="00FE1A96">
        <w:t>activities</w:t>
      </w:r>
      <w:r>
        <w:t>:</w:t>
      </w:r>
    </w:p>
    <w:p w14:paraId="2F524552" w14:textId="77777777" w:rsidR="00C925A6" w:rsidRDefault="00C925A6" w:rsidP="00FE1A96">
      <w:pPr>
        <w:pStyle w:val="Bullet1last0"/>
      </w:pPr>
      <w:r>
        <w:t xml:space="preserve">provides scaffolded </w:t>
      </w:r>
      <w:r w:rsidRPr="00FE1A96">
        <w:t>opportunities</w:t>
      </w:r>
      <w:r>
        <w:t xml:space="preserve"> to practice decision </w:t>
      </w:r>
      <w:r>
        <w:rPr>
          <w:spacing w:val="-2"/>
        </w:rPr>
        <w:t xml:space="preserve">making, students explore their academic identity, and connect their </w:t>
      </w:r>
      <w:r>
        <w:t xml:space="preserve">learning to interests and passion. </w:t>
      </w:r>
      <w:r>
        <w:rPr>
          <w:rStyle w:val="Citation"/>
          <w:spacing w:val="-1"/>
        </w:rPr>
        <w:t>(Kern &amp; State, 2009)</w:t>
      </w:r>
    </w:p>
    <w:p w14:paraId="0A615FF0" w14:textId="77777777" w:rsidR="00C925A6" w:rsidRDefault="00C925A6" w:rsidP="008235C4">
      <w:pPr>
        <w:pStyle w:val="Heading2"/>
      </w:pPr>
      <w:r>
        <w:t>Guidelines</w:t>
      </w:r>
    </w:p>
    <w:p w14:paraId="54AA219A" w14:textId="77777777" w:rsidR="00C925A6" w:rsidRPr="00FE1A96" w:rsidRDefault="00C925A6" w:rsidP="00FE1A96">
      <w:pPr>
        <w:pStyle w:val="Bullet1"/>
        <w:rPr>
          <w:rStyle w:val="Italic"/>
          <w:rFonts w:asciiTheme="minorHAnsi" w:hAnsiTheme="minorHAnsi" w:cstheme="minorBidi"/>
          <w:i w:val="0"/>
          <w:iCs w:val="0"/>
          <w:color w:val="auto"/>
        </w:rPr>
      </w:pPr>
      <w:r>
        <w:t xml:space="preserve">Activity </w:t>
      </w:r>
      <w:r w:rsidRPr="00FE1A96">
        <w:t>sequencing may not be necessary for all students but can be very important for students who are at-risk for learning or behaviour concerns.</w:t>
      </w:r>
      <w:r w:rsidRPr="00FE1A96">
        <w:rPr>
          <w:rStyle w:val="Italic"/>
          <w:rFonts w:asciiTheme="minorHAnsi" w:hAnsiTheme="minorHAnsi" w:cstheme="minorBidi"/>
          <w:i w:val="0"/>
          <w:iCs w:val="0"/>
          <w:color w:val="auto"/>
        </w:rPr>
        <w:t xml:space="preserve"> </w:t>
      </w:r>
      <w:r w:rsidRPr="00FE1A96">
        <w:rPr>
          <w:rStyle w:val="Citation"/>
        </w:rPr>
        <w:t>(Darch &amp; Kame’enui, 2004)</w:t>
      </w:r>
    </w:p>
    <w:p w14:paraId="1DD7F03F" w14:textId="77777777" w:rsidR="00C925A6" w:rsidRPr="00FE1A96" w:rsidRDefault="00C925A6" w:rsidP="00FE1A96">
      <w:pPr>
        <w:pStyle w:val="Bullet1"/>
      </w:pPr>
      <w:r w:rsidRPr="00FE1A96">
        <w:t>An item must truly be at mastery level before it can be used for interspersing.</w:t>
      </w:r>
    </w:p>
    <w:p w14:paraId="00286D3E" w14:textId="77777777" w:rsidR="00C925A6" w:rsidRPr="00FE1A96" w:rsidRDefault="00C925A6" w:rsidP="00FE1A96">
      <w:pPr>
        <w:pStyle w:val="Bullet1"/>
      </w:pPr>
      <w:r w:rsidRPr="00FE1A96">
        <w:t>Students prefer assignments with a mix of already mastered tasks with current skill tasks.</w:t>
      </w:r>
    </w:p>
    <w:p w14:paraId="29F39A86" w14:textId="77777777" w:rsidR="00C925A6" w:rsidRPr="00FE1A96" w:rsidRDefault="00C925A6" w:rsidP="00FE1A96">
      <w:pPr>
        <w:pStyle w:val="Bullet1"/>
        <w:rPr>
          <w:rStyle w:val="Italic"/>
          <w:rFonts w:asciiTheme="minorHAnsi" w:hAnsiTheme="minorHAnsi" w:cstheme="minorBidi"/>
          <w:i w:val="0"/>
          <w:iCs w:val="0"/>
          <w:color w:val="auto"/>
        </w:rPr>
      </w:pPr>
      <w:r w:rsidRPr="00FE1A96">
        <w:t>Students prefer academic tasks when up to 30% of items are new.</w:t>
      </w:r>
      <w:r w:rsidRPr="00FE1A96">
        <w:rPr>
          <w:rStyle w:val="Citation"/>
        </w:rPr>
        <w:t xml:space="preserve"> (Logan and Skinner, 1998)</w:t>
      </w:r>
    </w:p>
    <w:p w14:paraId="017BC699" w14:textId="77777777" w:rsidR="00C925A6" w:rsidRDefault="00C925A6" w:rsidP="00FE1A96">
      <w:pPr>
        <w:pStyle w:val="Bullet1last0"/>
      </w:pPr>
      <w:r w:rsidRPr="00FE1A96">
        <w:t xml:space="preserve">When students </w:t>
      </w:r>
      <w:proofErr w:type="gramStart"/>
      <w:r w:rsidRPr="00FE1A96">
        <w:t>have the opportunity to</w:t>
      </w:r>
      <w:proofErr w:type="gramEnd"/>
      <w:r w:rsidRPr="00FE1A96">
        <w:t xml:space="preserve"> make choices, it can enhance their sense of autonomy,</w:t>
      </w:r>
      <w:r>
        <w:t xml:space="preserve"> competence, and relatedness, leading to positive outcomes, including increased student engagement.</w:t>
      </w:r>
    </w:p>
    <w:p w14:paraId="047E9B20" w14:textId="77777777" w:rsidR="00C925A6" w:rsidRDefault="00C925A6" w:rsidP="008235C4">
      <w:pPr>
        <w:pStyle w:val="Heading2"/>
      </w:pPr>
      <w:r>
        <w:t>Getting started</w:t>
      </w:r>
    </w:p>
    <w:p w14:paraId="0811CF4E" w14:textId="77777777" w:rsidR="00C925A6" w:rsidRDefault="00C925A6" w:rsidP="008235C4">
      <w:pPr>
        <w:pStyle w:val="Heading3"/>
      </w:pPr>
      <w:r>
        <w:t xml:space="preserve">Step 1: </w:t>
      </w:r>
    </w:p>
    <w:p w14:paraId="2E4A968C" w14:textId="77777777" w:rsidR="00C925A6" w:rsidRDefault="00C925A6" w:rsidP="00B4046A">
      <w:pPr>
        <w:pStyle w:val="Heading4"/>
      </w:pPr>
      <w:r>
        <w:t xml:space="preserve">Intersperse tasks </w:t>
      </w:r>
      <w:proofErr w:type="gramStart"/>
      <w:r>
        <w:t>strategically</w:t>
      </w:r>
      <w:proofErr w:type="gramEnd"/>
      <w:r>
        <w:t xml:space="preserve"> </w:t>
      </w:r>
    </w:p>
    <w:p w14:paraId="7E7E3DB2" w14:textId="77777777" w:rsidR="00C925A6" w:rsidRPr="00FE1A96" w:rsidRDefault="00C925A6" w:rsidP="00FE1A96">
      <w:pPr>
        <w:pStyle w:val="Bullet1"/>
      </w:pPr>
      <w:r w:rsidRPr="00FE1A96">
        <w:t>Intermixing easier tasks among more difficult tasks.</w:t>
      </w:r>
      <w:r w:rsidRPr="00FE1A96">
        <w:rPr>
          <w:rStyle w:val="Italic"/>
          <w:rFonts w:asciiTheme="minorHAnsi" w:hAnsiTheme="minorHAnsi" w:cstheme="minorBidi"/>
          <w:i w:val="0"/>
          <w:iCs w:val="0"/>
          <w:color w:val="auto"/>
        </w:rPr>
        <w:t xml:space="preserve"> </w:t>
      </w:r>
      <w:r w:rsidRPr="00FE1A96">
        <w:rPr>
          <w:rStyle w:val="Citation"/>
        </w:rPr>
        <w:t xml:space="preserve">(Meadows &amp; Skinner, 2005) </w:t>
      </w:r>
    </w:p>
    <w:p w14:paraId="4C11DAF6" w14:textId="77777777" w:rsidR="00C925A6" w:rsidRPr="00FE1A96" w:rsidRDefault="00C925A6" w:rsidP="00FE1A96">
      <w:pPr>
        <w:pStyle w:val="Bullet1"/>
      </w:pPr>
      <w:r w:rsidRPr="00FE1A96">
        <w:t>Intersperse at 1:3 ratio of one mastered to 3 more challenging or new items.</w:t>
      </w:r>
    </w:p>
    <w:p w14:paraId="6409EE99" w14:textId="77777777" w:rsidR="00C925A6" w:rsidRPr="00FE1A96" w:rsidRDefault="00C925A6" w:rsidP="00FE1A96">
      <w:pPr>
        <w:pStyle w:val="Bullet1"/>
      </w:pPr>
      <w:r w:rsidRPr="00FE1A96">
        <w:t>Slowly fade the mastered items as fluency builds with new ones.</w:t>
      </w:r>
    </w:p>
    <w:p w14:paraId="6C135E9D" w14:textId="77777777" w:rsidR="00C925A6" w:rsidRDefault="00C925A6" w:rsidP="00FE1A96">
      <w:pPr>
        <w:pStyle w:val="Bullet1last0"/>
      </w:pPr>
      <w:r w:rsidRPr="00FE1A96">
        <w:t>After successful</w:t>
      </w:r>
      <w:r>
        <w:t xml:space="preserve"> completion, reinforce the student with positive feedback.</w:t>
      </w:r>
    </w:p>
    <w:p w14:paraId="3E21909E" w14:textId="77777777" w:rsidR="00C925A6" w:rsidRDefault="00C925A6" w:rsidP="008235C4">
      <w:pPr>
        <w:pStyle w:val="Heading3"/>
        <w:rPr>
          <w:color w:val="0086C3"/>
        </w:rPr>
      </w:pPr>
      <w:r>
        <w:lastRenderedPageBreak/>
        <w:t xml:space="preserve">Step 2: </w:t>
      </w:r>
    </w:p>
    <w:p w14:paraId="28B5C050" w14:textId="77777777" w:rsidR="00C925A6" w:rsidRDefault="00C925A6" w:rsidP="00B4046A">
      <w:pPr>
        <w:pStyle w:val="Heading4"/>
      </w:pPr>
      <w:r>
        <w:t xml:space="preserve">Utilise behaviour </w:t>
      </w:r>
      <w:proofErr w:type="gramStart"/>
      <w:r>
        <w:t>momentum</w:t>
      </w:r>
      <w:proofErr w:type="gramEnd"/>
      <w:r>
        <w:t xml:space="preserve"> </w:t>
      </w:r>
    </w:p>
    <w:p w14:paraId="5F9F7867" w14:textId="77777777" w:rsidR="00C925A6" w:rsidRPr="00FE1A96" w:rsidRDefault="00C925A6" w:rsidP="00FE1A96">
      <w:pPr>
        <w:pStyle w:val="Bullet1"/>
      </w:pPr>
      <w:r>
        <w:t xml:space="preserve">Use </w:t>
      </w:r>
      <w:r w:rsidRPr="00FE1A96">
        <w:t>simple instructions to precede more difficult instructions.</w:t>
      </w:r>
    </w:p>
    <w:p w14:paraId="03DB023B" w14:textId="77777777" w:rsidR="00C925A6" w:rsidRPr="00FE1A96" w:rsidRDefault="00C925A6" w:rsidP="00FE1A96">
      <w:pPr>
        <w:pStyle w:val="Bullet1"/>
      </w:pPr>
      <w:r w:rsidRPr="00FE1A96">
        <w:t>Identify behaviours that have a high probability (</w:t>
      </w:r>
      <w:proofErr w:type="gramStart"/>
      <w:r w:rsidRPr="00FE1A96">
        <w:rPr>
          <w:rStyle w:val="Bold"/>
        </w:rPr>
        <w:t>high-p</w:t>
      </w:r>
      <w:proofErr w:type="gramEnd"/>
      <w:r w:rsidRPr="00FE1A96">
        <w:t>) of completion.</w:t>
      </w:r>
    </w:p>
    <w:p w14:paraId="03F139C0" w14:textId="77777777" w:rsidR="00C925A6" w:rsidRPr="00FE1A96" w:rsidRDefault="00C925A6" w:rsidP="00FE1A96">
      <w:pPr>
        <w:pStyle w:val="Bullet1"/>
      </w:pPr>
      <w:r w:rsidRPr="00FE1A96">
        <w:t>Precede more difficult requests (</w:t>
      </w:r>
      <w:r w:rsidRPr="00FE1A96">
        <w:rPr>
          <w:rStyle w:val="Bold"/>
        </w:rPr>
        <w:t>low-p</w:t>
      </w:r>
      <w:r w:rsidRPr="00FE1A96">
        <w:t>) by giving 3 or more (</w:t>
      </w:r>
      <w:r w:rsidRPr="00FE1A96">
        <w:rPr>
          <w:rStyle w:val="Bold"/>
        </w:rPr>
        <w:t>high-p</w:t>
      </w:r>
      <w:r w:rsidRPr="00FE1A96">
        <w:t>) requests.</w:t>
      </w:r>
    </w:p>
    <w:p w14:paraId="58412396" w14:textId="77777777" w:rsidR="00C925A6" w:rsidRPr="00FE1A96" w:rsidRDefault="00C925A6" w:rsidP="00FE1A96">
      <w:pPr>
        <w:pStyle w:val="Bullet1"/>
      </w:pPr>
      <w:r w:rsidRPr="00FE1A96">
        <w:t>After successful completion, reinforce the student with positive feedback.</w:t>
      </w:r>
    </w:p>
    <w:p w14:paraId="55FF0B1B" w14:textId="77777777" w:rsidR="00C925A6" w:rsidRPr="00FE1A96" w:rsidRDefault="00C925A6" w:rsidP="00FE1A96">
      <w:pPr>
        <w:pStyle w:val="Bullet1"/>
      </w:pPr>
      <w:r w:rsidRPr="00FE1A96">
        <w:t>Then present the (</w:t>
      </w:r>
      <w:proofErr w:type="gramStart"/>
      <w:r w:rsidRPr="00FE1A96">
        <w:rPr>
          <w:rStyle w:val="Bold"/>
        </w:rPr>
        <w:t>low-p</w:t>
      </w:r>
      <w:proofErr w:type="gramEnd"/>
      <w:r w:rsidRPr="00FE1A96">
        <w:t>) task.</w:t>
      </w:r>
    </w:p>
    <w:p w14:paraId="3459EDF1" w14:textId="77777777" w:rsidR="00C925A6" w:rsidRDefault="00C925A6" w:rsidP="00FE1A96">
      <w:pPr>
        <w:pStyle w:val="Bullet1last0"/>
      </w:pPr>
      <w:r w:rsidRPr="00FE1A96">
        <w:t>Reinforce</w:t>
      </w:r>
      <w:r>
        <w:t xml:space="preserve"> </w:t>
      </w:r>
      <w:r w:rsidRPr="00FE1A96">
        <w:t>with</w:t>
      </w:r>
      <w:r>
        <w:t xml:space="preserve"> positive feedback.</w:t>
      </w:r>
    </w:p>
    <w:p w14:paraId="7909F5F0" w14:textId="77777777" w:rsidR="00C925A6" w:rsidRDefault="00C925A6" w:rsidP="008235C4">
      <w:pPr>
        <w:pStyle w:val="Heading3"/>
      </w:pPr>
      <w:r>
        <w:t xml:space="preserve">Step 3: </w:t>
      </w:r>
    </w:p>
    <w:p w14:paraId="0E2CEBA8" w14:textId="77777777" w:rsidR="00C925A6" w:rsidRDefault="00C925A6" w:rsidP="00B4046A">
      <w:pPr>
        <w:pStyle w:val="Heading4"/>
      </w:pPr>
      <w:r>
        <w:t xml:space="preserve">Increase student </w:t>
      </w:r>
      <w:proofErr w:type="gramStart"/>
      <w:r>
        <w:t>choice</w:t>
      </w:r>
      <w:proofErr w:type="gramEnd"/>
      <w:r>
        <w:t xml:space="preserve"> </w:t>
      </w:r>
    </w:p>
    <w:p w14:paraId="6C593C0F" w14:textId="77777777" w:rsidR="00C925A6" w:rsidRPr="00FE1A96" w:rsidRDefault="00C925A6" w:rsidP="00FE1A96">
      <w:pPr>
        <w:pStyle w:val="Bullet1"/>
      </w:pPr>
      <w:r>
        <w:t xml:space="preserve">Choice can be </w:t>
      </w:r>
      <w:r w:rsidRPr="00FE1A96">
        <w:t>used class wide, with groups or with individual students.</w:t>
      </w:r>
    </w:p>
    <w:p w14:paraId="3661F5D9" w14:textId="77777777" w:rsidR="00C925A6" w:rsidRPr="00FE1A96" w:rsidRDefault="00C925A6" w:rsidP="00FE1A96">
      <w:pPr>
        <w:pStyle w:val="Bullet1"/>
      </w:pPr>
      <w:r w:rsidRPr="00FE1A96">
        <w:t>Create a menu of choices that are practical and doable.</w:t>
      </w:r>
    </w:p>
    <w:p w14:paraId="67215CF9" w14:textId="77777777" w:rsidR="00C925A6" w:rsidRPr="00FE1A96" w:rsidRDefault="00C925A6" w:rsidP="00FE1A96">
      <w:pPr>
        <w:pStyle w:val="Bullet1"/>
      </w:pPr>
      <w:r w:rsidRPr="00FE1A96">
        <w:t>Plan lessons incorporating student choices in a variety of ways (order, materials, partners, location).</w:t>
      </w:r>
    </w:p>
    <w:p w14:paraId="05F89FD1" w14:textId="77777777" w:rsidR="00C925A6" w:rsidRPr="00FE1A96" w:rsidRDefault="00C925A6" w:rsidP="00FE1A96">
      <w:pPr>
        <w:pStyle w:val="Bullet1"/>
      </w:pPr>
      <w:r w:rsidRPr="00FE1A96">
        <w:t>Teach students how to select choices.</w:t>
      </w:r>
    </w:p>
    <w:p w14:paraId="2E17C2DC" w14:textId="77777777" w:rsidR="00C925A6" w:rsidRDefault="00C925A6" w:rsidP="00FE1A96">
      <w:pPr>
        <w:pStyle w:val="Bullet1last0"/>
      </w:pPr>
      <w:r w:rsidRPr="00FE1A96">
        <w:t>Ask for student</w:t>
      </w:r>
      <w:r>
        <w:t xml:space="preserve"> feedback and </w:t>
      </w:r>
      <w:r w:rsidRPr="00FE1A96">
        <w:t>input</w:t>
      </w:r>
      <w:r>
        <w:t>.</w:t>
      </w:r>
    </w:p>
    <w:p w14:paraId="609B32A9" w14:textId="77777777" w:rsidR="00C925A6" w:rsidRDefault="00C925A6" w:rsidP="008235C4">
      <w:pPr>
        <w:pStyle w:val="Heading2"/>
      </w:pPr>
      <w:r>
        <w:t>Examples</w:t>
      </w:r>
    </w:p>
    <w:p w14:paraId="3CF354D6" w14:textId="77777777" w:rsidR="00C925A6" w:rsidRPr="00B53D91" w:rsidRDefault="00C925A6" w:rsidP="00B53D91">
      <w:pPr>
        <w:pStyle w:val="Heading4"/>
      </w:pPr>
      <w:r w:rsidRPr="00B53D91">
        <w:t xml:space="preserve">Create a menu of choices you would be willing to provide to students. </w:t>
      </w:r>
      <w:r w:rsidRPr="00B53D91">
        <w:tab/>
      </w:r>
    </w:p>
    <w:p w14:paraId="5E0A6E9B" w14:textId="77777777" w:rsidR="00C925A6" w:rsidRPr="00B53D91" w:rsidRDefault="00C925A6" w:rsidP="00B53D91">
      <w:pPr>
        <w:pStyle w:val="Heading5"/>
        <w:rPr>
          <w:rStyle w:val="Bold"/>
          <w:b/>
          <w:bCs/>
        </w:rPr>
      </w:pPr>
      <w:r w:rsidRPr="00B53D91">
        <w:rPr>
          <w:rStyle w:val="Bold"/>
          <w:b/>
          <w:bCs/>
        </w:rPr>
        <w:t>Type of activity</w:t>
      </w:r>
      <w:r w:rsidRPr="00B53D91">
        <w:t xml:space="preserve"> or</w:t>
      </w:r>
      <w:r w:rsidRPr="00B53D91">
        <w:rPr>
          <w:rStyle w:val="Bold"/>
          <w:b/>
          <w:bCs/>
        </w:rPr>
        <w:t xml:space="preserve"> task mode</w:t>
      </w:r>
      <w:r w:rsidRPr="00B53D91">
        <w:rPr>
          <w:rStyle w:val="Bold"/>
          <w:b/>
          <w:bCs/>
        </w:rPr>
        <w:tab/>
      </w:r>
    </w:p>
    <w:p w14:paraId="51421A7B" w14:textId="77777777" w:rsidR="00C925A6" w:rsidRDefault="00C925A6" w:rsidP="00FE1A96">
      <w:pPr>
        <w:pStyle w:val="Bullet1last0"/>
      </w:pPr>
      <w:r>
        <w:t xml:space="preserve">Draw a </w:t>
      </w:r>
      <w:r w:rsidRPr="00FE1A96">
        <w:t>diagram</w:t>
      </w:r>
      <w:r>
        <w:t xml:space="preserve"> or write a paragraph or prepare an oral </w:t>
      </w:r>
      <w:proofErr w:type="gramStart"/>
      <w:r>
        <w:t>presentation</w:t>
      </w:r>
      <w:proofErr w:type="gramEnd"/>
    </w:p>
    <w:p w14:paraId="6FFEC948" w14:textId="77777777" w:rsidR="00C925A6" w:rsidRPr="00B53D91" w:rsidRDefault="00C925A6" w:rsidP="00B53D91">
      <w:pPr>
        <w:pStyle w:val="Heading5"/>
        <w:rPr>
          <w:rStyle w:val="Bold"/>
          <w:b/>
          <w:bCs/>
        </w:rPr>
      </w:pPr>
      <w:r w:rsidRPr="00B53D91">
        <w:rPr>
          <w:rStyle w:val="Bold"/>
          <w:b/>
          <w:bCs/>
        </w:rPr>
        <w:t xml:space="preserve">Order or sequence tasks are </w:t>
      </w:r>
      <w:proofErr w:type="gramStart"/>
      <w:r w:rsidRPr="00B53D91">
        <w:rPr>
          <w:rStyle w:val="Bold"/>
          <w:b/>
          <w:bCs/>
        </w:rPr>
        <w:t>completed</w:t>
      </w:r>
      <w:proofErr w:type="gramEnd"/>
      <w:r w:rsidRPr="00B53D91">
        <w:rPr>
          <w:rStyle w:val="Bold"/>
          <w:b/>
          <w:bCs/>
        </w:rPr>
        <w:tab/>
      </w:r>
    </w:p>
    <w:p w14:paraId="1C7CBEE0" w14:textId="77777777" w:rsidR="00C925A6" w:rsidRDefault="00C925A6" w:rsidP="00FE1A96">
      <w:pPr>
        <w:pStyle w:val="Bullet1last0"/>
      </w:pPr>
      <w:r>
        <w:t xml:space="preserve">Three tasks are </w:t>
      </w:r>
      <w:r w:rsidRPr="00FE1A96">
        <w:t>assigned</w:t>
      </w:r>
      <w:r>
        <w:t>, student selects which to complete first.</w:t>
      </w:r>
    </w:p>
    <w:p w14:paraId="78B36A9E" w14:textId="77777777" w:rsidR="00C925A6" w:rsidRPr="00B53D91" w:rsidRDefault="00C925A6" w:rsidP="00B53D91">
      <w:pPr>
        <w:pStyle w:val="Heading5"/>
        <w:rPr>
          <w:rStyle w:val="Bold"/>
          <w:b/>
          <w:bCs/>
        </w:rPr>
      </w:pPr>
      <w:r w:rsidRPr="00B53D91">
        <w:rPr>
          <w:rStyle w:val="Bold"/>
          <w:b/>
          <w:bCs/>
        </w:rPr>
        <w:t>Materials used to complete an assignment</w:t>
      </w:r>
      <w:r w:rsidRPr="00B53D91">
        <w:rPr>
          <w:rStyle w:val="Bold"/>
          <w:b/>
          <w:bCs/>
        </w:rPr>
        <w:tab/>
      </w:r>
    </w:p>
    <w:p w14:paraId="160E2809" w14:textId="77777777" w:rsidR="00C925A6" w:rsidRDefault="00C925A6" w:rsidP="00FE1A96">
      <w:pPr>
        <w:pStyle w:val="Bullet1last0"/>
      </w:pPr>
      <w:r>
        <w:t>Computer or pencil/</w:t>
      </w:r>
      <w:r w:rsidRPr="00FE1A96">
        <w:t>paper</w:t>
      </w:r>
    </w:p>
    <w:p w14:paraId="3822A5D4" w14:textId="77777777" w:rsidR="00C925A6" w:rsidRPr="00B53D91" w:rsidRDefault="00C925A6" w:rsidP="00B53D91">
      <w:pPr>
        <w:pStyle w:val="Heading5"/>
        <w:rPr>
          <w:rStyle w:val="Bold"/>
          <w:b/>
          <w:bCs/>
        </w:rPr>
      </w:pPr>
      <w:r w:rsidRPr="00B53D91">
        <w:rPr>
          <w:rStyle w:val="Bold"/>
          <w:b/>
          <w:bCs/>
        </w:rPr>
        <w:t>How the work will be done</w:t>
      </w:r>
      <w:r w:rsidRPr="00B53D91">
        <w:rPr>
          <w:rStyle w:val="Bold"/>
          <w:b/>
          <w:bCs/>
        </w:rPr>
        <w:tab/>
      </w:r>
    </w:p>
    <w:p w14:paraId="24409793" w14:textId="77777777" w:rsidR="00C925A6" w:rsidRDefault="00C925A6" w:rsidP="00FE1A96">
      <w:pPr>
        <w:pStyle w:val="Bullet1last0"/>
      </w:pPr>
      <w:r>
        <w:t xml:space="preserve">Choose to complete a </w:t>
      </w:r>
      <w:r w:rsidRPr="00FE1A96">
        <w:t>task</w:t>
      </w:r>
      <w:r>
        <w:t xml:space="preserve"> with a partner, in a group or individually.</w:t>
      </w:r>
    </w:p>
    <w:p w14:paraId="5D03A8E9" w14:textId="77777777" w:rsidR="00C925A6" w:rsidRPr="00B53D91" w:rsidRDefault="00C925A6" w:rsidP="00B53D91">
      <w:pPr>
        <w:pStyle w:val="Heading5"/>
        <w:rPr>
          <w:rStyle w:val="Bold"/>
          <w:b/>
          <w:bCs/>
        </w:rPr>
      </w:pPr>
      <w:r w:rsidRPr="00B53D91">
        <w:rPr>
          <w:rStyle w:val="Bold"/>
          <w:b/>
          <w:bCs/>
        </w:rPr>
        <w:t>Where to work</w:t>
      </w:r>
      <w:r w:rsidRPr="00B53D91">
        <w:rPr>
          <w:rStyle w:val="Bold"/>
          <w:b/>
          <w:bCs/>
        </w:rPr>
        <w:tab/>
      </w:r>
    </w:p>
    <w:p w14:paraId="7073C98F" w14:textId="77777777" w:rsidR="00C925A6" w:rsidRDefault="00C925A6" w:rsidP="00FE1A96">
      <w:pPr>
        <w:pStyle w:val="Bullet1last0"/>
      </w:pPr>
      <w:r>
        <w:t>Complete a task at student desk or study centre.</w:t>
      </w:r>
    </w:p>
    <w:p w14:paraId="250867C4" w14:textId="77777777" w:rsidR="00C925A6" w:rsidRPr="00B53D91" w:rsidRDefault="00C925A6" w:rsidP="00B53D91">
      <w:pPr>
        <w:pStyle w:val="Heading5"/>
        <w:rPr>
          <w:rStyle w:val="Bold"/>
          <w:b/>
          <w:bCs/>
        </w:rPr>
      </w:pPr>
      <w:r w:rsidRPr="00B53D91">
        <w:rPr>
          <w:rStyle w:val="Bold"/>
          <w:b/>
          <w:bCs/>
        </w:rPr>
        <w:t>What to do when the task is done</w:t>
      </w:r>
      <w:r w:rsidRPr="00B53D91">
        <w:rPr>
          <w:rStyle w:val="Bold"/>
          <w:b/>
          <w:bCs/>
        </w:rPr>
        <w:tab/>
      </w:r>
    </w:p>
    <w:p w14:paraId="4E818492" w14:textId="77777777" w:rsidR="00C925A6" w:rsidRDefault="00C925A6" w:rsidP="00FE1A96">
      <w:pPr>
        <w:pStyle w:val="Bullet1last0"/>
      </w:pPr>
      <w:r>
        <w:t>Select a book to read, help a peer or free drawing.</w:t>
      </w:r>
    </w:p>
    <w:p w14:paraId="59C7C1FC" w14:textId="77777777" w:rsidR="00C925A6" w:rsidRDefault="00C925A6" w:rsidP="008235C4">
      <w:pPr>
        <w:pStyle w:val="Heading2"/>
      </w:pPr>
      <w:r>
        <w:t>Trauma lens</w:t>
      </w:r>
    </w:p>
    <w:p w14:paraId="5F69BE6E" w14:textId="77777777" w:rsidR="00C925A6" w:rsidRPr="00FE1A96" w:rsidRDefault="00C925A6" w:rsidP="00FE1A96">
      <w:pPr>
        <w:pStyle w:val="Bullet1"/>
      </w:pPr>
      <w:r>
        <w:t xml:space="preserve">Creating </w:t>
      </w:r>
      <w:r w:rsidRPr="00FE1A96">
        <w:t>more effective and equitable learning environments benefits all students.</w:t>
      </w:r>
    </w:p>
    <w:p w14:paraId="76BB72A6" w14:textId="77777777" w:rsidR="00C925A6" w:rsidRDefault="00C925A6" w:rsidP="00FE1A96">
      <w:pPr>
        <w:pStyle w:val="Bullet1last0"/>
      </w:pPr>
      <w:r w:rsidRPr="00FE1A96">
        <w:t>Providing choice</w:t>
      </w:r>
      <w:r>
        <w:t xml:space="preserve"> </w:t>
      </w:r>
      <w:r w:rsidRPr="00FE1A96">
        <w:t>develops</w:t>
      </w:r>
      <w:r>
        <w:t xml:space="preserve"> student independence.</w:t>
      </w:r>
    </w:p>
    <w:p w14:paraId="428D228F" w14:textId="77777777" w:rsidR="00C925A6" w:rsidRDefault="00C925A6" w:rsidP="00C925A6">
      <w:pPr>
        <w:pStyle w:val="Footnoteheading"/>
      </w:pPr>
      <w:r>
        <w:t>Footnotes:</w:t>
      </w:r>
    </w:p>
    <w:p w14:paraId="3B739C52" w14:textId="77777777" w:rsidR="00C925A6" w:rsidRDefault="00C925A6" w:rsidP="00C925A6">
      <w:pPr>
        <w:pStyle w:val="Footnote"/>
        <w:ind w:right="340"/>
      </w:pPr>
      <w:proofErr w:type="spellStart"/>
      <w:r>
        <w:t>Bross</w:t>
      </w:r>
      <w:proofErr w:type="spellEnd"/>
      <w:r>
        <w:t>, L. A., Common, E. A., Oakes, W. P., Lane, K. L., Menzies, H. M., &amp; Ennis, R. P. (2018). High-Probability Request Sequence: An Effective, Efficient Low-Intensity Strategy to Support Student Success.</w:t>
      </w:r>
      <w:r>
        <w:rPr>
          <w:rStyle w:val="ItalicNarrow"/>
        </w:rPr>
        <w:t xml:space="preserve"> Beyond Behavior,</w:t>
      </w:r>
      <w:r>
        <w:t xml:space="preserve"> 27(3), 140–145. https://doi.org/10.1177/1074295618798615</w:t>
      </w:r>
    </w:p>
    <w:p w14:paraId="5D40BD7E" w14:textId="77777777" w:rsidR="00C925A6" w:rsidRDefault="00C925A6" w:rsidP="00C925A6">
      <w:pPr>
        <w:pStyle w:val="Footnote"/>
      </w:pPr>
      <w:proofErr w:type="spellStart"/>
      <w:r>
        <w:t>Darch</w:t>
      </w:r>
      <w:proofErr w:type="spellEnd"/>
      <w:r>
        <w:t xml:space="preserve">, C. B., &amp; </w:t>
      </w:r>
      <w:proofErr w:type="spellStart"/>
      <w:r>
        <w:t>Kame’enui</w:t>
      </w:r>
      <w:proofErr w:type="spellEnd"/>
      <w:r>
        <w:t>, E. J. (2004). </w:t>
      </w:r>
      <w:r>
        <w:rPr>
          <w:rStyle w:val="ItalicNarrow"/>
        </w:rPr>
        <w:t>Instructional classroom management: A proactive approach to behavior management.</w:t>
      </w:r>
      <w:r>
        <w:t xml:space="preserve"> Prentice Hall.</w:t>
      </w:r>
    </w:p>
    <w:p w14:paraId="17B28476" w14:textId="77777777" w:rsidR="00C925A6" w:rsidRDefault="00C925A6" w:rsidP="00C925A6">
      <w:pPr>
        <w:pStyle w:val="Footnote"/>
      </w:pPr>
      <w:r>
        <w:t xml:space="preserve">Kern, L. &amp; Clemens, N. H., 2007. Antecedent strategies to promote appropriate classroom behavior. </w:t>
      </w:r>
      <w:r>
        <w:rPr>
          <w:rStyle w:val="ItalicNarrow"/>
        </w:rPr>
        <w:t>Psychology in the Schools,</w:t>
      </w:r>
      <w:r>
        <w:t xml:space="preserve"> 44(1), pp. 65-75. </w:t>
      </w:r>
      <w:r>
        <w:tab/>
      </w:r>
    </w:p>
    <w:p w14:paraId="369055BF" w14:textId="77777777" w:rsidR="00C925A6" w:rsidRDefault="00C925A6" w:rsidP="00C925A6">
      <w:pPr>
        <w:pStyle w:val="Footnote"/>
      </w:pPr>
      <w:r>
        <w:t xml:space="preserve">Kern, L., &amp; State, T. M. (2009). Incorporating choice and preferred activities into </w:t>
      </w:r>
      <w:proofErr w:type="spellStart"/>
      <w:r>
        <w:t>classwide</w:t>
      </w:r>
      <w:proofErr w:type="spellEnd"/>
      <w:r>
        <w:t xml:space="preserve"> instruction. </w:t>
      </w:r>
      <w:r>
        <w:rPr>
          <w:rStyle w:val="ItalicNarrow"/>
        </w:rPr>
        <w:t>Beyond Behavior,</w:t>
      </w:r>
      <w:r>
        <w:t> 18(2), 3-11.</w:t>
      </w:r>
    </w:p>
    <w:p w14:paraId="5A3640AD" w14:textId="77777777" w:rsidR="00C925A6" w:rsidRDefault="00C925A6" w:rsidP="00C925A6">
      <w:pPr>
        <w:pStyle w:val="Footnote"/>
      </w:pPr>
      <w:r>
        <w:t>Logan, P. &amp; Skinner, C. H., 1998. Improving students’ perceptions of a mathematics assignment by.</w:t>
      </w:r>
      <w:r>
        <w:rPr>
          <w:rStyle w:val="ItalicNarrow"/>
        </w:rPr>
        <w:t xml:space="preserve"> School Psychology Quarterly</w:t>
      </w:r>
      <w:r>
        <w:t xml:space="preserve">, 13(4), pp. 322-331. </w:t>
      </w:r>
    </w:p>
    <w:p w14:paraId="6E5C00D7" w14:textId="77777777" w:rsidR="00C925A6" w:rsidRDefault="00C925A6" w:rsidP="00C925A6">
      <w:pPr>
        <w:pStyle w:val="Footnote"/>
      </w:pPr>
      <w:r>
        <w:t>Meadows, S. F., &amp; Skinner, C. H. (2005). Causing students to choose more language arts work: Enhancing the validity of the additive interspersal procedure. </w:t>
      </w:r>
      <w:r>
        <w:rPr>
          <w:rStyle w:val="ItalicNarrow"/>
        </w:rPr>
        <w:t>Journal of Behavioral Education,</w:t>
      </w:r>
      <w:r>
        <w:t> 14, 227-247.</w:t>
      </w:r>
    </w:p>
    <w:p w14:paraId="5A9929B2" w14:textId="77777777" w:rsidR="00C925A6" w:rsidRDefault="00C925A6" w:rsidP="00C925A6">
      <w:pPr>
        <w:pStyle w:val="Footnote"/>
      </w:pPr>
      <w:r>
        <w:t>Stormont, M., Reinke, W. M., Herman, K. C. &amp; Lembke, E. S., 2012. Academic and Behavior Supports for. New York (NY): The Guilford Press.</w:t>
      </w:r>
    </w:p>
    <w:p w14:paraId="40E17997" w14:textId="20D63DCE" w:rsidR="00C925A6" w:rsidRDefault="00FE1A96" w:rsidP="00C925A6">
      <w:pPr>
        <w:pStyle w:val="Quote"/>
      </w:pPr>
      <w:r>
        <w:br/>
      </w:r>
      <w:r w:rsidR="00C925A6">
        <w:t xml:space="preserve">“For students who can do the task, but choose not to do it, activity sequencing and choice strategies may be helpful.” </w:t>
      </w:r>
    </w:p>
    <w:p w14:paraId="3950F060" w14:textId="1694107D" w:rsidR="00122369" w:rsidRPr="00776885" w:rsidRDefault="00C925A6" w:rsidP="00C962E2">
      <w:pPr>
        <w:pStyle w:val="Quoteauthor"/>
      </w:pPr>
      <w:r>
        <w:rPr>
          <w:rStyle w:val="Citation"/>
          <w:caps/>
        </w:rPr>
        <w:t>Kern &amp; Clemens, 2007; Stormont, et al., 2012</w:t>
      </w:r>
    </w:p>
    <w:sectPr w:rsidR="00122369" w:rsidRPr="00776885" w:rsidSect="0098759C">
      <w:headerReference w:type="default" r:id="rId11"/>
      <w:footerReference w:type="even" r:id="rId12"/>
      <w:footerReference w:type="default" r:id="rId13"/>
      <w:pgSz w:w="11900" w:h="16840"/>
      <w:pgMar w:top="2575" w:right="1134" w:bottom="1142" w:left="1134" w:header="283" w:footer="50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7549" w14:textId="77777777" w:rsidR="00B276F2" w:rsidRDefault="00B276F2" w:rsidP="003967DD">
      <w:pPr>
        <w:spacing w:after="0"/>
      </w:pPr>
      <w:r>
        <w:separator/>
      </w:r>
    </w:p>
  </w:endnote>
  <w:endnote w:type="continuationSeparator" w:id="0">
    <w:p w14:paraId="06608729" w14:textId="77777777" w:rsidR="00B276F2" w:rsidRDefault="00B276F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D85F" w14:textId="77777777" w:rsidR="00B276F2" w:rsidRDefault="00B276F2" w:rsidP="003967DD">
      <w:pPr>
        <w:spacing w:after="0"/>
      </w:pPr>
      <w:r>
        <w:separator/>
      </w:r>
    </w:p>
  </w:footnote>
  <w:footnote w:type="continuationSeparator" w:id="0">
    <w:p w14:paraId="3FC67C92" w14:textId="77777777" w:rsidR="00B276F2" w:rsidRDefault="00B276F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E38D239" w:rsidR="003967DD" w:rsidRDefault="00776885">
    <w:pPr>
      <w:pStyle w:val="Header"/>
    </w:pPr>
    <w:r w:rsidRPr="00776885">
      <w:rPr>
        <w:noProof/>
      </w:rPr>
      <w:drawing>
        <wp:anchor distT="0" distB="0" distL="114300" distR="114300" simplePos="0" relativeHeight="251658240" behindDoc="1" locked="0" layoutInCell="1" allowOverlap="1" wp14:anchorId="04E587BD" wp14:editId="18021794">
          <wp:simplePos x="0" y="0"/>
          <wp:positionH relativeFrom="column">
            <wp:posOffset>-720091</wp:posOffset>
          </wp:positionH>
          <wp:positionV relativeFrom="paragraph">
            <wp:posOffset>-179706</wp:posOffset>
          </wp:positionV>
          <wp:extent cx="7570800" cy="1094400"/>
          <wp:effectExtent l="0" t="0" r="0" b="0"/>
          <wp:wrapNone/>
          <wp:docPr id="201431898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31898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0D0092"/>
    <w:multiLevelType w:val="multilevel"/>
    <w:tmpl w:val="7D22E71E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10C71C8"/>
    <w:lvl w:ilvl="0" w:tplc="759C40D8">
      <w:start w:val="1"/>
      <w:numFmt w:val="decimal"/>
      <w:pStyle w:val="Numberlis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FB1C11C4"/>
    <w:lvl w:ilvl="0" w:tplc="581EDEC8">
      <w:start w:val="1"/>
      <w:numFmt w:val="bullet"/>
      <w:pStyle w:val="Bullet2"/>
      <w:lvlText w:val="­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D5982"/>
    <w:multiLevelType w:val="multilevel"/>
    <w:tmpl w:val="B01E02C6"/>
    <w:styleLink w:val="CurrentList1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B34C189C"/>
    <w:lvl w:ilvl="0" w:tplc="6528463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882">
    <w:abstractNumId w:val="0"/>
  </w:num>
  <w:num w:numId="2" w16cid:durableId="504709248">
    <w:abstractNumId w:val="1"/>
  </w:num>
  <w:num w:numId="3" w16cid:durableId="343440403">
    <w:abstractNumId w:val="2"/>
  </w:num>
  <w:num w:numId="4" w16cid:durableId="585696792">
    <w:abstractNumId w:val="3"/>
  </w:num>
  <w:num w:numId="5" w16cid:durableId="650792367">
    <w:abstractNumId w:val="4"/>
  </w:num>
  <w:num w:numId="6" w16cid:durableId="558590963">
    <w:abstractNumId w:val="9"/>
  </w:num>
  <w:num w:numId="7" w16cid:durableId="840706194">
    <w:abstractNumId w:val="5"/>
  </w:num>
  <w:num w:numId="8" w16cid:durableId="1000232430">
    <w:abstractNumId w:val="6"/>
  </w:num>
  <w:num w:numId="9" w16cid:durableId="1830556844">
    <w:abstractNumId w:val="7"/>
  </w:num>
  <w:num w:numId="10" w16cid:durableId="845824011">
    <w:abstractNumId w:val="8"/>
  </w:num>
  <w:num w:numId="11" w16cid:durableId="217400481">
    <w:abstractNumId w:val="10"/>
  </w:num>
  <w:num w:numId="12" w16cid:durableId="1793596891">
    <w:abstractNumId w:val="14"/>
  </w:num>
  <w:num w:numId="13" w16cid:durableId="1077093040">
    <w:abstractNumId w:val="17"/>
  </w:num>
  <w:num w:numId="14" w16cid:durableId="548568946">
    <w:abstractNumId w:val="18"/>
  </w:num>
  <w:num w:numId="15" w16cid:durableId="1307275789">
    <w:abstractNumId w:val="12"/>
  </w:num>
  <w:num w:numId="16" w16cid:durableId="1422794765">
    <w:abstractNumId w:val="16"/>
  </w:num>
  <w:num w:numId="17" w16cid:durableId="2083717576">
    <w:abstractNumId w:val="13"/>
  </w:num>
  <w:num w:numId="18" w16cid:durableId="150604695">
    <w:abstractNumId w:val="15"/>
  </w:num>
  <w:num w:numId="19" w16cid:durableId="2090272491">
    <w:abstractNumId w:val="13"/>
    <w:lvlOverride w:ilvl="0">
      <w:startOverride w:val="1"/>
    </w:lvlOverride>
  </w:num>
  <w:num w:numId="20" w16cid:durableId="11422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37B70"/>
    <w:rsid w:val="00080DA9"/>
    <w:rsid w:val="000861DD"/>
    <w:rsid w:val="000A47D4"/>
    <w:rsid w:val="000C600E"/>
    <w:rsid w:val="00122369"/>
    <w:rsid w:val="00150E0F"/>
    <w:rsid w:val="00157212"/>
    <w:rsid w:val="0016287D"/>
    <w:rsid w:val="00182407"/>
    <w:rsid w:val="00196A08"/>
    <w:rsid w:val="001C24E2"/>
    <w:rsid w:val="001D0D94"/>
    <w:rsid w:val="001D13F9"/>
    <w:rsid w:val="001D6F2C"/>
    <w:rsid w:val="001E1816"/>
    <w:rsid w:val="001F39DD"/>
    <w:rsid w:val="002512BE"/>
    <w:rsid w:val="00274F57"/>
    <w:rsid w:val="00275FB8"/>
    <w:rsid w:val="002A4A96"/>
    <w:rsid w:val="002E3BED"/>
    <w:rsid w:val="002F41D7"/>
    <w:rsid w:val="002F6115"/>
    <w:rsid w:val="00312720"/>
    <w:rsid w:val="00343AFC"/>
    <w:rsid w:val="0034745C"/>
    <w:rsid w:val="003967DD"/>
    <w:rsid w:val="003A4C39"/>
    <w:rsid w:val="003E3A74"/>
    <w:rsid w:val="0042333B"/>
    <w:rsid w:val="00443E58"/>
    <w:rsid w:val="00450868"/>
    <w:rsid w:val="004A2E74"/>
    <w:rsid w:val="004B2ED6"/>
    <w:rsid w:val="00500ADA"/>
    <w:rsid w:val="00512BBA"/>
    <w:rsid w:val="00555277"/>
    <w:rsid w:val="00567CF0"/>
    <w:rsid w:val="00584366"/>
    <w:rsid w:val="005A4F12"/>
    <w:rsid w:val="005E0713"/>
    <w:rsid w:val="00624862"/>
    <w:rsid w:val="00624A55"/>
    <w:rsid w:val="006523D7"/>
    <w:rsid w:val="006671CE"/>
    <w:rsid w:val="006A1F8A"/>
    <w:rsid w:val="006A25AC"/>
    <w:rsid w:val="006C45C0"/>
    <w:rsid w:val="006D1D8A"/>
    <w:rsid w:val="006E2B9A"/>
    <w:rsid w:val="00710CED"/>
    <w:rsid w:val="00735566"/>
    <w:rsid w:val="00767573"/>
    <w:rsid w:val="00774B62"/>
    <w:rsid w:val="00776885"/>
    <w:rsid w:val="00792CA3"/>
    <w:rsid w:val="007B556E"/>
    <w:rsid w:val="007D3E38"/>
    <w:rsid w:val="007D40FC"/>
    <w:rsid w:val="007E71DF"/>
    <w:rsid w:val="008065DA"/>
    <w:rsid w:val="008235C4"/>
    <w:rsid w:val="00890680"/>
    <w:rsid w:val="00892E24"/>
    <w:rsid w:val="00897AAC"/>
    <w:rsid w:val="008B1737"/>
    <w:rsid w:val="008F3D35"/>
    <w:rsid w:val="00934E38"/>
    <w:rsid w:val="00952690"/>
    <w:rsid w:val="00954B9A"/>
    <w:rsid w:val="00961ED1"/>
    <w:rsid w:val="0098759C"/>
    <w:rsid w:val="0099358C"/>
    <w:rsid w:val="009F6A77"/>
    <w:rsid w:val="00A31926"/>
    <w:rsid w:val="00A45449"/>
    <w:rsid w:val="00A516BA"/>
    <w:rsid w:val="00A710DF"/>
    <w:rsid w:val="00AA317E"/>
    <w:rsid w:val="00AC2FB3"/>
    <w:rsid w:val="00B21562"/>
    <w:rsid w:val="00B276F2"/>
    <w:rsid w:val="00B4046A"/>
    <w:rsid w:val="00B47FF8"/>
    <w:rsid w:val="00B53D91"/>
    <w:rsid w:val="00B707D9"/>
    <w:rsid w:val="00B775D4"/>
    <w:rsid w:val="00B87422"/>
    <w:rsid w:val="00B93464"/>
    <w:rsid w:val="00BF2F22"/>
    <w:rsid w:val="00C245CF"/>
    <w:rsid w:val="00C539BB"/>
    <w:rsid w:val="00C925A6"/>
    <w:rsid w:val="00C962E2"/>
    <w:rsid w:val="00CB4F62"/>
    <w:rsid w:val="00CC5AA8"/>
    <w:rsid w:val="00CD5993"/>
    <w:rsid w:val="00CE7916"/>
    <w:rsid w:val="00D17E55"/>
    <w:rsid w:val="00D63ABA"/>
    <w:rsid w:val="00D9777A"/>
    <w:rsid w:val="00DC48EE"/>
    <w:rsid w:val="00DC4D0D"/>
    <w:rsid w:val="00E34263"/>
    <w:rsid w:val="00E34721"/>
    <w:rsid w:val="00E4317E"/>
    <w:rsid w:val="00E47519"/>
    <w:rsid w:val="00E5030B"/>
    <w:rsid w:val="00E64758"/>
    <w:rsid w:val="00E77EB9"/>
    <w:rsid w:val="00E87E91"/>
    <w:rsid w:val="00EE5179"/>
    <w:rsid w:val="00F20CEC"/>
    <w:rsid w:val="00F5271F"/>
    <w:rsid w:val="00F55417"/>
    <w:rsid w:val="00F94715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H1"/>
    <w:next w:val="Normal"/>
    <w:link w:val="Heading1Char"/>
    <w:uiPriority w:val="9"/>
    <w:qFormat/>
    <w:rsid w:val="001E1816"/>
    <w:pPr>
      <w:framePr w:wrap="around"/>
      <w:outlineLvl w:val="0"/>
    </w:pPr>
    <w:rPr>
      <w:color w:val="004C97" w:themeColor="accent5"/>
    </w:r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98759C"/>
    <w:pPr>
      <w:keepNext/>
      <w:keepLines/>
      <w:spacing w:line="440" w:lineRule="atLeast"/>
      <w:outlineLvl w:val="1"/>
    </w:pPr>
    <w:rPr>
      <w:bCs w:val="0"/>
    </w:rPr>
  </w:style>
  <w:style w:type="paragraph" w:styleId="Heading3">
    <w:name w:val="heading 3"/>
    <w:basedOn w:val="H3"/>
    <w:next w:val="Normal"/>
    <w:link w:val="Heading3Char"/>
    <w:uiPriority w:val="9"/>
    <w:unhideWhenUsed/>
    <w:qFormat/>
    <w:rsid w:val="001D6F2C"/>
    <w:pPr>
      <w:keepNext/>
      <w:outlineLvl w:val="2"/>
    </w:pPr>
    <w:rPr>
      <w:sz w:val="28"/>
      <w:szCs w:val="28"/>
    </w:rPr>
  </w:style>
  <w:style w:type="paragraph" w:styleId="Heading4">
    <w:name w:val="heading 4"/>
    <w:basedOn w:val="H4"/>
    <w:next w:val="Normal"/>
    <w:link w:val="Heading4Char"/>
    <w:uiPriority w:val="9"/>
    <w:unhideWhenUsed/>
    <w:qFormat/>
    <w:rsid w:val="001D6F2C"/>
    <w:pPr>
      <w:keepNext/>
      <w:keepLines/>
      <w:outlineLvl w:val="3"/>
    </w:pPr>
    <w:rPr>
      <w:bCs w:val="0"/>
      <w:color w:val="004C97" w:themeColor="accent5"/>
      <w:sz w:val="24"/>
      <w:szCs w:val="24"/>
    </w:rPr>
  </w:style>
  <w:style w:type="paragraph" w:styleId="Heading5">
    <w:name w:val="heading 5"/>
    <w:basedOn w:val="H5"/>
    <w:next w:val="Normal"/>
    <w:link w:val="Heading5Char"/>
    <w:uiPriority w:val="9"/>
    <w:unhideWhenUsed/>
    <w:qFormat/>
    <w:rsid w:val="001D6F2C"/>
    <w:pPr>
      <w:spacing w:before="40" w:after="40"/>
      <w:outlineLvl w:val="4"/>
    </w:pPr>
    <w:rPr>
      <w:color w:val="000000" w:themeColor="text1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3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280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1E1816"/>
    <w:rPr>
      <w:rFonts w:ascii="Arial" w:eastAsiaTheme="minorEastAsia" w:hAnsi="Arial" w:cs="Arial"/>
      <w:b/>
      <w:bCs/>
      <w:color w:val="004C97" w:themeColor="accent5"/>
      <w:spacing w:val="6"/>
      <w:position w:val="2"/>
      <w:sz w:val="60"/>
      <w:szCs w:val="60"/>
      <w:lang w:eastAsia="en-GB"/>
      <w14:ligatures w14:val="standardContextual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8759C"/>
    <w:rPr>
      <w:rFonts w:ascii="Arial" w:eastAsiaTheme="minorEastAsia" w:hAnsi="Arial" w:cs="Arial"/>
      <w:b/>
      <w:color w:val="0090DA" w:themeColor="accent4"/>
      <w:spacing w:val="6"/>
      <w:sz w:val="34"/>
      <w:szCs w:val="32"/>
      <w:lang w:eastAsia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D6F2C"/>
    <w:rPr>
      <w:rFonts w:ascii="Arial" w:eastAsiaTheme="minorEastAsia" w:hAnsi="Arial" w:cs="Arial"/>
      <w:b/>
      <w:bCs/>
      <w:color w:val="004C97" w:themeColor="accent5"/>
      <w:sz w:val="28"/>
      <w:szCs w:val="28"/>
      <w:lang w:val="en-US" w:eastAsia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99"/>
    <w:qFormat/>
    <w:rsid w:val="00B4046A"/>
    <w:pPr>
      <w:spacing w:before="360" w:line="320" w:lineRule="atLeast"/>
    </w:pPr>
    <w:rPr>
      <w:i/>
      <w:iCs/>
      <w:color w:val="004C97" w:themeColor="accent5"/>
      <w:sz w:val="24"/>
    </w:rPr>
  </w:style>
  <w:style w:type="character" w:customStyle="1" w:styleId="QuoteChar">
    <w:name w:val="Quote Char"/>
    <w:basedOn w:val="DefaultParagraphFont"/>
    <w:link w:val="Quote"/>
    <w:uiPriority w:val="99"/>
    <w:rsid w:val="00B4046A"/>
    <w:rPr>
      <w:i/>
      <w:iCs/>
      <w:color w:val="004C97" w:themeColor="accent5"/>
    </w:rPr>
  </w:style>
  <w:style w:type="paragraph" w:customStyle="1" w:styleId="Bullet1">
    <w:name w:val="Bullet 1"/>
    <w:basedOn w:val="Normal"/>
    <w:next w:val="Normal"/>
    <w:uiPriority w:val="99"/>
    <w:qFormat/>
    <w:rsid w:val="00274F57"/>
    <w:pPr>
      <w:keepLines/>
      <w:numPr>
        <w:numId w:val="14"/>
      </w:numPr>
      <w:spacing w:after="0" w:line="260" w:lineRule="atLeast"/>
      <w:ind w:left="227" w:hanging="227"/>
    </w:pPr>
    <w:rPr>
      <w:sz w:val="20"/>
      <w:szCs w:val="20"/>
      <w:lang w:val="en-AU"/>
    </w:rPr>
  </w:style>
  <w:style w:type="paragraph" w:customStyle="1" w:styleId="Bullet2">
    <w:name w:val="Bullet 2"/>
    <w:basedOn w:val="Bullet1"/>
    <w:qFormat/>
    <w:rsid w:val="00F55417"/>
    <w:pPr>
      <w:numPr>
        <w:numId w:val="12"/>
      </w:numPr>
      <w:ind w:left="454" w:hanging="227"/>
    </w:pPr>
  </w:style>
  <w:style w:type="paragraph" w:customStyle="1" w:styleId="Numberlist">
    <w:name w:val="Number list"/>
    <w:basedOn w:val="Normal"/>
    <w:next w:val="Normal"/>
    <w:uiPriority w:val="99"/>
    <w:qFormat/>
    <w:rsid w:val="00774B62"/>
    <w:pPr>
      <w:keepLines/>
      <w:numPr>
        <w:numId w:val="17"/>
      </w:numPr>
    </w:pPr>
    <w:rPr>
      <w:sz w:val="20"/>
      <w:szCs w:val="20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D6F2C"/>
    <w:rPr>
      <w:rFonts w:ascii="Arial" w:eastAsiaTheme="minorEastAsia" w:hAnsi="Arial" w:cs="Arial"/>
      <w:b/>
      <w:color w:val="004C97" w:themeColor="accent5"/>
      <w:spacing w:val="4"/>
      <w:lang w:eastAsia="en-GB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customStyle="1" w:styleId="NoParagraphStyle">
    <w:name w:val="[No Paragraph Style]"/>
    <w:rsid w:val="00C925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Theme="minorEastAsia" w:hAnsi="Arial" w:cs="Arial"/>
      <w:color w:val="000000"/>
      <w:lang w:val="en-US" w:eastAsia="en-GB"/>
      <w14:ligatures w14:val="standardContextual"/>
    </w:rPr>
  </w:style>
  <w:style w:type="paragraph" w:customStyle="1" w:styleId="H1">
    <w:name w:val="H1"/>
    <w:basedOn w:val="NoParagraphStyle"/>
    <w:uiPriority w:val="99"/>
    <w:rsid w:val="00450868"/>
    <w:pPr>
      <w:pageBreakBefore/>
      <w:framePr w:w="10206" w:wrap="around" w:vAnchor="text" w:hAnchor="text" w:y="1"/>
      <w:suppressAutoHyphens/>
      <w:spacing w:after="57" w:line="680" w:lineRule="atLeast"/>
    </w:pPr>
    <w:rPr>
      <w:b/>
      <w:bCs/>
      <w:color w:val="0062A4"/>
      <w:spacing w:val="6"/>
      <w:position w:val="2"/>
      <w:sz w:val="60"/>
      <w:szCs w:val="60"/>
      <w:lang w:val="en-GB"/>
    </w:rPr>
  </w:style>
  <w:style w:type="paragraph" w:customStyle="1" w:styleId="H2">
    <w:name w:val="H2"/>
    <w:basedOn w:val="NoParagraphStyle"/>
    <w:uiPriority w:val="99"/>
    <w:rsid w:val="00F55417"/>
    <w:pPr>
      <w:suppressAutoHyphens/>
      <w:spacing w:before="397" w:after="170" w:line="360" w:lineRule="atLeast"/>
    </w:pPr>
    <w:rPr>
      <w:b/>
      <w:bCs/>
      <w:color w:val="0090DA" w:themeColor="accent4"/>
      <w:spacing w:val="6"/>
      <w:sz w:val="34"/>
      <w:szCs w:val="32"/>
      <w:lang w:val="en-GB"/>
    </w:rPr>
  </w:style>
  <w:style w:type="paragraph" w:customStyle="1" w:styleId="Bullet1last">
    <w:name w:val="Bullet 1_last"/>
    <w:basedOn w:val="Bullet1"/>
    <w:uiPriority w:val="99"/>
    <w:rsid w:val="00C925A6"/>
    <w:pPr>
      <w:ind w:left="720" w:hanging="360"/>
    </w:pPr>
  </w:style>
  <w:style w:type="paragraph" w:customStyle="1" w:styleId="Bodycopy">
    <w:name w:val="Body copy"/>
    <w:basedOn w:val="NoParagraphStyle"/>
    <w:uiPriority w:val="99"/>
    <w:rsid w:val="00274F57"/>
    <w:pPr>
      <w:keepLines/>
      <w:widowControl/>
      <w:suppressAutoHyphens/>
      <w:spacing w:after="120" w:line="260" w:lineRule="atLeast"/>
    </w:pPr>
    <w:rPr>
      <w:sz w:val="20"/>
      <w:szCs w:val="20"/>
    </w:rPr>
  </w:style>
  <w:style w:type="paragraph" w:customStyle="1" w:styleId="H5">
    <w:name w:val="H5"/>
    <w:basedOn w:val="Normal"/>
    <w:uiPriority w:val="99"/>
    <w:rsid w:val="00F55417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Arial" w:eastAsiaTheme="minorEastAsia" w:hAnsi="Arial" w:cs="Arial"/>
      <w:b/>
      <w:bCs/>
      <w:color w:val="004C97" w:themeColor="accent5"/>
      <w:sz w:val="20"/>
      <w:szCs w:val="20"/>
      <w:lang w:val="en-US" w:eastAsia="en-GB"/>
      <w14:ligatures w14:val="standardContextual"/>
    </w:rPr>
  </w:style>
  <w:style w:type="paragraph" w:customStyle="1" w:styleId="Quoteauthor">
    <w:name w:val="Quote author"/>
    <w:basedOn w:val="Bodycopy"/>
    <w:uiPriority w:val="99"/>
    <w:rsid w:val="008235C4"/>
    <w:pPr>
      <w:spacing w:before="227" w:line="200" w:lineRule="atLeast"/>
    </w:pPr>
    <w:rPr>
      <w:caps/>
      <w:sz w:val="15"/>
      <w:szCs w:val="15"/>
      <w:lang w:val="en-GB"/>
    </w:rPr>
  </w:style>
  <w:style w:type="paragraph" w:customStyle="1" w:styleId="H3">
    <w:name w:val="H3"/>
    <w:basedOn w:val="Bodycopy"/>
    <w:uiPriority w:val="99"/>
    <w:rsid w:val="00F55417"/>
    <w:pPr>
      <w:spacing w:before="160"/>
    </w:pPr>
    <w:rPr>
      <w:b/>
      <w:bCs/>
      <w:color w:val="004C97" w:themeColor="accent5"/>
      <w:sz w:val="24"/>
      <w:szCs w:val="24"/>
    </w:rPr>
  </w:style>
  <w:style w:type="paragraph" w:customStyle="1" w:styleId="H4">
    <w:name w:val="H4"/>
    <w:basedOn w:val="H2"/>
    <w:uiPriority w:val="99"/>
    <w:rsid w:val="00F55417"/>
    <w:pPr>
      <w:spacing w:before="120" w:after="57" w:line="260" w:lineRule="atLeast"/>
    </w:pPr>
    <w:rPr>
      <w:spacing w:val="4"/>
      <w:sz w:val="22"/>
      <w:szCs w:val="22"/>
    </w:rPr>
  </w:style>
  <w:style w:type="paragraph" w:customStyle="1" w:styleId="Footnoteheading">
    <w:name w:val="Footnote heading"/>
    <w:basedOn w:val="NoParagraphStyle"/>
    <w:uiPriority w:val="99"/>
    <w:rsid w:val="00624862"/>
    <w:pPr>
      <w:keepNext/>
      <w:keepLines/>
      <w:suppressAutoHyphens/>
      <w:spacing w:before="624" w:after="57"/>
    </w:pPr>
    <w:rPr>
      <w:b/>
      <w:bCs/>
      <w:sz w:val="16"/>
      <w:szCs w:val="16"/>
    </w:rPr>
  </w:style>
  <w:style w:type="paragraph" w:customStyle="1" w:styleId="Footnote">
    <w:name w:val="Footnote"/>
    <w:basedOn w:val="NoParagraphStyle"/>
    <w:uiPriority w:val="99"/>
    <w:rsid w:val="00196A08"/>
    <w:pPr>
      <w:keepNext/>
      <w:keepLines/>
      <w:widowControl/>
      <w:suppressAutoHyphens/>
      <w:spacing w:before="57" w:after="57"/>
    </w:pPr>
    <w:rPr>
      <w:rFonts w:ascii="Arial Narrow" w:hAnsi="Arial Narrow" w:cs="Arial Narrow"/>
      <w:sz w:val="16"/>
      <w:szCs w:val="16"/>
    </w:rPr>
  </w:style>
  <w:style w:type="paragraph" w:customStyle="1" w:styleId="Numberedlist2">
    <w:name w:val="Numbered list_2"/>
    <w:basedOn w:val="Bullet1"/>
    <w:uiPriority w:val="99"/>
    <w:rsid w:val="00C925A6"/>
    <w:pPr>
      <w:widowControl w:val="0"/>
      <w:numPr>
        <w:numId w:val="0"/>
      </w:numPr>
      <w:suppressAutoHyphens/>
      <w:autoSpaceDE w:val="0"/>
      <w:autoSpaceDN w:val="0"/>
      <w:adjustRightInd w:val="0"/>
      <w:spacing w:after="28"/>
      <w:ind w:left="397" w:hanging="227"/>
      <w:textAlignment w:val="center"/>
    </w:pPr>
    <w:rPr>
      <w:rFonts w:ascii="Arial" w:eastAsiaTheme="minorEastAsia" w:hAnsi="Arial" w:cs="Arial"/>
      <w:color w:val="000000"/>
      <w:lang w:val="en-US" w:eastAsia="en-GB"/>
      <w14:ligatures w14:val="standardContextual"/>
    </w:rPr>
  </w:style>
  <w:style w:type="character" w:customStyle="1" w:styleId="Bold">
    <w:name w:val="Bold"/>
    <w:uiPriority w:val="99"/>
    <w:rsid w:val="00C925A6"/>
    <w:rPr>
      <w:rFonts w:ascii="Arial" w:hAnsi="Arial" w:cs="Arial"/>
      <w:b/>
      <w:bCs/>
    </w:rPr>
  </w:style>
  <w:style w:type="character" w:customStyle="1" w:styleId="Citation">
    <w:name w:val="Citation"/>
    <w:uiPriority w:val="99"/>
    <w:rsid w:val="00897AAC"/>
    <w:rPr>
      <w:rFonts w:ascii="Arial" w:hAnsi="Arial" w:cs="Arial"/>
      <w:b w:val="0"/>
      <w:i w:val="0"/>
      <w:caps/>
      <w:color w:val="000000"/>
      <w:sz w:val="15"/>
      <w:szCs w:val="15"/>
      <w:lang w:val="en-GB"/>
    </w:rPr>
  </w:style>
  <w:style w:type="character" w:customStyle="1" w:styleId="Italic">
    <w:name w:val="Italic"/>
    <w:basedOn w:val="DefaultParagraphFont"/>
    <w:uiPriority w:val="99"/>
    <w:rsid w:val="00C925A6"/>
    <w:rPr>
      <w:rFonts w:ascii="VIC" w:hAnsi="VIC" w:cs="VIC"/>
      <w:i/>
      <w:iCs/>
      <w:color w:val="000000"/>
    </w:rPr>
  </w:style>
  <w:style w:type="character" w:customStyle="1" w:styleId="ItalicNarrow">
    <w:name w:val="Italic_Narrow"/>
    <w:basedOn w:val="Italic"/>
    <w:uiPriority w:val="99"/>
    <w:rsid w:val="00182407"/>
    <w:rPr>
      <w:rFonts w:ascii="Arial Narrow" w:hAnsi="Arial Narrow" w:cs="Arial Narrow"/>
      <w:i/>
      <w:iCs w:val="0"/>
      <w:color w:val="000000"/>
    </w:rPr>
  </w:style>
  <w:style w:type="paragraph" w:customStyle="1" w:styleId="Bullet1last0">
    <w:name w:val="Bullet 1 _last"/>
    <w:basedOn w:val="Bullet1"/>
    <w:qFormat/>
    <w:rsid w:val="0098759C"/>
    <w:pPr>
      <w:spacing w:after="180"/>
    </w:pPr>
  </w:style>
  <w:style w:type="numbering" w:customStyle="1" w:styleId="CurrentList1">
    <w:name w:val="Current List1"/>
    <w:uiPriority w:val="99"/>
    <w:rsid w:val="00F55417"/>
    <w:pPr>
      <w:numPr>
        <w:numId w:val="18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1D6F2C"/>
    <w:rPr>
      <w:rFonts w:ascii="Arial" w:eastAsiaTheme="minorEastAsia" w:hAnsi="Arial" w:cs="Arial"/>
      <w:b/>
      <w:bCs/>
      <w:color w:val="000000" w:themeColor="text1"/>
      <w:sz w:val="20"/>
      <w:szCs w:val="22"/>
      <w:lang w:val="en-US" w:eastAsia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B93464"/>
    <w:rPr>
      <w:rFonts w:asciiTheme="majorHAnsi" w:eastAsiaTheme="majorEastAsia" w:hAnsiTheme="majorHAnsi" w:cstheme="majorBidi"/>
      <w:color w:val="702802" w:themeColor="accent1" w:themeShade="7F"/>
      <w:sz w:val="22"/>
    </w:rPr>
  </w:style>
  <w:style w:type="numbering" w:customStyle="1" w:styleId="CurrentList2">
    <w:name w:val="Current List2"/>
    <w:uiPriority w:val="99"/>
    <w:rsid w:val="00274F57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C924C28FC765A946B004C93A9DA5BB39" ma:contentTypeVersion="7" ma:contentTypeDescription="DET Document" ma:contentTypeScope="" ma:versionID="69965aab62fa369b273c13cce411f1c4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4b6cea99-7bab-42f1-a874-8527e8aaac2c" xmlns:ns5="http://schemas.microsoft.com/sharepoint/v4" targetNamespace="http://schemas.microsoft.com/office/2006/metadata/properties" ma:root="true" ma:fieldsID="eec9a58edf44a3bf5ef6af46a0650195" ns2:_="" ns3:_="" ns4:_="" ns5:_="">
    <xsd:import namespace="http://schemas.microsoft.com/Sharepoint/v3"/>
    <xsd:import namespace="61e538cb-f8c2-4c9c-ac78-9205d03c8849"/>
    <xsd:import namespace="4b6cea99-7bab-42f1-a874-8527e8aaac2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Year" minOccurs="0"/>
                <xsd:element ref="ns4:Statu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format="DateOnly" ma:internalName="DET_EDRMS_Date">
      <xsd:simpleType>
        <xsd:restriction base="dms:DateTime"/>
      </xsd:simpleType>
    </xsd:element>
    <xsd:element name="DET_EDRMS_Author" ma:index="9" nillable="true" ma:displayName="Author" ma:internalName="DET_EDRMS_Author">
      <xsd:simpleType>
        <xsd:restriction base="dms:Text">
          <xsd:maxLength value="255"/>
        </xsd:restriction>
      </xsd:simpleType>
    </xsd:element>
    <xsd:element name="DET_EDRMS_Category" ma:index="10" nillable="true" ma:displayName="Category" ma:internalName="DET_EDRMS_Category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false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scription="" ma:internalName="DET_EDRMS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cea99-7bab-42f1-a874-8527e8aaac2c" elementFormDefault="qualified">
    <xsd:import namespace="http://schemas.microsoft.com/office/2006/documentManagement/types"/>
    <xsd:import namespace="http://schemas.microsoft.com/office/infopath/2007/PartnerControls"/>
    <xsd:element name="Year" ma:index="20" nillable="true" ma:displayName="Year" ma:default="2022" ma:format="Dropdown" ma:internalName="Year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Status" ma:index="21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5B349-7CCE-464F-AB56-5786FD975EFF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7444DA5-5765-460A-80D7-F7ABBE4827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Katherine Alexander</cp:lastModifiedBy>
  <cp:revision>25</cp:revision>
  <dcterms:created xsi:type="dcterms:W3CDTF">2024-08-02T04:11:00Z</dcterms:created>
  <dcterms:modified xsi:type="dcterms:W3CDTF">2024-08-06T03:59:00Z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{4b6cea99-7bab-42f1-a874-8527e8aaac2c}</vt:lpwstr>
  </property>
  <property fmtid="{D5CDD505-2E9C-101B-9397-08002B2CF9AE}" pid="8" name="RecordPoint_ActiveItemUniqueId">
    <vt:lpwstr>{178b63f2-05c6-4972-9aef-3cf7b0addf43}</vt:lpwstr>
  </property>
  <property fmtid="{D5CDD505-2E9C-101B-9397-08002B2CF9AE}" pid="9" name="RecordPoint_ActiveItemWebId">
    <vt:lpwstr>{728edaa4-6e7a-42a1-a69c-1a5139249f5d}</vt:lpwstr>
  </property>
  <property fmtid="{D5CDD505-2E9C-101B-9397-08002B2CF9AE}" pid="10" name="RecordPoint_ActiveItemSiteId">
    <vt:lpwstr>{bc37e16c-ec24-469d-99d8-5f0978b55b65}</vt:lpwstr>
  </property>
  <property fmtid="{D5CDD505-2E9C-101B-9397-08002B2CF9AE}" pid="11" name="RecordPoint_RecordNumberSubmitted">
    <vt:lpwstr>R20240909157</vt:lpwstr>
  </property>
  <property fmtid="{D5CDD505-2E9C-101B-9397-08002B2CF9AE}" pid="12" name="RecordPoint_SubmissionCompleted">
    <vt:lpwstr>2024-08-06T14:59:13.7237649+10:00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</Properties>
</file>