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DF5F1" w14:textId="3A950321" w:rsidR="00C925A6" w:rsidRDefault="00C925A6" w:rsidP="00D63ABA">
      <w:pPr>
        <w:pStyle w:val="Heading1"/>
        <w:framePr w:wrap="around"/>
      </w:pPr>
      <w:r>
        <w:t xml:space="preserve">6. </w:t>
      </w:r>
      <w:r w:rsidR="006724D8">
        <w:t>Opportunities to Respond (OTR)</w:t>
      </w:r>
      <w:r w:rsidR="00A45449">
        <w:br/>
      </w:r>
    </w:p>
    <w:p w14:paraId="37E0FD7C" w14:textId="77777777" w:rsidR="00C925A6" w:rsidRDefault="00C925A6" w:rsidP="00774B62">
      <w:pPr>
        <w:pStyle w:val="Heading2"/>
        <w:spacing w:before="0"/>
      </w:pPr>
      <w:r>
        <w:t>Definition</w:t>
      </w:r>
    </w:p>
    <w:p w14:paraId="4D695D35" w14:textId="77777777" w:rsidR="00C925A6" w:rsidRPr="00FE1A96" w:rsidRDefault="00C925A6" w:rsidP="00FE1A96">
      <w:pPr>
        <w:pStyle w:val="Bullet1"/>
      </w:pPr>
      <w:r>
        <w:t xml:space="preserve">An </w:t>
      </w:r>
      <w:r w:rsidRPr="00FE1A96">
        <w:t>instructional question, gesture or visual cue made by the teacher explicitly designed to elicit a student response.</w:t>
      </w:r>
    </w:p>
    <w:p w14:paraId="5E2987F4" w14:textId="77777777" w:rsidR="00C925A6" w:rsidRPr="00FE1A96" w:rsidRDefault="00C925A6" w:rsidP="00FE1A96">
      <w:pPr>
        <w:pStyle w:val="Bullet1"/>
      </w:pPr>
      <w:r w:rsidRPr="00FE1A96">
        <w:t>They are curriculum relevant and instructionally related, not a direction to perform a task or a social question.</w:t>
      </w:r>
    </w:p>
    <w:p w14:paraId="7A518357" w14:textId="77777777" w:rsidR="00C925A6" w:rsidRPr="00FE1A96" w:rsidRDefault="00C925A6" w:rsidP="00FE1A96">
      <w:pPr>
        <w:pStyle w:val="Bullet1"/>
      </w:pPr>
      <w:r w:rsidRPr="00FE1A96">
        <w:t>They can be presented to an individual student, group, or whole class.</w:t>
      </w:r>
    </w:p>
    <w:p w14:paraId="2428896F" w14:textId="77777777" w:rsidR="00C925A6" w:rsidRPr="00FE1A96" w:rsidRDefault="00C925A6" w:rsidP="00FE1A96">
      <w:pPr>
        <w:pStyle w:val="Bullet1"/>
      </w:pPr>
      <w:r w:rsidRPr="00FE1A96">
        <w:t>Student responses may be verbal (e.g., calling out the answer to a question), written (e.g., writing a response on a whiteboard and holding it up), or non-verbal (e.g., thumbs up if you agree).</w:t>
      </w:r>
    </w:p>
    <w:p w14:paraId="422D1F4C" w14:textId="77777777" w:rsidR="00C925A6" w:rsidRDefault="00C925A6" w:rsidP="00FE1A96">
      <w:pPr>
        <w:pStyle w:val="Bullet1"/>
      </w:pPr>
      <w:r w:rsidRPr="00FE1A96">
        <w:t>The teacher</w:t>
      </w:r>
      <w:r>
        <w:t xml:space="preserve"> then provides feedback to students.</w:t>
      </w:r>
    </w:p>
    <w:p w14:paraId="58167462" w14:textId="77777777" w:rsidR="00C925A6" w:rsidRDefault="00C925A6" w:rsidP="008235C4">
      <w:pPr>
        <w:pStyle w:val="Heading2"/>
      </w:pPr>
      <w:r>
        <w:t>Rationale</w:t>
      </w:r>
    </w:p>
    <w:p w14:paraId="707BC245" w14:textId="77777777" w:rsidR="00C925A6" w:rsidRPr="00FE1A96" w:rsidRDefault="00C925A6" w:rsidP="00FE1A96">
      <w:pPr>
        <w:pStyle w:val="Bullet1"/>
      </w:pPr>
      <w:r>
        <w:t xml:space="preserve">Increase </w:t>
      </w:r>
      <w:r w:rsidRPr="00FE1A96">
        <w:t>student on-task behaviour</w:t>
      </w:r>
    </w:p>
    <w:p w14:paraId="56D8B5C5" w14:textId="77777777" w:rsidR="00C925A6" w:rsidRPr="00FE1A96" w:rsidRDefault="00C925A6" w:rsidP="00FE1A96">
      <w:pPr>
        <w:pStyle w:val="Bullet1"/>
      </w:pPr>
      <w:r w:rsidRPr="00FE1A96">
        <w:t>Increase academic/learning outcomes</w:t>
      </w:r>
    </w:p>
    <w:p w14:paraId="52C22533" w14:textId="77777777" w:rsidR="00C925A6" w:rsidRPr="00FE1A96" w:rsidRDefault="00C925A6" w:rsidP="00FE1A96">
      <w:pPr>
        <w:pStyle w:val="Bullet1"/>
      </w:pPr>
      <w:r w:rsidRPr="00FE1A96">
        <w:t>Increase positive to corrective feedback ratio</w:t>
      </w:r>
    </w:p>
    <w:p w14:paraId="7D19FF2C" w14:textId="77777777" w:rsidR="00C925A6" w:rsidRPr="00FE1A96" w:rsidRDefault="00C925A6" w:rsidP="00FE1A96">
      <w:pPr>
        <w:pStyle w:val="Bullet1"/>
      </w:pPr>
      <w:r w:rsidRPr="00FE1A96">
        <w:t>Makes learning visible</w:t>
      </w:r>
    </w:p>
    <w:p w14:paraId="695F3F88" w14:textId="77777777" w:rsidR="00C925A6" w:rsidRDefault="00C925A6" w:rsidP="00FE1A96">
      <w:pPr>
        <w:pStyle w:val="Bullet1"/>
      </w:pPr>
      <w:r w:rsidRPr="00FE1A96">
        <w:t>Allows for di</w:t>
      </w:r>
      <w:r>
        <w:t>fferentiated responses.</w:t>
      </w:r>
    </w:p>
    <w:p w14:paraId="06152AB0" w14:textId="34503E1C" w:rsidR="00C925A6" w:rsidRDefault="00C925A6" w:rsidP="008235C4">
      <w:pPr>
        <w:pStyle w:val="Heading2"/>
      </w:pPr>
      <w:r>
        <w:t>Guidelines</w:t>
      </w:r>
    </w:p>
    <w:p w14:paraId="75135316" w14:textId="77777777" w:rsidR="00C925A6" w:rsidRPr="00B87422" w:rsidRDefault="00C925A6" w:rsidP="008235C4">
      <w:pPr>
        <w:pStyle w:val="Heading3"/>
      </w:pPr>
      <w:r w:rsidRPr="00B87422">
        <w:rPr>
          <w:rStyle w:val="Bold"/>
          <w:b/>
          <w:bCs/>
        </w:rPr>
        <w:t>OTRs have three main elements:</w:t>
      </w:r>
    </w:p>
    <w:p w14:paraId="7F211C86" w14:textId="77777777" w:rsidR="00FE1A96" w:rsidRPr="00774B62" w:rsidRDefault="00C925A6" w:rsidP="00774B62">
      <w:pPr>
        <w:pStyle w:val="Numberlist"/>
        <w:rPr>
          <w:rFonts w:ascii="VIC" w:hAnsi="VIC" w:cs="VIC"/>
          <w:i/>
          <w:iCs/>
          <w:color w:val="000000"/>
        </w:rPr>
      </w:pPr>
      <w:r w:rsidRPr="00774B62">
        <w:t xml:space="preserve">identifying the content or skills to be targeted </w:t>
      </w:r>
    </w:p>
    <w:p w14:paraId="362D6276" w14:textId="557185A6" w:rsidR="00FE1A96" w:rsidRPr="00FE1A96" w:rsidRDefault="00C925A6" w:rsidP="00774B62">
      <w:pPr>
        <w:pStyle w:val="Numberlist"/>
        <w:rPr>
          <w:rFonts w:ascii="VIC" w:hAnsi="VIC" w:cs="VIC"/>
          <w:i/>
          <w:iCs/>
          <w:color w:val="000000"/>
        </w:rPr>
      </w:pPr>
      <w:r w:rsidRPr="00FE1A96">
        <w:t>preparing questions that offer students practice with the material</w:t>
      </w:r>
    </w:p>
    <w:p w14:paraId="326BE042" w14:textId="5F72121A" w:rsidR="00C925A6" w:rsidRPr="00FE1A96" w:rsidRDefault="00C925A6" w:rsidP="00774B62">
      <w:pPr>
        <w:pStyle w:val="Numberlist"/>
        <w:rPr>
          <w:rStyle w:val="Italic"/>
        </w:rPr>
      </w:pPr>
      <w:r w:rsidRPr="00FE1A96">
        <w:t xml:space="preserve">leading the lesson with a high rate of questioning, rapid student responding, and immediate teacher feedback. </w:t>
      </w:r>
      <w:r>
        <w:rPr>
          <w:rStyle w:val="Citation"/>
        </w:rPr>
        <w:t xml:space="preserve">(Lane et al., 2015) </w:t>
      </w:r>
    </w:p>
    <w:p w14:paraId="6F87113A" w14:textId="77777777" w:rsidR="00C925A6" w:rsidRPr="00FE1A96" w:rsidRDefault="00C925A6" w:rsidP="00FE1A96">
      <w:pPr>
        <w:pStyle w:val="Bullet1"/>
      </w:pPr>
      <w:r>
        <w:t xml:space="preserve">Ideally, </w:t>
      </w:r>
      <w:r w:rsidRPr="00FE1A96">
        <w:t>teachers present students with multiple and varied OTR at a brisk pace, but not so rapid that students are unable to participate</w:t>
      </w:r>
    </w:p>
    <w:p w14:paraId="2BACC253" w14:textId="77777777" w:rsidR="00C925A6" w:rsidRPr="00FE1A96" w:rsidRDefault="00C925A6" w:rsidP="00FE1A96">
      <w:pPr>
        <w:pStyle w:val="Bullet1"/>
      </w:pPr>
      <w:r w:rsidRPr="00FE1A96">
        <w:t>Use pre-correction to remind students of the procedures for responding.</w:t>
      </w:r>
    </w:p>
    <w:p w14:paraId="1DA7C57E" w14:textId="77777777" w:rsidR="00C925A6" w:rsidRPr="00FE1A96" w:rsidRDefault="00C925A6" w:rsidP="00FE1A96">
      <w:pPr>
        <w:pStyle w:val="Bullet1"/>
      </w:pPr>
      <w:r w:rsidRPr="00FE1A96">
        <w:t>Studies have suggested optimal rates of 3 to 3.5 OTRs per minute during direct teacher instruction.</w:t>
      </w:r>
      <w:r w:rsidRPr="00FE1A96">
        <w:rPr>
          <w:rStyle w:val="Italic"/>
          <w:rFonts w:asciiTheme="minorHAnsi" w:hAnsiTheme="minorHAnsi" w:cstheme="minorBidi"/>
          <w:i w:val="0"/>
          <w:iCs w:val="0"/>
          <w:color w:val="auto"/>
        </w:rPr>
        <w:t xml:space="preserve"> </w:t>
      </w:r>
      <w:r w:rsidRPr="00274F57">
        <w:rPr>
          <w:rStyle w:val="Citation"/>
        </w:rPr>
        <w:t>(Cooper &amp; Scott, 2107)</w:t>
      </w:r>
    </w:p>
    <w:p w14:paraId="4850365C" w14:textId="77777777" w:rsidR="00C925A6" w:rsidRDefault="00C925A6" w:rsidP="00FE1A96">
      <w:pPr>
        <w:pStyle w:val="Bullet1"/>
      </w:pPr>
      <w:r w:rsidRPr="00FE1A96">
        <w:t>A mixture</w:t>
      </w:r>
      <w:r>
        <w:t xml:space="preserve"> of unison and individual OTRs appears to be a more effective instructional strategy.</w:t>
      </w:r>
    </w:p>
    <w:p w14:paraId="48423B1E" w14:textId="77777777" w:rsidR="00C925A6" w:rsidRDefault="00C925A6" w:rsidP="00FE1A96">
      <w:pPr>
        <w:pStyle w:val="Bullet1"/>
      </w:pPr>
      <w:r>
        <w:rPr>
          <w:rStyle w:val="Bold"/>
          <w:lang w:val="en-GB"/>
        </w:rPr>
        <w:t>New material –</w:t>
      </w:r>
      <w:r>
        <w:t xml:space="preserve"> a </w:t>
      </w:r>
      <w:r w:rsidRPr="00FE1A96">
        <w:t>minimum</w:t>
      </w:r>
      <w:r>
        <w:t xml:space="preserve"> of 4-6 responses per minute with 80% accuracy.</w:t>
      </w:r>
    </w:p>
    <w:p w14:paraId="2FE2C39E" w14:textId="77777777" w:rsidR="00C925A6" w:rsidRDefault="00C925A6" w:rsidP="00FE1A96">
      <w:pPr>
        <w:pStyle w:val="Bullet1"/>
      </w:pPr>
      <w:r>
        <w:rPr>
          <w:rStyle w:val="Bold"/>
          <w:lang w:val="en-GB"/>
        </w:rPr>
        <w:t>Review of previously learned material –</w:t>
      </w:r>
      <w:r>
        <w:t xml:space="preserve"> 8-12 responses per minute with 90% accuracy. </w:t>
      </w:r>
      <w:r>
        <w:rPr>
          <w:rStyle w:val="Citation"/>
        </w:rPr>
        <w:t>(Council for Exceptional Children, 1987)</w:t>
      </w:r>
    </w:p>
    <w:p w14:paraId="29775672" w14:textId="056B94B6" w:rsidR="00C925A6" w:rsidRDefault="00C925A6" w:rsidP="008235C4">
      <w:pPr>
        <w:pStyle w:val="Heading2"/>
      </w:pPr>
      <w:r>
        <w:t>Getting started</w:t>
      </w:r>
    </w:p>
    <w:p w14:paraId="623C2948" w14:textId="77777777" w:rsidR="00C925A6" w:rsidRDefault="00C925A6" w:rsidP="008235C4">
      <w:pPr>
        <w:pStyle w:val="Heading3"/>
      </w:pPr>
      <w:r>
        <w:t xml:space="preserve">Step 1: </w:t>
      </w:r>
    </w:p>
    <w:p w14:paraId="39088F24" w14:textId="77777777" w:rsidR="00C925A6" w:rsidRDefault="00C925A6" w:rsidP="00B4046A">
      <w:pPr>
        <w:pStyle w:val="Heading4"/>
      </w:pPr>
      <w:r>
        <w:t xml:space="preserve">Plan a variety of verbal response opportunities </w:t>
      </w:r>
    </w:p>
    <w:p w14:paraId="186825B5" w14:textId="77777777" w:rsidR="00C925A6" w:rsidRPr="00774B62" w:rsidRDefault="00C925A6" w:rsidP="00774B62">
      <w:pPr>
        <w:pStyle w:val="Bodycopy"/>
      </w:pPr>
      <w:r w:rsidRPr="00774B62">
        <w:t xml:space="preserve">There are two common types of verbal response strategies: </w:t>
      </w:r>
    </w:p>
    <w:p w14:paraId="6E7B4B1F" w14:textId="77777777" w:rsidR="00C925A6" w:rsidRDefault="00C925A6" w:rsidP="00FE1A96">
      <w:pPr>
        <w:pStyle w:val="Bullet1"/>
      </w:pPr>
      <w:r>
        <w:rPr>
          <w:rStyle w:val="Bold"/>
        </w:rPr>
        <w:t>Individual responses</w:t>
      </w:r>
      <w:r>
        <w:t xml:space="preserve"> </w:t>
      </w:r>
      <w:r>
        <w:rPr>
          <w:rStyle w:val="Bold"/>
        </w:rPr>
        <w:t>–</w:t>
      </w:r>
      <w:r>
        <w:t xml:space="preserve"> </w:t>
      </w:r>
      <w:r w:rsidRPr="00FE1A96">
        <w:t>strategies</w:t>
      </w:r>
      <w:r>
        <w:t xml:space="preserve"> involve the teacher using methods to invite many students to answer instructional questions.</w:t>
      </w:r>
    </w:p>
    <w:p w14:paraId="0AFDD136" w14:textId="77777777" w:rsidR="00C925A6" w:rsidRDefault="00C925A6" w:rsidP="00FE1A96">
      <w:pPr>
        <w:pStyle w:val="Bullet1last0"/>
      </w:pPr>
      <w:r>
        <w:rPr>
          <w:rStyle w:val="Bold"/>
        </w:rPr>
        <w:t>Choral responses</w:t>
      </w:r>
      <w:r>
        <w:t xml:space="preserve"> </w:t>
      </w:r>
      <w:r>
        <w:rPr>
          <w:rStyle w:val="Bold"/>
        </w:rPr>
        <w:t>–</w:t>
      </w:r>
      <w:r>
        <w:t xml:space="preserve"> when all students respond in unison to a </w:t>
      </w:r>
      <w:r w:rsidRPr="00FE1A96">
        <w:t>teacher</w:t>
      </w:r>
      <w:r>
        <w:t xml:space="preserve"> question.</w:t>
      </w:r>
    </w:p>
    <w:p w14:paraId="464FBC4A" w14:textId="77777777" w:rsidR="00C925A6" w:rsidRDefault="00C925A6" w:rsidP="008235C4">
      <w:pPr>
        <w:pStyle w:val="Heading3"/>
        <w:rPr>
          <w:color w:val="6D2383"/>
        </w:rPr>
      </w:pPr>
      <w:r>
        <w:t xml:space="preserve">Step 2: </w:t>
      </w:r>
    </w:p>
    <w:p w14:paraId="7BF73B25" w14:textId="77777777" w:rsidR="00C925A6" w:rsidRDefault="00C925A6" w:rsidP="00B4046A">
      <w:pPr>
        <w:pStyle w:val="Heading4"/>
      </w:pPr>
      <w:r>
        <w:t xml:space="preserve">Allow sufficient ‘think time’ </w:t>
      </w:r>
    </w:p>
    <w:p w14:paraId="56A4F998" w14:textId="77777777" w:rsidR="00C925A6" w:rsidRDefault="00C925A6" w:rsidP="00FE1A96">
      <w:pPr>
        <w:pStyle w:val="Bullet1last0"/>
      </w:pPr>
      <w:r>
        <w:t xml:space="preserve">Provide a 3-5 second </w:t>
      </w:r>
      <w:r w:rsidRPr="00FE1A96">
        <w:t>thinking</w:t>
      </w:r>
      <w:r>
        <w:t xml:space="preserve"> pause or wait time, between asking a question and prompting students to respond. </w:t>
      </w:r>
    </w:p>
    <w:p w14:paraId="12081F80" w14:textId="77777777" w:rsidR="00C925A6" w:rsidRDefault="00C925A6" w:rsidP="008235C4">
      <w:pPr>
        <w:pStyle w:val="Heading3"/>
      </w:pPr>
      <w:r>
        <w:t xml:space="preserve">Step 3: </w:t>
      </w:r>
    </w:p>
    <w:p w14:paraId="5CAD3ED3" w14:textId="77777777" w:rsidR="00C925A6" w:rsidRDefault="00C925A6" w:rsidP="00B4046A">
      <w:pPr>
        <w:pStyle w:val="Heading4"/>
      </w:pPr>
      <w:r>
        <w:t xml:space="preserve">Plan non-verbal responses </w:t>
      </w:r>
    </w:p>
    <w:p w14:paraId="7D500FDF" w14:textId="77777777" w:rsidR="00C925A6" w:rsidRDefault="00C925A6" w:rsidP="00FE1A96">
      <w:pPr>
        <w:pStyle w:val="Bullet1"/>
      </w:pPr>
      <w:r>
        <w:t xml:space="preserve">Non-verbal </w:t>
      </w:r>
      <w:r w:rsidRPr="00FE1A96">
        <w:t>responses</w:t>
      </w:r>
      <w:r>
        <w:t xml:space="preserve"> involve all students actively answering or responding to each question or problem asked by the teacher.</w:t>
      </w:r>
    </w:p>
    <w:p w14:paraId="037DDB72" w14:textId="77777777" w:rsidR="00C925A6" w:rsidRPr="00FE1A96" w:rsidRDefault="00C925A6" w:rsidP="00FE1A96">
      <w:pPr>
        <w:pStyle w:val="Bullet2"/>
      </w:pPr>
      <w:r w:rsidRPr="00FE1A96">
        <w:t>Whiteboards</w:t>
      </w:r>
    </w:p>
    <w:p w14:paraId="0E585A97" w14:textId="77777777" w:rsidR="00C925A6" w:rsidRPr="00FE1A96" w:rsidRDefault="00C925A6" w:rsidP="00FE1A96">
      <w:pPr>
        <w:pStyle w:val="Bullet2"/>
      </w:pPr>
      <w:r w:rsidRPr="00FE1A96">
        <w:t>Response cards</w:t>
      </w:r>
    </w:p>
    <w:p w14:paraId="6E9812D7" w14:textId="77777777" w:rsidR="00C925A6" w:rsidRPr="00FE1A96" w:rsidRDefault="00C925A6" w:rsidP="00FE1A96">
      <w:pPr>
        <w:pStyle w:val="Bullet2"/>
      </w:pPr>
      <w:r w:rsidRPr="00FE1A96">
        <w:t>Signalling and movement responses</w:t>
      </w:r>
    </w:p>
    <w:p w14:paraId="5B17C6F4" w14:textId="77777777" w:rsidR="00C925A6" w:rsidRDefault="00C925A6" w:rsidP="00FE1A96">
      <w:pPr>
        <w:pStyle w:val="Bullet2"/>
        <w:spacing w:after="240"/>
      </w:pPr>
      <w:r w:rsidRPr="00FE1A96">
        <w:t>Technology</w:t>
      </w:r>
      <w:r>
        <w:t xml:space="preserve"> </w:t>
      </w:r>
    </w:p>
    <w:p w14:paraId="3A385A6E" w14:textId="77777777" w:rsidR="00C925A6" w:rsidRDefault="00C925A6" w:rsidP="008235C4">
      <w:pPr>
        <w:pStyle w:val="Heading3"/>
        <w:rPr>
          <w:color w:val="6D2383"/>
        </w:rPr>
      </w:pPr>
      <w:r>
        <w:lastRenderedPageBreak/>
        <w:t xml:space="preserve">Step 4: </w:t>
      </w:r>
    </w:p>
    <w:p w14:paraId="1EF1F4FF" w14:textId="77777777" w:rsidR="00C925A6" w:rsidRDefault="00C925A6" w:rsidP="00B4046A">
      <w:pPr>
        <w:pStyle w:val="Heading4"/>
      </w:pPr>
      <w:r>
        <w:t xml:space="preserve">Collect baseline data </w:t>
      </w:r>
    </w:p>
    <w:p w14:paraId="4350959B" w14:textId="77777777" w:rsidR="00C925A6" w:rsidRDefault="00C925A6" w:rsidP="00FE1A96">
      <w:pPr>
        <w:pStyle w:val="Bullet1last0"/>
      </w:pPr>
      <w:r>
        <w:t xml:space="preserve">Calculate your </w:t>
      </w:r>
      <w:r w:rsidRPr="00FE1A96">
        <w:t>current</w:t>
      </w:r>
      <w:r>
        <w:t xml:space="preserve"> use of OTRs. </w:t>
      </w:r>
    </w:p>
    <w:p w14:paraId="05883347" w14:textId="77777777" w:rsidR="00C925A6" w:rsidRDefault="00C925A6" w:rsidP="008235C4">
      <w:pPr>
        <w:pStyle w:val="Heading3"/>
        <w:rPr>
          <w:color w:val="6D2383"/>
        </w:rPr>
      </w:pPr>
      <w:r>
        <w:t xml:space="preserve">Step 5: </w:t>
      </w:r>
    </w:p>
    <w:p w14:paraId="5523E7B5" w14:textId="77777777" w:rsidR="00C925A6" w:rsidRDefault="00C925A6" w:rsidP="00B4046A">
      <w:pPr>
        <w:pStyle w:val="Heading4"/>
      </w:pPr>
      <w:r>
        <w:t>Plan to increase OTRs</w:t>
      </w:r>
    </w:p>
    <w:p w14:paraId="5D7CFE71" w14:textId="77777777" w:rsidR="00C925A6" w:rsidRDefault="00C925A6" w:rsidP="00FE1A96">
      <w:pPr>
        <w:pStyle w:val="Bullet1last0"/>
      </w:pPr>
      <w:r>
        <w:t xml:space="preserve">Set goals for yourself </w:t>
      </w:r>
      <w:r w:rsidRPr="00FE1A96">
        <w:t>based</w:t>
      </w:r>
      <w:r>
        <w:t xml:space="preserve"> on this information.</w:t>
      </w:r>
    </w:p>
    <w:p w14:paraId="1F3A2047" w14:textId="441F7035" w:rsidR="00C925A6" w:rsidRDefault="00C925A6" w:rsidP="008235C4">
      <w:pPr>
        <w:pStyle w:val="Heading2"/>
      </w:pPr>
      <w:r>
        <w:t>Techniques</w:t>
      </w:r>
    </w:p>
    <w:p w14:paraId="13F4F480" w14:textId="77777777" w:rsidR="00C925A6" w:rsidRDefault="00C925A6" w:rsidP="008235C4">
      <w:pPr>
        <w:pStyle w:val="Heading3"/>
      </w:pPr>
      <w:r>
        <w:t>Verbal</w:t>
      </w:r>
    </w:p>
    <w:p w14:paraId="37548886" w14:textId="77777777" w:rsidR="00C925A6" w:rsidRPr="00FE1A96" w:rsidRDefault="00C925A6" w:rsidP="00B4046A">
      <w:pPr>
        <w:pStyle w:val="Heading4"/>
        <w:rPr>
          <w:rStyle w:val="Bold"/>
          <w:b/>
          <w:bCs w:val="0"/>
        </w:rPr>
      </w:pPr>
      <w:r w:rsidRPr="00FE1A96">
        <w:rPr>
          <w:rStyle w:val="Bold"/>
          <w:b/>
          <w:bCs w:val="0"/>
        </w:rPr>
        <w:t>Individual questioning:</w:t>
      </w:r>
    </w:p>
    <w:p w14:paraId="41065518" w14:textId="77777777" w:rsidR="00C925A6" w:rsidRDefault="00C925A6" w:rsidP="00C925A6">
      <w:pPr>
        <w:pStyle w:val="Bullet1"/>
      </w:pPr>
      <w:r>
        <w:t>Use seating chart, tallying to monitor rate of questions presented to each student.</w:t>
      </w:r>
    </w:p>
    <w:p w14:paraId="2AFB6072" w14:textId="77777777" w:rsidR="00C925A6" w:rsidRDefault="00C925A6" w:rsidP="00FE1A96">
      <w:pPr>
        <w:pStyle w:val="Bullet1last0"/>
      </w:pPr>
      <w:r>
        <w:t>Pulling a student’s na</w:t>
      </w:r>
      <w:r w:rsidRPr="00FE1A96">
        <w:t>me</w:t>
      </w:r>
      <w:r>
        <w:t xml:space="preserve"> out of container.</w:t>
      </w:r>
    </w:p>
    <w:p w14:paraId="08AFD061" w14:textId="77777777" w:rsidR="00C925A6" w:rsidRDefault="00C925A6" w:rsidP="00B4046A">
      <w:pPr>
        <w:pStyle w:val="Heading4"/>
        <w:rPr>
          <w:rStyle w:val="Bold"/>
        </w:rPr>
      </w:pPr>
      <w:r w:rsidRPr="00FE1A96">
        <w:t>Choral responding</w:t>
      </w:r>
      <w:r>
        <w:rPr>
          <w:rStyle w:val="Bold"/>
        </w:rPr>
        <w:t>:</w:t>
      </w:r>
    </w:p>
    <w:p w14:paraId="5BD9E058" w14:textId="77777777" w:rsidR="00C925A6" w:rsidRDefault="00C925A6" w:rsidP="00C925A6">
      <w:pPr>
        <w:pStyle w:val="Bullet1"/>
      </w:pPr>
      <w:r>
        <w:t>Teacher signals and students respond in unison.</w:t>
      </w:r>
    </w:p>
    <w:p w14:paraId="50807845" w14:textId="77777777" w:rsidR="00C925A6" w:rsidRDefault="00C925A6" w:rsidP="00FE1A96">
      <w:pPr>
        <w:pStyle w:val="Bullet1last0"/>
      </w:pPr>
      <w:r>
        <w:t>Develop questions with only one single right an</w:t>
      </w:r>
      <w:r w:rsidRPr="00FE1A96">
        <w:t>sw</w:t>
      </w:r>
      <w:r>
        <w:t>er.</w:t>
      </w:r>
    </w:p>
    <w:p w14:paraId="6B92C2E9" w14:textId="77777777" w:rsidR="00C925A6" w:rsidRDefault="00C925A6" w:rsidP="008235C4">
      <w:pPr>
        <w:pStyle w:val="Heading3"/>
      </w:pPr>
      <w:r>
        <w:t>Non-verbal</w:t>
      </w:r>
    </w:p>
    <w:p w14:paraId="784C484C" w14:textId="77777777" w:rsidR="00C925A6" w:rsidRDefault="00C925A6" w:rsidP="00C925A6">
      <w:pPr>
        <w:pStyle w:val="Bullet1"/>
      </w:pPr>
      <w:r>
        <w:t>Personal white boards</w:t>
      </w:r>
    </w:p>
    <w:p w14:paraId="217E7BEE" w14:textId="77777777" w:rsidR="00C925A6" w:rsidRDefault="00C925A6" w:rsidP="00C925A6">
      <w:pPr>
        <w:pStyle w:val="Bullet1"/>
      </w:pPr>
      <w:r>
        <w:t>Pre-printed written response cards</w:t>
      </w:r>
    </w:p>
    <w:p w14:paraId="0C6517BB" w14:textId="77777777" w:rsidR="00C925A6" w:rsidRDefault="00C925A6" w:rsidP="00C925A6">
      <w:pPr>
        <w:pStyle w:val="Bullet1"/>
      </w:pPr>
      <w:r>
        <w:t xml:space="preserve">Student response systems </w:t>
      </w:r>
    </w:p>
    <w:p w14:paraId="1D4C123D" w14:textId="77777777" w:rsidR="00C925A6" w:rsidRDefault="00C925A6" w:rsidP="00C925A6">
      <w:pPr>
        <w:pStyle w:val="Bullet1"/>
      </w:pPr>
      <w:r>
        <w:t>Signalling or movement activities</w:t>
      </w:r>
    </w:p>
    <w:p w14:paraId="0A647592" w14:textId="77777777" w:rsidR="00C925A6" w:rsidRDefault="00C925A6" w:rsidP="00C925A6">
      <w:pPr>
        <w:pStyle w:val="Bullet1"/>
      </w:pPr>
      <w:r>
        <w:t>Guided notes</w:t>
      </w:r>
    </w:p>
    <w:p w14:paraId="4AFF197C" w14:textId="77777777" w:rsidR="00C925A6" w:rsidRDefault="00C925A6" w:rsidP="00C925A6">
      <w:pPr>
        <w:pStyle w:val="Bullet1"/>
      </w:pPr>
      <w:r>
        <w:t>Stop and jot.</w:t>
      </w:r>
    </w:p>
    <w:p w14:paraId="378193C6" w14:textId="77777777" w:rsidR="00C925A6" w:rsidRDefault="00C925A6" w:rsidP="008235C4">
      <w:pPr>
        <w:pStyle w:val="Heading2"/>
      </w:pPr>
      <w:r>
        <w:t>Trauma lens</w:t>
      </w:r>
    </w:p>
    <w:p w14:paraId="010ED1B9" w14:textId="77777777" w:rsidR="00C925A6" w:rsidRDefault="00C925A6" w:rsidP="00FE1A96">
      <w:pPr>
        <w:pStyle w:val="Bullet1"/>
      </w:pPr>
      <w:r>
        <w:t>Teacher presentation of frequent opportunities for students to respond provides time to process or apply what students are learning, allowing neural networks to be strengthened.</w:t>
      </w:r>
    </w:p>
    <w:p w14:paraId="309061ED" w14:textId="77777777" w:rsidR="00C925A6" w:rsidRDefault="00C925A6" w:rsidP="00C925A6">
      <w:pPr>
        <w:pStyle w:val="Footnoteheading"/>
      </w:pPr>
      <w:r>
        <w:t xml:space="preserve">Footnotes: </w:t>
      </w:r>
    </w:p>
    <w:p w14:paraId="2E099206" w14:textId="77777777" w:rsidR="00C925A6" w:rsidRDefault="00C925A6" w:rsidP="00C925A6">
      <w:pPr>
        <w:pStyle w:val="Footnote"/>
      </w:pPr>
      <w:r>
        <w:t>Cooper, J. T., &amp; Scott, T. M. (2017). The keys to managing instruction and behavior: Considering high probability practices. </w:t>
      </w:r>
      <w:r>
        <w:rPr>
          <w:rStyle w:val="ItalicNarrow"/>
        </w:rPr>
        <w:t>Teacher Education and Special Education, </w:t>
      </w:r>
      <w:r>
        <w:t xml:space="preserve">40(2), 102-113. </w:t>
      </w:r>
      <w:r>
        <w:tab/>
      </w:r>
    </w:p>
    <w:p w14:paraId="4033B5C0" w14:textId="05D837C3" w:rsidR="00C925A6" w:rsidRDefault="00C925A6" w:rsidP="00C925A6">
      <w:pPr>
        <w:pStyle w:val="Footnote"/>
      </w:pPr>
      <w:r>
        <w:t xml:space="preserve">Council for Exceptional Children. (1987). </w:t>
      </w:r>
      <w:r>
        <w:rPr>
          <w:rStyle w:val="ItalicNarrow"/>
        </w:rPr>
        <w:t>Academy for effective instruction: Working with mildly handicapped students</w:t>
      </w:r>
      <w:r>
        <w:t xml:space="preserve">. Reston, VA: Author. </w:t>
      </w:r>
      <w:r>
        <w:tab/>
      </w:r>
    </w:p>
    <w:p w14:paraId="1AD06679" w14:textId="77777777" w:rsidR="00C925A6" w:rsidRDefault="00C925A6" w:rsidP="00C925A6">
      <w:pPr>
        <w:pStyle w:val="Footnote"/>
      </w:pPr>
      <w:r>
        <w:t xml:space="preserve">Lane, K. L., Menzies, H. M., Ennis, R. P., &amp; Oakes, W. P. (2015). </w:t>
      </w:r>
      <w:r>
        <w:rPr>
          <w:rStyle w:val="ItalicNarrow"/>
        </w:rPr>
        <w:t>Supporting behavior for school success: A step-by-step guide to key strategies</w:t>
      </w:r>
      <w:r>
        <w:t>. New York, NY: Guilford Press.</w:t>
      </w:r>
    </w:p>
    <w:p w14:paraId="47F7F856" w14:textId="77777777" w:rsidR="00C925A6" w:rsidRDefault="00C925A6" w:rsidP="00C925A6">
      <w:pPr>
        <w:pStyle w:val="Footnote"/>
      </w:pPr>
      <w:r>
        <w:t>Scott, Terrance M.; Hirn, Regina; Cooper, Justin. Teacher and Student Behaviors (pp. 60-61). Rowman &amp; Littlefield Publishers.</w:t>
      </w:r>
    </w:p>
    <w:p w14:paraId="0EFEE6EB" w14:textId="77777777" w:rsidR="00C925A6" w:rsidRDefault="00C925A6" w:rsidP="00C925A6">
      <w:pPr>
        <w:pStyle w:val="Quote"/>
      </w:pPr>
    </w:p>
    <w:p w14:paraId="63ED7985" w14:textId="77777777" w:rsidR="00C925A6" w:rsidRDefault="00C925A6" w:rsidP="00C925A6">
      <w:pPr>
        <w:pStyle w:val="Quote"/>
      </w:pPr>
      <w:r>
        <w:t>“The degree to which students are actively engaged with the curricular content during instruction is perhaps the most powerful predictor of student achievement.”</w:t>
      </w:r>
    </w:p>
    <w:p w14:paraId="285BCD57" w14:textId="77777777" w:rsidR="00C925A6" w:rsidRDefault="00C925A6" w:rsidP="00C925A6">
      <w:pPr>
        <w:pStyle w:val="Quoteauthor"/>
      </w:pPr>
      <w:r>
        <w:rPr>
          <w:rStyle w:val="Citation"/>
          <w:caps/>
        </w:rPr>
        <w:t>Cooper &amp; Scott, 2017</w:t>
      </w:r>
    </w:p>
    <w:p w14:paraId="64E15D44" w14:textId="77777777" w:rsidR="00C925A6" w:rsidRDefault="00C925A6" w:rsidP="00C925A6">
      <w:pPr>
        <w:pStyle w:val="Quote"/>
      </w:pPr>
      <w:r>
        <w:t>“The primary strategy used by teachers to increase engagement in educational settings is the provision of opportunities to respond.”</w:t>
      </w:r>
    </w:p>
    <w:p w14:paraId="3950F060" w14:textId="423C58C2" w:rsidR="00122369" w:rsidRPr="00B87585" w:rsidRDefault="00C925A6" w:rsidP="00B87585">
      <w:pPr>
        <w:pStyle w:val="Quoteauthor"/>
        <w:rPr>
          <w:spacing w:val="-3"/>
        </w:rPr>
      </w:pPr>
      <w:r>
        <w:rPr>
          <w:rStyle w:val="Citation"/>
          <w:caps/>
        </w:rPr>
        <w:t>Scott, Hirn &amp; Cooper, 2017</w:t>
      </w:r>
    </w:p>
    <w:sectPr w:rsidR="00122369" w:rsidRPr="00B87585" w:rsidSect="0098759C">
      <w:headerReference w:type="default" r:id="rId11"/>
      <w:footerReference w:type="even" r:id="rId12"/>
      <w:footerReference w:type="default" r:id="rId13"/>
      <w:pgSz w:w="11900" w:h="16840"/>
      <w:pgMar w:top="2575" w:right="1134" w:bottom="1142" w:left="1134" w:header="283" w:footer="50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FB055" w14:textId="77777777" w:rsidR="00B61D8F" w:rsidRDefault="00B61D8F" w:rsidP="003967DD">
      <w:pPr>
        <w:spacing w:after="0"/>
      </w:pPr>
      <w:r>
        <w:separator/>
      </w:r>
    </w:p>
  </w:endnote>
  <w:endnote w:type="continuationSeparator" w:id="0">
    <w:p w14:paraId="4502AF23" w14:textId="77777777" w:rsidR="00B61D8F" w:rsidRDefault="00B61D8F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C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84F7" w14:textId="77777777" w:rsidR="00B61D8F" w:rsidRDefault="00B61D8F" w:rsidP="003967DD">
      <w:pPr>
        <w:spacing w:after="0"/>
      </w:pPr>
      <w:r>
        <w:separator/>
      </w:r>
    </w:p>
  </w:footnote>
  <w:footnote w:type="continuationSeparator" w:id="0">
    <w:p w14:paraId="55972A84" w14:textId="77777777" w:rsidR="00B61D8F" w:rsidRDefault="00B61D8F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1E38D239" w:rsidR="003967DD" w:rsidRDefault="00776885">
    <w:pPr>
      <w:pStyle w:val="Header"/>
    </w:pPr>
    <w:r w:rsidRPr="00776885">
      <w:rPr>
        <w:noProof/>
      </w:rPr>
      <w:drawing>
        <wp:anchor distT="0" distB="0" distL="114300" distR="114300" simplePos="0" relativeHeight="251658240" behindDoc="1" locked="0" layoutInCell="1" allowOverlap="1" wp14:anchorId="04E587BD" wp14:editId="18021794">
          <wp:simplePos x="0" y="0"/>
          <wp:positionH relativeFrom="column">
            <wp:posOffset>-720091</wp:posOffset>
          </wp:positionH>
          <wp:positionV relativeFrom="paragraph">
            <wp:posOffset>-179706</wp:posOffset>
          </wp:positionV>
          <wp:extent cx="7570800" cy="1094400"/>
          <wp:effectExtent l="0" t="0" r="0" b="0"/>
          <wp:wrapNone/>
          <wp:docPr id="201431898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31898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0D0092"/>
    <w:multiLevelType w:val="multilevel"/>
    <w:tmpl w:val="7D22E71E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10C71C8"/>
    <w:lvl w:ilvl="0" w:tplc="759C40D8">
      <w:start w:val="1"/>
      <w:numFmt w:val="decimal"/>
      <w:pStyle w:val="Numberlis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FB1C11C4"/>
    <w:lvl w:ilvl="0" w:tplc="581EDEC8">
      <w:start w:val="1"/>
      <w:numFmt w:val="bullet"/>
      <w:pStyle w:val="Bullet2"/>
      <w:lvlText w:val="­"/>
      <w:lvlJc w:val="left"/>
      <w:pPr>
        <w:ind w:left="5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D5982"/>
    <w:multiLevelType w:val="multilevel"/>
    <w:tmpl w:val="B01E02C6"/>
    <w:styleLink w:val="CurrentList1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B34C189C"/>
    <w:lvl w:ilvl="0" w:tplc="6528463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882">
    <w:abstractNumId w:val="0"/>
  </w:num>
  <w:num w:numId="2" w16cid:durableId="504709248">
    <w:abstractNumId w:val="1"/>
  </w:num>
  <w:num w:numId="3" w16cid:durableId="343440403">
    <w:abstractNumId w:val="2"/>
  </w:num>
  <w:num w:numId="4" w16cid:durableId="585696792">
    <w:abstractNumId w:val="3"/>
  </w:num>
  <w:num w:numId="5" w16cid:durableId="650792367">
    <w:abstractNumId w:val="4"/>
  </w:num>
  <w:num w:numId="6" w16cid:durableId="558590963">
    <w:abstractNumId w:val="9"/>
  </w:num>
  <w:num w:numId="7" w16cid:durableId="840706194">
    <w:abstractNumId w:val="5"/>
  </w:num>
  <w:num w:numId="8" w16cid:durableId="1000232430">
    <w:abstractNumId w:val="6"/>
  </w:num>
  <w:num w:numId="9" w16cid:durableId="1830556844">
    <w:abstractNumId w:val="7"/>
  </w:num>
  <w:num w:numId="10" w16cid:durableId="845824011">
    <w:abstractNumId w:val="8"/>
  </w:num>
  <w:num w:numId="11" w16cid:durableId="217400481">
    <w:abstractNumId w:val="10"/>
  </w:num>
  <w:num w:numId="12" w16cid:durableId="1793596891">
    <w:abstractNumId w:val="14"/>
  </w:num>
  <w:num w:numId="13" w16cid:durableId="1077093040">
    <w:abstractNumId w:val="17"/>
  </w:num>
  <w:num w:numId="14" w16cid:durableId="548568946">
    <w:abstractNumId w:val="18"/>
  </w:num>
  <w:num w:numId="15" w16cid:durableId="1307275789">
    <w:abstractNumId w:val="12"/>
  </w:num>
  <w:num w:numId="16" w16cid:durableId="1422794765">
    <w:abstractNumId w:val="16"/>
  </w:num>
  <w:num w:numId="17" w16cid:durableId="2083717576">
    <w:abstractNumId w:val="13"/>
  </w:num>
  <w:num w:numId="18" w16cid:durableId="150604695">
    <w:abstractNumId w:val="15"/>
  </w:num>
  <w:num w:numId="19" w16cid:durableId="2090272491">
    <w:abstractNumId w:val="13"/>
    <w:lvlOverride w:ilvl="0">
      <w:startOverride w:val="1"/>
    </w:lvlOverride>
  </w:num>
  <w:num w:numId="20" w16cid:durableId="11422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37B70"/>
    <w:rsid w:val="00080DA9"/>
    <w:rsid w:val="000861DD"/>
    <w:rsid w:val="000A47D4"/>
    <w:rsid w:val="000C600E"/>
    <w:rsid w:val="00122369"/>
    <w:rsid w:val="00150E0F"/>
    <w:rsid w:val="00157212"/>
    <w:rsid w:val="0016287D"/>
    <w:rsid w:val="00182407"/>
    <w:rsid w:val="00196A08"/>
    <w:rsid w:val="001C24E2"/>
    <w:rsid w:val="001D0D94"/>
    <w:rsid w:val="001D13F9"/>
    <w:rsid w:val="001D6F2C"/>
    <w:rsid w:val="001E1816"/>
    <w:rsid w:val="001F39DD"/>
    <w:rsid w:val="00244303"/>
    <w:rsid w:val="002512BE"/>
    <w:rsid w:val="00274F57"/>
    <w:rsid w:val="00275FB8"/>
    <w:rsid w:val="002A4A96"/>
    <w:rsid w:val="002E3BED"/>
    <w:rsid w:val="002F41D7"/>
    <w:rsid w:val="002F6115"/>
    <w:rsid w:val="00312720"/>
    <w:rsid w:val="00343AFC"/>
    <w:rsid w:val="0034745C"/>
    <w:rsid w:val="003967DD"/>
    <w:rsid w:val="003A4C39"/>
    <w:rsid w:val="003E3A74"/>
    <w:rsid w:val="0042333B"/>
    <w:rsid w:val="00443E58"/>
    <w:rsid w:val="00450868"/>
    <w:rsid w:val="004A2E74"/>
    <w:rsid w:val="004B2ED6"/>
    <w:rsid w:val="00500ADA"/>
    <w:rsid w:val="00512BBA"/>
    <w:rsid w:val="00551C88"/>
    <w:rsid w:val="00555277"/>
    <w:rsid w:val="00567CF0"/>
    <w:rsid w:val="00584366"/>
    <w:rsid w:val="005A4F12"/>
    <w:rsid w:val="005E0713"/>
    <w:rsid w:val="00624862"/>
    <w:rsid w:val="00624A55"/>
    <w:rsid w:val="006523D7"/>
    <w:rsid w:val="006671CE"/>
    <w:rsid w:val="006724D8"/>
    <w:rsid w:val="006A1F8A"/>
    <w:rsid w:val="006A25AC"/>
    <w:rsid w:val="006C45C0"/>
    <w:rsid w:val="006D1D8A"/>
    <w:rsid w:val="006E2B9A"/>
    <w:rsid w:val="00710CED"/>
    <w:rsid w:val="00735566"/>
    <w:rsid w:val="00767573"/>
    <w:rsid w:val="00774B62"/>
    <w:rsid w:val="00776885"/>
    <w:rsid w:val="00792CA3"/>
    <w:rsid w:val="007B556E"/>
    <w:rsid w:val="007D3E38"/>
    <w:rsid w:val="007D40FC"/>
    <w:rsid w:val="007E71DF"/>
    <w:rsid w:val="008065DA"/>
    <w:rsid w:val="008235C4"/>
    <w:rsid w:val="00890680"/>
    <w:rsid w:val="00892E24"/>
    <w:rsid w:val="00897AAC"/>
    <w:rsid w:val="008B1737"/>
    <w:rsid w:val="008F3D35"/>
    <w:rsid w:val="00934E38"/>
    <w:rsid w:val="00952690"/>
    <w:rsid w:val="00954B9A"/>
    <w:rsid w:val="00961ED1"/>
    <w:rsid w:val="0098759C"/>
    <w:rsid w:val="0099358C"/>
    <w:rsid w:val="009F6A77"/>
    <w:rsid w:val="00A31926"/>
    <w:rsid w:val="00A45449"/>
    <w:rsid w:val="00A516BA"/>
    <w:rsid w:val="00A710DF"/>
    <w:rsid w:val="00AA317E"/>
    <w:rsid w:val="00AC2FB3"/>
    <w:rsid w:val="00B21562"/>
    <w:rsid w:val="00B4046A"/>
    <w:rsid w:val="00B47FF8"/>
    <w:rsid w:val="00B53D91"/>
    <w:rsid w:val="00B61D8F"/>
    <w:rsid w:val="00B707D9"/>
    <w:rsid w:val="00B775D4"/>
    <w:rsid w:val="00B87422"/>
    <w:rsid w:val="00B87585"/>
    <w:rsid w:val="00B93464"/>
    <w:rsid w:val="00BF2F22"/>
    <w:rsid w:val="00C061F6"/>
    <w:rsid w:val="00C245CF"/>
    <w:rsid w:val="00C539BB"/>
    <w:rsid w:val="00C925A6"/>
    <w:rsid w:val="00CB4F62"/>
    <w:rsid w:val="00CC5AA8"/>
    <w:rsid w:val="00CD5993"/>
    <w:rsid w:val="00CE7916"/>
    <w:rsid w:val="00D17E55"/>
    <w:rsid w:val="00D63ABA"/>
    <w:rsid w:val="00D9777A"/>
    <w:rsid w:val="00DC48EE"/>
    <w:rsid w:val="00DC4D0D"/>
    <w:rsid w:val="00E34263"/>
    <w:rsid w:val="00E34721"/>
    <w:rsid w:val="00E4317E"/>
    <w:rsid w:val="00E47519"/>
    <w:rsid w:val="00E5030B"/>
    <w:rsid w:val="00E64758"/>
    <w:rsid w:val="00E77EB9"/>
    <w:rsid w:val="00E87E91"/>
    <w:rsid w:val="00EE5179"/>
    <w:rsid w:val="00F20CEC"/>
    <w:rsid w:val="00F5271F"/>
    <w:rsid w:val="00F55417"/>
    <w:rsid w:val="00F94715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H1"/>
    <w:next w:val="Normal"/>
    <w:link w:val="Heading1Char"/>
    <w:uiPriority w:val="9"/>
    <w:qFormat/>
    <w:rsid w:val="001E1816"/>
    <w:pPr>
      <w:framePr w:wrap="around"/>
      <w:outlineLvl w:val="0"/>
    </w:pPr>
    <w:rPr>
      <w:color w:val="004C97" w:themeColor="accent5"/>
    </w:r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98759C"/>
    <w:pPr>
      <w:keepNext/>
      <w:keepLines/>
      <w:spacing w:line="440" w:lineRule="atLeast"/>
      <w:outlineLvl w:val="1"/>
    </w:pPr>
    <w:rPr>
      <w:bCs w:val="0"/>
    </w:rPr>
  </w:style>
  <w:style w:type="paragraph" w:styleId="Heading3">
    <w:name w:val="heading 3"/>
    <w:basedOn w:val="H3"/>
    <w:next w:val="Normal"/>
    <w:link w:val="Heading3Char"/>
    <w:uiPriority w:val="9"/>
    <w:unhideWhenUsed/>
    <w:qFormat/>
    <w:rsid w:val="001D6F2C"/>
    <w:pPr>
      <w:keepNext/>
      <w:outlineLvl w:val="2"/>
    </w:pPr>
    <w:rPr>
      <w:sz w:val="28"/>
      <w:szCs w:val="28"/>
    </w:rPr>
  </w:style>
  <w:style w:type="paragraph" w:styleId="Heading4">
    <w:name w:val="heading 4"/>
    <w:basedOn w:val="H4"/>
    <w:next w:val="Normal"/>
    <w:link w:val="Heading4Char"/>
    <w:uiPriority w:val="9"/>
    <w:unhideWhenUsed/>
    <w:qFormat/>
    <w:rsid w:val="001D6F2C"/>
    <w:pPr>
      <w:keepNext/>
      <w:keepLines/>
      <w:outlineLvl w:val="3"/>
    </w:pPr>
    <w:rPr>
      <w:bCs w:val="0"/>
      <w:color w:val="004C97" w:themeColor="accent5"/>
      <w:sz w:val="24"/>
      <w:szCs w:val="24"/>
    </w:rPr>
  </w:style>
  <w:style w:type="paragraph" w:styleId="Heading5">
    <w:name w:val="heading 5"/>
    <w:basedOn w:val="H5"/>
    <w:next w:val="Normal"/>
    <w:link w:val="Heading5Char"/>
    <w:uiPriority w:val="9"/>
    <w:unhideWhenUsed/>
    <w:qFormat/>
    <w:rsid w:val="001D6F2C"/>
    <w:pPr>
      <w:spacing w:before="40" w:after="40"/>
      <w:outlineLvl w:val="4"/>
    </w:pPr>
    <w:rPr>
      <w:color w:val="000000" w:themeColor="text1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3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280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1E1816"/>
    <w:rPr>
      <w:rFonts w:ascii="Arial" w:eastAsiaTheme="minorEastAsia" w:hAnsi="Arial" w:cs="Arial"/>
      <w:b/>
      <w:bCs/>
      <w:color w:val="004C97" w:themeColor="accent5"/>
      <w:spacing w:val="6"/>
      <w:position w:val="2"/>
      <w:sz w:val="60"/>
      <w:szCs w:val="60"/>
      <w:lang w:eastAsia="en-GB"/>
      <w14:ligatures w14:val="standardContextual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8759C"/>
    <w:rPr>
      <w:rFonts w:ascii="Arial" w:eastAsiaTheme="minorEastAsia" w:hAnsi="Arial" w:cs="Arial"/>
      <w:b/>
      <w:color w:val="0090DA" w:themeColor="accent4"/>
      <w:spacing w:val="6"/>
      <w:sz w:val="34"/>
      <w:szCs w:val="32"/>
      <w:lang w:eastAsia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D6F2C"/>
    <w:rPr>
      <w:rFonts w:ascii="Arial" w:eastAsiaTheme="minorEastAsia" w:hAnsi="Arial" w:cs="Arial"/>
      <w:b/>
      <w:bCs/>
      <w:color w:val="004C97" w:themeColor="accent5"/>
      <w:sz w:val="28"/>
      <w:szCs w:val="28"/>
      <w:lang w:val="en-US" w:eastAsia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99"/>
    <w:qFormat/>
    <w:rsid w:val="00B4046A"/>
    <w:pPr>
      <w:spacing w:before="360" w:line="320" w:lineRule="atLeast"/>
    </w:pPr>
    <w:rPr>
      <w:i/>
      <w:iCs/>
      <w:color w:val="004C97" w:themeColor="accent5"/>
      <w:sz w:val="24"/>
    </w:rPr>
  </w:style>
  <w:style w:type="character" w:customStyle="1" w:styleId="QuoteChar">
    <w:name w:val="Quote Char"/>
    <w:basedOn w:val="DefaultParagraphFont"/>
    <w:link w:val="Quote"/>
    <w:uiPriority w:val="99"/>
    <w:rsid w:val="00B4046A"/>
    <w:rPr>
      <w:i/>
      <w:iCs/>
      <w:color w:val="004C97" w:themeColor="accent5"/>
    </w:rPr>
  </w:style>
  <w:style w:type="paragraph" w:customStyle="1" w:styleId="Bullet1">
    <w:name w:val="Bullet 1"/>
    <w:basedOn w:val="Normal"/>
    <w:next w:val="Normal"/>
    <w:uiPriority w:val="99"/>
    <w:qFormat/>
    <w:rsid w:val="00274F57"/>
    <w:pPr>
      <w:keepLines/>
      <w:numPr>
        <w:numId w:val="14"/>
      </w:numPr>
      <w:spacing w:after="0" w:line="260" w:lineRule="atLeast"/>
      <w:ind w:left="227" w:hanging="227"/>
    </w:pPr>
    <w:rPr>
      <w:sz w:val="20"/>
      <w:szCs w:val="20"/>
      <w:lang w:val="en-AU"/>
    </w:rPr>
  </w:style>
  <w:style w:type="paragraph" w:customStyle="1" w:styleId="Bullet2">
    <w:name w:val="Bullet 2"/>
    <w:basedOn w:val="Bullet1"/>
    <w:qFormat/>
    <w:rsid w:val="00F55417"/>
    <w:pPr>
      <w:numPr>
        <w:numId w:val="12"/>
      </w:numPr>
      <w:ind w:left="454" w:hanging="227"/>
    </w:pPr>
  </w:style>
  <w:style w:type="paragraph" w:customStyle="1" w:styleId="Numberlist">
    <w:name w:val="Number list"/>
    <w:basedOn w:val="Normal"/>
    <w:next w:val="Normal"/>
    <w:uiPriority w:val="99"/>
    <w:qFormat/>
    <w:rsid w:val="00774B62"/>
    <w:pPr>
      <w:keepLines/>
      <w:numPr>
        <w:numId w:val="17"/>
      </w:numPr>
    </w:pPr>
    <w:rPr>
      <w:sz w:val="20"/>
      <w:szCs w:val="20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D6F2C"/>
    <w:rPr>
      <w:rFonts w:ascii="Arial" w:eastAsiaTheme="minorEastAsia" w:hAnsi="Arial" w:cs="Arial"/>
      <w:b/>
      <w:color w:val="004C97" w:themeColor="accent5"/>
      <w:spacing w:val="4"/>
      <w:lang w:eastAsia="en-GB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customStyle="1" w:styleId="NoParagraphStyle">
    <w:name w:val="[No Paragraph Style]"/>
    <w:rsid w:val="00C925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Theme="minorEastAsia" w:hAnsi="Arial" w:cs="Arial"/>
      <w:color w:val="000000"/>
      <w:lang w:val="en-US" w:eastAsia="en-GB"/>
      <w14:ligatures w14:val="standardContextual"/>
    </w:rPr>
  </w:style>
  <w:style w:type="paragraph" w:customStyle="1" w:styleId="H1">
    <w:name w:val="H1"/>
    <w:basedOn w:val="NoParagraphStyle"/>
    <w:uiPriority w:val="99"/>
    <w:rsid w:val="00450868"/>
    <w:pPr>
      <w:pageBreakBefore/>
      <w:framePr w:w="10206" w:wrap="around" w:vAnchor="text" w:hAnchor="text" w:y="1"/>
      <w:suppressAutoHyphens/>
      <w:spacing w:after="57" w:line="680" w:lineRule="atLeast"/>
    </w:pPr>
    <w:rPr>
      <w:b/>
      <w:bCs/>
      <w:color w:val="0062A4"/>
      <w:spacing w:val="6"/>
      <w:position w:val="2"/>
      <w:sz w:val="60"/>
      <w:szCs w:val="60"/>
      <w:lang w:val="en-GB"/>
    </w:rPr>
  </w:style>
  <w:style w:type="paragraph" w:customStyle="1" w:styleId="H2">
    <w:name w:val="H2"/>
    <w:basedOn w:val="NoParagraphStyle"/>
    <w:uiPriority w:val="99"/>
    <w:rsid w:val="00F55417"/>
    <w:pPr>
      <w:suppressAutoHyphens/>
      <w:spacing w:before="397" w:after="170" w:line="360" w:lineRule="atLeast"/>
    </w:pPr>
    <w:rPr>
      <w:b/>
      <w:bCs/>
      <w:color w:val="0090DA" w:themeColor="accent4"/>
      <w:spacing w:val="6"/>
      <w:sz w:val="34"/>
      <w:szCs w:val="32"/>
      <w:lang w:val="en-GB"/>
    </w:rPr>
  </w:style>
  <w:style w:type="paragraph" w:customStyle="1" w:styleId="Bullet1last">
    <w:name w:val="Bullet 1_last"/>
    <w:basedOn w:val="Bullet1"/>
    <w:uiPriority w:val="99"/>
    <w:rsid w:val="00C925A6"/>
    <w:pPr>
      <w:ind w:left="720" w:hanging="360"/>
    </w:pPr>
  </w:style>
  <w:style w:type="paragraph" w:customStyle="1" w:styleId="Bodycopy">
    <w:name w:val="Body copy"/>
    <w:basedOn w:val="NoParagraphStyle"/>
    <w:uiPriority w:val="99"/>
    <w:rsid w:val="00274F57"/>
    <w:pPr>
      <w:keepLines/>
      <w:widowControl/>
      <w:suppressAutoHyphens/>
      <w:spacing w:after="120" w:line="260" w:lineRule="atLeast"/>
    </w:pPr>
    <w:rPr>
      <w:sz w:val="20"/>
      <w:szCs w:val="20"/>
    </w:rPr>
  </w:style>
  <w:style w:type="paragraph" w:customStyle="1" w:styleId="H5">
    <w:name w:val="H5"/>
    <w:basedOn w:val="Normal"/>
    <w:uiPriority w:val="99"/>
    <w:rsid w:val="00F55417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Arial" w:eastAsiaTheme="minorEastAsia" w:hAnsi="Arial" w:cs="Arial"/>
      <w:b/>
      <w:bCs/>
      <w:color w:val="004C97" w:themeColor="accent5"/>
      <w:sz w:val="20"/>
      <w:szCs w:val="20"/>
      <w:lang w:val="en-US" w:eastAsia="en-GB"/>
      <w14:ligatures w14:val="standardContextual"/>
    </w:rPr>
  </w:style>
  <w:style w:type="paragraph" w:customStyle="1" w:styleId="Quoteauthor">
    <w:name w:val="Quote author"/>
    <w:basedOn w:val="Bodycopy"/>
    <w:uiPriority w:val="99"/>
    <w:rsid w:val="008235C4"/>
    <w:pPr>
      <w:spacing w:before="227" w:line="200" w:lineRule="atLeast"/>
    </w:pPr>
    <w:rPr>
      <w:caps/>
      <w:sz w:val="15"/>
      <w:szCs w:val="15"/>
      <w:lang w:val="en-GB"/>
    </w:rPr>
  </w:style>
  <w:style w:type="paragraph" w:customStyle="1" w:styleId="H3">
    <w:name w:val="H3"/>
    <w:basedOn w:val="Bodycopy"/>
    <w:uiPriority w:val="99"/>
    <w:rsid w:val="00F55417"/>
    <w:pPr>
      <w:spacing w:before="160"/>
    </w:pPr>
    <w:rPr>
      <w:b/>
      <w:bCs/>
      <w:color w:val="004C97" w:themeColor="accent5"/>
      <w:sz w:val="24"/>
      <w:szCs w:val="24"/>
    </w:rPr>
  </w:style>
  <w:style w:type="paragraph" w:customStyle="1" w:styleId="H4">
    <w:name w:val="H4"/>
    <w:basedOn w:val="H2"/>
    <w:uiPriority w:val="99"/>
    <w:rsid w:val="00F55417"/>
    <w:pPr>
      <w:spacing w:before="120" w:after="57" w:line="260" w:lineRule="atLeast"/>
    </w:pPr>
    <w:rPr>
      <w:spacing w:val="4"/>
      <w:sz w:val="22"/>
      <w:szCs w:val="22"/>
    </w:rPr>
  </w:style>
  <w:style w:type="paragraph" w:customStyle="1" w:styleId="Footnoteheading">
    <w:name w:val="Footnote heading"/>
    <w:basedOn w:val="NoParagraphStyle"/>
    <w:uiPriority w:val="99"/>
    <w:rsid w:val="00624862"/>
    <w:pPr>
      <w:keepNext/>
      <w:keepLines/>
      <w:suppressAutoHyphens/>
      <w:spacing w:before="624" w:after="57"/>
    </w:pPr>
    <w:rPr>
      <w:b/>
      <w:bCs/>
      <w:sz w:val="16"/>
      <w:szCs w:val="16"/>
    </w:rPr>
  </w:style>
  <w:style w:type="paragraph" w:customStyle="1" w:styleId="Footnote">
    <w:name w:val="Footnote"/>
    <w:basedOn w:val="NoParagraphStyle"/>
    <w:uiPriority w:val="99"/>
    <w:rsid w:val="00196A08"/>
    <w:pPr>
      <w:keepNext/>
      <w:keepLines/>
      <w:widowControl/>
      <w:suppressAutoHyphens/>
      <w:spacing w:before="57" w:after="57"/>
    </w:pPr>
    <w:rPr>
      <w:rFonts w:ascii="Arial Narrow" w:hAnsi="Arial Narrow" w:cs="Arial Narrow"/>
      <w:sz w:val="16"/>
      <w:szCs w:val="16"/>
    </w:rPr>
  </w:style>
  <w:style w:type="paragraph" w:customStyle="1" w:styleId="Numberedlist2">
    <w:name w:val="Numbered list_2"/>
    <w:basedOn w:val="Bullet1"/>
    <w:uiPriority w:val="99"/>
    <w:rsid w:val="00C925A6"/>
    <w:pPr>
      <w:widowControl w:val="0"/>
      <w:numPr>
        <w:numId w:val="0"/>
      </w:numPr>
      <w:suppressAutoHyphens/>
      <w:autoSpaceDE w:val="0"/>
      <w:autoSpaceDN w:val="0"/>
      <w:adjustRightInd w:val="0"/>
      <w:spacing w:after="28"/>
      <w:ind w:left="397" w:hanging="227"/>
      <w:textAlignment w:val="center"/>
    </w:pPr>
    <w:rPr>
      <w:rFonts w:ascii="Arial" w:eastAsiaTheme="minorEastAsia" w:hAnsi="Arial" w:cs="Arial"/>
      <w:color w:val="000000"/>
      <w:lang w:val="en-US" w:eastAsia="en-GB"/>
      <w14:ligatures w14:val="standardContextual"/>
    </w:rPr>
  </w:style>
  <w:style w:type="character" w:customStyle="1" w:styleId="Bold">
    <w:name w:val="Bold"/>
    <w:uiPriority w:val="99"/>
    <w:rsid w:val="00C925A6"/>
    <w:rPr>
      <w:rFonts w:ascii="Arial" w:hAnsi="Arial" w:cs="Arial"/>
      <w:b/>
      <w:bCs/>
    </w:rPr>
  </w:style>
  <w:style w:type="character" w:customStyle="1" w:styleId="Citation">
    <w:name w:val="Citation"/>
    <w:uiPriority w:val="99"/>
    <w:rsid w:val="00897AAC"/>
    <w:rPr>
      <w:rFonts w:ascii="Arial" w:hAnsi="Arial" w:cs="Arial"/>
      <w:b w:val="0"/>
      <w:i w:val="0"/>
      <w:caps/>
      <w:color w:val="000000"/>
      <w:sz w:val="15"/>
      <w:szCs w:val="15"/>
      <w:lang w:val="en-GB"/>
    </w:rPr>
  </w:style>
  <w:style w:type="character" w:customStyle="1" w:styleId="Italic">
    <w:name w:val="Italic"/>
    <w:basedOn w:val="DefaultParagraphFont"/>
    <w:uiPriority w:val="99"/>
    <w:rsid w:val="00C925A6"/>
    <w:rPr>
      <w:rFonts w:ascii="VIC" w:hAnsi="VIC" w:cs="VIC"/>
      <w:i/>
      <w:iCs/>
      <w:color w:val="000000"/>
    </w:rPr>
  </w:style>
  <w:style w:type="character" w:customStyle="1" w:styleId="ItalicNarrow">
    <w:name w:val="Italic_Narrow"/>
    <w:basedOn w:val="Italic"/>
    <w:uiPriority w:val="99"/>
    <w:rsid w:val="00182407"/>
    <w:rPr>
      <w:rFonts w:ascii="Arial Narrow" w:hAnsi="Arial Narrow" w:cs="Arial Narrow"/>
      <w:i/>
      <w:iCs w:val="0"/>
      <w:color w:val="000000"/>
    </w:rPr>
  </w:style>
  <w:style w:type="paragraph" w:customStyle="1" w:styleId="Bullet1last0">
    <w:name w:val="Bullet 1 _last"/>
    <w:basedOn w:val="Bullet1"/>
    <w:qFormat/>
    <w:rsid w:val="0098759C"/>
    <w:pPr>
      <w:spacing w:after="180"/>
    </w:pPr>
  </w:style>
  <w:style w:type="numbering" w:customStyle="1" w:styleId="CurrentList1">
    <w:name w:val="Current List1"/>
    <w:uiPriority w:val="99"/>
    <w:rsid w:val="00F55417"/>
    <w:pPr>
      <w:numPr>
        <w:numId w:val="18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1D6F2C"/>
    <w:rPr>
      <w:rFonts w:ascii="Arial" w:eastAsiaTheme="minorEastAsia" w:hAnsi="Arial" w:cs="Arial"/>
      <w:b/>
      <w:bCs/>
      <w:color w:val="000000" w:themeColor="text1"/>
      <w:sz w:val="20"/>
      <w:szCs w:val="22"/>
      <w:lang w:val="en-US" w:eastAsia="en-GB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B93464"/>
    <w:rPr>
      <w:rFonts w:asciiTheme="majorHAnsi" w:eastAsiaTheme="majorEastAsia" w:hAnsiTheme="majorHAnsi" w:cstheme="majorBidi"/>
      <w:color w:val="702802" w:themeColor="accent1" w:themeShade="7F"/>
      <w:sz w:val="22"/>
    </w:rPr>
  </w:style>
  <w:style w:type="numbering" w:customStyle="1" w:styleId="CurrentList2">
    <w:name w:val="Current List2"/>
    <w:uiPriority w:val="99"/>
    <w:rsid w:val="00274F57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2EC4E6-19FE-4C3A-8536-FA8CBB411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Madeleine Russell 2</cp:lastModifiedBy>
  <cp:revision>26</cp:revision>
  <dcterms:created xsi:type="dcterms:W3CDTF">2024-08-02T04:11:00Z</dcterms:created>
  <dcterms:modified xsi:type="dcterms:W3CDTF">2025-02-05T05:27:00Z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{4b6cea99-7bab-42f1-a874-8527e8aaac2c}</vt:lpwstr>
  </property>
  <property fmtid="{D5CDD505-2E9C-101B-9397-08002B2CF9AE}" pid="8" name="RecordPoint_ActiveItemUniqueId">
    <vt:lpwstr>{2677270c-0bc3-4972-aa64-4060293d21ba}</vt:lpwstr>
  </property>
  <property fmtid="{D5CDD505-2E9C-101B-9397-08002B2CF9AE}" pid="9" name="RecordPoint_ActiveItemWebId">
    <vt:lpwstr>{728edaa4-6e7a-42a1-a69c-1a5139249f5d}</vt:lpwstr>
  </property>
  <property fmtid="{D5CDD505-2E9C-101B-9397-08002B2CF9AE}" pid="10" name="RecordPoint_ActiveItemSiteId">
    <vt:lpwstr>{bc37e16c-ec24-469d-99d8-5f0978b55b65}</vt:lpwstr>
  </property>
  <property fmtid="{D5CDD505-2E9C-101B-9397-08002B2CF9AE}" pid="11" name="RecordPoint_RecordNumberSubmitted">
    <vt:lpwstr>R20240909156</vt:lpwstr>
  </property>
  <property fmtid="{D5CDD505-2E9C-101B-9397-08002B2CF9AE}" pid="12" name="RecordPoint_SubmissionCompleted">
    <vt:lpwstr>2024-08-06T14:59:09.2005120+10:00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