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7F88" w14:textId="778168E0" w:rsidR="00C925A6" w:rsidRDefault="00C925A6" w:rsidP="00D63ABA">
      <w:pPr>
        <w:pStyle w:val="Heading1"/>
        <w:framePr w:wrap="around"/>
      </w:pPr>
      <w:r>
        <w:t>3. Encouraging Expected Behaviour</w:t>
      </w:r>
      <w:r w:rsidR="00274F57">
        <w:br/>
      </w:r>
    </w:p>
    <w:p w14:paraId="6D62680F" w14:textId="77777777" w:rsidR="00C925A6" w:rsidRDefault="00C925A6" w:rsidP="00274F57">
      <w:pPr>
        <w:pStyle w:val="Heading2"/>
        <w:spacing w:before="0"/>
      </w:pPr>
      <w:r>
        <w:t>Definition</w:t>
      </w:r>
    </w:p>
    <w:p w14:paraId="733EF79D" w14:textId="77777777" w:rsidR="00C925A6" w:rsidRDefault="00C925A6" w:rsidP="00C925A6">
      <w:pPr>
        <w:pStyle w:val="NoParagraphStyle"/>
        <w:suppressAutoHyphens/>
        <w:spacing w:after="113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 continuum or menu of techniques to acknowledge, encourage and reinforce.</w:t>
      </w:r>
    </w:p>
    <w:p w14:paraId="51AE3F17" w14:textId="77777777" w:rsidR="00C925A6" w:rsidRDefault="00C925A6" w:rsidP="00C925A6">
      <w:pPr>
        <w:pStyle w:val="NoParagraphStyle"/>
        <w:suppressAutoHyphens/>
        <w:spacing w:after="113"/>
      </w:pPr>
      <w:r>
        <w:rPr>
          <w:sz w:val="20"/>
          <w:szCs w:val="20"/>
          <w:lang w:val="en-GB"/>
        </w:rPr>
        <w:t xml:space="preserve">Specific positive feedback is the process of recognising when students demonstrate the expected behaviour. </w:t>
      </w:r>
    </w:p>
    <w:p w14:paraId="24B73557" w14:textId="77777777" w:rsidR="00C925A6" w:rsidRDefault="00C925A6" w:rsidP="008235C4">
      <w:pPr>
        <w:pStyle w:val="Heading2"/>
      </w:pPr>
      <w:r>
        <w:t>Rationale</w:t>
      </w:r>
    </w:p>
    <w:p w14:paraId="2386183C" w14:textId="77777777" w:rsidR="00C925A6" w:rsidRPr="00B93464" w:rsidRDefault="00C925A6" w:rsidP="008235C4">
      <w:pPr>
        <w:pStyle w:val="Heading3"/>
      </w:pPr>
      <w:r w:rsidRPr="00B93464">
        <w:t>Feedback:</w:t>
      </w:r>
    </w:p>
    <w:p w14:paraId="6A5C702A" w14:textId="77777777" w:rsidR="00C925A6" w:rsidRDefault="00C925A6" w:rsidP="00182407">
      <w:pPr>
        <w:pStyle w:val="Bullet1"/>
        <w:rPr>
          <w:rStyle w:val="Citation"/>
        </w:rPr>
      </w:pPr>
      <w:r>
        <w:t xml:space="preserve">has been </w:t>
      </w:r>
      <w:r w:rsidRPr="00182407">
        <w:t>supported</w:t>
      </w:r>
      <w:r>
        <w:t xml:space="preserve"> as among one of the most empirically sound teacher competencies</w:t>
      </w:r>
      <w:r>
        <w:rPr>
          <w:rStyle w:val="Italic"/>
          <w:lang w:val="en-GB"/>
        </w:rPr>
        <w:t xml:space="preserve"> </w:t>
      </w:r>
      <w:r>
        <w:rPr>
          <w:rStyle w:val="Citation"/>
        </w:rPr>
        <w:t xml:space="preserve">(Moore et al., 2019). </w:t>
      </w:r>
    </w:p>
    <w:p w14:paraId="7747E833" w14:textId="77777777" w:rsidR="00C925A6" w:rsidRDefault="00C925A6" w:rsidP="00182407">
      <w:pPr>
        <w:pStyle w:val="Bullet1"/>
      </w:pPr>
      <w:r>
        <w:t xml:space="preserve">promotes </w:t>
      </w:r>
      <w:r w:rsidRPr="00182407">
        <w:t>learning</w:t>
      </w:r>
      <w:r>
        <w:t xml:space="preserve"> and supports engagement and </w:t>
      </w:r>
      <w:proofErr w:type="gramStart"/>
      <w:r>
        <w:t>motivation</w:t>
      </w:r>
      <w:proofErr w:type="gramEnd"/>
    </w:p>
    <w:p w14:paraId="1CA3F0C7" w14:textId="77777777" w:rsidR="00C925A6" w:rsidRDefault="00C925A6" w:rsidP="00182407">
      <w:pPr>
        <w:pStyle w:val="Bullet1"/>
      </w:pPr>
      <w:r>
        <w:t xml:space="preserve">helps students to know what they are doing well, establish next learning steps, and select techniques that will help them to solve problems and achieve </w:t>
      </w:r>
      <w:proofErr w:type="gramStart"/>
      <w:r>
        <w:t>goals</w:t>
      </w:r>
      <w:proofErr w:type="gramEnd"/>
    </w:p>
    <w:p w14:paraId="5858CCB2" w14:textId="77777777" w:rsidR="00C925A6" w:rsidRDefault="00C925A6" w:rsidP="00182407">
      <w:pPr>
        <w:pStyle w:val="Bullet1"/>
      </w:pPr>
      <w:r>
        <w:t>helps build quality teacher-</w:t>
      </w:r>
      <w:r w:rsidRPr="00182407">
        <w:t>student</w:t>
      </w:r>
      <w:r>
        <w:t xml:space="preserve"> relationships.</w:t>
      </w:r>
    </w:p>
    <w:p w14:paraId="61B1B0AA" w14:textId="6D88212A" w:rsidR="00C925A6" w:rsidRDefault="00C925A6" w:rsidP="008235C4">
      <w:pPr>
        <w:pStyle w:val="Heading2"/>
      </w:pPr>
      <w:r>
        <w:t>Guidelines</w:t>
      </w:r>
    </w:p>
    <w:p w14:paraId="78D34817" w14:textId="77777777" w:rsidR="00C925A6" w:rsidRDefault="00C925A6" w:rsidP="00182407">
      <w:pPr>
        <w:pStyle w:val="Bullet1"/>
      </w:pPr>
      <w:r>
        <w:rPr>
          <w:rStyle w:val="Bold"/>
          <w:lang w:val="en-GB"/>
        </w:rPr>
        <w:t>Use preferred adult behaviours</w:t>
      </w:r>
      <w:r>
        <w:t xml:space="preserve"> to </w:t>
      </w:r>
      <w:r w:rsidRPr="00182407">
        <w:t>strengthen</w:t>
      </w:r>
      <w:r>
        <w:t xml:space="preserve"> and maintain teacher-student relationships.</w:t>
      </w:r>
    </w:p>
    <w:p w14:paraId="5C818E7E" w14:textId="77777777" w:rsidR="00C925A6" w:rsidRDefault="00C925A6" w:rsidP="00182407">
      <w:pPr>
        <w:pStyle w:val="Bullet1"/>
      </w:pPr>
      <w:r>
        <w:rPr>
          <w:rStyle w:val="Bold"/>
          <w:lang w:val="en-GB"/>
        </w:rPr>
        <w:t>Use specific positive feedback:</w:t>
      </w:r>
    </w:p>
    <w:p w14:paraId="71446697" w14:textId="77777777" w:rsidR="00C925A6" w:rsidRDefault="00C925A6" w:rsidP="00182407">
      <w:pPr>
        <w:pStyle w:val="Bullet2"/>
      </w:pPr>
      <w:r>
        <w:t>Contingent on expected behaviour</w:t>
      </w:r>
    </w:p>
    <w:p w14:paraId="6820A17E" w14:textId="77777777" w:rsidR="00C925A6" w:rsidRPr="00182407" w:rsidRDefault="00C925A6" w:rsidP="00182407">
      <w:pPr>
        <w:pStyle w:val="Bullet2"/>
      </w:pPr>
      <w:r w:rsidRPr="00182407">
        <w:t>Immediate</w:t>
      </w:r>
    </w:p>
    <w:p w14:paraId="46E05BAE" w14:textId="77777777" w:rsidR="00C925A6" w:rsidRPr="00182407" w:rsidRDefault="00C925A6" w:rsidP="00182407">
      <w:pPr>
        <w:pStyle w:val="Bullet2"/>
      </w:pPr>
      <w:r w:rsidRPr="00182407">
        <w:t>Frequently to build behaviour</w:t>
      </w:r>
    </w:p>
    <w:p w14:paraId="2829F42F" w14:textId="77777777" w:rsidR="00C925A6" w:rsidRPr="00182407" w:rsidRDefault="00C925A6" w:rsidP="00182407">
      <w:pPr>
        <w:pStyle w:val="Bullet2"/>
      </w:pPr>
      <w:r w:rsidRPr="00182407">
        <w:t>Intermittently to maintain behaviour</w:t>
      </w:r>
    </w:p>
    <w:p w14:paraId="6C897DF9" w14:textId="77777777" w:rsidR="00C925A6" w:rsidRDefault="00C925A6" w:rsidP="00182407">
      <w:pPr>
        <w:pStyle w:val="Bullet2"/>
      </w:pPr>
      <w:r w:rsidRPr="00182407">
        <w:t>Ratio</w:t>
      </w:r>
      <w:r>
        <w:t xml:space="preserve"> of at least 4:1 positive to corrective feedback.</w:t>
      </w:r>
    </w:p>
    <w:p w14:paraId="71B29D8F" w14:textId="77777777" w:rsidR="00C925A6" w:rsidRDefault="00C925A6" w:rsidP="00182407">
      <w:pPr>
        <w:pStyle w:val="Bullet1"/>
      </w:pPr>
      <w:r>
        <w:t xml:space="preserve">Connect </w:t>
      </w:r>
      <w:r w:rsidRPr="00182407">
        <w:t>classroom</w:t>
      </w:r>
      <w:r>
        <w:t xml:space="preserve"> system to the school-wide system.</w:t>
      </w:r>
    </w:p>
    <w:p w14:paraId="6C536A90" w14:textId="77777777" w:rsidR="00C925A6" w:rsidRPr="00182407" w:rsidRDefault="00C925A6" w:rsidP="00182407">
      <w:pPr>
        <w:pStyle w:val="Bullet2"/>
      </w:pPr>
      <w:r>
        <w:t xml:space="preserve">Use free </w:t>
      </w:r>
      <w:r w:rsidRPr="00182407">
        <w:t>and frequent, Intermittent, and long-term occasional recognition.</w:t>
      </w:r>
    </w:p>
    <w:p w14:paraId="572BFAA4" w14:textId="77777777" w:rsidR="00C925A6" w:rsidRPr="00182407" w:rsidRDefault="00C925A6" w:rsidP="00182407">
      <w:pPr>
        <w:pStyle w:val="Bullet2"/>
      </w:pPr>
      <w:r w:rsidRPr="00182407">
        <w:t>Identify collective goals for group reinforcers. </w:t>
      </w:r>
    </w:p>
    <w:p w14:paraId="4D3B47CF" w14:textId="77777777" w:rsidR="00C925A6" w:rsidRPr="00182407" w:rsidRDefault="00C925A6" w:rsidP="00182407">
      <w:pPr>
        <w:pStyle w:val="Bullet2"/>
      </w:pPr>
      <w:r w:rsidRPr="00182407">
        <w:t>Everyone is included in group celebrations.</w:t>
      </w:r>
    </w:p>
    <w:p w14:paraId="763EAF0E" w14:textId="77777777" w:rsidR="00C925A6" w:rsidRPr="00182407" w:rsidRDefault="00C925A6" w:rsidP="00182407">
      <w:pPr>
        <w:pStyle w:val="Bullet2"/>
      </w:pPr>
      <w:r w:rsidRPr="00182407">
        <w:t>Once earned, reinforcers are not taken away. </w:t>
      </w:r>
    </w:p>
    <w:p w14:paraId="5DCEAAA3" w14:textId="77777777" w:rsidR="00C925A6" w:rsidRDefault="00C925A6" w:rsidP="00182407">
      <w:pPr>
        <w:pStyle w:val="Bullet2"/>
      </w:pPr>
      <w:r w:rsidRPr="00182407">
        <w:t>Start small</w:t>
      </w:r>
      <w:r>
        <w:t xml:space="preserve"> and refine your system as you collect data.</w:t>
      </w:r>
    </w:p>
    <w:p w14:paraId="5C752779" w14:textId="77777777" w:rsidR="00C925A6" w:rsidRDefault="00C925A6" w:rsidP="00182407">
      <w:pPr>
        <w:pStyle w:val="Bullet1"/>
      </w:pPr>
      <w:r>
        <w:t xml:space="preserve">Develop a </w:t>
      </w:r>
      <w:r w:rsidRPr="00182407">
        <w:t>classroom</w:t>
      </w:r>
      <w:r>
        <w:t xml:space="preserve"> reinforcement system to build relatedness, </w:t>
      </w:r>
      <w:proofErr w:type="gramStart"/>
      <w:r>
        <w:t>competence</w:t>
      </w:r>
      <w:proofErr w:type="gramEnd"/>
      <w:r>
        <w:t xml:space="preserve"> and autonomy.</w:t>
      </w:r>
    </w:p>
    <w:p w14:paraId="15783B41" w14:textId="1A6D4910" w:rsidR="00C925A6" w:rsidRDefault="00C925A6" w:rsidP="008235C4">
      <w:pPr>
        <w:pStyle w:val="Heading2"/>
      </w:pPr>
      <w:r>
        <w:t>Getting started</w:t>
      </w:r>
    </w:p>
    <w:p w14:paraId="4085EE7A" w14:textId="77777777" w:rsidR="00C925A6" w:rsidRPr="00B93464" w:rsidRDefault="00C925A6" w:rsidP="008235C4">
      <w:pPr>
        <w:pStyle w:val="Heading3"/>
      </w:pPr>
      <w:r w:rsidRPr="00B93464">
        <w:t>Step 1:</w:t>
      </w:r>
    </w:p>
    <w:p w14:paraId="6D1A8B32" w14:textId="77777777" w:rsidR="00C925A6" w:rsidRPr="00B93464" w:rsidRDefault="00C925A6" w:rsidP="00B4046A">
      <w:pPr>
        <w:pStyle w:val="Heading4"/>
      </w:pPr>
      <w:r w:rsidRPr="00B93464">
        <w:t xml:space="preserve">Teach behaviour expectations and </w:t>
      </w:r>
      <w:proofErr w:type="gramStart"/>
      <w:r w:rsidRPr="00B93464">
        <w:t>routines</w:t>
      </w:r>
      <w:proofErr w:type="gramEnd"/>
      <w:r w:rsidRPr="00B93464">
        <w:t xml:space="preserve"> </w:t>
      </w:r>
    </w:p>
    <w:p w14:paraId="2E5AE4F1" w14:textId="77777777" w:rsidR="00C925A6" w:rsidRDefault="00C925A6" w:rsidP="00182407">
      <w:pPr>
        <w:pStyle w:val="Bullet1last0"/>
      </w:pPr>
      <w:r>
        <w:t xml:space="preserve">Teach the behaviour </w:t>
      </w:r>
      <w:r w:rsidRPr="00182407">
        <w:t>expectations</w:t>
      </w:r>
      <w:r>
        <w:t xml:space="preserve"> and routines and provide time for all students to understand and practise the necessary skills.</w:t>
      </w:r>
    </w:p>
    <w:p w14:paraId="700DBB0E" w14:textId="77777777" w:rsidR="00C925A6" w:rsidRPr="00B93464" w:rsidRDefault="00C925A6" w:rsidP="008235C4">
      <w:pPr>
        <w:pStyle w:val="Heading3"/>
      </w:pPr>
      <w:r w:rsidRPr="00B93464">
        <w:t>Step 2:</w:t>
      </w:r>
    </w:p>
    <w:p w14:paraId="59CDE931" w14:textId="77777777" w:rsidR="00C925A6" w:rsidRPr="00B93464" w:rsidRDefault="00C925A6" w:rsidP="00B4046A">
      <w:pPr>
        <w:pStyle w:val="Heading4"/>
      </w:pPr>
      <w:r w:rsidRPr="00B93464">
        <w:t xml:space="preserve">Preventative prompts/pre-correction </w:t>
      </w:r>
    </w:p>
    <w:p w14:paraId="4B77E639" w14:textId="77777777" w:rsidR="00C925A6" w:rsidRDefault="00C925A6" w:rsidP="00182407">
      <w:pPr>
        <w:pStyle w:val="Bullet1last0"/>
      </w:pPr>
      <w:r>
        <w:t xml:space="preserve">Remind students of the </w:t>
      </w:r>
      <w:r w:rsidRPr="00182407">
        <w:t>expected</w:t>
      </w:r>
      <w:r>
        <w:t xml:space="preserve"> behaviour to increase the probability they will demonstrate the skills. </w:t>
      </w:r>
    </w:p>
    <w:p w14:paraId="51C80859" w14:textId="77777777" w:rsidR="00C925A6" w:rsidRPr="00B93464" w:rsidRDefault="00C925A6" w:rsidP="008235C4">
      <w:pPr>
        <w:pStyle w:val="Heading3"/>
      </w:pPr>
      <w:r w:rsidRPr="00B93464">
        <w:t>Step 3:</w:t>
      </w:r>
    </w:p>
    <w:p w14:paraId="01F530E7" w14:textId="77777777" w:rsidR="00C925A6" w:rsidRPr="00B93464" w:rsidRDefault="00C925A6" w:rsidP="00B4046A">
      <w:pPr>
        <w:pStyle w:val="Heading4"/>
      </w:pPr>
      <w:r w:rsidRPr="00B93464">
        <w:t xml:space="preserve">Non-contingent positive attention </w:t>
      </w:r>
    </w:p>
    <w:p w14:paraId="695882EF" w14:textId="21A23E1D" w:rsidR="00037B70" w:rsidRPr="00B93464" w:rsidRDefault="00037B70" w:rsidP="008235C4">
      <w:pPr>
        <w:pStyle w:val="Heading3"/>
      </w:pPr>
      <w:r w:rsidRPr="00B93464">
        <w:t>Step 4:</w:t>
      </w:r>
    </w:p>
    <w:p w14:paraId="3661B6FB" w14:textId="77777777" w:rsidR="00C925A6" w:rsidRPr="00B93464" w:rsidRDefault="00C925A6" w:rsidP="00B4046A">
      <w:pPr>
        <w:pStyle w:val="Heading4"/>
      </w:pPr>
      <w:r w:rsidRPr="00B93464">
        <w:t xml:space="preserve">Preferred adult behaviours </w:t>
      </w:r>
    </w:p>
    <w:p w14:paraId="5DB58357" w14:textId="77777777" w:rsidR="00C925A6" w:rsidRDefault="00C925A6" w:rsidP="00182407">
      <w:pPr>
        <w:pStyle w:val="Bullet1last0"/>
      </w:pPr>
      <w:r>
        <w:t xml:space="preserve">Strengthen </w:t>
      </w:r>
      <w:r w:rsidRPr="00182407">
        <w:t>quality</w:t>
      </w:r>
      <w:r>
        <w:t xml:space="preserve"> teacher-student relationships by communicating privately, listening, using eye contact, pleasant voice tone, smiles and appropriate professional touch.</w:t>
      </w:r>
    </w:p>
    <w:p w14:paraId="177C8E61" w14:textId="6AA52975" w:rsidR="00C925A6" w:rsidRPr="00B93464" w:rsidRDefault="00C925A6" w:rsidP="008235C4">
      <w:pPr>
        <w:pStyle w:val="Heading3"/>
      </w:pPr>
      <w:r w:rsidRPr="00B93464">
        <w:lastRenderedPageBreak/>
        <w:t xml:space="preserve">Step </w:t>
      </w:r>
      <w:r w:rsidR="00037B70" w:rsidRPr="00B93464">
        <w:t>5</w:t>
      </w:r>
      <w:r w:rsidRPr="00B93464">
        <w:t>:</w:t>
      </w:r>
    </w:p>
    <w:p w14:paraId="206ED6B0" w14:textId="77777777" w:rsidR="00C925A6" w:rsidRPr="00B93464" w:rsidRDefault="00C925A6" w:rsidP="00B4046A">
      <w:pPr>
        <w:pStyle w:val="Heading4"/>
      </w:pPr>
      <w:r w:rsidRPr="00B93464">
        <w:t xml:space="preserve">Specific positive feedback </w:t>
      </w:r>
    </w:p>
    <w:p w14:paraId="572EE14C" w14:textId="77777777" w:rsidR="00C925A6" w:rsidRDefault="00C925A6" w:rsidP="00182407">
      <w:pPr>
        <w:pStyle w:val="Bullet1last0"/>
      </w:pPr>
      <w:r>
        <w:t xml:space="preserve">Provide </w:t>
      </w:r>
      <w:r w:rsidRPr="00182407">
        <w:t>contingent</w:t>
      </w:r>
      <w:r>
        <w:t xml:space="preserve"> attention through specific positive feedback when students demonstrate the expected behaviour.</w:t>
      </w:r>
    </w:p>
    <w:p w14:paraId="3C8605C3" w14:textId="3CFD45F9" w:rsidR="00C925A6" w:rsidRPr="00B93464" w:rsidRDefault="00C925A6" w:rsidP="008235C4">
      <w:pPr>
        <w:pStyle w:val="Heading3"/>
      </w:pPr>
      <w:r w:rsidRPr="00B93464">
        <w:t xml:space="preserve">Step </w:t>
      </w:r>
      <w:r w:rsidR="00037B70" w:rsidRPr="00B93464">
        <w:t>6</w:t>
      </w:r>
      <w:r w:rsidRPr="00B93464">
        <w:t>:</w:t>
      </w:r>
    </w:p>
    <w:p w14:paraId="7C97EBEB" w14:textId="77777777" w:rsidR="00C925A6" w:rsidRPr="00B93464" w:rsidRDefault="00C925A6" w:rsidP="00B4046A">
      <w:pPr>
        <w:pStyle w:val="Heading4"/>
      </w:pPr>
      <w:r w:rsidRPr="00B93464">
        <w:t xml:space="preserve">Consider implementing a classroom acknowledgment </w:t>
      </w:r>
      <w:proofErr w:type="gramStart"/>
      <w:r w:rsidRPr="00B93464">
        <w:t>system</w:t>
      </w:r>
      <w:proofErr w:type="gramEnd"/>
      <w:r w:rsidRPr="00B93464">
        <w:t xml:space="preserve"> </w:t>
      </w:r>
    </w:p>
    <w:p w14:paraId="6B428DA8" w14:textId="77777777" w:rsidR="00C925A6" w:rsidRDefault="00C925A6" w:rsidP="00182407">
      <w:pPr>
        <w:pStyle w:val="Bullet1last0"/>
      </w:pPr>
      <w:r>
        <w:t xml:space="preserve">Develop a class wide </w:t>
      </w:r>
      <w:r w:rsidRPr="00182407">
        <w:t>system</w:t>
      </w:r>
      <w:r>
        <w:t xml:space="preserve"> with a menu/continuum of reinforcers that includes social attention, </w:t>
      </w:r>
      <w:proofErr w:type="gramStart"/>
      <w:r>
        <w:t>activities</w:t>
      </w:r>
      <w:proofErr w:type="gramEnd"/>
      <w:r>
        <w:t xml:space="preserve"> and tangible items.</w:t>
      </w:r>
    </w:p>
    <w:p w14:paraId="73414676" w14:textId="6D98A794" w:rsidR="00C925A6" w:rsidRDefault="00C925A6" w:rsidP="008235C4">
      <w:pPr>
        <w:pStyle w:val="Heading2"/>
      </w:pPr>
      <w:r>
        <w:t>Examples</w:t>
      </w:r>
    </w:p>
    <w:p w14:paraId="2A391461" w14:textId="77777777" w:rsidR="00C925A6" w:rsidRPr="00B93464" w:rsidRDefault="00C925A6" w:rsidP="008235C4">
      <w:pPr>
        <w:pStyle w:val="Heading3"/>
      </w:pPr>
      <w:r w:rsidRPr="00B93464">
        <w:t xml:space="preserve">Examples of frequent, </w:t>
      </w:r>
      <w:proofErr w:type="gramStart"/>
      <w:r w:rsidRPr="00B93464">
        <w:t>intermittent</w:t>
      </w:r>
      <w:proofErr w:type="gramEnd"/>
      <w:r w:rsidRPr="00B93464">
        <w:t xml:space="preserve"> and occasional reinforcers:</w:t>
      </w:r>
    </w:p>
    <w:p w14:paraId="6ACF9C49" w14:textId="77777777" w:rsidR="00C925A6" w:rsidRPr="00B93464" w:rsidRDefault="00C925A6" w:rsidP="00B4046A">
      <w:pPr>
        <w:pStyle w:val="Heading4"/>
      </w:pPr>
      <w:r w:rsidRPr="00B93464">
        <w:t>Frequent</w:t>
      </w:r>
    </w:p>
    <w:p w14:paraId="39AB8E90" w14:textId="77777777" w:rsidR="00C925A6" w:rsidRPr="00037B70" w:rsidRDefault="00C925A6" w:rsidP="00037B70">
      <w:pPr>
        <w:pStyle w:val="Bullet1"/>
      </w:pPr>
      <w:r w:rsidRPr="00037B70">
        <w:t>Specific positive feedback</w:t>
      </w:r>
    </w:p>
    <w:p w14:paraId="0588EF7A" w14:textId="77777777" w:rsidR="00C925A6" w:rsidRPr="00037B70" w:rsidRDefault="00C925A6" w:rsidP="00037B70">
      <w:pPr>
        <w:pStyle w:val="Bullet1"/>
      </w:pPr>
      <w:r w:rsidRPr="00037B70">
        <w:t>Ticket/tangible item</w:t>
      </w:r>
    </w:p>
    <w:p w14:paraId="7157C188" w14:textId="77777777" w:rsidR="00C925A6" w:rsidRDefault="00C925A6" w:rsidP="00037B70">
      <w:pPr>
        <w:pStyle w:val="Bullet1last0"/>
      </w:pPr>
      <w:r w:rsidRPr="00037B70">
        <w:t>Positive</w:t>
      </w:r>
      <w:r>
        <w:t xml:space="preserve"> notes </w:t>
      </w:r>
      <w:r w:rsidRPr="00037B70">
        <w:t>home</w:t>
      </w:r>
      <w:r>
        <w:tab/>
      </w:r>
      <w:r>
        <w:tab/>
      </w:r>
    </w:p>
    <w:p w14:paraId="4EA870AC" w14:textId="77777777" w:rsidR="00C925A6" w:rsidRPr="00B93464" w:rsidRDefault="00C925A6" w:rsidP="00B4046A">
      <w:pPr>
        <w:pStyle w:val="Heading4"/>
      </w:pPr>
      <w:r w:rsidRPr="00B93464">
        <w:t>Intermittent</w:t>
      </w:r>
    </w:p>
    <w:p w14:paraId="2EF7507A" w14:textId="0D30FA43" w:rsidR="00C925A6" w:rsidRPr="00037B70" w:rsidRDefault="00C925A6" w:rsidP="00037B70">
      <w:pPr>
        <w:pStyle w:val="Bullet1"/>
      </w:pPr>
      <w:r w:rsidRPr="00037B70">
        <w:t>Positive phone calls home</w:t>
      </w:r>
    </w:p>
    <w:p w14:paraId="60D71190" w14:textId="77777777" w:rsidR="00C925A6" w:rsidRPr="00037B70" w:rsidRDefault="00C925A6" w:rsidP="00037B70">
      <w:pPr>
        <w:pStyle w:val="Bullet1"/>
      </w:pPr>
      <w:r w:rsidRPr="00037B70">
        <w:t>Post cards home</w:t>
      </w:r>
    </w:p>
    <w:p w14:paraId="35C9B8D3" w14:textId="77777777" w:rsidR="00C925A6" w:rsidRPr="00037B70" w:rsidRDefault="00C925A6" w:rsidP="00037B70">
      <w:pPr>
        <w:pStyle w:val="Bullet1"/>
      </w:pPr>
      <w:r w:rsidRPr="00037B70">
        <w:t>Special privileges</w:t>
      </w:r>
    </w:p>
    <w:p w14:paraId="16C445A1" w14:textId="77777777" w:rsidR="00C925A6" w:rsidRDefault="00C925A6" w:rsidP="00037B70">
      <w:pPr>
        <w:pStyle w:val="Bullet1last0"/>
      </w:pPr>
      <w:r w:rsidRPr="00037B70">
        <w:t>Extra time</w:t>
      </w:r>
      <w:r>
        <w:t xml:space="preserve"> </w:t>
      </w:r>
      <w:r w:rsidRPr="00037B70">
        <w:t>doing</w:t>
      </w:r>
      <w:r>
        <w:t xml:space="preserve"> a preferred activity.</w:t>
      </w:r>
    </w:p>
    <w:p w14:paraId="02AFF634" w14:textId="77777777" w:rsidR="00C925A6" w:rsidRPr="00B93464" w:rsidRDefault="00C925A6" w:rsidP="00B4046A">
      <w:pPr>
        <w:pStyle w:val="Heading4"/>
      </w:pPr>
      <w:r w:rsidRPr="00B93464">
        <w:t>Occasional</w:t>
      </w:r>
    </w:p>
    <w:p w14:paraId="3384CBA9" w14:textId="3B80638C" w:rsidR="00C925A6" w:rsidRPr="00037B70" w:rsidRDefault="00C925A6" w:rsidP="00037B70">
      <w:pPr>
        <w:pStyle w:val="Bullet1"/>
      </w:pPr>
      <w:r w:rsidRPr="00037B70">
        <w:t>Special projects</w:t>
      </w:r>
    </w:p>
    <w:p w14:paraId="0885D0AA" w14:textId="4777C9FA" w:rsidR="00C925A6" w:rsidRDefault="00C925A6" w:rsidP="00037B70">
      <w:pPr>
        <w:pStyle w:val="Bullet1"/>
      </w:pPr>
      <w:r w:rsidRPr="00037B70">
        <w:t>Re</w:t>
      </w:r>
      <w:r>
        <w:t>cognition from the principal</w:t>
      </w:r>
    </w:p>
    <w:p w14:paraId="10A2D211" w14:textId="77777777" w:rsidR="00C925A6" w:rsidRDefault="00C925A6" w:rsidP="00037B70">
      <w:pPr>
        <w:pStyle w:val="Bullet1last0"/>
      </w:pPr>
      <w:r>
        <w:t xml:space="preserve">Student of </w:t>
      </w:r>
      <w:r w:rsidRPr="00037B70">
        <w:t>the</w:t>
      </w:r>
      <w:r>
        <w:t xml:space="preserve"> week.</w:t>
      </w:r>
    </w:p>
    <w:p w14:paraId="51619484" w14:textId="77777777" w:rsidR="00C925A6" w:rsidRDefault="00C925A6" w:rsidP="008235C4">
      <w:pPr>
        <w:pStyle w:val="Heading2"/>
      </w:pPr>
      <w:r>
        <w:t xml:space="preserve">Attention </w:t>
      </w:r>
      <w:proofErr w:type="gramStart"/>
      <w:r>
        <w:t>types</w:t>
      </w:r>
      <w:proofErr w:type="gramEnd"/>
    </w:p>
    <w:p w14:paraId="278B6A97" w14:textId="77777777" w:rsidR="00C925A6" w:rsidRDefault="00C925A6" w:rsidP="00C925A6">
      <w:pPr>
        <w:pStyle w:val="NoParagraphStyle"/>
        <w:suppressAutoHyphens/>
        <w:spacing w:before="57" w:after="113"/>
        <w:rPr>
          <w:b/>
          <w:bCs/>
          <w:color w:val="333740"/>
          <w:sz w:val="22"/>
          <w:szCs w:val="22"/>
          <w:lang w:val="en-GB"/>
        </w:rPr>
      </w:pPr>
      <w:r>
        <w:rPr>
          <w:b/>
          <w:bCs/>
          <w:color w:val="333740"/>
          <w:sz w:val="22"/>
          <w:szCs w:val="22"/>
          <w:lang w:val="en-GB"/>
        </w:rPr>
        <w:t xml:space="preserve">There are two types of adult </w:t>
      </w:r>
      <w:proofErr w:type="gramStart"/>
      <w:r>
        <w:rPr>
          <w:b/>
          <w:bCs/>
          <w:color w:val="333740"/>
          <w:sz w:val="22"/>
          <w:szCs w:val="22"/>
          <w:lang w:val="en-GB"/>
        </w:rPr>
        <w:t>attention</w:t>
      </w:r>
      <w:proofErr w:type="gramEnd"/>
      <w:r>
        <w:rPr>
          <w:b/>
          <w:bCs/>
          <w:color w:val="333740"/>
          <w:sz w:val="22"/>
          <w:szCs w:val="22"/>
          <w:lang w:val="en-GB"/>
        </w:rPr>
        <w:t> </w:t>
      </w:r>
    </w:p>
    <w:p w14:paraId="2A84E625" w14:textId="77777777" w:rsidR="00C925A6" w:rsidRDefault="00C925A6" w:rsidP="00037B70">
      <w:pPr>
        <w:pStyle w:val="Bullet1"/>
      </w:pPr>
      <w:r>
        <w:rPr>
          <w:rStyle w:val="Bold"/>
          <w:lang w:val="en-GB"/>
        </w:rPr>
        <w:t>Non-contingent attention</w:t>
      </w:r>
      <w:r>
        <w:t xml:space="preserve"> </w:t>
      </w:r>
      <w:r>
        <w:rPr>
          <w:rStyle w:val="Bold"/>
          <w:lang w:val="en-GB"/>
        </w:rPr>
        <w:t>–</w:t>
      </w:r>
      <w:r>
        <w:t xml:space="preserve"> provided regardless of </w:t>
      </w:r>
      <w:r w:rsidRPr="00037B70">
        <w:t>performance</w:t>
      </w:r>
      <w:r>
        <w:t xml:space="preserve"> and includes greetings, proximity, smiles, and conversations. </w:t>
      </w:r>
    </w:p>
    <w:p w14:paraId="40D1DD8B" w14:textId="4D0BBBB5" w:rsidR="00C925A6" w:rsidRPr="00A45449" w:rsidRDefault="00C925A6" w:rsidP="00037B70">
      <w:pPr>
        <w:pStyle w:val="Bullet1"/>
      </w:pPr>
      <w:r>
        <w:rPr>
          <w:rStyle w:val="Bold"/>
          <w:lang w:val="en-GB"/>
        </w:rPr>
        <w:t>Contingent attention</w:t>
      </w:r>
      <w:r>
        <w:t xml:space="preserve"> </w:t>
      </w:r>
      <w:r>
        <w:rPr>
          <w:rStyle w:val="Bold"/>
          <w:lang w:val="en-GB"/>
        </w:rPr>
        <w:t>–</w:t>
      </w:r>
      <w:r>
        <w:t xml:space="preserve"> provided based on student performance of an identified expectation or behaviour. The most common example of this is providing specific positive feedback.</w:t>
      </w:r>
    </w:p>
    <w:p w14:paraId="4E2CEE0B" w14:textId="77777777" w:rsidR="00C925A6" w:rsidRDefault="00C925A6" w:rsidP="008235C4">
      <w:pPr>
        <w:pStyle w:val="Heading2"/>
      </w:pPr>
      <w:r>
        <w:t>Trauma lens</w:t>
      </w:r>
    </w:p>
    <w:p w14:paraId="2CB4FFF4" w14:textId="77777777" w:rsidR="00C925A6" w:rsidRDefault="00C925A6" w:rsidP="00037B70">
      <w:pPr>
        <w:pStyle w:val="Bullet1"/>
      </w:pPr>
      <w:r>
        <w:t xml:space="preserve">Students </w:t>
      </w:r>
      <w:r w:rsidRPr="00037B70">
        <w:t>who</w:t>
      </w:r>
      <w:r>
        <w:t xml:space="preserve"> have experienced trauma may need a higher ratio (9:1) of positive to corrective feedback. </w:t>
      </w:r>
      <w:r>
        <w:rPr>
          <w:rStyle w:val="Citation"/>
        </w:rPr>
        <w:t>(Caldarella et al., 2023)</w:t>
      </w:r>
    </w:p>
    <w:p w14:paraId="49346723" w14:textId="562CF362" w:rsidR="00C925A6" w:rsidRPr="00A45449" w:rsidRDefault="00C925A6" w:rsidP="00037B70">
      <w:pPr>
        <w:pStyle w:val="Bullet1"/>
      </w:pPr>
      <w:r>
        <w:t xml:space="preserve">This can help </w:t>
      </w:r>
      <w:r w:rsidRPr="00037B70">
        <w:t>counterbalance</w:t>
      </w:r>
      <w:r>
        <w:t xml:space="preserve"> the negative interactions and experiences students may have had.</w:t>
      </w:r>
    </w:p>
    <w:p w14:paraId="7A658426" w14:textId="77777777" w:rsidR="00C925A6" w:rsidRDefault="00C925A6" w:rsidP="00C925A6">
      <w:pPr>
        <w:pStyle w:val="Bodycopy"/>
        <w:rPr>
          <w:spacing w:val="4"/>
          <w:position w:val="4"/>
        </w:rPr>
      </w:pPr>
    </w:p>
    <w:p w14:paraId="238BAF3A" w14:textId="77777777" w:rsidR="00C925A6" w:rsidRDefault="00C925A6" w:rsidP="00C925A6">
      <w:pPr>
        <w:pStyle w:val="Bodycopy"/>
        <w:rPr>
          <w:spacing w:val="4"/>
          <w:position w:val="4"/>
        </w:rPr>
      </w:pPr>
    </w:p>
    <w:p w14:paraId="40CDFCA4" w14:textId="77777777" w:rsidR="00C925A6" w:rsidRDefault="00C925A6" w:rsidP="00C925A6">
      <w:pPr>
        <w:pStyle w:val="Bodycopy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Footnotes:</w:t>
      </w:r>
    </w:p>
    <w:p w14:paraId="3961FEBD" w14:textId="77777777" w:rsidR="00C925A6" w:rsidRDefault="00C925A6" w:rsidP="00C925A6">
      <w:pPr>
        <w:pStyle w:val="Footnote"/>
      </w:pPr>
      <w:r>
        <w:t>Caldarella, P., Larsen, R. A., Williams, L., &amp; Wills, H. P. (2023). Effects of middle school teachers’ praise-to-reprimand ratios on students’ classroom behavior. </w:t>
      </w:r>
      <w:r>
        <w:rPr>
          <w:rStyle w:val="ItalicNarrow"/>
        </w:rPr>
        <w:t>Journal of Positive Behavior Interventions,</w:t>
      </w:r>
      <w:r>
        <w:t> 25(1), 28-40.</w:t>
      </w:r>
    </w:p>
    <w:p w14:paraId="7F76665B" w14:textId="77777777" w:rsidR="00C925A6" w:rsidRDefault="00C925A6" w:rsidP="00C925A6">
      <w:pPr>
        <w:pStyle w:val="Footnote"/>
        <w:jc w:val="both"/>
      </w:pPr>
      <w:r>
        <w:rPr>
          <w:spacing w:val="-2"/>
        </w:rPr>
        <w:t xml:space="preserve">Moore, T. C., </w:t>
      </w:r>
      <w:proofErr w:type="spellStart"/>
      <w:r>
        <w:rPr>
          <w:spacing w:val="-2"/>
        </w:rPr>
        <w:t>Maggin</w:t>
      </w:r>
      <w:proofErr w:type="spellEnd"/>
      <w:r>
        <w:rPr>
          <w:spacing w:val="-2"/>
        </w:rPr>
        <w:t xml:space="preserve">, D. M., Thompson, K. M., Gordon, J. R., Daniels, S., &amp; Lang, L. E. (2019). Evidence </w:t>
      </w:r>
      <w:proofErr w:type="gramStart"/>
      <w:r>
        <w:rPr>
          <w:spacing w:val="-2"/>
        </w:rPr>
        <w:t>review</w:t>
      </w:r>
      <w:proofErr w:type="gramEnd"/>
      <w:r>
        <w:rPr>
          <w:spacing w:val="-2"/>
        </w:rPr>
        <w:t xml:space="preserve"> for teacher praise to improve students’ classroom behavior. </w:t>
      </w:r>
      <w:r>
        <w:rPr>
          <w:rStyle w:val="ItalicNarrow"/>
          <w:spacing w:val="-2"/>
        </w:rPr>
        <w:t>Journal of Positive Behavior Interventions</w:t>
      </w:r>
      <w:r>
        <w:rPr>
          <w:spacing w:val="-2"/>
        </w:rPr>
        <w:t>, 21(1), 3-18.</w:t>
      </w:r>
    </w:p>
    <w:p w14:paraId="7C41BF1F" w14:textId="77777777" w:rsidR="00C925A6" w:rsidRDefault="00C925A6" w:rsidP="00C925A6">
      <w:pPr>
        <w:pStyle w:val="Footnote"/>
      </w:pPr>
      <w:r>
        <w:t xml:space="preserve">Scott, Terrance M.; </w:t>
      </w:r>
      <w:proofErr w:type="spellStart"/>
      <w:r>
        <w:t>Hirn</w:t>
      </w:r>
      <w:proofErr w:type="spellEnd"/>
      <w:r>
        <w:t>, Regina; Cooper, Justin, 2017. Teacher and Student Behaviors (p. 80). Rowman &amp; Littlefield Publishers.</w:t>
      </w:r>
    </w:p>
    <w:p w14:paraId="04D6C192" w14:textId="77777777" w:rsidR="00961ED1" w:rsidRDefault="00961ED1" w:rsidP="00C925A6">
      <w:pPr>
        <w:pStyle w:val="Quote"/>
      </w:pPr>
    </w:p>
    <w:p w14:paraId="014DF117" w14:textId="1461BE85" w:rsidR="00C925A6" w:rsidRDefault="00C925A6" w:rsidP="00C925A6">
      <w:pPr>
        <w:pStyle w:val="Quote"/>
        <w:rPr>
          <w:color w:val="E5A911"/>
        </w:rPr>
      </w:pPr>
      <w:r>
        <w:t>“The purpose of providing students with positive feedback after behaviour is to make it more likely that they’ll do it again.”</w:t>
      </w:r>
    </w:p>
    <w:p w14:paraId="3950F060" w14:textId="0B72BE42" w:rsidR="00122369" w:rsidRPr="00776885" w:rsidRDefault="00C925A6" w:rsidP="001C57CA">
      <w:pPr>
        <w:pStyle w:val="Quoteauthor"/>
      </w:pPr>
      <w:r>
        <w:rPr>
          <w:rStyle w:val="Citation"/>
          <w:caps/>
        </w:rPr>
        <w:t>Scott, Hirn &amp; Cooper, 2017</w:t>
      </w:r>
    </w:p>
    <w:sectPr w:rsidR="00122369" w:rsidRPr="00776885" w:rsidSect="0098759C">
      <w:headerReference w:type="default" r:id="rId11"/>
      <w:footerReference w:type="even" r:id="rId12"/>
      <w:footerReference w:type="default" r:id="rId13"/>
      <w:pgSz w:w="11900" w:h="16840"/>
      <w:pgMar w:top="2575" w:right="1134" w:bottom="1142" w:left="1134" w:header="283" w:footer="50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7845" w14:textId="77777777" w:rsidR="00025EC2" w:rsidRDefault="00025EC2" w:rsidP="003967DD">
      <w:pPr>
        <w:spacing w:after="0"/>
      </w:pPr>
      <w:r>
        <w:separator/>
      </w:r>
    </w:p>
  </w:endnote>
  <w:endnote w:type="continuationSeparator" w:id="0">
    <w:p w14:paraId="48759805" w14:textId="77777777" w:rsidR="00025EC2" w:rsidRDefault="00025EC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7116" w14:textId="77777777" w:rsidR="00025EC2" w:rsidRDefault="00025EC2" w:rsidP="003967DD">
      <w:pPr>
        <w:spacing w:after="0"/>
      </w:pPr>
      <w:r>
        <w:separator/>
      </w:r>
    </w:p>
  </w:footnote>
  <w:footnote w:type="continuationSeparator" w:id="0">
    <w:p w14:paraId="321EE8F4" w14:textId="77777777" w:rsidR="00025EC2" w:rsidRDefault="00025EC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E38D239" w:rsidR="003967DD" w:rsidRDefault="00776885">
    <w:pPr>
      <w:pStyle w:val="Header"/>
    </w:pPr>
    <w:r w:rsidRPr="00776885">
      <w:rPr>
        <w:noProof/>
      </w:rPr>
      <w:drawing>
        <wp:anchor distT="0" distB="0" distL="114300" distR="114300" simplePos="0" relativeHeight="251658240" behindDoc="1" locked="0" layoutInCell="1" allowOverlap="1" wp14:anchorId="04E587BD" wp14:editId="18021794">
          <wp:simplePos x="0" y="0"/>
          <wp:positionH relativeFrom="column">
            <wp:posOffset>-720091</wp:posOffset>
          </wp:positionH>
          <wp:positionV relativeFrom="paragraph">
            <wp:posOffset>-179706</wp:posOffset>
          </wp:positionV>
          <wp:extent cx="7570800" cy="1094400"/>
          <wp:effectExtent l="0" t="0" r="0" b="0"/>
          <wp:wrapNone/>
          <wp:docPr id="2014318988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318988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09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0D0092"/>
    <w:multiLevelType w:val="multilevel"/>
    <w:tmpl w:val="7D22E71E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10C71C8"/>
    <w:lvl w:ilvl="0" w:tplc="759C40D8">
      <w:start w:val="1"/>
      <w:numFmt w:val="decimal"/>
      <w:pStyle w:val="Numberlis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FB1C11C4"/>
    <w:lvl w:ilvl="0" w:tplc="581EDEC8">
      <w:start w:val="1"/>
      <w:numFmt w:val="bullet"/>
      <w:pStyle w:val="Bullet2"/>
      <w:lvlText w:val="­"/>
      <w:lvlJc w:val="left"/>
      <w:pPr>
        <w:ind w:left="587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D5982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B34C189C"/>
    <w:lvl w:ilvl="0" w:tplc="6528463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8882">
    <w:abstractNumId w:val="0"/>
  </w:num>
  <w:num w:numId="2" w16cid:durableId="504709248">
    <w:abstractNumId w:val="1"/>
  </w:num>
  <w:num w:numId="3" w16cid:durableId="343440403">
    <w:abstractNumId w:val="2"/>
  </w:num>
  <w:num w:numId="4" w16cid:durableId="585696792">
    <w:abstractNumId w:val="3"/>
  </w:num>
  <w:num w:numId="5" w16cid:durableId="650792367">
    <w:abstractNumId w:val="4"/>
  </w:num>
  <w:num w:numId="6" w16cid:durableId="558590963">
    <w:abstractNumId w:val="9"/>
  </w:num>
  <w:num w:numId="7" w16cid:durableId="840706194">
    <w:abstractNumId w:val="5"/>
  </w:num>
  <w:num w:numId="8" w16cid:durableId="1000232430">
    <w:abstractNumId w:val="6"/>
  </w:num>
  <w:num w:numId="9" w16cid:durableId="1830556844">
    <w:abstractNumId w:val="7"/>
  </w:num>
  <w:num w:numId="10" w16cid:durableId="845824011">
    <w:abstractNumId w:val="8"/>
  </w:num>
  <w:num w:numId="11" w16cid:durableId="217400481">
    <w:abstractNumId w:val="10"/>
  </w:num>
  <w:num w:numId="12" w16cid:durableId="1793596891">
    <w:abstractNumId w:val="14"/>
  </w:num>
  <w:num w:numId="13" w16cid:durableId="1077093040">
    <w:abstractNumId w:val="17"/>
  </w:num>
  <w:num w:numId="14" w16cid:durableId="548568946">
    <w:abstractNumId w:val="18"/>
  </w:num>
  <w:num w:numId="15" w16cid:durableId="1307275789">
    <w:abstractNumId w:val="12"/>
  </w:num>
  <w:num w:numId="16" w16cid:durableId="1422794765">
    <w:abstractNumId w:val="16"/>
  </w:num>
  <w:num w:numId="17" w16cid:durableId="2083717576">
    <w:abstractNumId w:val="13"/>
  </w:num>
  <w:num w:numId="18" w16cid:durableId="150604695">
    <w:abstractNumId w:val="15"/>
  </w:num>
  <w:num w:numId="19" w16cid:durableId="2090272491">
    <w:abstractNumId w:val="13"/>
    <w:lvlOverride w:ilvl="0">
      <w:startOverride w:val="1"/>
    </w:lvlOverride>
  </w:num>
  <w:num w:numId="20" w16cid:durableId="114224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25EC2"/>
    <w:rsid w:val="00037B70"/>
    <w:rsid w:val="00080DA9"/>
    <w:rsid w:val="000861DD"/>
    <w:rsid w:val="000A47D4"/>
    <w:rsid w:val="000C600E"/>
    <w:rsid w:val="00122369"/>
    <w:rsid w:val="00150E0F"/>
    <w:rsid w:val="00157212"/>
    <w:rsid w:val="0016287D"/>
    <w:rsid w:val="00182407"/>
    <w:rsid w:val="00196A08"/>
    <w:rsid w:val="001C24E2"/>
    <w:rsid w:val="001C57CA"/>
    <w:rsid w:val="001D0D94"/>
    <w:rsid w:val="001D13F9"/>
    <w:rsid w:val="001D6F2C"/>
    <w:rsid w:val="001E1816"/>
    <w:rsid w:val="001F39DD"/>
    <w:rsid w:val="002512BE"/>
    <w:rsid w:val="00274F57"/>
    <w:rsid w:val="00275FB8"/>
    <w:rsid w:val="002A4A96"/>
    <w:rsid w:val="002E3BED"/>
    <w:rsid w:val="002F41D7"/>
    <w:rsid w:val="002F6115"/>
    <w:rsid w:val="00312720"/>
    <w:rsid w:val="00343AFC"/>
    <w:rsid w:val="0034745C"/>
    <w:rsid w:val="003967DD"/>
    <w:rsid w:val="003A4C39"/>
    <w:rsid w:val="003E3A74"/>
    <w:rsid w:val="0042333B"/>
    <w:rsid w:val="00443E58"/>
    <w:rsid w:val="00450868"/>
    <w:rsid w:val="004A2E74"/>
    <w:rsid w:val="004B2ED6"/>
    <w:rsid w:val="00500ADA"/>
    <w:rsid w:val="00512BBA"/>
    <w:rsid w:val="00555277"/>
    <w:rsid w:val="00567CF0"/>
    <w:rsid w:val="00584366"/>
    <w:rsid w:val="005A4F12"/>
    <w:rsid w:val="005E0713"/>
    <w:rsid w:val="00624862"/>
    <w:rsid w:val="00624A55"/>
    <w:rsid w:val="006523D7"/>
    <w:rsid w:val="006671CE"/>
    <w:rsid w:val="006A1F8A"/>
    <w:rsid w:val="006A25AC"/>
    <w:rsid w:val="006C45C0"/>
    <w:rsid w:val="006D1D8A"/>
    <w:rsid w:val="006E2B9A"/>
    <w:rsid w:val="00710CED"/>
    <w:rsid w:val="00735566"/>
    <w:rsid w:val="00767573"/>
    <w:rsid w:val="00774B62"/>
    <w:rsid w:val="00776885"/>
    <w:rsid w:val="00792CA3"/>
    <w:rsid w:val="007B556E"/>
    <w:rsid w:val="007D3E38"/>
    <w:rsid w:val="007D40FC"/>
    <w:rsid w:val="007E71DF"/>
    <w:rsid w:val="008065DA"/>
    <w:rsid w:val="008235C4"/>
    <w:rsid w:val="00890680"/>
    <w:rsid w:val="00892E24"/>
    <w:rsid w:val="00897AAC"/>
    <w:rsid w:val="008B1737"/>
    <w:rsid w:val="008F3D35"/>
    <w:rsid w:val="00934E38"/>
    <w:rsid w:val="00952690"/>
    <w:rsid w:val="00954B9A"/>
    <w:rsid w:val="00961ED1"/>
    <w:rsid w:val="0098759C"/>
    <w:rsid w:val="0099358C"/>
    <w:rsid w:val="009F6A77"/>
    <w:rsid w:val="00A31926"/>
    <w:rsid w:val="00A45449"/>
    <w:rsid w:val="00A516BA"/>
    <w:rsid w:val="00A710DF"/>
    <w:rsid w:val="00AA317E"/>
    <w:rsid w:val="00AC2FB3"/>
    <w:rsid w:val="00B21562"/>
    <w:rsid w:val="00B4046A"/>
    <w:rsid w:val="00B47FF8"/>
    <w:rsid w:val="00B53D91"/>
    <w:rsid w:val="00B707D9"/>
    <w:rsid w:val="00B775D4"/>
    <w:rsid w:val="00B87422"/>
    <w:rsid w:val="00B93464"/>
    <w:rsid w:val="00BF2F22"/>
    <w:rsid w:val="00C245CF"/>
    <w:rsid w:val="00C539BB"/>
    <w:rsid w:val="00C925A6"/>
    <w:rsid w:val="00CB4F62"/>
    <w:rsid w:val="00CC5AA8"/>
    <w:rsid w:val="00CD5993"/>
    <w:rsid w:val="00CE7916"/>
    <w:rsid w:val="00D17E55"/>
    <w:rsid w:val="00D63ABA"/>
    <w:rsid w:val="00D9777A"/>
    <w:rsid w:val="00DC48EE"/>
    <w:rsid w:val="00DC4D0D"/>
    <w:rsid w:val="00E34263"/>
    <w:rsid w:val="00E34721"/>
    <w:rsid w:val="00E4317E"/>
    <w:rsid w:val="00E47519"/>
    <w:rsid w:val="00E5030B"/>
    <w:rsid w:val="00E64758"/>
    <w:rsid w:val="00E77EB9"/>
    <w:rsid w:val="00E87E91"/>
    <w:rsid w:val="00EE5179"/>
    <w:rsid w:val="00F20CEC"/>
    <w:rsid w:val="00F5271F"/>
    <w:rsid w:val="00F55417"/>
    <w:rsid w:val="00F9471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H1"/>
    <w:next w:val="Normal"/>
    <w:link w:val="Heading1Char"/>
    <w:uiPriority w:val="9"/>
    <w:qFormat/>
    <w:rsid w:val="001E1816"/>
    <w:pPr>
      <w:framePr w:wrap="around"/>
      <w:outlineLvl w:val="0"/>
    </w:pPr>
    <w:rPr>
      <w:color w:val="004C97" w:themeColor="accent5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98759C"/>
    <w:pPr>
      <w:keepNext/>
      <w:keepLines/>
      <w:spacing w:line="440" w:lineRule="atLeast"/>
      <w:outlineLvl w:val="1"/>
    </w:pPr>
    <w:rPr>
      <w:bCs w:val="0"/>
    </w:rPr>
  </w:style>
  <w:style w:type="paragraph" w:styleId="Heading3">
    <w:name w:val="heading 3"/>
    <w:basedOn w:val="H3"/>
    <w:next w:val="Normal"/>
    <w:link w:val="Heading3Char"/>
    <w:uiPriority w:val="9"/>
    <w:unhideWhenUsed/>
    <w:qFormat/>
    <w:rsid w:val="001D6F2C"/>
    <w:pPr>
      <w:keepNext/>
      <w:outlineLvl w:val="2"/>
    </w:pPr>
    <w:rPr>
      <w:sz w:val="28"/>
      <w:szCs w:val="28"/>
    </w:rPr>
  </w:style>
  <w:style w:type="paragraph" w:styleId="Heading4">
    <w:name w:val="heading 4"/>
    <w:basedOn w:val="H4"/>
    <w:next w:val="Normal"/>
    <w:link w:val="Heading4Char"/>
    <w:uiPriority w:val="9"/>
    <w:unhideWhenUsed/>
    <w:qFormat/>
    <w:rsid w:val="001D6F2C"/>
    <w:pPr>
      <w:keepNext/>
      <w:keepLines/>
      <w:outlineLvl w:val="3"/>
    </w:pPr>
    <w:rPr>
      <w:bCs w:val="0"/>
      <w:color w:val="004C97" w:themeColor="accent5"/>
      <w:sz w:val="24"/>
      <w:szCs w:val="24"/>
    </w:rPr>
  </w:style>
  <w:style w:type="paragraph" w:styleId="Heading5">
    <w:name w:val="heading 5"/>
    <w:basedOn w:val="H5"/>
    <w:next w:val="Normal"/>
    <w:link w:val="Heading5Char"/>
    <w:uiPriority w:val="9"/>
    <w:unhideWhenUsed/>
    <w:qFormat/>
    <w:rsid w:val="001D6F2C"/>
    <w:pPr>
      <w:spacing w:before="40" w:after="40"/>
      <w:outlineLvl w:val="4"/>
    </w:pPr>
    <w:rPr>
      <w:color w:val="000000" w:themeColor="text1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3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280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1E1816"/>
    <w:rPr>
      <w:rFonts w:ascii="Arial" w:eastAsiaTheme="minorEastAsia" w:hAnsi="Arial" w:cs="Arial"/>
      <w:b/>
      <w:bCs/>
      <w:color w:val="004C97" w:themeColor="accent5"/>
      <w:spacing w:val="6"/>
      <w:position w:val="2"/>
      <w:sz w:val="60"/>
      <w:szCs w:val="60"/>
      <w:lang w:eastAsia="en-GB"/>
      <w14:ligatures w14:val="standardContextual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8759C"/>
    <w:rPr>
      <w:rFonts w:ascii="Arial" w:eastAsiaTheme="minorEastAsia" w:hAnsi="Arial" w:cs="Arial"/>
      <w:b/>
      <w:color w:val="0090DA" w:themeColor="accent4"/>
      <w:spacing w:val="6"/>
      <w:sz w:val="34"/>
      <w:szCs w:val="32"/>
      <w:lang w:eastAsia="en-GB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1D6F2C"/>
    <w:rPr>
      <w:rFonts w:ascii="Arial" w:eastAsiaTheme="minorEastAsia" w:hAnsi="Arial" w:cs="Arial"/>
      <w:b/>
      <w:bCs/>
      <w:color w:val="004C97" w:themeColor="accent5"/>
      <w:sz w:val="28"/>
      <w:szCs w:val="28"/>
      <w:lang w:val="en-US" w:eastAsia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99"/>
    <w:qFormat/>
    <w:rsid w:val="00B4046A"/>
    <w:pPr>
      <w:spacing w:before="360" w:line="320" w:lineRule="atLeast"/>
    </w:pPr>
    <w:rPr>
      <w:i/>
      <w:iCs/>
      <w:color w:val="004C97" w:themeColor="accent5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B4046A"/>
    <w:rPr>
      <w:i/>
      <w:iCs/>
      <w:color w:val="004C97" w:themeColor="accent5"/>
    </w:rPr>
  </w:style>
  <w:style w:type="paragraph" w:customStyle="1" w:styleId="Bullet1">
    <w:name w:val="Bullet 1"/>
    <w:basedOn w:val="Normal"/>
    <w:next w:val="Normal"/>
    <w:uiPriority w:val="99"/>
    <w:qFormat/>
    <w:rsid w:val="00274F57"/>
    <w:pPr>
      <w:keepLines/>
      <w:numPr>
        <w:numId w:val="14"/>
      </w:numPr>
      <w:spacing w:after="0" w:line="260" w:lineRule="atLeast"/>
      <w:ind w:left="227" w:hanging="227"/>
    </w:pPr>
    <w:rPr>
      <w:sz w:val="20"/>
      <w:szCs w:val="20"/>
      <w:lang w:val="en-AU"/>
    </w:rPr>
  </w:style>
  <w:style w:type="paragraph" w:customStyle="1" w:styleId="Bullet2">
    <w:name w:val="Bullet 2"/>
    <w:basedOn w:val="Bullet1"/>
    <w:qFormat/>
    <w:rsid w:val="00F55417"/>
    <w:pPr>
      <w:numPr>
        <w:numId w:val="12"/>
      </w:numPr>
      <w:ind w:left="454" w:hanging="227"/>
    </w:pPr>
  </w:style>
  <w:style w:type="paragraph" w:customStyle="1" w:styleId="Numberlist">
    <w:name w:val="Number list"/>
    <w:basedOn w:val="Normal"/>
    <w:next w:val="Normal"/>
    <w:uiPriority w:val="99"/>
    <w:qFormat/>
    <w:rsid w:val="00774B62"/>
    <w:pPr>
      <w:keepLines/>
      <w:numPr>
        <w:numId w:val="17"/>
      </w:numPr>
    </w:pPr>
    <w:rPr>
      <w:sz w:val="20"/>
      <w:szCs w:val="20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1D6F2C"/>
    <w:rPr>
      <w:rFonts w:ascii="Arial" w:eastAsiaTheme="minorEastAsia" w:hAnsi="Arial" w:cs="Arial"/>
      <w:b/>
      <w:color w:val="004C97" w:themeColor="accent5"/>
      <w:spacing w:val="4"/>
      <w:lang w:eastAsia="en-GB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paragraph" w:customStyle="1" w:styleId="NoParagraphStyle">
    <w:name w:val="[No Paragraph Style]"/>
    <w:rsid w:val="00C925A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paragraph" w:customStyle="1" w:styleId="H1">
    <w:name w:val="H1"/>
    <w:basedOn w:val="NoParagraphStyle"/>
    <w:uiPriority w:val="99"/>
    <w:rsid w:val="00450868"/>
    <w:pPr>
      <w:pageBreakBefore/>
      <w:framePr w:w="10206" w:wrap="around" w:vAnchor="text" w:hAnchor="text" w:y="1"/>
      <w:suppressAutoHyphens/>
      <w:spacing w:after="57" w:line="680" w:lineRule="atLeast"/>
    </w:pPr>
    <w:rPr>
      <w:b/>
      <w:bCs/>
      <w:color w:val="0062A4"/>
      <w:spacing w:val="6"/>
      <w:position w:val="2"/>
      <w:sz w:val="60"/>
      <w:szCs w:val="60"/>
      <w:lang w:val="en-GB"/>
    </w:rPr>
  </w:style>
  <w:style w:type="paragraph" w:customStyle="1" w:styleId="H2">
    <w:name w:val="H2"/>
    <w:basedOn w:val="NoParagraphStyle"/>
    <w:uiPriority w:val="99"/>
    <w:rsid w:val="00F55417"/>
    <w:pPr>
      <w:suppressAutoHyphens/>
      <w:spacing w:before="397" w:after="170" w:line="360" w:lineRule="atLeast"/>
    </w:pPr>
    <w:rPr>
      <w:b/>
      <w:bCs/>
      <w:color w:val="0090DA" w:themeColor="accent4"/>
      <w:spacing w:val="6"/>
      <w:sz w:val="34"/>
      <w:szCs w:val="32"/>
      <w:lang w:val="en-GB"/>
    </w:rPr>
  </w:style>
  <w:style w:type="paragraph" w:customStyle="1" w:styleId="Bullet1last">
    <w:name w:val="Bullet 1_last"/>
    <w:basedOn w:val="Bullet1"/>
    <w:uiPriority w:val="99"/>
    <w:rsid w:val="00C925A6"/>
    <w:pPr>
      <w:ind w:left="720" w:hanging="360"/>
    </w:pPr>
  </w:style>
  <w:style w:type="paragraph" w:customStyle="1" w:styleId="Bodycopy">
    <w:name w:val="Body copy"/>
    <w:basedOn w:val="NoParagraphStyle"/>
    <w:uiPriority w:val="99"/>
    <w:rsid w:val="00274F57"/>
    <w:pPr>
      <w:keepLines/>
      <w:widowControl/>
      <w:suppressAutoHyphens/>
      <w:spacing w:after="120" w:line="260" w:lineRule="atLeast"/>
    </w:pPr>
    <w:rPr>
      <w:sz w:val="20"/>
      <w:szCs w:val="20"/>
    </w:rPr>
  </w:style>
  <w:style w:type="paragraph" w:customStyle="1" w:styleId="H5">
    <w:name w:val="H5"/>
    <w:basedOn w:val="Normal"/>
    <w:uiPriority w:val="99"/>
    <w:rsid w:val="00F55417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rial" w:eastAsiaTheme="minorEastAsia" w:hAnsi="Arial" w:cs="Arial"/>
      <w:b/>
      <w:bCs/>
      <w:color w:val="004C97" w:themeColor="accent5"/>
      <w:sz w:val="20"/>
      <w:szCs w:val="20"/>
      <w:lang w:val="en-US" w:eastAsia="en-GB"/>
      <w14:ligatures w14:val="standardContextual"/>
    </w:rPr>
  </w:style>
  <w:style w:type="paragraph" w:customStyle="1" w:styleId="Quoteauthor">
    <w:name w:val="Quote author"/>
    <w:basedOn w:val="Bodycopy"/>
    <w:uiPriority w:val="99"/>
    <w:rsid w:val="008235C4"/>
    <w:pPr>
      <w:spacing w:before="227" w:line="200" w:lineRule="atLeast"/>
    </w:pPr>
    <w:rPr>
      <w:caps/>
      <w:sz w:val="15"/>
      <w:szCs w:val="15"/>
      <w:lang w:val="en-GB"/>
    </w:rPr>
  </w:style>
  <w:style w:type="paragraph" w:customStyle="1" w:styleId="H3">
    <w:name w:val="H3"/>
    <w:basedOn w:val="Bodycopy"/>
    <w:uiPriority w:val="99"/>
    <w:rsid w:val="00F55417"/>
    <w:pPr>
      <w:spacing w:before="160"/>
    </w:pPr>
    <w:rPr>
      <w:b/>
      <w:bCs/>
      <w:color w:val="004C97" w:themeColor="accent5"/>
      <w:sz w:val="24"/>
      <w:szCs w:val="24"/>
    </w:rPr>
  </w:style>
  <w:style w:type="paragraph" w:customStyle="1" w:styleId="H4">
    <w:name w:val="H4"/>
    <w:basedOn w:val="H2"/>
    <w:uiPriority w:val="99"/>
    <w:rsid w:val="00F55417"/>
    <w:pPr>
      <w:spacing w:before="120" w:after="57" w:line="260" w:lineRule="atLeast"/>
    </w:pPr>
    <w:rPr>
      <w:spacing w:val="4"/>
      <w:sz w:val="22"/>
      <w:szCs w:val="22"/>
    </w:rPr>
  </w:style>
  <w:style w:type="paragraph" w:customStyle="1" w:styleId="Footnoteheading">
    <w:name w:val="Footnote heading"/>
    <w:basedOn w:val="NoParagraphStyle"/>
    <w:uiPriority w:val="99"/>
    <w:rsid w:val="00624862"/>
    <w:pPr>
      <w:keepNext/>
      <w:keepLines/>
      <w:suppressAutoHyphens/>
      <w:spacing w:before="624" w:after="57"/>
    </w:pPr>
    <w:rPr>
      <w:b/>
      <w:bCs/>
      <w:sz w:val="16"/>
      <w:szCs w:val="16"/>
    </w:rPr>
  </w:style>
  <w:style w:type="paragraph" w:customStyle="1" w:styleId="Footnote">
    <w:name w:val="Footnote"/>
    <w:basedOn w:val="NoParagraphStyle"/>
    <w:uiPriority w:val="99"/>
    <w:rsid w:val="00196A08"/>
    <w:pPr>
      <w:keepNext/>
      <w:keepLines/>
      <w:widowControl/>
      <w:suppressAutoHyphens/>
      <w:spacing w:before="57" w:after="57"/>
    </w:pPr>
    <w:rPr>
      <w:rFonts w:ascii="Arial Narrow" w:hAnsi="Arial Narrow" w:cs="Arial Narrow"/>
      <w:sz w:val="16"/>
      <w:szCs w:val="16"/>
    </w:rPr>
  </w:style>
  <w:style w:type="paragraph" w:customStyle="1" w:styleId="Numberedlist2">
    <w:name w:val="Numbered list_2"/>
    <w:basedOn w:val="Bullet1"/>
    <w:uiPriority w:val="99"/>
    <w:rsid w:val="00C925A6"/>
    <w:pPr>
      <w:widowControl w:val="0"/>
      <w:numPr>
        <w:numId w:val="0"/>
      </w:numPr>
      <w:suppressAutoHyphens/>
      <w:autoSpaceDE w:val="0"/>
      <w:autoSpaceDN w:val="0"/>
      <w:adjustRightInd w:val="0"/>
      <w:spacing w:after="28"/>
      <w:ind w:left="397" w:hanging="227"/>
      <w:textAlignment w:val="center"/>
    </w:pPr>
    <w:rPr>
      <w:rFonts w:ascii="Arial" w:eastAsiaTheme="minorEastAsia" w:hAnsi="Arial" w:cs="Arial"/>
      <w:color w:val="000000"/>
      <w:lang w:val="en-US" w:eastAsia="en-GB"/>
      <w14:ligatures w14:val="standardContextual"/>
    </w:rPr>
  </w:style>
  <w:style w:type="character" w:customStyle="1" w:styleId="Bold">
    <w:name w:val="Bold"/>
    <w:uiPriority w:val="99"/>
    <w:rsid w:val="00C925A6"/>
    <w:rPr>
      <w:rFonts w:ascii="Arial" w:hAnsi="Arial" w:cs="Arial"/>
      <w:b/>
      <w:bCs/>
    </w:rPr>
  </w:style>
  <w:style w:type="character" w:customStyle="1" w:styleId="Citation">
    <w:name w:val="Citation"/>
    <w:uiPriority w:val="99"/>
    <w:rsid w:val="00897AAC"/>
    <w:rPr>
      <w:rFonts w:ascii="Arial" w:hAnsi="Arial" w:cs="Arial"/>
      <w:b w:val="0"/>
      <w:i w:val="0"/>
      <w:caps/>
      <w:color w:val="000000"/>
      <w:sz w:val="15"/>
      <w:szCs w:val="15"/>
      <w:lang w:val="en-GB"/>
    </w:rPr>
  </w:style>
  <w:style w:type="character" w:customStyle="1" w:styleId="Italic">
    <w:name w:val="Italic"/>
    <w:basedOn w:val="DefaultParagraphFont"/>
    <w:uiPriority w:val="99"/>
    <w:rsid w:val="00C925A6"/>
    <w:rPr>
      <w:rFonts w:ascii="VIC" w:hAnsi="VIC" w:cs="VIC"/>
      <w:i/>
      <w:iCs/>
      <w:color w:val="000000"/>
    </w:rPr>
  </w:style>
  <w:style w:type="character" w:customStyle="1" w:styleId="ItalicNarrow">
    <w:name w:val="Italic_Narrow"/>
    <w:basedOn w:val="Italic"/>
    <w:uiPriority w:val="99"/>
    <w:rsid w:val="00182407"/>
    <w:rPr>
      <w:rFonts w:ascii="Arial Narrow" w:hAnsi="Arial Narrow" w:cs="Arial Narrow"/>
      <w:i/>
      <w:iCs w:val="0"/>
      <w:color w:val="000000"/>
    </w:rPr>
  </w:style>
  <w:style w:type="paragraph" w:customStyle="1" w:styleId="Bullet1last0">
    <w:name w:val="Bullet 1 _last"/>
    <w:basedOn w:val="Bullet1"/>
    <w:qFormat/>
    <w:rsid w:val="0098759C"/>
    <w:pPr>
      <w:spacing w:after="180"/>
    </w:pPr>
  </w:style>
  <w:style w:type="numbering" w:customStyle="1" w:styleId="CurrentList1">
    <w:name w:val="Current List1"/>
    <w:uiPriority w:val="99"/>
    <w:rsid w:val="00F55417"/>
    <w:pPr>
      <w:numPr>
        <w:numId w:val="18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D6F2C"/>
    <w:rPr>
      <w:rFonts w:ascii="Arial" w:eastAsiaTheme="minorEastAsia" w:hAnsi="Arial" w:cs="Arial"/>
      <w:b/>
      <w:bCs/>
      <w:color w:val="000000" w:themeColor="text1"/>
      <w:sz w:val="20"/>
      <w:szCs w:val="22"/>
      <w:lang w:val="en-US" w:eastAsia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rsid w:val="00B93464"/>
    <w:rPr>
      <w:rFonts w:asciiTheme="majorHAnsi" w:eastAsiaTheme="majorEastAsia" w:hAnsiTheme="majorHAnsi" w:cstheme="majorBidi"/>
      <w:color w:val="702802" w:themeColor="accent1" w:themeShade="7F"/>
      <w:sz w:val="22"/>
    </w:rPr>
  </w:style>
  <w:style w:type="numbering" w:customStyle="1" w:styleId="CurrentList2">
    <w:name w:val="Current List2"/>
    <w:uiPriority w:val="99"/>
    <w:rsid w:val="00274F57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C924C28FC765A946B004C93A9DA5BB39" ma:contentTypeVersion="7" ma:contentTypeDescription="DET Document" ma:contentTypeScope="" ma:versionID="69965aab62fa369b273c13cce411f1c4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4b6cea99-7bab-42f1-a874-8527e8aaac2c" xmlns:ns5="http://schemas.microsoft.com/sharepoint/v4" targetNamespace="http://schemas.microsoft.com/office/2006/metadata/properties" ma:root="true" ma:fieldsID="eec9a58edf44a3bf5ef6af46a0650195" ns2:_="" ns3:_="" ns4:_="" ns5:_="">
    <xsd:import namespace="http://schemas.microsoft.com/Sharepoint/v3"/>
    <xsd:import namespace="61e538cb-f8c2-4c9c-ac78-9205d03c8849"/>
    <xsd:import namespace="4b6cea99-7bab-42f1-a874-8527e8aaac2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Year" minOccurs="0"/>
                <xsd:element ref="ns4:Statu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format="DateOnly" ma:internalName="DET_EDRMS_Date">
      <xsd:simpleType>
        <xsd:restriction base="dms:DateTime"/>
      </xsd:simpleType>
    </xsd:element>
    <xsd:element name="DET_EDRMS_Author" ma:index="9" nillable="true" ma:displayName="Author" ma:internalName="DET_EDRMS_Author">
      <xsd:simpleType>
        <xsd:restriction base="dms:Text">
          <xsd:maxLength value="255"/>
        </xsd:restriction>
      </xsd:simpleType>
    </xsd:element>
    <xsd:element name="DET_EDRMS_Category" ma:index="10" nillable="true" ma:displayName="Category" ma:internalName="DET_EDRMS_Category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false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scription="" ma:internalName="DET_EDRMS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cea99-7bab-42f1-a874-8527e8aaac2c" elementFormDefault="qualified">
    <xsd:import namespace="http://schemas.microsoft.com/office/2006/documentManagement/types"/>
    <xsd:import namespace="http://schemas.microsoft.com/office/infopath/2007/PartnerControls"/>
    <xsd:element name="Year" ma:index="20" nillable="true" ma:displayName="Year" ma:default="2022" ma:format="Dropdown" ma:internalName="Year">
      <xsd:simpleType>
        <xsd:restriction base="dms:Choice"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Status" ma:index="21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E8CF1B-7412-4D7F-9C81-12FC60339D42}"/>
</file>

<file path=customXml/itemProps5.xml><?xml version="1.0" encoding="utf-8"?>
<ds:datastoreItem xmlns:ds="http://schemas.openxmlformats.org/officeDocument/2006/customXml" ds:itemID="{3ABAF508-132A-476C-AD6B-AC63FF94F4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Katherine Alexander</cp:lastModifiedBy>
  <cp:revision>25</cp:revision>
  <dcterms:created xsi:type="dcterms:W3CDTF">2024-08-02T04:11:00Z</dcterms:created>
  <dcterms:modified xsi:type="dcterms:W3CDTF">2024-08-06T03:55:00Z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RCS">
    <vt:lpwstr/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{4b6cea99-7bab-42f1-a874-8527e8aaac2c}</vt:lpwstr>
  </property>
  <property fmtid="{D5CDD505-2E9C-101B-9397-08002B2CF9AE}" pid="8" name="RecordPoint_ActiveItemUniqueId">
    <vt:lpwstr>{0366c055-7083-461d-8aaf-adcab996ff5e}</vt:lpwstr>
  </property>
  <property fmtid="{D5CDD505-2E9C-101B-9397-08002B2CF9AE}" pid="9" name="RecordPoint_ActiveItemWebId">
    <vt:lpwstr>{728edaa4-6e7a-42a1-a69c-1a5139249f5d}</vt:lpwstr>
  </property>
  <property fmtid="{D5CDD505-2E9C-101B-9397-08002B2CF9AE}" pid="10" name="RecordPoint_ActiveItemSiteId">
    <vt:lpwstr>{bc37e16c-ec24-469d-99d8-5f0978b55b65}</vt:lpwstr>
  </property>
  <property fmtid="{D5CDD505-2E9C-101B-9397-08002B2CF9AE}" pid="11" name="RecordPoint_RecordNumberSubmitted">
    <vt:lpwstr>R20240909168</vt:lpwstr>
  </property>
  <property fmtid="{D5CDD505-2E9C-101B-9397-08002B2CF9AE}" pid="12" name="RecordPoint_SubmissionCompleted">
    <vt:lpwstr>2024-08-06T14:58:54.9426978+10:00</vt:lpwstr>
  </property>
  <property fmtid="{D5CDD505-2E9C-101B-9397-08002B2CF9AE}" pid="13" name="DEECD_Author">
    <vt:lpwstr>94;#Education|5232e41c-5101-41fe-b638-7d41d1371531</vt:lpwstr>
  </property>
  <property fmtid="{D5CDD505-2E9C-101B-9397-08002B2CF9AE}" pid="14" name="DEECD_ItemType">
    <vt:lpwstr>101;#Page|eb523acf-a821-456c-a76b-7607578309d7</vt:lpwstr>
  </property>
</Properties>
</file>