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5809" w14:textId="77777777" w:rsidR="00BF1D56" w:rsidRPr="00726FBC" w:rsidRDefault="00BF1D56" w:rsidP="00BF1D56">
      <w:pPr>
        <w:pStyle w:val="Heading2"/>
      </w:pPr>
      <w:r w:rsidRPr="00726FBC">
        <w:t>A</w:t>
      </w:r>
      <w:r>
        <w:t>ttachment</w:t>
      </w:r>
      <w:r w:rsidRPr="00726FBC">
        <w:t xml:space="preserve"> 1: P</w:t>
      </w:r>
      <w:r>
        <w:t>rocedures for infection prevention and control relating to blood-borne viruses and body fluids</w:t>
      </w:r>
    </w:p>
    <w:p w14:paraId="639541CF" w14:textId="77777777" w:rsidR="00BF1D56" w:rsidRPr="00726FBC" w:rsidRDefault="00BF1D56" w:rsidP="00BF1D56">
      <w:r w:rsidRPr="00726FBC">
        <w:t xml:space="preserve">The use of standard precaution practice </w:t>
      </w:r>
      <w:r w:rsidRPr="00E74F01">
        <w:t>(see</w:t>
      </w:r>
      <w:r>
        <w:t xml:space="preserve"> </w:t>
      </w:r>
      <w:r w:rsidRPr="002779AE">
        <w:rPr>
          <w:color w:val="005055" w:themeColor="accent1" w:themeShade="80"/>
          <w:u w:val="single"/>
        </w:rPr>
        <w:fldChar w:fldCharType="begin"/>
      </w:r>
      <w:r w:rsidRPr="002779AE">
        <w:rPr>
          <w:color w:val="005055" w:themeColor="accent1" w:themeShade="80"/>
          <w:u w:val="single"/>
        </w:rPr>
        <w:instrText xml:space="preserve"> REF _Ref185513861 \h  \* MERGEFORMAT </w:instrText>
      </w:r>
      <w:r w:rsidRPr="002779AE">
        <w:rPr>
          <w:color w:val="005055" w:themeColor="accent1" w:themeShade="80"/>
          <w:u w:val="single"/>
        </w:rPr>
      </w:r>
      <w:r w:rsidRPr="002779AE">
        <w:rPr>
          <w:color w:val="005055" w:themeColor="accent1" w:themeShade="80"/>
          <w:u w:val="single"/>
        </w:rPr>
        <w:fldChar w:fldCharType="separate"/>
      </w:r>
      <w:r w:rsidRPr="002779AE">
        <w:rPr>
          <w:color w:val="005055" w:themeColor="accent1" w:themeShade="80"/>
          <w:u w:val="single"/>
        </w:rPr>
        <w:t>Definitions</w:t>
      </w:r>
      <w:r w:rsidRPr="002779AE">
        <w:rPr>
          <w:color w:val="005055" w:themeColor="accent1" w:themeShade="80"/>
          <w:u w:val="single"/>
        </w:rPr>
        <w:fldChar w:fldCharType="end"/>
      </w:r>
      <w:r w:rsidRPr="00E74F01">
        <w:t>)</w:t>
      </w:r>
      <w:r w:rsidRPr="00726FBC">
        <w:t xml:space="preserve"> is the best way to prevent transmission of blood</w:t>
      </w:r>
      <w:r>
        <w:t>-</w:t>
      </w:r>
      <w:r w:rsidRPr="00726FBC">
        <w:t>borne viruses and body fluids. </w:t>
      </w:r>
    </w:p>
    <w:p w14:paraId="700A9BA8" w14:textId="77777777" w:rsidR="00BF1D56" w:rsidRPr="00726FBC" w:rsidRDefault="00BF1D56" w:rsidP="00BF1D56">
      <w:r w:rsidRPr="00726FBC">
        <w:t>The procedures are based on information available from the Department of Education, the Victorian Government’s Better Health Channel and the National Health and Medical Research Council. </w:t>
      </w:r>
    </w:p>
    <w:p w14:paraId="620266BA" w14:textId="77777777" w:rsidR="00BF1D56" w:rsidRPr="00726FBC" w:rsidRDefault="00BF1D56" w:rsidP="00BF1D56">
      <w:pPr>
        <w:pStyle w:val="Heading4"/>
      </w:pPr>
      <w:r w:rsidRPr="00726FBC">
        <w:t>Important note on blood spills </w:t>
      </w:r>
    </w:p>
    <w:p w14:paraId="112BE097" w14:textId="77777777" w:rsidR="00BF1D56" w:rsidRPr="00726FBC" w:rsidRDefault="00BF1D56" w:rsidP="00BF1D56">
      <w:pPr>
        <w:spacing w:before="0" w:after="120" w:line="240" w:lineRule="auto"/>
        <w:rPr>
          <w:rFonts w:eastAsia="Calibri" w:cstheme="minorHAnsi"/>
          <w:kern w:val="2"/>
          <w:szCs w:val="20"/>
          <w14:ligatures w14:val="standardContextual"/>
        </w:rPr>
      </w:pPr>
      <w:r w:rsidRPr="00726FBC">
        <w:rPr>
          <w:rFonts w:eastAsia="Calibri" w:cstheme="minorHAnsi"/>
          <w:kern w:val="2"/>
          <w:szCs w:val="20"/>
          <w14:ligatures w14:val="standardContextual"/>
        </w:rPr>
        <w:t> </w:t>
      </w:r>
      <w:r w:rsidRPr="00726FBC">
        <w:rPr>
          <w:rFonts w:eastAsia="Calibri" w:cstheme="minorHAnsi"/>
          <w:noProof/>
          <w:kern w:val="2"/>
          <w:szCs w:val="20"/>
          <w14:ligatures w14:val="standardContextual"/>
        </w:rPr>
        <w:drawing>
          <wp:inline distT="0" distB="0" distL="0" distR="0" wp14:anchorId="6D00A222" wp14:editId="4C58EE0F">
            <wp:extent cx="5731510" cy="527050"/>
            <wp:effectExtent l="0" t="0" r="0" b="6350"/>
            <wp:docPr id="416915652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3AD5D" w14:textId="77777777" w:rsidR="00BF1D56" w:rsidRPr="00726FBC" w:rsidRDefault="00BF1D56" w:rsidP="00BF1D56">
      <w:pPr>
        <w:pStyle w:val="Heading4"/>
      </w:pPr>
      <w:r w:rsidRPr="00726FBC">
        <w:t>M</w:t>
      </w:r>
      <w:r>
        <w:t xml:space="preserve">anaging exposure to blood and/or body fluids </w:t>
      </w:r>
    </w:p>
    <w:p w14:paraId="342E9E94" w14:textId="77777777" w:rsidR="00BF1D56" w:rsidRDefault="00BF1D56" w:rsidP="00BF1D56">
      <w:pPr>
        <w:spacing w:before="0" w:after="120" w:line="240" w:lineRule="auto"/>
        <w:rPr>
          <w:rFonts w:eastAsia="Calibri" w:cstheme="minorHAnsi"/>
          <w:kern w:val="2"/>
          <w:szCs w:val="20"/>
          <w14:ligatures w14:val="standardContextual"/>
        </w:rPr>
      </w:pPr>
      <w:r w:rsidRPr="00726FBC">
        <w:rPr>
          <w:rFonts w:eastAsia="Calibri" w:cstheme="minorHAnsi"/>
          <w:kern w:val="2"/>
          <w:szCs w:val="20"/>
          <w14:ligatures w14:val="standardContextual"/>
        </w:rPr>
        <w:t>Exposures include sharps injuries (</w:t>
      </w:r>
      <w:r>
        <w:rPr>
          <w:rFonts w:eastAsia="Calibri" w:cstheme="minorHAnsi"/>
          <w:kern w:val="2"/>
          <w:szCs w:val="20"/>
          <w14:ligatures w14:val="standardContextual"/>
        </w:rPr>
        <w:t>such as</w:t>
      </w:r>
      <w:r w:rsidRPr="00726FBC">
        <w:rPr>
          <w:rFonts w:eastAsia="Calibri" w:cstheme="minorHAnsi"/>
          <w:kern w:val="2"/>
          <w:szCs w:val="20"/>
          <w14:ligatures w14:val="standardContextual"/>
        </w:rPr>
        <w:t xml:space="preserve"> needlestick) and splashes into or onto mucous membranes (such as eyes, nose, mouth) or non-intact skin (cuts, sores or abrasions). </w:t>
      </w:r>
    </w:p>
    <w:p w14:paraId="7B866CC7" w14:textId="77777777" w:rsidR="00BF1D56" w:rsidRPr="00726FBC" w:rsidRDefault="00BF1D56" w:rsidP="00BF1D56">
      <w:pPr>
        <w:spacing w:before="0" w:after="120" w:line="240" w:lineRule="auto"/>
        <w:rPr>
          <w:rFonts w:eastAsia="Calibri" w:cstheme="minorHAnsi"/>
          <w:kern w:val="2"/>
          <w:szCs w:val="20"/>
          <w14:ligatures w14:val="standardContextual"/>
        </w:rPr>
      </w:pPr>
      <w:r>
        <w:rPr>
          <w:rFonts w:eastAsia="Calibri" w:cstheme="minorHAnsi"/>
          <w:kern w:val="2"/>
          <w:szCs w:val="20"/>
          <w14:ligatures w14:val="standardContextual"/>
        </w:rPr>
        <w:t>Steps are:</w:t>
      </w:r>
    </w:p>
    <w:p w14:paraId="6F080667" w14:textId="77777777" w:rsidR="00BF1D56" w:rsidRPr="00726FBC" w:rsidRDefault="00BF1D56" w:rsidP="00BF1D56">
      <w:pPr>
        <w:pStyle w:val="ListNumber"/>
      </w:pPr>
      <w:r>
        <w:t>R</w:t>
      </w:r>
      <w:r w:rsidRPr="00726FBC">
        <w:t>emove contaminated clothing (if applicable) and thoroughly wash exposed area with soap and water</w:t>
      </w:r>
      <w:r>
        <w:t>.</w:t>
      </w:r>
      <w:r w:rsidRPr="00726FBC">
        <w:t>  </w:t>
      </w:r>
    </w:p>
    <w:p w14:paraId="21EA7DDA" w14:textId="77777777" w:rsidR="00BF1D56" w:rsidRPr="00726FBC" w:rsidRDefault="00BF1D56" w:rsidP="00BF1D56">
      <w:pPr>
        <w:pStyle w:val="ListNumber"/>
      </w:pPr>
      <w:r>
        <w:t>A</w:t>
      </w:r>
      <w:r w:rsidRPr="00726FBC">
        <w:t>ffected mucous membranes should be flushed with large amounts of water</w:t>
      </w:r>
      <w:r>
        <w:t>.</w:t>
      </w:r>
      <w:r w:rsidRPr="00726FBC">
        <w:t>  </w:t>
      </w:r>
    </w:p>
    <w:p w14:paraId="3BEAE558" w14:textId="77777777" w:rsidR="00BF1D56" w:rsidRPr="00726FBC" w:rsidRDefault="00BF1D56" w:rsidP="00BF1D56">
      <w:pPr>
        <w:pStyle w:val="ListNumber"/>
      </w:pPr>
      <w:r>
        <w:t>E</w:t>
      </w:r>
      <w:r w:rsidRPr="00726FBC">
        <w:t>yes should be flushed gently (no soap)</w:t>
      </w:r>
      <w:r>
        <w:t>.</w:t>
      </w:r>
      <w:r w:rsidRPr="00726FBC">
        <w:t> </w:t>
      </w:r>
    </w:p>
    <w:p w14:paraId="3D6D2FF2" w14:textId="77777777" w:rsidR="00BF1D56" w:rsidRPr="00726FBC" w:rsidRDefault="00BF1D56" w:rsidP="00BF1D56">
      <w:pPr>
        <w:pStyle w:val="ListNumber"/>
      </w:pPr>
      <w:r>
        <w:t>T</w:t>
      </w:r>
      <w:r w:rsidRPr="00726FBC">
        <w:t>he exposed person must report any occupational exposures immediately </w:t>
      </w:r>
    </w:p>
    <w:p w14:paraId="20D51BA0" w14:textId="77777777" w:rsidR="00BF1D56" w:rsidRPr="00726FBC" w:rsidRDefault="00BF1D56" w:rsidP="00BF1D56">
      <w:pPr>
        <w:pStyle w:val="ListNumber"/>
      </w:pPr>
      <w:r>
        <w:t>S</w:t>
      </w:r>
      <w:r w:rsidRPr="00726FBC">
        <w:t>eek medical attention for an assessment of the risk of infection and appropriate treatment</w:t>
      </w:r>
      <w:r>
        <w:t>.</w:t>
      </w:r>
      <w:r w:rsidRPr="00726FBC">
        <w:t> </w:t>
      </w:r>
    </w:p>
    <w:p w14:paraId="2A919242" w14:textId="77777777" w:rsidR="00BF1D56" w:rsidRPr="00726FBC" w:rsidRDefault="00BF1D56" w:rsidP="00BF1D56">
      <w:pPr>
        <w:pStyle w:val="Heading4"/>
      </w:pPr>
      <w:r w:rsidRPr="00726FBC">
        <w:t>C</w:t>
      </w:r>
      <w:r>
        <w:t xml:space="preserve">leaning and removal of blood spills and body fluids </w:t>
      </w:r>
    </w:p>
    <w:p w14:paraId="2DA4AC3E" w14:textId="77777777" w:rsidR="00BF1D56" w:rsidRPr="006A2214" w:rsidRDefault="00BF1D56" w:rsidP="00BF1D56">
      <w:pPr>
        <w:pStyle w:val="Heading5"/>
      </w:pPr>
      <w:r w:rsidRPr="00E74F01">
        <w:t xml:space="preserve">Equipment (label clearly and keep </w:t>
      </w:r>
      <w:r>
        <w:t xml:space="preserve">somewhere </w:t>
      </w:r>
      <w:r w:rsidRPr="00E74F01">
        <w:t>easily accessible</w:t>
      </w:r>
      <w:r w:rsidRPr="006A2214">
        <w:t>) </w:t>
      </w:r>
    </w:p>
    <w:p w14:paraId="21709E31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Disposable gloves </w:t>
      </w:r>
    </w:p>
    <w:p w14:paraId="78718534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Disposable plastic bags/zip</w:t>
      </w:r>
      <w:r>
        <w:t>-</w:t>
      </w:r>
      <w:r w:rsidRPr="00726FBC">
        <w:t>lock bags/biohazard container (if available) </w:t>
      </w:r>
    </w:p>
    <w:p w14:paraId="36102011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Detergent/bleach </w:t>
      </w:r>
    </w:p>
    <w:p w14:paraId="23AAEF8A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Disposable towels </w:t>
      </w:r>
    </w:p>
    <w:p w14:paraId="6FB43FEC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>
        <w:t>W</w:t>
      </w:r>
      <w:r w:rsidRPr="00726FBC">
        <w:t>arm water </w:t>
      </w:r>
      <w:r>
        <w:t>(or access to warm water)</w:t>
      </w:r>
    </w:p>
    <w:p w14:paraId="710522D0" w14:textId="77777777" w:rsidR="00BF1D56" w:rsidRPr="00726FBC" w:rsidRDefault="00BF1D56" w:rsidP="00BF1D56">
      <w:pPr>
        <w:pStyle w:val="Heading5"/>
      </w:pPr>
      <w:r w:rsidRPr="00726FBC">
        <w:t>Procedure </w:t>
      </w:r>
    </w:p>
    <w:p w14:paraId="6D157CEC" w14:textId="77777777" w:rsidR="00BF1D56" w:rsidRPr="00726FBC" w:rsidRDefault="00BF1D56" w:rsidP="00BF1D56">
      <w:pPr>
        <w:pStyle w:val="ListNumber"/>
        <w:numPr>
          <w:ilvl w:val="0"/>
          <w:numId w:val="0"/>
        </w:numPr>
        <w:ind w:left="454" w:hanging="454"/>
      </w:pPr>
      <w:r w:rsidRPr="00726FBC">
        <w:t>Put on disposable gloves. </w:t>
      </w:r>
    </w:p>
    <w:p w14:paraId="6C665135" w14:textId="77777777" w:rsidR="00BF1D56" w:rsidRPr="00726FBC" w:rsidRDefault="00BF1D56" w:rsidP="00BF1D56">
      <w:pPr>
        <w:pStyle w:val="ListNumber"/>
        <w:numPr>
          <w:ilvl w:val="0"/>
          <w:numId w:val="43"/>
        </w:numPr>
      </w:pPr>
      <w:r w:rsidRPr="00726FBC">
        <w:t>Cover the spill with paper towels. </w:t>
      </w:r>
    </w:p>
    <w:p w14:paraId="2C46589D" w14:textId="77777777" w:rsidR="00BF1D56" w:rsidRPr="00726FBC" w:rsidRDefault="00BF1D56" w:rsidP="00BF1D56">
      <w:pPr>
        <w:pStyle w:val="ListNumber"/>
      </w:pPr>
      <w:r w:rsidRPr="00726FBC">
        <w:t>Carefully remove the paper towel and contents. </w:t>
      </w:r>
    </w:p>
    <w:p w14:paraId="21C24A57" w14:textId="77777777" w:rsidR="00BF1D56" w:rsidRPr="00726FBC" w:rsidRDefault="00BF1D56" w:rsidP="00BF1D56">
      <w:pPr>
        <w:pStyle w:val="ListNumber"/>
      </w:pPr>
      <w:r w:rsidRPr="00726FBC">
        <w:t>Place the paper towels in an appropriate disposable plastic bag/zip</w:t>
      </w:r>
      <w:r>
        <w:t>-</w:t>
      </w:r>
      <w:r w:rsidRPr="00726FBC">
        <w:t>lock bag/biohazard container. </w:t>
      </w:r>
    </w:p>
    <w:p w14:paraId="35AAB423" w14:textId="77777777" w:rsidR="00BF1D56" w:rsidRPr="00726FBC" w:rsidRDefault="00BF1D56" w:rsidP="00BF1D56">
      <w:pPr>
        <w:pStyle w:val="ListNumber"/>
      </w:pPr>
      <w:r w:rsidRPr="00726FBC">
        <w:t>Clean the area with warm water and detergent/bleach, then rinse and dry. </w:t>
      </w:r>
    </w:p>
    <w:p w14:paraId="70CD75F5" w14:textId="77777777" w:rsidR="00BF1D56" w:rsidRPr="00726FBC" w:rsidRDefault="00BF1D56" w:rsidP="00BF1D56">
      <w:pPr>
        <w:pStyle w:val="ListNumber"/>
      </w:pPr>
      <w:r w:rsidRPr="00726FBC">
        <w:t>Remove and place gloves in an appropriate disposable plastic bag/zip</w:t>
      </w:r>
      <w:r>
        <w:t>-</w:t>
      </w:r>
      <w:r w:rsidRPr="00726FBC">
        <w:t xml:space="preserve">lock bag/biohazard container, </w:t>
      </w:r>
      <w:r>
        <w:t xml:space="preserve">then </w:t>
      </w:r>
      <w:r w:rsidRPr="00726FBC">
        <w:t xml:space="preserve">seal and place </w:t>
      </w:r>
      <w:r>
        <w:t>this</w:t>
      </w:r>
      <w:r w:rsidRPr="00726FBC">
        <w:t xml:space="preserve"> in a rubbish bin inaccessible to children. </w:t>
      </w:r>
    </w:p>
    <w:p w14:paraId="153330A4" w14:textId="77777777" w:rsidR="00BF1D56" w:rsidRPr="00726FBC" w:rsidRDefault="00BF1D56" w:rsidP="00BF1D56">
      <w:pPr>
        <w:pStyle w:val="ListNumber"/>
      </w:pPr>
      <w:r w:rsidRPr="00726FBC">
        <w:t xml:space="preserve">Wash hands in warm, soapy water and dry (follow the </w:t>
      </w:r>
      <w:r>
        <w:t>h</w:t>
      </w:r>
      <w:r w:rsidRPr="00726FBC">
        <w:t>and</w:t>
      </w:r>
      <w:r>
        <w:t>-</w:t>
      </w:r>
      <w:r w:rsidRPr="00726FBC">
        <w:t>washing guidelines in the</w:t>
      </w:r>
      <w:r>
        <w:t xml:space="preserve"> </w:t>
      </w:r>
      <w:r w:rsidRPr="00E74F01">
        <w:rPr>
          <w:i/>
          <w:iCs/>
        </w:rPr>
        <w:t>ELV Hygiene and Cleaning Policy</w:t>
      </w:r>
      <w:r w:rsidRPr="00726FBC">
        <w:t>). </w:t>
      </w:r>
    </w:p>
    <w:p w14:paraId="67DDC823" w14:textId="77777777" w:rsidR="00BF1D56" w:rsidRPr="00726FBC" w:rsidRDefault="00BF1D56" w:rsidP="00BF1D56">
      <w:pPr>
        <w:pStyle w:val="Heading4"/>
      </w:pPr>
      <w:r w:rsidRPr="00726FBC">
        <w:t>N</w:t>
      </w:r>
      <w:r>
        <w:t>eedle stick injuries</w:t>
      </w:r>
    </w:p>
    <w:p w14:paraId="4253C846" w14:textId="77777777" w:rsidR="00BF1D56" w:rsidRPr="00726FBC" w:rsidRDefault="00BF1D56" w:rsidP="00BF1D56">
      <w:pPr>
        <w:spacing w:before="0" w:line="259" w:lineRule="auto"/>
        <w:rPr>
          <w:rFonts w:eastAsia="Calibri" w:cstheme="minorHAnsi"/>
          <w:kern w:val="2"/>
          <w:szCs w:val="20"/>
          <w14:ligatures w14:val="standardContextual"/>
        </w:rPr>
      </w:pPr>
      <w:r w:rsidRPr="00726FBC">
        <w:rPr>
          <w:rFonts w:eastAsia="Calibri" w:cstheme="minorHAnsi"/>
          <w:kern w:val="2"/>
          <w:szCs w:val="20"/>
          <w14:ligatures w14:val="standardContextual"/>
        </w:rPr>
        <w:t xml:space="preserve">If you </w:t>
      </w:r>
      <w:r>
        <w:rPr>
          <w:rFonts w:eastAsia="Calibri" w:cstheme="minorHAnsi"/>
          <w:kern w:val="2"/>
          <w:szCs w:val="20"/>
          <w14:ligatures w14:val="standardContextual"/>
        </w:rPr>
        <w:t xml:space="preserve">are </w:t>
      </w:r>
      <w:r w:rsidRPr="00726FBC">
        <w:rPr>
          <w:rFonts w:eastAsia="Calibri" w:cstheme="minorHAnsi"/>
          <w:kern w:val="2"/>
          <w:szCs w:val="20"/>
          <w14:ligatures w14:val="standardContextual"/>
        </w:rPr>
        <w:t>pricked by a discarded needle and syringe (often referred to as ‘needle stick injury’)</w:t>
      </w:r>
      <w:r>
        <w:rPr>
          <w:rFonts w:eastAsia="Calibri" w:cstheme="minorHAnsi"/>
          <w:kern w:val="2"/>
          <w:szCs w:val="20"/>
          <w14:ligatures w14:val="standardContextual"/>
        </w:rPr>
        <w:t>:</w:t>
      </w:r>
      <w:r w:rsidRPr="00726FBC">
        <w:rPr>
          <w:rFonts w:eastAsia="Calibri" w:cstheme="minorHAnsi"/>
          <w:kern w:val="2"/>
          <w:szCs w:val="20"/>
          <w14:ligatures w14:val="standardContextual"/>
        </w:rPr>
        <w:t xml:space="preserve"> </w:t>
      </w:r>
    </w:p>
    <w:p w14:paraId="2336EBF0" w14:textId="77777777" w:rsidR="00BF1D56" w:rsidRPr="00726FBC" w:rsidRDefault="00BF1D56" w:rsidP="00BF1D56">
      <w:pPr>
        <w:pStyle w:val="ListNumber"/>
        <w:numPr>
          <w:ilvl w:val="0"/>
          <w:numId w:val="0"/>
        </w:numPr>
        <w:ind w:left="454" w:hanging="454"/>
      </w:pPr>
      <w:r w:rsidRPr="00726FBC">
        <w:t>Flush the injured area with flowing water. </w:t>
      </w:r>
    </w:p>
    <w:p w14:paraId="0D062D1C" w14:textId="77777777" w:rsidR="00BF1D56" w:rsidRPr="00726FBC" w:rsidRDefault="00BF1D56" w:rsidP="00BF1D56">
      <w:pPr>
        <w:pStyle w:val="ListNumber"/>
        <w:numPr>
          <w:ilvl w:val="0"/>
          <w:numId w:val="44"/>
        </w:numPr>
      </w:pPr>
      <w:r w:rsidRPr="00726FBC">
        <w:t>Wash the wound well with soap and warm water. </w:t>
      </w:r>
    </w:p>
    <w:p w14:paraId="40FD3342" w14:textId="77777777" w:rsidR="00BF1D56" w:rsidRPr="00726FBC" w:rsidRDefault="00BF1D56" w:rsidP="00BF1D56">
      <w:pPr>
        <w:pStyle w:val="ListNumber"/>
      </w:pPr>
      <w:r w:rsidRPr="00726FBC">
        <w:t>Dry the wound and apply a waterproof dressing</w:t>
      </w:r>
      <w:r>
        <w:t>.</w:t>
      </w:r>
      <w:r w:rsidRPr="00726FBC">
        <w:t> </w:t>
      </w:r>
    </w:p>
    <w:p w14:paraId="4CA44BA2" w14:textId="77777777" w:rsidR="00BF1D56" w:rsidRPr="00726FBC" w:rsidRDefault="00BF1D56" w:rsidP="00BF1D56">
      <w:pPr>
        <w:pStyle w:val="ListNumber"/>
      </w:pPr>
      <w:r w:rsidRPr="00726FBC">
        <w:t>Seek medical attention for an assessment of the risk of infection and appropriate treatment. </w:t>
      </w:r>
    </w:p>
    <w:p w14:paraId="55F66BD4" w14:textId="77777777" w:rsidR="00BF1D56" w:rsidRPr="00726FBC" w:rsidRDefault="00BF1D56" w:rsidP="00BF1D56">
      <w:pPr>
        <w:pStyle w:val="ListNumber"/>
      </w:pPr>
      <w:r w:rsidRPr="00726FBC">
        <w:t>If the needle and syringe cannot be retrieved, mark the area so others are not at risk and contact the Disposal Helpline. </w:t>
      </w:r>
    </w:p>
    <w:p w14:paraId="69938605" w14:textId="77777777" w:rsidR="00BF1D56" w:rsidRPr="00726FBC" w:rsidRDefault="00BF1D56" w:rsidP="00BF1D56">
      <w:pPr>
        <w:pStyle w:val="Heading4"/>
        <w:rPr>
          <w:rFonts w:asciiTheme="minorHAnsi" w:hAnsiTheme="minorHAnsi"/>
        </w:rPr>
      </w:pPr>
      <w:r w:rsidRPr="00726FBC">
        <w:rPr>
          <w:rFonts w:asciiTheme="minorHAnsi" w:hAnsiTheme="minorHAnsi"/>
        </w:rPr>
        <w:t>S</w:t>
      </w:r>
      <w:r>
        <w:t xml:space="preserve">afe disposal of discarded needles and syringes </w:t>
      </w:r>
    </w:p>
    <w:p w14:paraId="5B895E22" w14:textId="77777777" w:rsidR="00BF1D56" w:rsidRPr="00726FBC" w:rsidRDefault="00BF1D56" w:rsidP="00BF1D56">
      <w:pPr>
        <w:pStyle w:val="Heading5"/>
      </w:pPr>
      <w:r w:rsidRPr="00726FBC">
        <w:t xml:space="preserve">Equipment (label clearly and keep </w:t>
      </w:r>
      <w:r>
        <w:t xml:space="preserve">somewhere </w:t>
      </w:r>
      <w:r w:rsidRPr="00726FBC">
        <w:t>easily accessible) </w:t>
      </w:r>
    </w:p>
    <w:p w14:paraId="3FED22E8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Disposable gloves </w:t>
      </w:r>
    </w:p>
    <w:p w14:paraId="0760EEFC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Long-handled tongs </w:t>
      </w:r>
    </w:p>
    <w:p w14:paraId="2CBCDEB6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Disposable plastic bags </w:t>
      </w:r>
    </w:p>
    <w:p w14:paraId="64B8C98D" w14:textId="77777777" w:rsidR="00BF1D56" w:rsidRPr="00726FBC" w:rsidRDefault="00BF1D56" w:rsidP="00BF1D56">
      <w:pPr>
        <w:pStyle w:val="ListBullet2"/>
        <w:numPr>
          <w:ilvl w:val="0"/>
          <w:numId w:val="32"/>
        </w:numPr>
      </w:pPr>
      <w:r w:rsidRPr="00726FBC">
        <w:t>‘Sharps’ syringe disposal container, or rigid-walled, screw-top, puncture-resistant container available for free from local council</w:t>
      </w:r>
      <w:r>
        <w:t>s</w:t>
      </w:r>
      <w:r w:rsidRPr="00726FBC">
        <w:t xml:space="preserve"> </w:t>
      </w:r>
      <w:r>
        <w:t>(which</w:t>
      </w:r>
      <w:r w:rsidRPr="00726FBC">
        <w:t xml:space="preserve"> may also provide free training to staff on the collection of sharps</w:t>
      </w:r>
      <w:r>
        <w:t>)</w:t>
      </w:r>
      <w:r w:rsidRPr="00726FBC">
        <w:t> </w:t>
      </w:r>
    </w:p>
    <w:p w14:paraId="20191378" w14:textId="77777777" w:rsidR="00BF1D56" w:rsidRPr="00726FBC" w:rsidRDefault="00BF1D56" w:rsidP="00BF1D56">
      <w:pPr>
        <w:pStyle w:val="Heading5"/>
      </w:pPr>
      <w:r w:rsidRPr="00726FBC">
        <w:t>Procedure </w:t>
      </w:r>
    </w:p>
    <w:p w14:paraId="7D0CB5FC" w14:textId="77777777" w:rsidR="00BF1D56" w:rsidRPr="00726FBC" w:rsidRDefault="00BF1D56" w:rsidP="00BF1D56">
      <w:pPr>
        <w:pStyle w:val="ListNumber"/>
        <w:numPr>
          <w:ilvl w:val="0"/>
          <w:numId w:val="0"/>
        </w:numPr>
        <w:ind w:left="454" w:hanging="454"/>
      </w:pPr>
      <w:r w:rsidRPr="00726FBC">
        <w:t>Put on disposable gloves. </w:t>
      </w:r>
    </w:p>
    <w:p w14:paraId="6BAE8B1E" w14:textId="77777777" w:rsidR="00BF1D56" w:rsidRPr="00726FBC" w:rsidRDefault="00BF1D56" w:rsidP="00BF1D56">
      <w:pPr>
        <w:pStyle w:val="ListNumber"/>
        <w:numPr>
          <w:ilvl w:val="0"/>
          <w:numId w:val="45"/>
        </w:numPr>
      </w:pPr>
      <w:r w:rsidRPr="00726FBC">
        <w:t>Do not try to re-cap the needle or break the needle from the syringe. </w:t>
      </w:r>
    </w:p>
    <w:p w14:paraId="221BE06E" w14:textId="77777777" w:rsidR="00BF1D56" w:rsidRPr="00726FBC" w:rsidRDefault="00BF1D56" w:rsidP="00BF1D56">
      <w:pPr>
        <w:pStyle w:val="ListNumber"/>
      </w:pPr>
      <w:r w:rsidRPr="00726FBC">
        <w:t>Place the ‘sharps’ syringe disposal container on the ground next to the needle/syringe and open the lid. </w:t>
      </w:r>
    </w:p>
    <w:p w14:paraId="227DB068" w14:textId="77777777" w:rsidR="00BF1D56" w:rsidRPr="00726FBC" w:rsidRDefault="00BF1D56" w:rsidP="00BF1D56">
      <w:pPr>
        <w:pStyle w:val="ListNumber"/>
      </w:pPr>
      <w:r w:rsidRPr="00726FBC">
        <w:t xml:space="preserve">Using tongs, pick the syringe up from the middle, </w:t>
      </w:r>
      <w:proofErr w:type="gramStart"/>
      <w:r w:rsidRPr="00726FBC">
        <w:t>keeping the sharp end away from you at all times</w:t>
      </w:r>
      <w:proofErr w:type="gramEnd"/>
      <w:r w:rsidRPr="00726FBC">
        <w:t>. </w:t>
      </w:r>
    </w:p>
    <w:p w14:paraId="4AE55475" w14:textId="77777777" w:rsidR="00BF1D56" w:rsidRPr="00726FBC" w:rsidRDefault="00BF1D56" w:rsidP="00BF1D56">
      <w:pPr>
        <w:pStyle w:val="ListNumber"/>
      </w:pPr>
      <w:r w:rsidRPr="00726FBC">
        <w:t>Place the syringe, needle</w:t>
      </w:r>
      <w:r>
        <w:t xml:space="preserve"> </w:t>
      </w:r>
      <w:r w:rsidRPr="00726FBC">
        <w:t>point down, in the ‘sharps’ syringe disposal container and close the lid securely on the container. </w:t>
      </w:r>
    </w:p>
    <w:p w14:paraId="5AE5DBB4" w14:textId="77777777" w:rsidR="00BF1D56" w:rsidRPr="00726FBC" w:rsidRDefault="00BF1D56" w:rsidP="00BF1D56">
      <w:pPr>
        <w:pStyle w:val="ListNumber"/>
      </w:pPr>
      <w:r w:rsidRPr="00726FBC">
        <w:t>Repeat steps 3 to 5 to pick up all syringes and/or unattached needles. </w:t>
      </w:r>
    </w:p>
    <w:p w14:paraId="3F2A6201" w14:textId="77777777" w:rsidR="00BF1D56" w:rsidRPr="00726FBC" w:rsidRDefault="00BF1D56" w:rsidP="00BF1D56">
      <w:pPr>
        <w:pStyle w:val="ListNumber"/>
      </w:pPr>
      <w:r w:rsidRPr="00726FBC">
        <w:t>If appropriate, clean the area with warm water and detergent/bleach, then rinse and dry. </w:t>
      </w:r>
    </w:p>
    <w:p w14:paraId="57FEA37E" w14:textId="77777777" w:rsidR="00BF1D56" w:rsidRPr="00726FBC" w:rsidRDefault="00BF1D56" w:rsidP="00BF1D56">
      <w:pPr>
        <w:pStyle w:val="ListNumber"/>
      </w:pPr>
      <w:r w:rsidRPr="00726FBC">
        <w:t xml:space="preserve">Remove and place gloves in a disposable plastic bag, </w:t>
      </w:r>
      <w:r>
        <w:t xml:space="preserve">then </w:t>
      </w:r>
      <w:r w:rsidRPr="00726FBC">
        <w:t xml:space="preserve">seal and place </w:t>
      </w:r>
      <w:r>
        <w:t>the bag</w:t>
      </w:r>
      <w:r w:rsidRPr="00726FBC">
        <w:t xml:space="preserve"> in a rubbish bin inaccessible to children. </w:t>
      </w:r>
    </w:p>
    <w:p w14:paraId="5ED2FE86" w14:textId="77777777" w:rsidR="00BF1D56" w:rsidRPr="00726FBC" w:rsidRDefault="00BF1D56" w:rsidP="00BF1D56">
      <w:pPr>
        <w:pStyle w:val="ListNumber"/>
      </w:pPr>
      <w:r w:rsidRPr="00726FBC">
        <w:t xml:space="preserve">Wash hands in warm, soapy water and dry (follow the </w:t>
      </w:r>
      <w:r>
        <w:t>h</w:t>
      </w:r>
      <w:r w:rsidRPr="00726FBC">
        <w:t>and</w:t>
      </w:r>
      <w:r>
        <w:t>-</w:t>
      </w:r>
      <w:r w:rsidRPr="00726FBC">
        <w:t>washing guidelines in the</w:t>
      </w:r>
      <w:r>
        <w:t xml:space="preserve"> </w:t>
      </w:r>
      <w:r w:rsidRPr="00E74F01">
        <w:rPr>
          <w:i/>
          <w:iCs/>
        </w:rPr>
        <w:t>ELV Hygiene and Cleaning Policy</w:t>
      </w:r>
      <w:r w:rsidRPr="00726FBC">
        <w:t>). </w:t>
      </w:r>
    </w:p>
    <w:p w14:paraId="5F7B4E25" w14:textId="77777777" w:rsidR="00BF1D56" w:rsidRPr="00726FBC" w:rsidRDefault="00BF1D56" w:rsidP="00BF1D56">
      <w:pPr>
        <w:pStyle w:val="ListNumber"/>
      </w:pPr>
      <w:r w:rsidRPr="00726FBC">
        <w:t xml:space="preserve">To dispose of the ‘sharps’ container, contact the Syringe Disposal Helpline on 1800 552 355. </w:t>
      </w:r>
    </w:p>
    <w:p w14:paraId="1871B7C3" w14:textId="77777777" w:rsidR="00BF1D56" w:rsidRPr="00726FBC" w:rsidRDefault="00BF1D56" w:rsidP="00BF1D56">
      <w:pPr>
        <w:rPr>
          <w:iCs/>
          <w:color w:val="000000"/>
        </w:rPr>
      </w:pPr>
      <w:r w:rsidRPr="00726FBC">
        <w:rPr>
          <w:b/>
          <w:bCs/>
        </w:rPr>
        <w:t>Note</w:t>
      </w:r>
      <w:r w:rsidRPr="00726FBC">
        <w:t xml:space="preserve">: Disposal containers or syringes must not be put in normal waste disposal. </w:t>
      </w:r>
    </w:p>
    <w:p w14:paraId="5DA370E8" w14:textId="77777777" w:rsidR="00BF1D56" w:rsidRPr="00726FBC" w:rsidRDefault="00BF1D56" w:rsidP="00BF1D56">
      <w:pPr>
        <w:rPr>
          <w:color w:val="000000"/>
        </w:rPr>
      </w:pPr>
      <w:r w:rsidRPr="00726FBC">
        <w:rPr>
          <w:color w:val="000000"/>
        </w:rPr>
        <w:t>Under no circumstances should children, work-experience students or volunteers be asked or encouraged to pick up needles/syringes. </w:t>
      </w:r>
    </w:p>
    <w:p w14:paraId="622F4F8B" w14:textId="77777777" w:rsidR="00BF1D56" w:rsidRPr="00726FBC" w:rsidRDefault="00BF1D56" w:rsidP="00BF1D56">
      <w:pPr>
        <w:rPr>
          <w:color w:val="000000"/>
        </w:rPr>
      </w:pPr>
      <w:r w:rsidRPr="00726FBC">
        <w:rPr>
          <w:color w:val="000000"/>
        </w:rPr>
        <w:t>If the needle/syringe is not accessible and cannot be collected, mark and supervise the area so that others are not at risk</w:t>
      </w:r>
      <w:r>
        <w:rPr>
          <w:color w:val="000000"/>
        </w:rPr>
        <w:t>,</w:t>
      </w:r>
      <w:r w:rsidRPr="00726FBC">
        <w:rPr>
          <w:color w:val="000000"/>
        </w:rPr>
        <w:t xml:space="preserve"> </w:t>
      </w:r>
      <w:r>
        <w:rPr>
          <w:color w:val="000000"/>
        </w:rPr>
        <w:t>then</w:t>
      </w:r>
      <w:r w:rsidRPr="00726FBC">
        <w:rPr>
          <w:color w:val="000000"/>
        </w:rPr>
        <w:t xml:space="preserve"> contact the Syringe Disposal Helpline on 1800 552 355. </w:t>
      </w:r>
    </w:p>
    <w:p w14:paraId="50AFF83C" w14:textId="70CCF07E" w:rsidR="00F95453" w:rsidRPr="00BF1D56" w:rsidRDefault="00BF1D56" w:rsidP="00BF1D56">
      <w:pPr>
        <w:rPr>
          <w:szCs w:val="20"/>
        </w:rPr>
      </w:pPr>
      <w:r w:rsidRPr="00BF1D56">
        <w:rPr>
          <w:rFonts w:ascii="Calibri" w:eastAsia="Calibri" w:hAnsi="Calibri" w:cs="Arial"/>
          <w:kern w:val="2"/>
          <w:szCs w:val="20"/>
          <w14:ligatures w14:val="standardContextual"/>
        </w:rPr>
        <w:t>Source: ELV Infection Control and Immunisation Policy</w:t>
      </w:r>
    </w:p>
    <w:sectPr w:rsidR="00F95453" w:rsidRPr="00BF1D56" w:rsidSect="00083B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E0DA5" w14:textId="77777777" w:rsidR="00BC5AFE" w:rsidRDefault="00BC5AFE" w:rsidP="0093788B">
      <w:r>
        <w:separator/>
      </w:r>
    </w:p>
  </w:endnote>
  <w:endnote w:type="continuationSeparator" w:id="0">
    <w:p w14:paraId="74DDBCA1" w14:textId="77777777" w:rsidR="00BC5AFE" w:rsidRDefault="00BC5AFE" w:rsidP="0093788B">
      <w:r>
        <w:continuationSeparator/>
      </w:r>
    </w:p>
  </w:endnote>
  <w:endnote w:type="continuationNotice" w:id="1">
    <w:p w14:paraId="345CB338" w14:textId="77777777" w:rsidR="00BC5AFE" w:rsidRDefault="00BC5A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E08B" w14:textId="77777777" w:rsidR="005856A0" w:rsidRDefault="0058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3B57" w14:textId="18F8A12F" w:rsidR="00E260C5" w:rsidRDefault="006A1817">
    <w:pPr>
      <w:pStyle w:val="Footer"/>
      <w:jc w:val="right"/>
    </w:pPr>
    <w:sdt>
      <w:sdtPr>
        <w:id w:val="-167705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60C5">
          <w:t>1</w:t>
        </w:r>
      </w:sdtContent>
    </w:sdt>
  </w:p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B914" w14:textId="77777777" w:rsidR="00BC5AFE" w:rsidRDefault="00BC5AFE" w:rsidP="0093788B">
      <w:r>
        <w:separator/>
      </w:r>
    </w:p>
  </w:footnote>
  <w:footnote w:type="continuationSeparator" w:id="0">
    <w:p w14:paraId="06FD0435" w14:textId="77777777" w:rsidR="00BC5AFE" w:rsidRDefault="00BC5AFE" w:rsidP="0093788B">
      <w:r>
        <w:continuationSeparator/>
      </w:r>
    </w:p>
  </w:footnote>
  <w:footnote w:type="continuationNotice" w:id="1">
    <w:p w14:paraId="4768A66C" w14:textId="77777777" w:rsidR="00BC5AFE" w:rsidRDefault="00BC5AF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D042" w14:textId="77777777" w:rsidR="005856A0" w:rsidRDefault="0058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1C0E26DE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5856A0">
      <w:rPr>
        <w:noProof/>
      </w:rPr>
      <w:drawing>
        <wp:anchor distT="0" distB="0" distL="114300" distR="114300" simplePos="0" relativeHeight="251666433" behindDoc="0" locked="1" layoutInCell="1" allowOverlap="1" wp14:anchorId="65F5C526" wp14:editId="377589E4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749939967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39967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6A0">
      <w:rPr>
        <w:noProof/>
      </w:rPr>
      <w:drawing>
        <wp:anchor distT="0" distB="0" distL="114300" distR="114300" simplePos="0" relativeHeight="251664385" behindDoc="1" locked="1" layoutInCell="1" allowOverlap="1" wp14:anchorId="34E56083" wp14:editId="1C502DAD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59675" cy="10688320"/>
          <wp:effectExtent l="0" t="0" r="3175" b="0"/>
          <wp:wrapNone/>
          <wp:docPr id="2008660354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0354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6D1305BB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310597BC">
          <wp:simplePos x="0" y="0"/>
          <wp:positionH relativeFrom="page">
            <wp:posOffset>22225</wp:posOffset>
          </wp:positionH>
          <wp:positionV relativeFrom="page">
            <wp:posOffset>-22860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8D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104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76676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6291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322"/>
    <w:rsid w:val="00010D5C"/>
    <w:rsid w:val="00016487"/>
    <w:rsid w:val="00023813"/>
    <w:rsid w:val="000300AF"/>
    <w:rsid w:val="000362E1"/>
    <w:rsid w:val="0004232D"/>
    <w:rsid w:val="00066DDA"/>
    <w:rsid w:val="00067133"/>
    <w:rsid w:val="000724AE"/>
    <w:rsid w:val="000746F3"/>
    <w:rsid w:val="0008037D"/>
    <w:rsid w:val="00083BD2"/>
    <w:rsid w:val="00086E7C"/>
    <w:rsid w:val="00087C36"/>
    <w:rsid w:val="000932BE"/>
    <w:rsid w:val="000B497F"/>
    <w:rsid w:val="000B4BA0"/>
    <w:rsid w:val="000C11FD"/>
    <w:rsid w:val="000C5A51"/>
    <w:rsid w:val="000C5AF7"/>
    <w:rsid w:val="000C7329"/>
    <w:rsid w:val="000D1508"/>
    <w:rsid w:val="000D7EE8"/>
    <w:rsid w:val="001008BA"/>
    <w:rsid w:val="00112E8F"/>
    <w:rsid w:val="001213A1"/>
    <w:rsid w:val="00125141"/>
    <w:rsid w:val="001268BC"/>
    <w:rsid w:val="0013031E"/>
    <w:rsid w:val="0013644F"/>
    <w:rsid w:val="001379F8"/>
    <w:rsid w:val="001415F4"/>
    <w:rsid w:val="00141C61"/>
    <w:rsid w:val="00144BCA"/>
    <w:rsid w:val="001460E7"/>
    <w:rsid w:val="0015604E"/>
    <w:rsid w:val="00173391"/>
    <w:rsid w:val="00177731"/>
    <w:rsid w:val="001820FB"/>
    <w:rsid w:val="001868E6"/>
    <w:rsid w:val="00187305"/>
    <w:rsid w:val="001A0D77"/>
    <w:rsid w:val="001A5586"/>
    <w:rsid w:val="001B29BE"/>
    <w:rsid w:val="001B3EA1"/>
    <w:rsid w:val="001C7835"/>
    <w:rsid w:val="001E4C19"/>
    <w:rsid w:val="001F13C1"/>
    <w:rsid w:val="001F446D"/>
    <w:rsid w:val="001F6314"/>
    <w:rsid w:val="001F6E4B"/>
    <w:rsid w:val="00206059"/>
    <w:rsid w:val="002068CA"/>
    <w:rsid w:val="00221AB7"/>
    <w:rsid w:val="00244741"/>
    <w:rsid w:val="00245367"/>
    <w:rsid w:val="00246435"/>
    <w:rsid w:val="00246BCF"/>
    <w:rsid w:val="0025384F"/>
    <w:rsid w:val="00270834"/>
    <w:rsid w:val="00272F70"/>
    <w:rsid w:val="00275484"/>
    <w:rsid w:val="00276D85"/>
    <w:rsid w:val="002779AE"/>
    <w:rsid w:val="002814E6"/>
    <w:rsid w:val="00290376"/>
    <w:rsid w:val="00290839"/>
    <w:rsid w:val="002965C0"/>
    <w:rsid w:val="002A0A62"/>
    <w:rsid w:val="002A31AD"/>
    <w:rsid w:val="002A5A16"/>
    <w:rsid w:val="002B1B5D"/>
    <w:rsid w:val="002B662B"/>
    <w:rsid w:val="002E0EDA"/>
    <w:rsid w:val="002E54F2"/>
    <w:rsid w:val="002E7A9E"/>
    <w:rsid w:val="002F4928"/>
    <w:rsid w:val="00300F28"/>
    <w:rsid w:val="00305171"/>
    <w:rsid w:val="003149B3"/>
    <w:rsid w:val="00322A3A"/>
    <w:rsid w:val="00331077"/>
    <w:rsid w:val="00332517"/>
    <w:rsid w:val="00333B91"/>
    <w:rsid w:val="00335554"/>
    <w:rsid w:val="0034680A"/>
    <w:rsid w:val="00363FF8"/>
    <w:rsid w:val="003673AE"/>
    <w:rsid w:val="00374847"/>
    <w:rsid w:val="00374A18"/>
    <w:rsid w:val="0037721D"/>
    <w:rsid w:val="0038102A"/>
    <w:rsid w:val="003A6C60"/>
    <w:rsid w:val="003C432F"/>
    <w:rsid w:val="003D23A3"/>
    <w:rsid w:val="003D3729"/>
    <w:rsid w:val="003D5586"/>
    <w:rsid w:val="003D5856"/>
    <w:rsid w:val="003F7879"/>
    <w:rsid w:val="00404E4F"/>
    <w:rsid w:val="004061DD"/>
    <w:rsid w:val="00412CDA"/>
    <w:rsid w:val="00413EF7"/>
    <w:rsid w:val="00414B0D"/>
    <w:rsid w:val="0041673A"/>
    <w:rsid w:val="00417C2D"/>
    <w:rsid w:val="0042339A"/>
    <w:rsid w:val="0042508F"/>
    <w:rsid w:val="00432644"/>
    <w:rsid w:val="00443AB0"/>
    <w:rsid w:val="004441F5"/>
    <w:rsid w:val="00453301"/>
    <w:rsid w:val="004635FD"/>
    <w:rsid w:val="00482F36"/>
    <w:rsid w:val="004831AC"/>
    <w:rsid w:val="004A38B6"/>
    <w:rsid w:val="004B0D5B"/>
    <w:rsid w:val="004B4C04"/>
    <w:rsid w:val="004B5217"/>
    <w:rsid w:val="004B609E"/>
    <w:rsid w:val="004C14C0"/>
    <w:rsid w:val="004C6139"/>
    <w:rsid w:val="004C6D47"/>
    <w:rsid w:val="004D0322"/>
    <w:rsid w:val="004E0219"/>
    <w:rsid w:val="004E0833"/>
    <w:rsid w:val="004E28C6"/>
    <w:rsid w:val="004F0AE9"/>
    <w:rsid w:val="004F138F"/>
    <w:rsid w:val="00500C61"/>
    <w:rsid w:val="005018CA"/>
    <w:rsid w:val="00502144"/>
    <w:rsid w:val="0050670B"/>
    <w:rsid w:val="00510D22"/>
    <w:rsid w:val="005141E8"/>
    <w:rsid w:val="00517989"/>
    <w:rsid w:val="005261B4"/>
    <w:rsid w:val="00534D4F"/>
    <w:rsid w:val="00547356"/>
    <w:rsid w:val="00547C08"/>
    <w:rsid w:val="00550C99"/>
    <w:rsid w:val="0055289A"/>
    <w:rsid w:val="00553413"/>
    <w:rsid w:val="00561D46"/>
    <w:rsid w:val="00577E2E"/>
    <w:rsid w:val="0058369E"/>
    <w:rsid w:val="00583B42"/>
    <w:rsid w:val="005856A0"/>
    <w:rsid w:val="00587908"/>
    <w:rsid w:val="00593314"/>
    <w:rsid w:val="005935BA"/>
    <w:rsid w:val="00594496"/>
    <w:rsid w:val="005B08C1"/>
    <w:rsid w:val="005B492D"/>
    <w:rsid w:val="005C305F"/>
    <w:rsid w:val="005C6618"/>
    <w:rsid w:val="005D6078"/>
    <w:rsid w:val="005E6EE2"/>
    <w:rsid w:val="005E767B"/>
    <w:rsid w:val="005F4130"/>
    <w:rsid w:val="00602C13"/>
    <w:rsid w:val="00603FD5"/>
    <w:rsid w:val="00616DC8"/>
    <w:rsid w:val="00621619"/>
    <w:rsid w:val="006345C0"/>
    <w:rsid w:val="00642713"/>
    <w:rsid w:val="0066757A"/>
    <w:rsid w:val="0067014A"/>
    <w:rsid w:val="0068724F"/>
    <w:rsid w:val="00693358"/>
    <w:rsid w:val="006A1DEF"/>
    <w:rsid w:val="006C4AF4"/>
    <w:rsid w:val="006D2B82"/>
    <w:rsid w:val="006D3F2F"/>
    <w:rsid w:val="006E3536"/>
    <w:rsid w:val="006E4F17"/>
    <w:rsid w:val="006E7DE4"/>
    <w:rsid w:val="006F2C3F"/>
    <w:rsid w:val="006F328F"/>
    <w:rsid w:val="006F5BF1"/>
    <w:rsid w:val="00701628"/>
    <w:rsid w:val="00701FE2"/>
    <w:rsid w:val="0070342B"/>
    <w:rsid w:val="0070712B"/>
    <w:rsid w:val="007071FE"/>
    <w:rsid w:val="007129E9"/>
    <w:rsid w:val="00712CD0"/>
    <w:rsid w:val="0071404B"/>
    <w:rsid w:val="00714488"/>
    <w:rsid w:val="007254A7"/>
    <w:rsid w:val="00726CC2"/>
    <w:rsid w:val="00731BA3"/>
    <w:rsid w:val="00732E0B"/>
    <w:rsid w:val="0073719C"/>
    <w:rsid w:val="0074761E"/>
    <w:rsid w:val="00763B6B"/>
    <w:rsid w:val="0077643C"/>
    <w:rsid w:val="00780560"/>
    <w:rsid w:val="007939AB"/>
    <w:rsid w:val="007A0363"/>
    <w:rsid w:val="007C2CFD"/>
    <w:rsid w:val="007D0B18"/>
    <w:rsid w:val="007D2216"/>
    <w:rsid w:val="007D4A67"/>
    <w:rsid w:val="00811471"/>
    <w:rsid w:val="0081533C"/>
    <w:rsid w:val="00816424"/>
    <w:rsid w:val="008306EA"/>
    <w:rsid w:val="00835371"/>
    <w:rsid w:val="00843271"/>
    <w:rsid w:val="00850FC8"/>
    <w:rsid w:val="0085439B"/>
    <w:rsid w:val="00884B31"/>
    <w:rsid w:val="0089026B"/>
    <w:rsid w:val="008942E9"/>
    <w:rsid w:val="008A4EF6"/>
    <w:rsid w:val="008B04FF"/>
    <w:rsid w:val="008B05C3"/>
    <w:rsid w:val="008B06B9"/>
    <w:rsid w:val="008B4041"/>
    <w:rsid w:val="008B4965"/>
    <w:rsid w:val="008D03AE"/>
    <w:rsid w:val="008D1ABD"/>
    <w:rsid w:val="008F70D1"/>
    <w:rsid w:val="0090137A"/>
    <w:rsid w:val="00924191"/>
    <w:rsid w:val="00936068"/>
    <w:rsid w:val="00936B66"/>
    <w:rsid w:val="0093788B"/>
    <w:rsid w:val="00944F98"/>
    <w:rsid w:val="009517CC"/>
    <w:rsid w:val="009538BF"/>
    <w:rsid w:val="009615D4"/>
    <w:rsid w:val="00974138"/>
    <w:rsid w:val="00974677"/>
    <w:rsid w:val="00984EEC"/>
    <w:rsid w:val="00985522"/>
    <w:rsid w:val="0099012A"/>
    <w:rsid w:val="009A2F17"/>
    <w:rsid w:val="009B6109"/>
    <w:rsid w:val="009B6A45"/>
    <w:rsid w:val="009B7104"/>
    <w:rsid w:val="009C019C"/>
    <w:rsid w:val="009C5432"/>
    <w:rsid w:val="009D24F5"/>
    <w:rsid w:val="009E493E"/>
    <w:rsid w:val="00A11E48"/>
    <w:rsid w:val="00A13664"/>
    <w:rsid w:val="00A22397"/>
    <w:rsid w:val="00A24EF4"/>
    <w:rsid w:val="00A27FDD"/>
    <w:rsid w:val="00A33747"/>
    <w:rsid w:val="00A40184"/>
    <w:rsid w:val="00A46FC6"/>
    <w:rsid w:val="00A52F22"/>
    <w:rsid w:val="00A56107"/>
    <w:rsid w:val="00A563CD"/>
    <w:rsid w:val="00A57815"/>
    <w:rsid w:val="00A66123"/>
    <w:rsid w:val="00A7079B"/>
    <w:rsid w:val="00A71AB8"/>
    <w:rsid w:val="00A82CD2"/>
    <w:rsid w:val="00A83600"/>
    <w:rsid w:val="00A90151"/>
    <w:rsid w:val="00A9359B"/>
    <w:rsid w:val="00A936D8"/>
    <w:rsid w:val="00AA163B"/>
    <w:rsid w:val="00AA30D8"/>
    <w:rsid w:val="00AB4855"/>
    <w:rsid w:val="00AB5F12"/>
    <w:rsid w:val="00AC0558"/>
    <w:rsid w:val="00AF2097"/>
    <w:rsid w:val="00B028AC"/>
    <w:rsid w:val="00B153EB"/>
    <w:rsid w:val="00B15B5F"/>
    <w:rsid w:val="00B21591"/>
    <w:rsid w:val="00B23603"/>
    <w:rsid w:val="00B24B55"/>
    <w:rsid w:val="00B255CB"/>
    <w:rsid w:val="00B2660A"/>
    <w:rsid w:val="00B32D6C"/>
    <w:rsid w:val="00B334F6"/>
    <w:rsid w:val="00B3749D"/>
    <w:rsid w:val="00B42A2E"/>
    <w:rsid w:val="00B43E86"/>
    <w:rsid w:val="00B463A5"/>
    <w:rsid w:val="00B65DAA"/>
    <w:rsid w:val="00B66B2F"/>
    <w:rsid w:val="00B74F7F"/>
    <w:rsid w:val="00B75B08"/>
    <w:rsid w:val="00B81823"/>
    <w:rsid w:val="00B83EE5"/>
    <w:rsid w:val="00B85928"/>
    <w:rsid w:val="00B87859"/>
    <w:rsid w:val="00B87B0C"/>
    <w:rsid w:val="00B91D47"/>
    <w:rsid w:val="00BA3CB8"/>
    <w:rsid w:val="00BA7623"/>
    <w:rsid w:val="00BB261A"/>
    <w:rsid w:val="00BC5AFE"/>
    <w:rsid w:val="00BD35A1"/>
    <w:rsid w:val="00BF1D56"/>
    <w:rsid w:val="00BF68C8"/>
    <w:rsid w:val="00C001FD"/>
    <w:rsid w:val="00C01E68"/>
    <w:rsid w:val="00C05A24"/>
    <w:rsid w:val="00C10488"/>
    <w:rsid w:val="00C11924"/>
    <w:rsid w:val="00C20849"/>
    <w:rsid w:val="00C326F9"/>
    <w:rsid w:val="00C37A29"/>
    <w:rsid w:val="00C401F0"/>
    <w:rsid w:val="00C41DED"/>
    <w:rsid w:val="00C43CA1"/>
    <w:rsid w:val="00C557D5"/>
    <w:rsid w:val="00C55C51"/>
    <w:rsid w:val="00C648CD"/>
    <w:rsid w:val="00C70EFC"/>
    <w:rsid w:val="00C84BF4"/>
    <w:rsid w:val="00C92109"/>
    <w:rsid w:val="00C932F3"/>
    <w:rsid w:val="00C93F4B"/>
    <w:rsid w:val="00CC66A0"/>
    <w:rsid w:val="00CD61EB"/>
    <w:rsid w:val="00CE18F2"/>
    <w:rsid w:val="00CE46EA"/>
    <w:rsid w:val="00CF02F0"/>
    <w:rsid w:val="00CF08F0"/>
    <w:rsid w:val="00D04AB0"/>
    <w:rsid w:val="00D04EC2"/>
    <w:rsid w:val="00D16F74"/>
    <w:rsid w:val="00D30645"/>
    <w:rsid w:val="00D53631"/>
    <w:rsid w:val="00D567C3"/>
    <w:rsid w:val="00D60649"/>
    <w:rsid w:val="00D61E88"/>
    <w:rsid w:val="00D67C43"/>
    <w:rsid w:val="00D71823"/>
    <w:rsid w:val="00D82889"/>
    <w:rsid w:val="00D83923"/>
    <w:rsid w:val="00D9419D"/>
    <w:rsid w:val="00DC6A27"/>
    <w:rsid w:val="00DE2EE6"/>
    <w:rsid w:val="00DF4E3E"/>
    <w:rsid w:val="00DF6953"/>
    <w:rsid w:val="00DF7B37"/>
    <w:rsid w:val="00E0453D"/>
    <w:rsid w:val="00E04F9B"/>
    <w:rsid w:val="00E05FA6"/>
    <w:rsid w:val="00E07AE0"/>
    <w:rsid w:val="00E25474"/>
    <w:rsid w:val="00E260C5"/>
    <w:rsid w:val="00E30720"/>
    <w:rsid w:val="00E32F93"/>
    <w:rsid w:val="00E42E3C"/>
    <w:rsid w:val="00E45E6B"/>
    <w:rsid w:val="00E47996"/>
    <w:rsid w:val="00E54B2B"/>
    <w:rsid w:val="00E6213C"/>
    <w:rsid w:val="00E72DF5"/>
    <w:rsid w:val="00E901A3"/>
    <w:rsid w:val="00E90C47"/>
    <w:rsid w:val="00EA1943"/>
    <w:rsid w:val="00EA6D60"/>
    <w:rsid w:val="00EB5E80"/>
    <w:rsid w:val="00EC6D53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65DDE"/>
    <w:rsid w:val="00F7686D"/>
    <w:rsid w:val="00F87B07"/>
    <w:rsid w:val="00F93598"/>
    <w:rsid w:val="00F94880"/>
    <w:rsid w:val="00F95453"/>
    <w:rsid w:val="00F95D9B"/>
    <w:rsid w:val="00FB0877"/>
    <w:rsid w:val="00FB0D65"/>
    <w:rsid w:val="00FB4A9F"/>
    <w:rsid w:val="00FC2D8B"/>
    <w:rsid w:val="00FD3306"/>
    <w:rsid w:val="00FE45D1"/>
    <w:rsid w:val="00FE57D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tabs>
        <w:tab w:val="num" w:pos="360"/>
      </w:tabs>
      <w:spacing w:before="60" w:after="60"/>
      <w:ind w:left="0" w:firstLine="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tabs>
        <w:tab w:val="clear" w:pos="1701"/>
        <w:tab w:val="num" w:pos="360"/>
      </w:tabs>
      <w:ind w:left="0" w:firstLine="0"/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  <w:style w:type="numbering" w:customStyle="1" w:styleId="Bullets1">
    <w:name w:val="Bullets1"/>
    <w:uiPriority w:val="99"/>
    <w:rsid w:val="00DC6A27"/>
  </w:style>
  <w:style w:type="numbering" w:customStyle="1" w:styleId="Numbering1">
    <w:name w:val="Numbering1"/>
    <w:uiPriority w:val="99"/>
    <w:rsid w:val="00DC6A27"/>
  </w:style>
  <w:style w:type="numbering" w:customStyle="1" w:styleId="Bullets2">
    <w:name w:val="Bullets2"/>
    <w:uiPriority w:val="99"/>
    <w:rsid w:val="00BF1D56"/>
    <w:pPr>
      <w:numPr>
        <w:numId w:val="1"/>
      </w:numPr>
    </w:pPr>
  </w:style>
  <w:style w:type="numbering" w:customStyle="1" w:styleId="Numbering2">
    <w:name w:val="Numbering2"/>
    <w:uiPriority w:val="99"/>
    <w:rsid w:val="00BF1D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purl.org/dc/dcmitype/"/>
    <ds:schemaRef ds:uri="http://schemas.microsoft.com/office/2006/metadata/properties"/>
    <ds:schemaRef ds:uri="b7750d7f-24ff-4f9b-aa5e-480870f5a054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9214ac5-c9ab-4a38-9b0c-f9e78fec537c"/>
  </ds:schemaRefs>
</ds:datastoreItem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697F9-4731-46F9-A3DF-70B76C404E08}"/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 Procedures for infection prevention and control relating to blood-borne viruses and body fluids</dc:title>
  <dc:subject/>
  <dc:creator>Carissa Hong</dc:creator>
  <cp:keywords/>
  <dc:description/>
  <cp:lastModifiedBy>Carly Donaghey</cp:lastModifiedBy>
  <cp:revision>2</cp:revision>
  <cp:lastPrinted>2024-08-30T23:14:00Z</cp:lastPrinted>
  <dcterms:created xsi:type="dcterms:W3CDTF">2025-03-07T03:57:00Z</dcterms:created>
  <dcterms:modified xsi:type="dcterms:W3CDTF">2025-03-07T03:57:00Z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