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4650" w14:textId="4330E7D3" w:rsidR="006456B2" w:rsidRDefault="00094148" w:rsidP="006456B2">
      <w:pPr>
        <w:pStyle w:val="Title"/>
      </w:pPr>
      <w:r>
        <w:t>Disability Inclusion</w:t>
      </w:r>
      <w:r w:rsidR="0081409C">
        <w:t xml:space="preserve"> Evaluation </w:t>
      </w:r>
      <w:r w:rsidR="00F324C9">
        <w:t>- Summary of Findings</w:t>
      </w:r>
    </w:p>
    <w:p w14:paraId="4CC92881" w14:textId="02E370D3" w:rsidR="006456B2" w:rsidRPr="00945FF3" w:rsidRDefault="001965C0" w:rsidP="006456B2">
      <w:pPr>
        <w:pStyle w:val="Intro"/>
      </w:pPr>
      <w:r w:rsidRPr="001965C0">
        <w:rPr>
          <w:lang w:val="en-GB"/>
        </w:rPr>
        <w:t>Disability Inclusion</w:t>
      </w:r>
      <w:r w:rsidR="007D0E36">
        <w:rPr>
          <w:lang w:val="en-GB"/>
        </w:rPr>
        <w:t xml:space="preserve"> (</w:t>
      </w:r>
      <w:r w:rsidR="00A7048F">
        <w:rPr>
          <w:lang w:val="en-GB"/>
        </w:rPr>
        <w:t>the reform</w:t>
      </w:r>
      <w:r w:rsidR="007D0E36">
        <w:rPr>
          <w:lang w:val="en-GB"/>
        </w:rPr>
        <w:t>)</w:t>
      </w:r>
      <w:r w:rsidRPr="001965C0">
        <w:rPr>
          <w:lang w:val="en-GB"/>
        </w:rPr>
        <w:t xml:space="preserve"> is an ambitious inclusive education reform, </w:t>
      </w:r>
      <w:r w:rsidR="00162D89">
        <w:rPr>
          <w:lang w:val="en-GB"/>
        </w:rPr>
        <w:t xml:space="preserve">which </w:t>
      </w:r>
      <w:r w:rsidR="00162D89" w:rsidRPr="00162D89">
        <w:rPr>
          <w:lang w:val="en-GB"/>
        </w:rPr>
        <w:t>chang</w:t>
      </w:r>
      <w:r w:rsidR="00162D89">
        <w:rPr>
          <w:lang w:val="en-GB"/>
        </w:rPr>
        <w:t>es</w:t>
      </w:r>
      <w:r w:rsidR="00162D89" w:rsidRPr="00162D89">
        <w:rPr>
          <w:lang w:val="en-GB"/>
        </w:rPr>
        <w:t xml:space="preserve"> how student needs are identified and assessed, using a strengths and functional needs-based approach</w:t>
      </w:r>
      <w:r w:rsidRPr="001965C0">
        <w:rPr>
          <w:lang w:val="en-GB"/>
        </w:rPr>
        <w:t xml:space="preserve">. </w:t>
      </w:r>
      <w:r>
        <w:rPr>
          <w:lang w:val="en-GB"/>
        </w:rPr>
        <w:t>The reform</w:t>
      </w:r>
      <w:r w:rsidRPr="001965C0">
        <w:rPr>
          <w:lang w:val="en-GB"/>
        </w:rPr>
        <w:t xml:space="preserve"> has been progressively rolled-out to all government schools in Victoria over a 5-year period from 2021 to 2025</w:t>
      </w:r>
      <w:r w:rsidR="00E51A35">
        <w:rPr>
          <w:lang w:val="en-GB"/>
        </w:rPr>
        <w:t>.</w:t>
      </w:r>
      <w:r w:rsidR="00E51A35">
        <w:rPr>
          <w:rStyle w:val="FootnoteReference"/>
          <w:lang w:val="en-GB"/>
        </w:rPr>
        <w:footnoteReference w:id="1"/>
      </w:r>
      <w:r w:rsidR="00E51A35">
        <w:rPr>
          <w:lang w:val="en-GB"/>
        </w:rPr>
        <w:t xml:space="preserve"> </w:t>
      </w:r>
      <w:r w:rsidR="00094148">
        <w:t xml:space="preserve"> </w:t>
      </w:r>
    </w:p>
    <w:p w14:paraId="2B763294" w14:textId="20A0D1D5" w:rsidR="00A81513" w:rsidRDefault="00A81513" w:rsidP="006456B2">
      <w:pPr>
        <w:pStyle w:val="Heading2"/>
        <w:rPr>
          <w:rFonts w:asciiTheme="minorHAnsi" w:eastAsiaTheme="minorHAnsi" w:hAnsiTheme="minorHAnsi" w:cstheme="minorBidi"/>
          <w:bCs w:val="0"/>
          <w:color w:val="000000"/>
          <w:sz w:val="20"/>
          <w:szCs w:val="20"/>
        </w:rPr>
      </w:pPr>
      <w:r w:rsidRPr="00A81513">
        <w:rPr>
          <w:rFonts w:asciiTheme="minorHAnsi" w:eastAsiaTheme="minorHAnsi" w:hAnsiTheme="minorHAnsi" w:cstheme="minorBidi"/>
          <w:bCs w:val="0"/>
          <w:color w:val="000000"/>
          <w:sz w:val="20"/>
          <w:szCs w:val="20"/>
        </w:rPr>
        <w:t>The Department of Education engaged Deloitte Access Economics</w:t>
      </w:r>
      <w:r w:rsidR="007D0E36">
        <w:rPr>
          <w:rFonts w:asciiTheme="minorHAnsi" w:eastAsiaTheme="minorHAnsi" w:hAnsiTheme="minorHAnsi" w:cstheme="minorBidi"/>
          <w:bCs w:val="0"/>
          <w:color w:val="000000"/>
          <w:sz w:val="20"/>
          <w:szCs w:val="20"/>
        </w:rPr>
        <w:t xml:space="preserve">, </w:t>
      </w:r>
      <w:r w:rsidR="007D0E36" w:rsidRPr="007D0E36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in collaboration with Victoria University and Monash University, to undertake an evaluation of </w:t>
      </w:r>
      <w:r w:rsidR="00A7048F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>the reform</w:t>
      </w:r>
      <w:r w:rsidR="007D0E36" w:rsidRPr="007D0E36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 from 2021 to 2025. In its early stages</w:t>
      </w:r>
      <w:r w:rsidR="002F475E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>,</w:t>
      </w:r>
      <w:r w:rsidR="007D0E36" w:rsidRPr="007D0E36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 the evaluation focused on the implementation of </w:t>
      </w:r>
      <w:r w:rsidR="007D0E36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the </w:t>
      </w:r>
      <w:r w:rsidR="007D0E36" w:rsidRPr="007D0E36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reform and provision of formative advice, with the focus transitioning to an </w:t>
      </w:r>
      <w:r w:rsidR="00A7048F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>a</w:t>
      </w:r>
      <w:r w:rsidR="00A1252A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>nalysis</w:t>
      </w:r>
      <w:r w:rsidR="007D0E36" w:rsidRPr="007D0E36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 of outcomes in its later stage</w:t>
      </w:r>
      <w:r w:rsidR="003B44D9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>s</w:t>
      </w:r>
      <w:r w:rsidR="007D0E36" w:rsidRPr="007D0E36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>.</w:t>
      </w:r>
      <w:r w:rsidR="00CD202F">
        <w:rPr>
          <w:rStyle w:val="FootnoteReference"/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footnoteReference w:id="2"/>
      </w:r>
      <w:r w:rsidR="002D0146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 </w:t>
      </w:r>
    </w:p>
    <w:p w14:paraId="60D46CAF" w14:textId="38238BFC" w:rsidR="006456B2" w:rsidRPr="00EF5F22" w:rsidRDefault="00A81513" w:rsidP="006456B2">
      <w:pPr>
        <w:pStyle w:val="Heading2"/>
        <w:rPr>
          <w:b/>
          <w:bCs w:val="0"/>
        </w:rPr>
      </w:pPr>
      <w:r w:rsidRPr="00EF5F22">
        <w:rPr>
          <w:b/>
          <w:bCs w:val="0"/>
        </w:rPr>
        <w:t xml:space="preserve">Key insights </w:t>
      </w:r>
    </w:p>
    <w:p w14:paraId="7B730ADC" w14:textId="14985477" w:rsidR="00042FAD" w:rsidRPr="00CF2AE8" w:rsidRDefault="00F27532" w:rsidP="00E13C0F">
      <w:pPr>
        <w:pStyle w:val="Heading3"/>
        <w:rPr>
          <w:i/>
          <w:iCs/>
          <w:sz w:val="22"/>
          <w:szCs w:val="22"/>
          <w:lang w:val="en-AU"/>
        </w:rPr>
      </w:pPr>
      <w:r w:rsidRPr="00CF2AE8">
        <w:rPr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5C0FED" wp14:editId="6329F701">
                <wp:simplePos x="0" y="0"/>
                <wp:positionH relativeFrom="column">
                  <wp:posOffset>3650615</wp:posOffset>
                </wp:positionH>
                <wp:positionV relativeFrom="paragraph">
                  <wp:posOffset>421005</wp:posOffset>
                </wp:positionV>
                <wp:extent cx="2360930" cy="18072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72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30B9C" w14:textId="43FC65B9" w:rsidR="00CC2280" w:rsidRDefault="00CB495B" w:rsidP="00CC228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B495B">
                              <w:rPr>
                                <w:i/>
                                <w:iCs/>
                                <w:lang w:val="en-AU"/>
                              </w:rPr>
                              <w:t>“I loved the profile meetings and saw them as a celebration of all of the adjustments that the school does on a daily basis.</w:t>
                            </w:r>
                            <w:r w:rsidR="00CC2280" w:rsidRPr="00CC2280">
                              <w:rPr>
                                <w:i/>
                                <w:iCs/>
                              </w:rPr>
                              <w:t xml:space="preserve">” </w:t>
                            </w:r>
                          </w:p>
                          <w:p w14:paraId="0A200ED3" w14:textId="229DC139" w:rsidR="00CC2280" w:rsidRPr="0011104F" w:rsidRDefault="00CC2280" w:rsidP="00CC22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– </w:t>
                            </w:r>
                            <w:r w:rsidR="00446403">
                              <w:rPr>
                                <w:b/>
                                <w:bCs/>
                              </w:rPr>
                              <w:t xml:space="preserve">Principal survey respondent. </w:t>
                            </w:r>
                            <w:r w:rsidRPr="00CC2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DAE08B5" w14:textId="5608B682" w:rsidR="00CC5E25" w:rsidRPr="00CC5E25" w:rsidRDefault="00CC5E25" w:rsidP="00CC5E2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C5E25">
                              <w:rPr>
                                <w:i/>
                                <w:iCs/>
                              </w:rPr>
                              <w:t>“</w:t>
                            </w:r>
                            <w:r w:rsidR="000D62C5" w:rsidRPr="000D62C5">
                              <w:rPr>
                                <w:i/>
                                <w:iCs/>
                                <w:lang w:val="en-AU"/>
                              </w:rPr>
                              <w:t>DI is one of the best changes to education [I] have seen. It has improved the culture of our school for all students, teachers and families</w:t>
                            </w:r>
                            <w:r w:rsidR="00B24C64">
                              <w:rPr>
                                <w:i/>
                                <w:iCs/>
                                <w:lang w:val="en-AU"/>
                              </w:rPr>
                              <w:t>.</w:t>
                            </w:r>
                            <w:r w:rsidR="000D62C5" w:rsidRPr="000D62C5">
                              <w:rPr>
                                <w:i/>
                                <w:iCs/>
                                <w:lang w:val="en-AU"/>
                              </w:rPr>
                              <w:t>”</w:t>
                            </w:r>
                          </w:p>
                          <w:p w14:paraId="0F230C70" w14:textId="2718B681" w:rsidR="00CC5E25" w:rsidRDefault="00CC5E25" w:rsidP="00CC5E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5E25">
                              <w:rPr>
                                <w:i/>
                                <w:iCs/>
                              </w:rPr>
                              <w:t xml:space="preserve"> – </w:t>
                            </w:r>
                            <w:r w:rsidR="00572A3A">
                              <w:rPr>
                                <w:b/>
                                <w:bCs/>
                              </w:rPr>
                              <w:t xml:space="preserve">Year 1 rollout school. </w:t>
                            </w:r>
                            <w:r w:rsidRPr="00CC5E2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C0F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45pt;margin-top:33.15pt;width:185.9pt;height:142.3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" fillcolor="#e7f7f8 [665]" stroked="f">
                <v:textbox>
                  <w:txbxContent>
                    <w:p w14:paraId="50630B9C" w14:textId="43FC65B9" w:rsidR="00CC2280" w:rsidRDefault="00CB495B" w:rsidP="00CC2280">
                      <w:pPr>
                        <w:rPr>
                          <w:i/>
                          <w:iCs/>
                        </w:rPr>
                      </w:pPr>
                      <w:r w:rsidRPr="00CB495B">
                        <w:rPr>
                          <w:i/>
                          <w:iCs/>
                          <w:lang w:val="en-AU"/>
                        </w:rPr>
                        <w:t>“I loved the profile meetings and saw them as a celebration of all of the adjustments that the school does on a daily basis.</w:t>
                      </w:r>
                      <w:r w:rsidR="00CC2280" w:rsidRPr="00CC2280">
                        <w:rPr>
                          <w:i/>
                          <w:iCs/>
                        </w:rPr>
                        <w:t xml:space="preserve">” </w:t>
                      </w:r>
                    </w:p>
                    <w:p w14:paraId="0A200ED3" w14:textId="229DC139" w:rsidR="00CC2280" w:rsidRPr="0011104F" w:rsidRDefault="00CC2280" w:rsidP="00CC228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– </w:t>
                      </w:r>
                      <w:r w:rsidR="00446403">
                        <w:rPr>
                          <w:b/>
                          <w:bCs/>
                        </w:rPr>
                        <w:t xml:space="preserve">Principal survey respondent. </w:t>
                      </w:r>
                      <w:r w:rsidRPr="00CC228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DAE08B5" w14:textId="5608B682" w:rsidR="00CC5E25" w:rsidRPr="00CC5E25" w:rsidRDefault="00CC5E25" w:rsidP="00CC5E25">
                      <w:pPr>
                        <w:rPr>
                          <w:i/>
                          <w:iCs/>
                        </w:rPr>
                      </w:pPr>
                      <w:r w:rsidRPr="00CC5E25">
                        <w:rPr>
                          <w:i/>
                          <w:iCs/>
                        </w:rPr>
                        <w:t>“</w:t>
                      </w:r>
                      <w:r w:rsidR="000D62C5" w:rsidRPr="000D62C5">
                        <w:rPr>
                          <w:i/>
                          <w:iCs/>
                          <w:lang w:val="en-AU"/>
                        </w:rPr>
                        <w:t>DI is one of the best changes to education [I] have seen. It has improved the culture of our school for all students, teachers and families</w:t>
                      </w:r>
                      <w:r w:rsidR="00B24C64">
                        <w:rPr>
                          <w:i/>
                          <w:iCs/>
                          <w:lang w:val="en-AU"/>
                        </w:rPr>
                        <w:t>.</w:t>
                      </w:r>
                      <w:r w:rsidR="000D62C5" w:rsidRPr="000D62C5">
                        <w:rPr>
                          <w:i/>
                          <w:iCs/>
                          <w:lang w:val="en-AU"/>
                        </w:rPr>
                        <w:t>”</w:t>
                      </w:r>
                    </w:p>
                    <w:p w14:paraId="0F230C70" w14:textId="2718B681" w:rsidR="00CC5E25" w:rsidRDefault="00CC5E25" w:rsidP="00CC5E25">
                      <w:pPr>
                        <w:rPr>
                          <w:b/>
                          <w:bCs/>
                        </w:rPr>
                      </w:pPr>
                      <w:r w:rsidRPr="00CC5E25">
                        <w:rPr>
                          <w:i/>
                          <w:iCs/>
                        </w:rPr>
                        <w:t xml:space="preserve"> – </w:t>
                      </w:r>
                      <w:r w:rsidR="00572A3A">
                        <w:rPr>
                          <w:b/>
                          <w:bCs/>
                        </w:rPr>
                        <w:t xml:space="preserve">Year 1 rollout school. </w:t>
                      </w:r>
                      <w:r w:rsidRPr="00CC5E2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A48" w:rsidRPr="00CF2AE8">
        <w:rPr>
          <w:i/>
          <w:iCs/>
          <w:sz w:val="22"/>
          <w:szCs w:val="22"/>
          <w:lang w:val="en-AU"/>
        </w:rPr>
        <w:t xml:space="preserve">Schools are reporting a greater understanding of the needs of students with a disability because of their involvement in </w:t>
      </w:r>
      <w:r w:rsidR="00A1252A">
        <w:rPr>
          <w:i/>
          <w:iCs/>
          <w:sz w:val="22"/>
          <w:szCs w:val="22"/>
          <w:lang w:val="en-AU"/>
        </w:rPr>
        <w:t>the reform</w:t>
      </w:r>
      <w:r w:rsidR="005C7A48" w:rsidRPr="00CF2AE8">
        <w:rPr>
          <w:i/>
          <w:iCs/>
          <w:sz w:val="22"/>
          <w:szCs w:val="22"/>
          <w:lang w:val="en-AU"/>
        </w:rPr>
        <w:t xml:space="preserve">. </w:t>
      </w:r>
    </w:p>
    <w:p w14:paraId="1C59FF24" w14:textId="602A8C74" w:rsidR="006E07D1" w:rsidRDefault="003473BE" w:rsidP="00FE580A">
      <w:pPr>
        <w:pStyle w:val="Figuretitle"/>
        <w:rPr>
          <w:b w:val="0"/>
          <w:color w:val="000000"/>
          <w:sz w:val="20"/>
          <w:szCs w:val="20"/>
          <w:lang w:val="en-GB"/>
        </w:rPr>
      </w:pPr>
      <w:r w:rsidRPr="36E515FC">
        <w:rPr>
          <w:b w:val="0"/>
          <w:color w:val="000000"/>
          <w:sz w:val="20"/>
          <w:szCs w:val="20"/>
          <w:lang w:val="en-GB"/>
        </w:rPr>
        <w:t xml:space="preserve">Improved understanding of need was most strongly associated with </w:t>
      </w:r>
      <w:r w:rsidR="003C2620" w:rsidRPr="36E515FC">
        <w:rPr>
          <w:b w:val="0"/>
          <w:color w:val="000000"/>
          <w:sz w:val="20"/>
          <w:szCs w:val="20"/>
          <w:lang w:val="en-GB"/>
        </w:rPr>
        <w:t xml:space="preserve">individualised </w:t>
      </w:r>
      <w:r w:rsidR="00843FFF">
        <w:rPr>
          <w:b w:val="0"/>
          <w:color w:val="000000"/>
          <w:sz w:val="20"/>
          <w:szCs w:val="20"/>
          <w:lang w:val="en-GB"/>
        </w:rPr>
        <w:t xml:space="preserve">(Tier 3) </w:t>
      </w:r>
      <w:r w:rsidR="003C2620" w:rsidRPr="36E515FC">
        <w:rPr>
          <w:b w:val="0"/>
          <w:color w:val="000000"/>
          <w:sz w:val="20"/>
          <w:szCs w:val="20"/>
          <w:lang w:val="en-GB"/>
        </w:rPr>
        <w:t xml:space="preserve">student </w:t>
      </w:r>
      <w:r w:rsidRPr="36E515FC">
        <w:rPr>
          <w:b w:val="0"/>
          <w:color w:val="000000"/>
          <w:sz w:val="20"/>
          <w:szCs w:val="20"/>
          <w:lang w:val="en-GB"/>
        </w:rPr>
        <w:t xml:space="preserve">support - schools appear to be improving their ability to identify students who would benefit from Tier 3 support and </w:t>
      </w:r>
      <w:r w:rsidR="0025345F" w:rsidRPr="36E515FC">
        <w:rPr>
          <w:b w:val="0"/>
          <w:color w:val="000000"/>
          <w:sz w:val="20"/>
          <w:szCs w:val="20"/>
          <w:lang w:val="en-GB"/>
        </w:rPr>
        <w:t xml:space="preserve">to </w:t>
      </w:r>
      <w:r w:rsidR="00FB6AEB" w:rsidRPr="36E515FC">
        <w:rPr>
          <w:b w:val="0"/>
          <w:color w:val="000000"/>
          <w:sz w:val="20"/>
          <w:szCs w:val="20"/>
          <w:lang w:val="en-GB"/>
        </w:rPr>
        <w:t>introduce</w:t>
      </w:r>
      <w:r w:rsidR="00DE33B6" w:rsidRPr="36E515FC">
        <w:rPr>
          <w:b w:val="0"/>
          <w:color w:val="000000"/>
          <w:sz w:val="20"/>
          <w:szCs w:val="20"/>
          <w:lang w:val="en-GB"/>
        </w:rPr>
        <w:t xml:space="preserve"> and document</w:t>
      </w:r>
      <w:r w:rsidR="00FB6AEB" w:rsidRPr="36E515FC">
        <w:rPr>
          <w:b w:val="0"/>
          <w:color w:val="000000"/>
          <w:sz w:val="20"/>
          <w:szCs w:val="20"/>
          <w:lang w:val="en-GB"/>
        </w:rPr>
        <w:t xml:space="preserve"> adjustments to support these students</w:t>
      </w:r>
      <w:r w:rsidR="00E24E94" w:rsidRPr="36E515FC">
        <w:rPr>
          <w:b w:val="0"/>
          <w:color w:val="000000"/>
          <w:sz w:val="20"/>
          <w:szCs w:val="20"/>
          <w:lang w:val="en-GB"/>
        </w:rPr>
        <w:t xml:space="preserve"> in their learning</w:t>
      </w:r>
      <w:r w:rsidRPr="36E515FC">
        <w:rPr>
          <w:b w:val="0"/>
          <w:color w:val="000000"/>
          <w:sz w:val="20"/>
          <w:szCs w:val="20"/>
          <w:lang w:val="en-GB"/>
        </w:rPr>
        <w:t xml:space="preserve">. </w:t>
      </w:r>
    </w:p>
    <w:p w14:paraId="057F2900" w14:textId="628D550A" w:rsidR="00D8516E" w:rsidRDefault="00270881" w:rsidP="00FE580A">
      <w:pPr>
        <w:pStyle w:val="Figuretitle"/>
        <w:rPr>
          <w:b w:val="0"/>
          <w:color w:val="000000"/>
          <w:sz w:val="20"/>
          <w:szCs w:val="20"/>
          <w:lang w:val="en-GB"/>
        </w:rPr>
      </w:pPr>
      <w:r>
        <w:rPr>
          <w:b w:val="0"/>
          <w:color w:val="000000"/>
          <w:sz w:val="20"/>
          <w:szCs w:val="20"/>
          <w:lang w:val="en-GB"/>
        </w:rPr>
        <w:t>O</w:t>
      </w:r>
      <w:r w:rsidR="003473BE" w:rsidRPr="003473BE">
        <w:rPr>
          <w:b w:val="0"/>
          <w:color w:val="000000"/>
          <w:sz w:val="20"/>
          <w:szCs w:val="20"/>
          <w:lang w:val="en-GB"/>
        </w:rPr>
        <w:t>ne of the key mechanisms driving this is the</w:t>
      </w:r>
      <w:r w:rsidR="00586CA6">
        <w:rPr>
          <w:b w:val="0"/>
          <w:color w:val="000000"/>
          <w:sz w:val="20"/>
          <w:szCs w:val="20"/>
          <w:lang w:val="en-GB"/>
        </w:rPr>
        <w:t xml:space="preserve"> Disability </w:t>
      </w:r>
      <w:r w:rsidR="00B85475">
        <w:rPr>
          <w:b w:val="0"/>
          <w:color w:val="000000"/>
          <w:sz w:val="20"/>
          <w:szCs w:val="20"/>
          <w:lang w:val="en-GB"/>
        </w:rPr>
        <w:t xml:space="preserve">Inclusion Profile (the </w:t>
      </w:r>
      <w:r w:rsidR="003473BE" w:rsidRPr="003473BE">
        <w:rPr>
          <w:b w:val="0"/>
          <w:color w:val="000000"/>
          <w:sz w:val="20"/>
          <w:szCs w:val="20"/>
          <w:lang w:val="en-GB"/>
        </w:rPr>
        <w:t>profile</w:t>
      </w:r>
      <w:r w:rsidR="00B85475">
        <w:rPr>
          <w:b w:val="0"/>
          <w:color w:val="000000"/>
          <w:sz w:val="20"/>
          <w:szCs w:val="20"/>
          <w:lang w:val="en-GB"/>
        </w:rPr>
        <w:t>)</w:t>
      </w:r>
      <w:r w:rsidR="003473BE" w:rsidRPr="003473BE">
        <w:rPr>
          <w:b w:val="0"/>
          <w:color w:val="000000"/>
          <w:sz w:val="20"/>
          <w:szCs w:val="20"/>
          <w:lang w:val="en-GB"/>
        </w:rPr>
        <w:t xml:space="preserve"> process</w:t>
      </w:r>
      <w:r>
        <w:rPr>
          <w:b w:val="0"/>
          <w:color w:val="000000"/>
          <w:sz w:val="20"/>
          <w:szCs w:val="20"/>
          <w:lang w:val="en-GB"/>
        </w:rPr>
        <w:t xml:space="preserve"> </w:t>
      </w:r>
      <w:r w:rsidR="00A915F9">
        <w:rPr>
          <w:b w:val="0"/>
          <w:color w:val="000000"/>
          <w:sz w:val="20"/>
          <w:szCs w:val="20"/>
          <w:lang w:val="en-GB"/>
        </w:rPr>
        <w:t>which</w:t>
      </w:r>
      <w:r>
        <w:rPr>
          <w:b w:val="0"/>
          <w:color w:val="000000"/>
          <w:sz w:val="20"/>
          <w:szCs w:val="20"/>
          <w:lang w:val="en-GB"/>
        </w:rPr>
        <w:t xml:space="preserve"> </w:t>
      </w:r>
      <w:r w:rsidR="00C76353">
        <w:rPr>
          <w:b w:val="0"/>
          <w:color w:val="000000"/>
          <w:sz w:val="20"/>
          <w:szCs w:val="20"/>
          <w:lang w:val="en-GB"/>
        </w:rPr>
        <w:t>encourages</w:t>
      </w:r>
      <w:r w:rsidR="00C76353" w:rsidRPr="003473BE">
        <w:rPr>
          <w:b w:val="0"/>
          <w:color w:val="000000"/>
          <w:sz w:val="20"/>
          <w:szCs w:val="20"/>
          <w:lang w:val="en-GB"/>
        </w:rPr>
        <w:t xml:space="preserve"> </w:t>
      </w:r>
      <w:r w:rsidR="003473BE" w:rsidRPr="003473BE">
        <w:rPr>
          <w:b w:val="0"/>
          <w:color w:val="000000"/>
          <w:sz w:val="20"/>
          <w:szCs w:val="20"/>
          <w:lang w:val="en-GB"/>
        </w:rPr>
        <w:t xml:space="preserve">schools to develop systems to record information on adjustments and to consistently embed </w:t>
      </w:r>
      <w:r w:rsidR="00C4795C">
        <w:rPr>
          <w:b w:val="0"/>
          <w:color w:val="000000"/>
          <w:sz w:val="20"/>
          <w:szCs w:val="20"/>
          <w:lang w:val="en-GB"/>
        </w:rPr>
        <w:t>inclusive practice</w:t>
      </w:r>
      <w:r w:rsidR="003473BE" w:rsidRPr="003473BE">
        <w:rPr>
          <w:b w:val="0"/>
          <w:color w:val="000000"/>
          <w:sz w:val="20"/>
          <w:szCs w:val="20"/>
          <w:lang w:val="en-GB"/>
        </w:rPr>
        <w:t>.</w:t>
      </w:r>
    </w:p>
    <w:p w14:paraId="3BF90A58" w14:textId="7406179C" w:rsidR="0022019A" w:rsidRPr="00D8516E" w:rsidRDefault="0022019A" w:rsidP="00FE580A">
      <w:pPr>
        <w:pStyle w:val="Figuretitle"/>
        <w:rPr>
          <w:b w:val="0"/>
          <w:color w:val="000000"/>
          <w:sz w:val="20"/>
          <w:szCs w:val="20"/>
          <w:lang w:val="en-GB"/>
        </w:rPr>
      </w:pPr>
      <w:r w:rsidRPr="0022019A">
        <w:rPr>
          <w:b w:val="0"/>
          <w:color w:val="000000"/>
          <w:sz w:val="20"/>
          <w:szCs w:val="20"/>
          <w:lang w:val="en-GB"/>
        </w:rPr>
        <w:t>Consultations further showed that school stakeholders believe the reforms will drive improvements to accountability and documentation practices</w:t>
      </w:r>
      <w:r w:rsidR="00490C5D">
        <w:rPr>
          <w:b w:val="0"/>
          <w:color w:val="000000"/>
          <w:sz w:val="20"/>
          <w:szCs w:val="20"/>
          <w:lang w:val="en-GB"/>
        </w:rPr>
        <w:t xml:space="preserve"> and the quality of the adjustments</w:t>
      </w:r>
      <w:r>
        <w:rPr>
          <w:b w:val="0"/>
          <w:color w:val="000000"/>
          <w:sz w:val="20"/>
          <w:szCs w:val="20"/>
          <w:lang w:val="en-GB"/>
        </w:rPr>
        <w:t xml:space="preserve">. </w:t>
      </w:r>
    </w:p>
    <w:p w14:paraId="7A54A01D" w14:textId="4AB29438" w:rsidR="00D8516E" w:rsidRPr="00B43F35" w:rsidRDefault="00490C5D" w:rsidP="00D8516E">
      <w:pPr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</w:pPr>
      <w:r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>The reform</w:t>
      </w:r>
      <w:r w:rsidR="00D8516E" w:rsidRPr="00B43F35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 xml:space="preserve"> has led to more support for students with disability. </w:t>
      </w:r>
    </w:p>
    <w:p w14:paraId="440C2D1C" w14:textId="77FC3062" w:rsidR="00E11B3C" w:rsidRDefault="00D8516E" w:rsidP="00C20BC0">
      <w:pPr>
        <w:rPr>
          <w:lang w:val="en-AU"/>
        </w:rPr>
      </w:pPr>
      <w:r w:rsidRPr="00D8516E">
        <w:t>Tier 3 allocations represent a higher overall allocation than under the P</w:t>
      </w:r>
      <w:r w:rsidR="00FA78D0">
        <w:t xml:space="preserve">rogram for </w:t>
      </w:r>
      <w:r w:rsidR="00FA78D0" w:rsidRPr="00D8516E">
        <w:t>S</w:t>
      </w:r>
      <w:r w:rsidR="00FA78D0">
        <w:t xml:space="preserve">tudents with </w:t>
      </w:r>
      <w:r w:rsidRPr="00D8516E">
        <w:t>D</w:t>
      </w:r>
      <w:r w:rsidR="00FA78D0">
        <w:t>isabilit</w:t>
      </w:r>
      <w:r w:rsidR="00060EFD">
        <w:t>ies</w:t>
      </w:r>
      <w:r w:rsidRPr="00D8516E">
        <w:t xml:space="preserve"> </w:t>
      </w:r>
      <w:r w:rsidR="00C76353">
        <w:t xml:space="preserve">and is </w:t>
      </w:r>
      <w:r w:rsidRPr="00D8516E">
        <w:t>being distributed to a broader cohort of students</w:t>
      </w:r>
      <w:r w:rsidR="00500BEA">
        <w:t>. U</w:t>
      </w:r>
      <w:r w:rsidR="00E25403">
        <w:t xml:space="preserve">nder </w:t>
      </w:r>
      <w:r w:rsidR="00490C5D">
        <w:t>the reform</w:t>
      </w:r>
      <w:r w:rsidR="00236D61">
        <w:t>,</w:t>
      </w:r>
      <w:r w:rsidR="000E5ECB">
        <w:t xml:space="preserve"> </w:t>
      </w:r>
      <w:r w:rsidRPr="00D8516E">
        <w:t xml:space="preserve">all schools </w:t>
      </w:r>
      <w:r w:rsidR="00A5297C">
        <w:t xml:space="preserve">also </w:t>
      </w:r>
      <w:r w:rsidRPr="00D8516E">
        <w:t>have access to a new stream of Tier 2 funding.</w:t>
      </w:r>
      <w:r w:rsidR="00236D61">
        <w:t xml:space="preserve"> </w:t>
      </w:r>
      <w:r w:rsidR="00236D61" w:rsidRPr="00236D61">
        <w:rPr>
          <w:lang w:val="en-AU"/>
        </w:rPr>
        <w:t>Tier 2 resourcing has contributed to enhanced delivery of supports for learners with disability.</w:t>
      </w:r>
    </w:p>
    <w:p w14:paraId="1D058DE9" w14:textId="20D92188" w:rsidR="00E71740" w:rsidRPr="002601E4" w:rsidRDefault="00C5429C" w:rsidP="00C20BC0">
      <w:pPr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</w:pPr>
      <w:r w:rsidRPr="002601E4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>The reform</w:t>
      </w:r>
      <w:r w:rsidR="001568B2" w:rsidRPr="002601E4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 xml:space="preserve"> is </w:t>
      </w:r>
      <w:r w:rsidR="00D74440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>strengthening</w:t>
      </w:r>
      <w:r w:rsidR="00BF1C69" w:rsidRPr="002601E4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 xml:space="preserve"> inclusive practice. </w:t>
      </w:r>
    </w:p>
    <w:p w14:paraId="4A6D5112" w14:textId="012C15EB" w:rsidR="009B29DE" w:rsidRDefault="00E71740" w:rsidP="009B29DE">
      <w:pPr>
        <w:rPr>
          <w:lang w:val="en-AU"/>
        </w:rPr>
      </w:pPr>
      <w:r w:rsidRPr="00E71740">
        <w:rPr>
          <w:lang w:val="en-AU"/>
        </w:rPr>
        <w:t>The evaluation gathered specific evidence that prolonged experience with the reform is associated with enhanced inclusive practice</w:t>
      </w:r>
      <w:r w:rsidR="00551133">
        <w:rPr>
          <w:lang w:val="en-AU"/>
        </w:rPr>
        <w:t xml:space="preserve">, </w:t>
      </w:r>
      <w:r w:rsidR="00551133" w:rsidRPr="00551133">
        <w:t>as reported by school leaders</w:t>
      </w:r>
      <w:r w:rsidRPr="00E71740">
        <w:rPr>
          <w:lang w:val="en-AU"/>
        </w:rPr>
        <w:t>.</w:t>
      </w:r>
      <w:r w:rsidR="00513875">
        <w:rPr>
          <w:lang w:val="en-AU"/>
        </w:rPr>
        <w:t xml:space="preserve"> </w:t>
      </w:r>
      <w:r w:rsidR="00513875" w:rsidRPr="00513875">
        <w:rPr>
          <w:lang w:val="en-AU"/>
        </w:rPr>
        <w:t xml:space="preserve">Agreement to questions regarding change in practice increased year on year and </w:t>
      </w:r>
      <w:r w:rsidR="006A2E3A">
        <w:rPr>
          <w:lang w:val="en-AU"/>
        </w:rPr>
        <w:t>was</w:t>
      </w:r>
      <w:r w:rsidR="00513875" w:rsidRPr="00513875">
        <w:rPr>
          <w:lang w:val="en-AU"/>
        </w:rPr>
        <w:t xml:space="preserve"> higher for earlier adopting schools</w:t>
      </w:r>
      <w:r w:rsidR="00513875">
        <w:rPr>
          <w:lang w:val="en-AU"/>
        </w:rPr>
        <w:t xml:space="preserve">. </w:t>
      </w:r>
    </w:p>
    <w:p w14:paraId="53649578" w14:textId="6E707663" w:rsidR="00C51292" w:rsidRDefault="009B29DE" w:rsidP="00C20BC0">
      <w:pPr>
        <w:rPr>
          <w:lang w:val="en-AU"/>
        </w:rPr>
      </w:pPr>
      <w:r w:rsidRPr="009B29DE">
        <w:rPr>
          <w:lang w:val="en-AU"/>
        </w:rPr>
        <w:lastRenderedPageBreak/>
        <w:t xml:space="preserve">Consulted school staff from Year 1 and 2 </w:t>
      </w:r>
      <w:r>
        <w:rPr>
          <w:lang w:val="en-AU"/>
        </w:rPr>
        <w:t xml:space="preserve">rollout </w:t>
      </w:r>
      <w:r w:rsidRPr="009B29DE">
        <w:rPr>
          <w:lang w:val="en-AU"/>
        </w:rPr>
        <w:t xml:space="preserve">schools are more likely to report a clear vision </w:t>
      </w:r>
      <w:r w:rsidR="00C51BDD">
        <w:rPr>
          <w:lang w:val="en-AU"/>
        </w:rPr>
        <w:t xml:space="preserve">for inclusion </w:t>
      </w:r>
      <w:r w:rsidRPr="009B29DE">
        <w:rPr>
          <w:lang w:val="en-AU"/>
        </w:rPr>
        <w:t>being set by the</w:t>
      </w:r>
      <w:r w:rsidR="00AB1A4B">
        <w:rPr>
          <w:lang w:val="en-AU"/>
        </w:rPr>
        <w:t>ir</w:t>
      </w:r>
      <w:r w:rsidRPr="009B29DE">
        <w:rPr>
          <w:lang w:val="en-AU"/>
        </w:rPr>
        <w:t xml:space="preserve"> leadership team</w:t>
      </w:r>
      <w:r w:rsidR="00C51BDD">
        <w:rPr>
          <w:lang w:val="en-AU"/>
        </w:rPr>
        <w:t>.</w:t>
      </w:r>
      <w:r w:rsidRPr="009B29DE">
        <w:rPr>
          <w:lang w:val="en-AU"/>
        </w:rPr>
        <w:t xml:space="preserve"> The evaluation was</w:t>
      </w:r>
      <w:r w:rsidR="00C12A56">
        <w:rPr>
          <w:lang w:val="en-AU"/>
        </w:rPr>
        <w:t xml:space="preserve"> also</w:t>
      </w:r>
      <w:r w:rsidRPr="009B29DE">
        <w:rPr>
          <w:lang w:val="en-AU"/>
        </w:rPr>
        <w:t xml:space="preserve"> more likely to observe working groups and learning communities dedicated to inclusive practice in the classroom</w:t>
      </w:r>
      <w:r w:rsidR="00C12A56">
        <w:rPr>
          <w:lang w:val="en-AU"/>
        </w:rPr>
        <w:t xml:space="preserve"> in these schools</w:t>
      </w:r>
      <w:r w:rsidRPr="009B29DE">
        <w:rPr>
          <w:lang w:val="en-AU"/>
        </w:rPr>
        <w:t xml:space="preserve">. </w:t>
      </w:r>
    </w:p>
    <w:p w14:paraId="197EAC3D" w14:textId="0729E32F" w:rsidR="004B1841" w:rsidRDefault="004B1841" w:rsidP="003A1654">
      <w:pPr>
        <w:pStyle w:val="Heading3"/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</w:pPr>
      <w:r w:rsidRPr="00FE63BA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Consultations have shown that participation in the </w:t>
      </w:r>
      <w:r w:rsidR="00EF3F19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reform’s flagship system-building initiatives, such as the </w:t>
      </w:r>
      <w:hyperlink r:id="rId12" w:history="1">
        <w:r w:rsidRPr="004970D1">
          <w:rPr>
            <w:rStyle w:val="Hyperlink"/>
            <w:rFonts w:asciiTheme="minorHAnsi" w:eastAsiaTheme="minorHAnsi" w:hAnsiTheme="minorHAnsi" w:cstheme="minorBidi"/>
            <w:bCs w:val="0"/>
            <w:sz w:val="20"/>
            <w:szCs w:val="20"/>
            <w:lang w:val="en-AU"/>
          </w:rPr>
          <w:t>Diverse Learners Hub</w:t>
        </w:r>
      </w:hyperlink>
      <w:r w:rsidRPr="00FE63BA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 and </w:t>
      </w:r>
      <w:hyperlink r:id="rId13" w:history="1">
        <w:r w:rsidRPr="00341F18">
          <w:rPr>
            <w:rStyle w:val="Hyperlink"/>
            <w:rFonts w:asciiTheme="minorHAnsi" w:eastAsiaTheme="minorHAnsi" w:hAnsiTheme="minorHAnsi" w:cstheme="minorBidi"/>
            <w:bCs w:val="0"/>
            <w:sz w:val="20"/>
            <w:szCs w:val="20"/>
            <w:lang w:val="en-AU"/>
          </w:rPr>
          <w:t>Inclusion Outreach Coaching</w:t>
        </w:r>
      </w:hyperlink>
      <w:r w:rsidRPr="00FE63BA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 initiatives are instrumental in changing school practice and culture</w:t>
      </w:r>
      <w:r w:rsidR="00FE63BA" w:rsidRPr="00FE63BA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. Other influential factors include participation in the post-graduate scholarship programs, engaged and aware school leadership and effective regional relationships. </w:t>
      </w:r>
      <w:r w:rsidRPr="00FE63BA">
        <w:rPr>
          <w:rFonts w:asciiTheme="minorHAnsi" w:eastAsiaTheme="minorHAnsi" w:hAnsiTheme="minorHAnsi" w:cstheme="minorBidi"/>
          <w:bCs w:val="0"/>
          <w:color w:val="000000"/>
          <w:sz w:val="20"/>
          <w:szCs w:val="20"/>
          <w:lang w:val="en-AU"/>
        </w:rPr>
        <w:t xml:space="preserve"> </w:t>
      </w:r>
    </w:p>
    <w:p w14:paraId="0B23F9CD" w14:textId="15D4DED8" w:rsidR="00B60ACA" w:rsidRPr="008D7995" w:rsidRDefault="00CC5E25" w:rsidP="003A1654">
      <w:pPr>
        <w:pStyle w:val="Heading3"/>
        <w:rPr>
          <w:sz w:val="22"/>
          <w:szCs w:val="22"/>
        </w:rPr>
      </w:pPr>
      <w:r w:rsidRPr="00AF0791">
        <w:rPr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5BDDE81" wp14:editId="6CB2E5AE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2047875" cy="792480"/>
                <wp:effectExtent l="0" t="0" r="9525" b="7620"/>
                <wp:wrapSquare wrapText="bothSides"/>
                <wp:docPr id="801280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928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458B4" w14:textId="0C42A146" w:rsidR="00265CB2" w:rsidRDefault="00265CB2" w:rsidP="00265CB2">
                            <w:pPr>
                              <w:rPr>
                                <w:i/>
                                <w:iCs/>
                                <w:lang w:val="en-AU"/>
                              </w:rPr>
                            </w:pPr>
                            <w:r w:rsidRPr="00265CB2">
                              <w:rPr>
                                <w:i/>
                                <w:iCs/>
                                <w:lang w:val="en-AU"/>
                              </w:rPr>
                              <w:t>"</w:t>
                            </w:r>
                            <w:r>
                              <w:rPr>
                                <w:i/>
                                <w:iCs/>
                                <w:lang w:val="en-AU"/>
                              </w:rPr>
                              <w:t>T</w:t>
                            </w:r>
                            <w:r w:rsidRPr="00265CB2">
                              <w:rPr>
                                <w:i/>
                                <w:iCs/>
                                <w:lang w:val="en-AU"/>
                              </w:rPr>
                              <w:t>eachers now focus on what we excel at, which feels different from before</w:t>
                            </w:r>
                            <w:r w:rsidR="00B24C64">
                              <w:rPr>
                                <w:i/>
                                <w:iCs/>
                                <w:lang w:val="en-AU"/>
                              </w:rPr>
                              <w:t>.</w:t>
                            </w:r>
                            <w:r w:rsidRPr="00265CB2">
                              <w:rPr>
                                <w:i/>
                                <w:iCs/>
                                <w:lang w:val="en-AU"/>
                              </w:rPr>
                              <w:t>”</w:t>
                            </w:r>
                          </w:p>
                          <w:p w14:paraId="68FBE441" w14:textId="46271FA3" w:rsidR="00265CB2" w:rsidRPr="00265CB2" w:rsidRDefault="00265CB2" w:rsidP="00265C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5CB2">
                              <w:rPr>
                                <w:i/>
                                <w:iCs/>
                              </w:rPr>
                              <w:t xml:space="preserve">–  </w:t>
                            </w:r>
                            <w:r>
                              <w:rPr>
                                <w:b/>
                                <w:bCs/>
                                <w:lang w:val="en-AU"/>
                              </w:rPr>
                              <w:t>Student</w:t>
                            </w:r>
                            <w:r w:rsidR="00D4019D">
                              <w:rPr>
                                <w:b/>
                                <w:bCs/>
                                <w:lang w:val="en-AU"/>
                              </w:rPr>
                              <w:t xml:space="preserve"> </w:t>
                            </w:r>
                            <w:r w:rsidR="00F303CF">
                              <w:rPr>
                                <w:b/>
                                <w:bCs/>
                                <w:lang w:val="en-AU"/>
                              </w:rPr>
                              <w:t xml:space="preserve"> </w:t>
                            </w:r>
                            <w:r w:rsidRPr="00265CB2">
                              <w:rPr>
                                <w:b/>
                                <w:bCs/>
                                <w:lang w:val="en-AU"/>
                              </w:rPr>
                              <w:t xml:space="preserve"> </w:t>
                            </w:r>
                            <w:r w:rsidRPr="00265CB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124545B" w14:textId="7C801DF7" w:rsidR="00CC5E25" w:rsidRDefault="00CC5E25" w:rsidP="00CC5E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5E2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DE81" id="_x0000_s1027" type="#_x0000_t202" style="position:absolute;margin-left:0;margin-top:7.7pt;width:161.25pt;height:62.4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" fillcolor="#e7f7f8 [665]" stroked="f">
                <v:textbox>
                  <w:txbxContent>
                    <w:p w14:paraId="70F458B4" w14:textId="0C42A146" w:rsidR="00265CB2" w:rsidRDefault="00265CB2" w:rsidP="00265CB2">
                      <w:pPr>
                        <w:rPr>
                          <w:i/>
                          <w:iCs/>
                          <w:lang w:val="en-AU"/>
                        </w:rPr>
                      </w:pPr>
                      <w:r w:rsidRPr="00265CB2">
                        <w:rPr>
                          <w:i/>
                          <w:iCs/>
                          <w:lang w:val="en-AU"/>
                        </w:rPr>
                        <w:t>"</w:t>
                      </w:r>
                      <w:r>
                        <w:rPr>
                          <w:i/>
                          <w:iCs/>
                          <w:lang w:val="en-AU"/>
                        </w:rPr>
                        <w:t>T</w:t>
                      </w:r>
                      <w:r w:rsidRPr="00265CB2">
                        <w:rPr>
                          <w:i/>
                          <w:iCs/>
                          <w:lang w:val="en-AU"/>
                        </w:rPr>
                        <w:t>eachers now focus on what we excel at, which feels different from before</w:t>
                      </w:r>
                      <w:r w:rsidR="00B24C64">
                        <w:rPr>
                          <w:i/>
                          <w:iCs/>
                          <w:lang w:val="en-AU"/>
                        </w:rPr>
                        <w:t>.</w:t>
                      </w:r>
                      <w:r w:rsidRPr="00265CB2">
                        <w:rPr>
                          <w:i/>
                          <w:iCs/>
                          <w:lang w:val="en-AU"/>
                        </w:rPr>
                        <w:t>”</w:t>
                      </w:r>
                    </w:p>
                    <w:p w14:paraId="68FBE441" w14:textId="46271FA3" w:rsidR="00265CB2" w:rsidRPr="00265CB2" w:rsidRDefault="00265CB2" w:rsidP="00265CB2">
                      <w:pPr>
                        <w:rPr>
                          <w:b/>
                          <w:bCs/>
                        </w:rPr>
                      </w:pPr>
                      <w:r w:rsidRPr="00265CB2">
                        <w:rPr>
                          <w:i/>
                          <w:iCs/>
                        </w:rPr>
                        <w:t xml:space="preserve">–  </w:t>
                      </w:r>
                      <w:r>
                        <w:rPr>
                          <w:b/>
                          <w:bCs/>
                          <w:lang w:val="en-AU"/>
                        </w:rPr>
                        <w:t>Student</w:t>
                      </w:r>
                      <w:r w:rsidR="00D4019D">
                        <w:rPr>
                          <w:b/>
                          <w:bCs/>
                          <w:lang w:val="en-AU"/>
                        </w:rPr>
                        <w:t xml:space="preserve"> </w:t>
                      </w:r>
                      <w:r w:rsidR="00F303CF">
                        <w:rPr>
                          <w:b/>
                          <w:bCs/>
                          <w:lang w:val="en-AU"/>
                        </w:rPr>
                        <w:t xml:space="preserve"> </w:t>
                      </w:r>
                      <w:r w:rsidRPr="00265CB2">
                        <w:rPr>
                          <w:b/>
                          <w:bCs/>
                          <w:lang w:val="en-AU"/>
                        </w:rPr>
                        <w:t xml:space="preserve"> </w:t>
                      </w:r>
                      <w:r w:rsidRPr="00265CB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124545B" w14:textId="7C801DF7" w:rsidR="00CC5E25" w:rsidRDefault="00CC5E25" w:rsidP="00CC5E25">
                      <w:pPr>
                        <w:rPr>
                          <w:b/>
                          <w:bCs/>
                        </w:rPr>
                      </w:pPr>
                      <w:r w:rsidRPr="00CC5E2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0C5D">
        <w:rPr>
          <w:i/>
          <w:iCs/>
          <w:sz w:val="22"/>
          <w:szCs w:val="22"/>
        </w:rPr>
        <w:t xml:space="preserve">The reform </w:t>
      </w:r>
      <w:r w:rsidR="00132998" w:rsidRPr="00AF0791">
        <w:rPr>
          <w:i/>
          <w:iCs/>
          <w:sz w:val="22"/>
          <w:szCs w:val="22"/>
        </w:rPr>
        <w:t xml:space="preserve">is </w:t>
      </w:r>
      <w:r w:rsidR="00DF4B4B">
        <w:rPr>
          <w:i/>
          <w:iCs/>
          <w:sz w:val="22"/>
          <w:szCs w:val="22"/>
        </w:rPr>
        <w:t>supporting meaningful</w:t>
      </w:r>
      <w:r w:rsidR="00132998" w:rsidRPr="00AF0791">
        <w:rPr>
          <w:i/>
          <w:iCs/>
          <w:sz w:val="22"/>
          <w:szCs w:val="22"/>
          <w:lang w:val="en-AU"/>
        </w:rPr>
        <w:t xml:space="preserve"> collaboration with students and families</w:t>
      </w:r>
      <w:r w:rsidR="00986DE6" w:rsidRPr="00986DE6">
        <w:rPr>
          <w:sz w:val="22"/>
          <w:szCs w:val="22"/>
          <w:lang w:val="en-AU"/>
        </w:rPr>
        <w:t>.</w:t>
      </w:r>
    </w:p>
    <w:p w14:paraId="7FF28732" w14:textId="2275D312" w:rsidR="00B60ACA" w:rsidRDefault="00D523A6" w:rsidP="003A1654">
      <w:pPr>
        <w:rPr>
          <w:lang w:val="en-AU"/>
        </w:rPr>
      </w:pPr>
      <w:r w:rsidRPr="00D523A6">
        <w:rPr>
          <w:lang w:val="en-AU"/>
        </w:rPr>
        <w:t>Students in many schools</w:t>
      </w:r>
      <w:r w:rsidR="00857C44">
        <w:rPr>
          <w:lang w:val="en-AU"/>
        </w:rPr>
        <w:t xml:space="preserve">, </w:t>
      </w:r>
      <w:r w:rsidRPr="00D523A6">
        <w:rPr>
          <w:lang w:val="en-AU"/>
        </w:rPr>
        <w:t xml:space="preserve">particularly those engaged in </w:t>
      </w:r>
      <w:r w:rsidR="00D81518">
        <w:rPr>
          <w:lang w:val="en-AU"/>
        </w:rPr>
        <w:t>profiles</w:t>
      </w:r>
      <w:r w:rsidR="00857C44">
        <w:rPr>
          <w:lang w:val="en-AU"/>
        </w:rPr>
        <w:t>,</w:t>
      </w:r>
      <w:r w:rsidRPr="00D523A6">
        <w:rPr>
          <w:lang w:val="en-AU"/>
        </w:rPr>
        <w:t xml:space="preserve"> felt that schools were engaging with them more meaningfully and effectively than they had done before</w:t>
      </w:r>
      <w:r w:rsidR="00D94E88">
        <w:rPr>
          <w:lang w:val="en-AU"/>
        </w:rPr>
        <w:t>.</w:t>
      </w:r>
    </w:p>
    <w:p w14:paraId="2A016911" w14:textId="7CEA487E" w:rsidR="00D94E88" w:rsidRDefault="00D94E88" w:rsidP="003A1654">
      <w:pPr>
        <w:rPr>
          <w:lang w:val="en-AU"/>
        </w:rPr>
      </w:pPr>
      <w:r w:rsidRPr="004E27C6">
        <w:rPr>
          <w:lang w:val="en-AU"/>
        </w:rPr>
        <w:t>Consultations further showed that school stakeholders believe the reform will enable them to enhance positive engagement with parents and communities.</w:t>
      </w:r>
    </w:p>
    <w:p w14:paraId="07819272" w14:textId="01708EBD" w:rsidR="000E46E2" w:rsidRPr="002E01C6" w:rsidRDefault="000E46E2" w:rsidP="003A1654">
      <w:pPr>
        <w:rPr>
          <w:lang w:val="en-AU"/>
        </w:rPr>
      </w:pPr>
      <w:r w:rsidRPr="000E46E2">
        <w:rPr>
          <w:lang w:val="en-US"/>
        </w:rPr>
        <w:t xml:space="preserve">Of those who completed the </w:t>
      </w:r>
      <w:r w:rsidR="002E01C6">
        <w:rPr>
          <w:lang w:val="en-US"/>
        </w:rPr>
        <w:t xml:space="preserve">evaluation’s </w:t>
      </w:r>
      <w:r w:rsidRPr="000E46E2">
        <w:rPr>
          <w:lang w:val="en-US"/>
        </w:rPr>
        <w:t>2024 Family Survey, 73% reported a good or excellent experience associated with</w:t>
      </w:r>
      <w:r w:rsidR="00BC5A08">
        <w:t xml:space="preserve"> the</w:t>
      </w:r>
      <w:r w:rsidR="00BC5A08" w:rsidRPr="00BC5A08">
        <w:t xml:space="preserve"> profile meeting and the</w:t>
      </w:r>
      <w:r w:rsidR="002342D8">
        <w:t>ir</w:t>
      </w:r>
      <w:r w:rsidR="00BC5A08" w:rsidRPr="00BC5A08">
        <w:t xml:space="preserve"> facilitator</w:t>
      </w:r>
      <w:r w:rsidR="002342D8">
        <w:t>.</w:t>
      </w:r>
    </w:p>
    <w:p w14:paraId="2F144E0C" w14:textId="4E8C7270" w:rsidR="008D7995" w:rsidRPr="00EF5F22" w:rsidRDefault="008D7995" w:rsidP="008D7995">
      <w:pPr>
        <w:pStyle w:val="Heading2"/>
        <w:rPr>
          <w:b/>
          <w:bCs w:val="0"/>
        </w:rPr>
      </w:pPr>
      <w:r w:rsidRPr="00EF5F22">
        <w:rPr>
          <w:b/>
          <w:bCs w:val="0"/>
        </w:rPr>
        <w:t xml:space="preserve">Opportunities for improvement </w:t>
      </w:r>
    </w:p>
    <w:p w14:paraId="266AC965" w14:textId="1AF509D3" w:rsidR="00A175BF" w:rsidRPr="0099651B" w:rsidRDefault="00F85793" w:rsidP="002762A6">
      <w:pPr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</w:pPr>
      <w:r w:rsidRPr="0099651B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>Establishing school practices to reduce administrative burden</w:t>
      </w:r>
    </w:p>
    <w:p w14:paraId="1F5FCE22" w14:textId="342F604E" w:rsidR="006A7A3C" w:rsidRPr="00305C8F" w:rsidRDefault="006A7A3C" w:rsidP="00B9448F">
      <w:r w:rsidRPr="006A7A3C">
        <w:rPr>
          <w:lang w:val="en-AU"/>
        </w:rPr>
        <w:t>Although the profile is recognised as a valuable tool that supports collaborative and reflective planning for student needs</w:t>
      </w:r>
      <w:r w:rsidR="004A4DFF">
        <w:rPr>
          <w:lang w:val="en-AU"/>
        </w:rPr>
        <w:t>,</w:t>
      </w:r>
      <w:r w:rsidRPr="006A7A3C">
        <w:rPr>
          <w:lang w:val="en-AU"/>
        </w:rPr>
        <w:t xml:space="preserve"> i</w:t>
      </w:r>
      <w:r w:rsidR="004A4DFF">
        <w:rPr>
          <w:lang w:val="en-AU"/>
        </w:rPr>
        <w:t>t can be</w:t>
      </w:r>
      <w:r w:rsidRPr="006A7A3C">
        <w:rPr>
          <w:lang w:val="en-AU"/>
        </w:rPr>
        <w:t xml:space="preserve"> particularly challenging for </w:t>
      </w:r>
      <w:r w:rsidRPr="00305C8F">
        <w:t>small schools and secondary schools, where staffing flexibility is often limited.</w:t>
      </w:r>
    </w:p>
    <w:p w14:paraId="7046CC9D" w14:textId="188E4CBB" w:rsidR="00C76353" w:rsidRDefault="00D334F7" w:rsidP="00305C8F">
      <w:r>
        <w:t>R</w:t>
      </w:r>
      <w:r w:rsidR="00305C8F" w:rsidRPr="00305C8F">
        <w:t xml:space="preserve">ollout year appears to be an important contributing factor – schools that had been implementing the reform for a longer period were more likely to report reduced workload pressure. </w:t>
      </w:r>
    </w:p>
    <w:p w14:paraId="74C4F05B" w14:textId="6086786B" w:rsidR="00305C8F" w:rsidRPr="00305C8F" w:rsidRDefault="00305C8F" w:rsidP="00305C8F">
      <w:r w:rsidRPr="00305C8F">
        <w:t xml:space="preserve">The </w:t>
      </w:r>
      <w:r w:rsidR="00C76353">
        <w:t xml:space="preserve">evaluation identified </w:t>
      </w:r>
      <w:r w:rsidRPr="00305C8F">
        <w:t xml:space="preserve">the following </w:t>
      </w:r>
      <w:r w:rsidR="00C76353">
        <w:t>enabling</w:t>
      </w:r>
      <w:r w:rsidR="00C76353" w:rsidRPr="00305C8F">
        <w:t xml:space="preserve"> </w:t>
      </w:r>
      <w:r w:rsidRPr="00305C8F">
        <w:t xml:space="preserve">factors supported more manageable implementation: </w:t>
      </w:r>
    </w:p>
    <w:p w14:paraId="51F660A9" w14:textId="21C69670" w:rsidR="005F438D" w:rsidRPr="00305C8F" w:rsidRDefault="005F438D" w:rsidP="005F438D">
      <w:pPr>
        <w:pStyle w:val="ListParagraph"/>
        <w:numPr>
          <w:ilvl w:val="0"/>
          <w:numId w:val="32"/>
        </w:numPr>
      </w:pPr>
      <w:r w:rsidRPr="00305C8F">
        <w:t xml:space="preserve">a </w:t>
      </w:r>
      <w:r w:rsidRPr="00A12E3C">
        <w:rPr>
          <w:b/>
          <w:bCs/>
        </w:rPr>
        <w:t xml:space="preserve">dedicated </w:t>
      </w:r>
      <w:r>
        <w:rPr>
          <w:b/>
          <w:bCs/>
        </w:rPr>
        <w:t>Disability Inclusion</w:t>
      </w:r>
      <w:r w:rsidRPr="00A12E3C">
        <w:rPr>
          <w:b/>
          <w:bCs/>
        </w:rPr>
        <w:t xml:space="preserve"> </w:t>
      </w:r>
      <w:r w:rsidR="00C76353">
        <w:rPr>
          <w:b/>
          <w:bCs/>
        </w:rPr>
        <w:t xml:space="preserve">leader or </w:t>
      </w:r>
      <w:r w:rsidRPr="00A12E3C">
        <w:rPr>
          <w:b/>
          <w:bCs/>
        </w:rPr>
        <w:t>coordinator</w:t>
      </w:r>
      <w:r w:rsidRPr="00305C8F">
        <w:t xml:space="preserve"> responsible for overseeing </w:t>
      </w:r>
      <w:r w:rsidR="00C76353">
        <w:t>implementation and improvement activities in their school</w:t>
      </w:r>
      <w:r w:rsidRPr="00305C8F">
        <w:t xml:space="preserve"> </w:t>
      </w:r>
    </w:p>
    <w:p w14:paraId="73E709DC" w14:textId="4A732663" w:rsidR="005F438D" w:rsidRPr="00305C8F" w:rsidRDefault="005F438D" w:rsidP="005F438D">
      <w:pPr>
        <w:pStyle w:val="ListParagraph"/>
        <w:numPr>
          <w:ilvl w:val="0"/>
          <w:numId w:val="32"/>
        </w:numPr>
      </w:pPr>
      <w:r w:rsidRPr="00A12E3C">
        <w:rPr>
          <w:b/>
          <w:bCs/>
        </w:rPr>
        <w:t>fewer staffing constraints,</w:t>
      </w:r>
      <w:r w:rsidRPr="00305C8F">
        <w:t xml:space="preserve"> providing flexibility to release staff when needed </w:t>
      </w:r>
    </w:p>
    <w:p w14:paraId="01722E4B" w14:textId="3B63A93B" w:rsidR="005F438D" w:rsidRPr="00305C8F" w:rsidRDefault="005F438D" w:rsidP="005F438D">
      <w:pPr>
        <w:pStyle w:val="ListParagraph"/>
        <w:numPr>
          <w:ilvl w:val="0"/>
          <w:numId w:val="32"/>
        </w:numPr>
      </w:pPr>
      <w:r w:rsidRPr="00305C8F">
        <w:t xml:space="preserve">a </w:t>
      </w:r>
      <w:r w:rsidRPr="00A12E3C">
        <w:rPr>
          <w:b/>
          <w:bCs/>
        </w:rPr>
        <w:t>strong, embedded culture of inclusion</w:t>
      </w:r>
      <w:r w:rsidRPr="00305C8F">
        <w:t xml:space="preserve">, with </w:t>
      </w:r>
      <w:r>
        <w:t>Disability Inclusion</w:t>
      </w:r>
      <w:r w:rsidRPr="00305C8F">
        <w:t xml:space="preserve"> positioned as a clear school priority </w:t>
      </w:r>
    </w:p>
    <w:p w14:paraId="40142485" w14:textId="77777777" w:rsidR="005F438D" w:rsidRPr="00305C8F" w:rsidRDefault="005F438D" w:rsidP="005F438D">
      <w:pPr>
        <w:pStyle w:val="ListParagraph"/>
        <w:numPr>
          <w:ilvl w:val="0"/>
          <w:numId w:val="32"/>
        </w:numPr>
      </w:pPr>
      <w:r w:rsidRPr="00A12E3C">
        <w:rPr>
          <w:b/>
          <w:bCs/>
        </w:rPr>
        <w:t>clear, established internal systems and procedures</w:t>
      </w:r>
      <w:r w:rsidRPr="00305C8F">
        <w:t xml:space="preserve">, which streamlined the adjustment and evidence collection process </w:t>
      </w:r>
    </w:p>
    <w:p w14:paraId="5FC9DA78" w14:textId="77777777" w:rsidR="005F438D" w:rsidRPr="00305C8F" w:rsidRDefault="005F438D" w:rsidP="005F438D">
      <w:pPr>
        <w:pStyle w:val="ListParagraph"/>
        <w:numPr>
          <w:ilvl w:val="0"/>
          <w:numId w:val="32"/>
        </w:numPr>
      </w:pPr>
      <w:r w:rsidRPr="00A12E3C">
        <w:rPr>
          <w:b/>
          <w:bCs/>
        </w:rPr>
        <w:t>cumulative staff experience and confidence</w:t>
      </w:r>
      <w:r w:rsidRPr="00305C8F">
        <w:t xml:space="preserve"> gained from sustained engagement with the profile process. </w:t>
      </w:r>
    </w:p>
    <w:p w14:paraId="575049C2" w14:textId="5ABEC78C" w:rsidR="00B9044C" w:rsidRPr="00F903D3" w:rsidRDefault="0026416A" w:rsidP="003946DA">
      <w:pPr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</w:pPr>
      <w:r w:rsidRPr="00F903D3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>Addressing the p</w:t>
      </w:r>
      <w:r w:rsidR="00B9044C" w:rsidRPr="00F903D3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 xml:space="preserve">erception of </w:t>
      </w:r>
      <w:r w:rsidR="00E67FD3" w:rsidRPr="00F903D3">
        <w:rPr>
          <w:rFonts w:asciiTheme="majorHAnsi" w:eastAsiaTheme="majorEastAsia" w:hAnsiTheme="majorHAnsi" w:cstheme="majorBidi"/>
          <w:bCs/>
          <w:i/>
          <w:iCs/>
          <w:color w:val="1F1646" w:themeColor="text1"/>
          <w:sz w:val="22"/>
          <w:szCs w:val="22"/>
          <w:lang w:val="en-AU"/>
        </w:rPr>
        <w:t xml:space="preserve">the profile as a funding application </w:t>
      </w:r>
    </w:p>
    <w:p w14:paraId="7FD2DA1D" w14:textId="19556D74" w:rsidR="002727CF" w:rsidRDefault="00956A6A" w:rsidP="008D7995">
      <w:pPr>
        <w:rPr>
          <w:lang w:val="en-AU"/>
        </w:rPr>
      </w:pPr>
      <w:r w:rsidRPr="007A5E4B">
        <w:rPr>
          <w:lang w:val="en-AU"/>
        </w:rPr>
        <w:t xml:space="preserve">While many schools view the profile as a positive strengths-based assessment which builds their understanding of disability, it is nevertheless perceived </w:t>
      </w:r>
      <w:r w:rsidR="00F903D3" w:rsidRPr="007A5E4B">
        <w:rPr>
          <w:lang w:val="en-AU"/>
        </w:rPr>
        <w:t>by some schools</w:t>
      </w:r>
      <w:r w:rsidR="00F903D3">
        <w:rPr>
          <w:lang w:val="en-AU"/>
        </w:rPr>
        <w:t xml:space="preserve"> </w:t>
      </w:r>
      <w:r w:rsidRPr="007A5E4B">
        <w:rPr>
          <w:lang w:val="en-AU"/>
        </w:rPr>
        <w:t>as</w:t>
      </w:r>
      <w:r w:rsidR="00F903D3">
        <w:rPr>
          <w:lang w:val="en-AU"/>
        </w:rPr>
        <w:t xml:space="preserve"> </w:t>
      </w:r>
      <w:r w:rsidR="00F903D3" w:rsidRPr="007A5E4B">
        <w:rPr>
          <w:lang w:val="en-AU"/>
        </w:rPr>
        <w:t>predominantly</w:t>
      </w:r>
      <w:r w:rsidRPr="007A5E4B">
        <w:rPr>
          <w:lang w:val="en-AU"/>
        </w:rPr>
        <w:t xml:space="preserve"> a funding </w:t>
      </w:r>
      <w:r w:rsidR="00F713B6">
        <w:rPr>
          <w:lang w:val="en-AU"/>
        </w:rPr>
        <w:t xml:space="preserve">eligibility process and </w:t>
      </w:r>
      <w:r w:rsidRPr="007A5E4B">
        <w:rPr>
          <w:lang w:val="en-AU"/>
        </w:rPr>
        <w:t>tool</w:t>
      </w:r>
      <w:r w:rsidR="00F903D3">
        <w:rPr>
          <w:lang w:val="en-AU"/>
        </w:rPr>
        <w:t xml:space="preserve">. </w:t>
      </w:r>
      <w:r w:rsidR="00AB3271" w:rsidRPr="007A5E4B">
        <w:rPr>
          <w:lang w:val="en-AU"/>
        </w:rPr>
        <w:t xml:space="preserve">This perception was more prominent among secondary schools, specialist schools and later year rollout schools with limited engagement </w:t>
      </w:r>
      <w:r w:rsidR="00944B64">
        <w:rPr>
          <w:lang w:val="en-AU"/>
        </w:rPr>
        <w:t>with</w:t>
      </w:r>
      <w:r w:rsidR="00AB3271" w:rsidRPr="007A5E4B">
        <w:rPr>
          <w:lang w:val="en-AU"/>
        </w:rPr>
        <w:t xml:space="preserve"> the profile. </w:t>
      </w:r>
    </w:p>
    <w:p w14:paraId="76F69A1B" w14:textId="7D7A5121" w:rsidR="00C76353" w:rsidRDefault="00AB3271" w:rsidP="00C76353">
      <w:pPr>
        <w:rPr>
          <w:b/>
        </w:rPr>
      </w:pPr>
      <w:r w:rsidRPr="007A5E4B">
        <w:rPr>
          <w:lang w:val="en-AU"/>
        </w:rPr>
        <w:t xml:space="preserve">This suggests that there is a need to continue to </w:t>
      </w:r>
      <w:r w:rsidR="00C76353">
        <w:rPr>
          <w:lang w:val="en-AU"/>
        </w:rPr>
        <w:t>highlight</w:t>
      </w:r>
      <w:r w:rsidRPr="007A5E4B">
        <w:rPr>
          <w:lang w:val="en-AU"/>
        </w:rPr>
        <w:t xml:space="preserve"> </w:t>
      </w:r>
      <w:r w:rsidR="009F4885" w:rsidRPr="007A5E4B">
        <w:rPr>
          <w:lang w:val="en-AU"/>
        </w:rPr>
        <w:t>the</w:t>
      </w:r>
      <w:r w:rsidR="00C76353">
        <w:rPr>
          <w:lang w:val="en-AU"/>
        </w:rPr>
        <w:t xml:space="preserve"> benefits of the</w:t>
      </w:r>
      <w:r w:rsidR="009F4885" w:rsidRPr="007A5E4B">
        <w:rPr>
          <w:lang w:val="en-AU"/>
        </w:rPr>
        <w:t xml:space="preserve"> profile </w:t>
      </w:r>
      <w:r w:rsidR="00C76353">
        <w:rPr>
          <w:lang w:val="en-AU"/>
        </w:rPr>
        <w:t>a</w:t>
      </w:r>
      <w:r w:rsidR="009F4885" w:rsidRPr="007A5E4B">
        <w:rPr>
          <w:lang w:val="en-AU"/>
        </w:rPr>
        <w:t>s a tool to</w:t>
      </w:r>
      <w:r w:rsidR="00737E74" w:rsidRPr="007A5E4B">
        <w:rPr>
          <w:lang w:val="en-AU"/>
        </w:rPr>
        <w:t xml:space="preserve"> </w:t>
      </w:r>
      <w:r w:rsidR="003946DA" w:rsidRPr="007A5E4B">
        <w:rPr>
          <w:lang w:val="en-AU"/>
        </w:rPr>
        <w:t>foster collaborative discussions</w:t>
      </w:r>
      <w:r w:rsidR="00956467" w:rsidRPr="007A5E4B">
        <w:rPr>
          <w:lang w:val="en-AU"/>
        </w:rPr>
        <w:t xml:space="preserve"> between schools, students and their families to </w:t>
      </w:r>
      <w:r w:rsidR="003946DA" w:rsidRPr="007A5E4B">
        <w:rPr>
          <w:lang w:val="en-AU"/>
        </w:rPr>
        <w:t>guid</w:t>
      </w:r>
      <w:r w:rsidR="00956467" w:rsidRPr="007A5E4B">
        <w:rPr>
          <w:lang w:val="en-AU"/>
        </w:rPr>
        <w:t>e</w:t>
      </w:r>
      <w:r w:rsidR="003946DA" w:rsidRPr="007A5E4B">
        <w:rPr>
          <w:lang w:val="en-AU"/>
        </w:rPr>
        <w:t xml:space="preserve"> adjustments and build a comprehensive understanding of student needs</w:t>
      </w:r>
      <w:r w:rsidR="00FE5C96" w:rsidRPr="007A5E4B">
        <w:rPr>
          <w:lang w:val="en-AU"/>
        </w:rPr>
        <w:t xml:space="preserve">. </w:t>
      </w:r>
    </w:p>
    <w:p w14:paraId="3CC29CA4" w14:textId="4A59ED6F" w:rsidR="008D7995" w:rsidRPr="00EF5F22" w:rsidRDefault="008D7995" w:rsidP="00352BE7">
      <w:pPr>
        <w:rPr>
          <w:b/>
        </w:rPr>
      </w:pPr>
      <w:r w:rsidRPr="00EF5F22">
        <w:rPr>
          <w:b/>
        </w:rPr>
        <w:t>More information</w:t>
      </w:r>
    </w:p>
    <w:p w14:paraId="2D84082B" w14:textId="3889132E" w:rsidR="00BC6462" w:rsidRPr="006730A4" w:rsidRDefault="00BC6462" w:rsidP="00BC6462">
      <w:r w:rsidRPr="00BC6462">
        <w:rPr>
          <w:lang w:val="en-AU"/>
        </w:rPr>
        <w:t xml:space="preserve">For more information about the evaluation or the </w:t>
      </w:r>
      <w:r w:rsidR="00C80E7C">
        <w:rPr>
          <w:lang w:val="en-AU"/>
        </w:rPr>
        <w:t>Disability Inclusion reform</w:t>
      </w:r>
      <w:r w:rsidRPr="00BC6462">
        <w:rPr>
          <w:lang w:val="en-AU"/>
        </w:rPr>
        <w:t xml:space="preserve"> contact: </w:t>
      </w:r>
      <w:hyperlink r:id="rId14" w:history="1">
        <w:r w:rsidR="006730A4" w:rsidRPr="00CF44CC">
          <w:rPr>
            <w:rStyle w:val="Hyperlink"/>
          </w:rPr>
          <w:t>disability.inclusion@education.vic.gov.au</w:t>
        </w:r>
      </w:hyperlink>
      <w:r w:rsidR="006730A4">
        <w:t xml:space="preserve">.  </w:t>
      </w:r>
    </w:p>
    <w:sectPr w:rsidR="00BC6462" w:rsidRPr="006730A4" w:rsidSect="008B4878">
      <w:headerReference w:type="default" r:id="rId15"/>
      <w:footerReference w:type="even" r:id="rId16"/>
      <w:footerReference w:type="default" r:id="rId17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37A4" w14:textId="77777777" w:rsidR="00D57105" w:rsidRDefault="00D57105" w:rsidP="008B4878">
      <w:r>
        <w:separator/>
      </w:r>
    </w:p>
  </w:endnote>
  <w:endnote w:type="continuationSeparator" w:id="0">
    <w:p w14:paraId="665539D2" w14:textId="77777777" w:rsidR="00D57105" w:rsidRDefault="00D57105" w:rsidP="008B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373B" w14:textId="6D8AE328" w:rsidR="00CC5E25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  <w:r w:rsidR="00CC5E25">
      <w:rPr>
        <w:rStyle w:val="PageNumber"/>
        <w:sz w:val="16"/>
        <w:szCs w:val="16"/>
      </w:rPr>
      <w:t xml:space="preserve"> (</w:t>
    </w:r>
    <w:r w:rsidR="005B04B1">
      <w:rPr>
        <w:rStyle w:val="PageNumber"/>
        <w:sz w:val="16"/>
        <w:szCs w:val="16"/>
      </w:rPr>
      <w:t>August</w:t>
    </w:r>
    <w:r w:rsidR="00CC5E25">
      <w:rPr>
        <w:rStyle w:val="PageNumber"/>
        <w:sz w:val="16"/>
        <w:szCs w:val="16"/>
      </w:rPr>
      <w:t xml:space="preserve">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5F6C" w14:textId="77777777" w:rsidR="00D57105" w:rsidRDefault="00D57105" w:rsidP="008B4878">
      <w:r>
        <w:separator/>
      </w:r>
    </w:p>
  </w:footnote>
  <w:footnote w:type="continuationSeparator" w:id="0">
    <w:p w14:paraId="55209618" w14:textId="77777777" w:rsidR="00D57105" w:rsidRDefault="00D57105" w:rsidP="008B4878">
      <w:r>
        <w:continuationSeparator/>
      </w:r>
    </w:p>
  </w:footnote>
  <w:footnote w:id="1">
    <w:p w14:paraId="78EA9BBC" w14:textId="7B67E9AE" w:rsidR="00E51A35" w:rsidRPr="00E51A35" w:rsidRDefault="00E51A35" w:rsidP="00F27532">
      <w:pPr>
        <w:pStyle w:val="FootnoteText"/>
        <w:spacing w:before="0" w:after="0" w:line="240" w:lineRule="auto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F724B5" w:rsidRPr="00F724B5">
          <w:rPr>
            <w:rStyle w:val="Hyperlink"/>
            <w:lang w:val="en-GB"/>
          </w:rPr>
          <w:t>Disability Inclusion: a new approach for students with disability | vic.gov.au</w:t>
        </w:r>
      </w:hyperlink>
    </w:p>
  </w:footnote>
  <w:footnote w:id="2">
    <w:p w14:paraId="0315565C" w14:textId="57253208" w:rsidR="00CD202F" w:rsidRPr="00CD202F" w:rsidRDefault="00CD202F" w:rsidP="00F27532">
      <w:pPr>
        <w:pStyle w:val="FootnoteText"/>
        <w:spacing w:before="0" w:after="0" w:line="240" w:lineRule="auto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5F438D" w:rsidRPr="00004E60">
        <w:rPr>
          <w:lang w:val="en-AU"/>
        </w:rPr>
        <w:t>The reform</w:t>
      </w:r>
      <w:r w:rsidR="005F438D" w:rsidRPr="00786EF0">
        <w:rPr>
          <w:lang w:val="en-AU"/>
        </w:rPr>
        <w:t xml:space="preserve"> also encompasses system initiatives focussed on capability building of school workforce</w:t>
      </w:r>
      <w:r w:rsidR="005F438D" w:rsidRPr="00004E60">
        <w:rPr>
          <w:lang w:val="en-AU"/>
        </w:rPr>
        <w:t>s</w:t>
      </w:r>
      <w:r w:rsidR="005F438D" w:rsidRPr="00786EF0">
        <w:rPr>
          <w:lang w:val="en-AU"/>
        </w:rPr>
        <w:t xml:space="preserve"> such as</w:t>
      </w:r>
      <w:r w:rsidR="005F438D" w:rsidRPr="00786EF0">
        <w:rPr>
          <w:lang w:val="en-GB"/>
        </w:rPr>
        <w:t xml:space="preserve"> the Diverse Learners Hub and Inclusion Outreach Coaching initiative. Whilst these initiatives are considered as part of the evaluation</w:t>
      </w:r>
      <w:r w:rsidR="005F438D" w:rsidRPr="00004E60">
        <w:rPr>
          <w:lang w:val="en-GB"/>
        </w:rPr>
        <w:t>,</w:t>
      </w:r>
      <w:r w:rsidR="005F438D" w:rsidRPr="00786EF0">
        <w:rPr>
          <w:lang w:val="en-GB"/>
        </w:rPr>
        <w:t xml:space="preserve"> the primary focus is on the </w:t>
      </w:r>
      <w:r w:rsidR="005F438D" w:rsidRPr="00004E60">
        <w:rPr>
          <w:lang w:val="en-GB"/>
        </w:rPr>
        <w:t xml:space="preserve">Disability Inclusion </w:t>
      </w:r>
      <w:r w:rsidR="005F438D" w:rsidRPr="00786EF0">
        <w:rPr>
          <w:lang w:val="en-GB"/>
        </w:rPr>
        <w:t xml:space="preserve"> funding and support model that replaces the Program for Students with Disability.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5B1D0A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951" cy="1197346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37EC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59A7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B155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2552E9F"/>
    <w:multiLevelType w:val="hybridMultilevel"/>
    <w:tmpl w:val="91365626"/>
    <w:lvl w:ilvl="0" w:tplc="7A5A6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20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AF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41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E1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A8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8A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C5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26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F287D7F"/>
    <w:multiLevelType w:val="hybridMultilevel"/>
    <w:tmpl w:val="98D83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1E23"/>
    <w:multiLevelType w:val="hybridMultilevel"/>
    <w:tmpl w:val="26783DFA"/>
    <w:lvl w:ilvl="0" w:tplc="681673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C49D3"/>
    <w:multiLevelType w:val="hybridMultilevel"/>
    <w:tmpl w:val="47D4E5B4"/>
    <w:lvl w:ilvl="0" w:tplc="B998A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F5466"/>
    <w:multiLevelType w:val="hybridMultilevel"/>
    <w:tmpl w:val="37A418AA"/>
    <w:lvl w:ilvl="0" w:tplc="2B3ABC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FAB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90C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F8FC9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213153F"/>
    <w:multiLevelType w:val="hybridMultilevel"/>
    <w:tmpl w:val="9544B99C"/>
    <w:lvl w:ilvl="0" w:tplc="7DC44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D2456"/>
    <w:multiLevelType w:val="hybridMultilevel"/>
    <w:tmpl w:val="03A2CE44"/>
    <w:lvl w:ilvl="0" w:tplc="CCCAE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50308"/>
    <w:multiLevelType w:val="hybridMultilevel"/>
    <w:tmpl w:val="0874CBC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E2E60F0"/>
    <w:multiLevelType w:val="hybridMultilevel"/>
    <w:tmpl w:val="C7A20D3C"/>
    <w:lvl w:ilvl="0" w:tplc="9034AE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2"/>
  </w:num>
  <w:num w:numId="2" w16cid:durableId="30811621">
    <w:abstractNumId w:val="3"/>
  </w:num>
  <w:num w:numId="3" w16cid:durableId="978608582">
    <w:abstractNumId w:val="4"/>
  </w:num>
  <w:num w:numId="4" w16cid:durableId="1398166967">
    <w:abstractNumId w:val="5"/>
  </w:num>
  <w:num w:numId="5" w16cid:durableId="1543589749">
    <w:abstractNumId w:val="6"/>
  </w:num>
  <w:num w:numId="6" w16cid:durableId="1852715572">
    <w:abstractNumId w:val="11"/>
  </w:num>
  <w:num w:numId="7" w16cid:durableId="2056617895">
    <w:abstractNumId w:val="7"/>
  </w:num>
  <w:num w:numId="8" w16cid:durableId="279380553">
    <w:abstractNumId w:val="8"/>
  </w:num>
  <w:num w:numId="9" w16cid:durableId="228928790">
    <w:abstractNumId w:val="9"/>
  </w:num>
  <w:num w:numId="10" w16cid:durableId="1120612928">
    <w:abstractNumId w:val="10"/>
  </w:num>
  <w:num w:numId="11" w16cid:durableId="2022004216">
    <w:abstractNumId w:val="12"/>
  </w:num>
  <w:num w:numId="12" w16cid:durableId="2141803662">
    <w:abstractNumId w:val="22"/>
  </w:num>
  <w:num w:numId="13" w16cid:durableId="1198273848">
    <w:abstractNumId w:val="30"/>
  </w:num>
  <w:num w:numId="14" w16cid:durableId="28839205">
    <w:abstractNumId w:val="31"/>
  </w:num>
  <w:num w:numId="15" w16cid:durableId="60057849">
    <w:abstractNumId w:val="16"/>
  </w:num>
  <w:num w:numId="16" w16cid:durableId="925727712">
    <w:abstractNumId w:val="26"/>
  </w:num>
  <w:num w:numId="17" w16cid:durableId="2002610686">
    <w:abstractNumId w:val="20"/>
  </w:num>
  <w:num w:numId="18" w16cid:durableId="1554659370">
    <w:abstractNumId w:val="28"/>
  </w:num>
  <w:num w:numId="19" w16cid:durableId="1761247015">
    <w:abstractNumId w:val="29"/>
  </w:num>
  <w:num w:numId="20" w16cid:durableId="1194076115">
    <w:abstractNumId w:val="19"/>
  </w:num>
  <w:num w:numId="21" w16cid:durableId="1397389190">
    <w:abstractNumId w:val="17"/>
  </w:num>
  <w:num w:numId="22" w16cid:durableId="1199977385">
    <w:abstractNumId w:val="21"/>
  </w:num>
  <w:num w:numId="23" w16cid:durableId="1935355546">
    <w:abstractNumId w:val="1"/>
  </w:num>
  <w:num w:numId="24" w16cid:durableId="864102881">
    <w:abstractNumId w:val="13"/>
  </w:num>
  <w:num w:numId="25" w16cid:durableId="1818185171">
    <w:abstractNumId w:val="23"/>
  </w:num>
  <w:num w:numId="26" w16cid:durableId="8873685">
    <w:abstractNumId w:val="25"/>
  </w:num>
  <w:num w:numId="27" w16cid:durableId="999696745">
    <w:abstractNumId w:val="27"/>
  </w:num>
  <w:num w:numId="28" w16cid:durableId="496503853">
    <w:abstractNumId w:val="18"/>
  </w:num>
  <w:num w:numId="29" w16cid:durableId="891887546">
    <w:abstractNumId w:val="14"/>
  </w:num>
  <w:num w:numId="30" w16cid:durableId="316688266">
    <w:abstractNumId w:val="0"/>
  </w:num>
  <w:num w:numId="31" w16cid:durableId="1355494295">
    <w:abstractNumId w:val="24"/>
  </w:num>
  <w:num w:numId="32" w16cid:durableId="2045250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0771A"/>
    <w:rsid w:val="00011F31"/>
    <w:rsid w:val="00013339"/>
    <w:rsid w:val="000256C9"/>
    <w:rsid w:val="000256E2"/>
    <w:rsid w:val="000301BF"/>
    <w:rsid w:val="0003615F"/>
    <w:rsid w:val="00042137"/>
    <w:rsid w:val="00042FAD"/>
    <w:rsid w:val="00044313"/>
    <w:rsid w:val="000539CE"/>
    <w:rsid w:val="00060EFD"/>
    <w:rsid w:val="00063B1D"/>
    <w:rsid w:val="00080DA9"/>
    <w:rsid w:val="00081227"/>
    <w:rsid w:val="000861DD"/>
    <w:rsid w:val="00087060"/>
    <w:rsid w:val="00094148"/>
    <w:rsid w:val="000A0CAB"/>
    <w:rsid w:val="000A2073"/>
    <w:rsid w:val="000A47D4"/>
    <w:rsid w:val="000C600E"/>
    <w:rsid w:val="000D11C5"/>
    <w:rsid w:val="000D62C5"/>
    <w:rsid w:val="000D76A5"/>
    <w:rsid w:val="000E46E2"/>
    <w:rsid w:val="000E5ECB"/>
    <w:rsid w:val="000F6092"/>
    <w:rsid w:val="001045B5"/>
    <w:rsid w:val="0011104F"/>
    <w:rsid w:val="001170E9"/>
    <w:rsid w:val="00122369"/>
    <w:rsid w:val="00132998"/>
    <w:rsid w:val="00147098"/>
    <w:rsid w:val="00150E0F"/>
    <w:rsid w:val="00155DAA"/>
    <w:rsid w:val="001568B2"/>
    <w:rsid w:val="00157212"/>
    <w:rsid w:val="0016287D"/>
    <w:rsid w:val="00162D89"/>
    <w:rsid w:val="001864FB"/>
    <w:rsid w:val="001951ED"/>
    <w:rsid w:val="00195782"/>
    <w:rsid w:val="001965C0"/>
    <w:rsid w:val="00196607"/>
    <w:rsid w:val="001B5082"/>
    <w:rsid w:val="001D0D94"/>
    <w:rsid w:val="001D13F9"/>
    <w:rsid w:val="001F0B75"/>
    <w:rsid w:val="001F0FF3"/>
    <w:rsid w:val="001F39DD"/>
    <w:rsid w:val="00201476"/>
    <w:rsid w:val="002129B0"/>
    <w:rsid w:val="0022019A"/>
    <w:rsid w:val="002342D8"/>
    <w:rsid w:val="00236D61"/>
    <w:rsid w:val="00240E73"/>
    <w:rsid w:val="002512BE"/>
    <w:rsid w:val="0025345F"/>
    <w:rsid w:val="00255F87"/>
    <w:rsid w:val="002601E4"/>
    <w:rsid w:val="0026416A"/>
    <w:rsid w:val="00265CB2"/>
    <w:rsid w:val="00266D11"/>
    <w:rsid w:val="00270881"/>
    <w:rsid w:val="002727CF"/>
    <w:rsid w:val="00275FB8"/>
    <w:rsid w:val="002762A6"/>
    <w:rsid w:val="002842EF"/>
    <w:rsid w:val="00292383"/>
    <w:rsid w:val="002A31CE"/>
    <w:rsid w:val="002A4A96"/>
    <w:rsid w:val="002D0146"/>
    <w:rsid w:val="002D5186"/>
    <w:rsid w:val="002E01C6"/>
    <w:rsid w:val="002E3BED"/>
    <w:rsid w:val="002E7F9B"/>
    <w:rsid w:val="002F45FA"/>
    <w:rsid w:val="002F475E"/>
    <w:rsid w:val="002F583F"/>
    <w:rsid w:val="002F6115"/>
    <w:rsid w:val="002F6920"/>
    <w:rsid w:val="002F73D9"/>
    <w:rsid w:val="002F7B62"/>
    <w:rsid w:val="00305C8F"/>
    <w:rsid w:val="00312720"/>
    <w:rsid w:val="00316135"/>
    <w:rsid w:val="00336355"/>
    <w:rsid w:val="00341F18"/>
    <w:rsid w:val="00343AFC"/>
    <w:rsid w:val="00345CD4"/>
    <w:rsid w:val="003473BE"/>
    <w:rsid w:val="0034745C"/>
    <w:rsid w:val="00352BE7"/>
    <w:rsid w:val="003676BA"/>
    <w:rsid w:val="003909D5"/>
    <w:rsid w:val="00392007"/>
    <w:rsid w:val="003946DA"/>
    <w:rsid w:val="003967DD"/>
    <w:rsid w:val="003A1654"/>
    <w:rsid w:val="003A3714"/>
    <w:rsid w:val="003A40DD"/>
    <w:rsid w:val="003A4C39"/>
    <w:rsid w:val="003B29A9"/>
    <w:rsid w:val="003B44D9"/>
    <w:rsid w:val="003C2620"/>
    <w:rsid w:val="003C4AFC"/>
    <w:rsid w:val="003D6FC5"/>
    <w:rsid w:val="003F1037"/>
    <w:rsid w:val="003F6606"/>
    <w:rsid w:val="00402958"/>
    <w:rsid w:val="00407E8B"/>
    <w:rsid w:val="00410A44"/>
    <w:rsid w:val="00410EB7"/>
    <w:rsid w:val="004152FF"/>
    <w:rsid w:val="004203E5"/>
    <w:rsid w:val="00420A33"/>
    <w:rsid w:val="0042333B"/>
    <w:rsid w:val="004256A2"/>
    <w:rsid w:val="00440EBF"/>
    <w:rsid w:val="00440F67"/>
    <w:rsid w:val="00443E58"/>
    <w:rsid w:val="00446403"/>
    <w:rsid w:val="00446896"/>
    <w:rsid w:val="00450CCA"/>
    <w:rsid w:val="004743BC"/>
    <w:rsid w:val="004779FB"/>
    <w:rsid w:val="0048130A"/>
    <w:rsid w:val="00490C5D"/>
    <w:rsid w:val="004970D1"/>
    <w:rsid w:val="004A1E20"/>
    <w:rsid w:val="004A2E74"/>
    <w:rsid w:val="004A4DFF"/>
    <w:rsid w:val="004B1841"/>
    <w:rsid w:val="004B1D48"/>
    <w:rsid w:val="004B2ED6"/>
    <w:rsid w:val="004B369A"/>
    <w:rsid w:val="004C54B2"/>
    <w:rsid w:val="004D1134"/>
    <w:rsid w:val="004D2D92"/>
    <w:rsid w:val="004D3E55"/>
    <w:rsid w:val="004D4388"/>
    <w:rsid w:val="004E27C6"/>
    <w:rsid w:val="004E572D"/>
    <w:rsid w:val="004F4910"/>
    <w:rsid w:val="00500ADA"/>
    <w:rsid w:val="00500BEA"/>
    <w:rsid w:val="00502130"/>
    <w:rsid w:val="0050595A"/>
    <w:rsid w:val="00512BBA"/>
    <w:rsid w:val="00513875"/>
    <w:rsid w:val="00514A89"/>
    <w:rsid w:val="005244FE"/>
    <w:rsid w:val="0054740E"/>
    <w:rsid w:val="00551133"/>
    <w:rsid w:val="005542AE"/>
    <w:rsid w:val="00555277"/>
    <w:rsid w:val="0056743B"/>
    <w:rsid w:val="00567CF0"/>
    <w:rsid w:val="00572A3A"/>
    <w:rsid w:val="00584366"/>
    <w:rsid w:val="00586CA6"/>
    <w:rsid w:val="00593592"/>
    <w:rsid w:val="00595563"/>
    <w:rsid w:val="005A4F12"/>
    <w:rsid w:val="005B04B1"/>
    <w:rsid w:val="005B4AF7"/>
    <w:rsid w:val="005B55CB"/>
    <w:rsid w:val="005C2A75"/>
    <w:rsid w:val="005C7A48"/>
    <w:rsid w:val="005D0032"/>
    <w:rsid w:val="005E0713"/>
    <w:rsid w:val="005F3CF9"/>
    <w:rsid w:val="005F438D"/>
    <w:rsid w:val="00624A55"/>
    <w:rsid w:val="0064371B"/>
    <w:rsid w:val="006444AA"/>
    <w:rsid w:val="006456B2"/>
    <w:rsid w:val="006523D7"/>
    <w:rsid w:val="006671CE"/>
    <w:rsid w:val="006679FA"/>
    <w:rsid w:val="0067266A"/>
    <w:rsid w:val="00672830"/>
    <w:rsid w:val="006730A4"/>
    <w:rsid w:val="006843A9"/>
    <w:rsid w:val="0069271C"/>
    <w:rsid w:val="006966FE"/>
    <w:rsid w:val="00697276"/>
    <w:rsid w:val="006A1F8A"/>
    <w:rsid w:val="006A25AC"/>
    <w:rsid w:val="006A2E3A"/>
    <w:rsid w:val="006A7A3C"/>
    <w:rsid w:val="006B1AE6"/>
    <w:rsid w:val="006B2D7F"/>
    <w:rsid w:val="006C21D4"/>
    <w:rsid w:val="006C45C0"/>
    <w:rsid w:val="006E07D1"/>
    <w:rsid w:val="006E2B9A"/>
    <w:rsid w:val="007044DE"/>
    <w:rsid w:val="00710CED"/>
    <w:rsid w:val="00722D05"/>
    <w:rsid w:val="00735566"/>
    <w:rsid w:val="00737E74"/>
    <w:rsid w:val="00741BFD"/>
    <w:rsid w:val="007429B2"/>
    <w:rsid w:val="00744A62"/>
    <w:rsid w:val="00750AF6"/>
    <w:rsid w:val="00753835"/>
    <w:rsid w:val="0076220B"/>
    <w:rsid w:val="00762623"/>
    <w:rsid w:val="00767573"/>
    <w:rsid w:val="007A4CDE"/>
    <w:rsid w:val="007A5E4B"/>
    <w:rsid w:val="007B556E"/>
    <w:rsid w:val="007C621A"/>
    <w:rsid w:val="007C7F5E"/>
    <w:rsid w:val="007D0E36"/>
    <w:rsid w:val="007D3E38"/>
    <w:rsid w:val="007D4D6F"/>
    <w:rsid w:val="007E2609"/>
    <w:rsid w:val="0080435F"/>
    <w:rsid w:val="008065DA"/>
    <w:rsid w:val="0081409C"/>
    <w:rsid w:val="00833E7C"/>
    <w:rsid w:val="0083717C"/>
    <w:rsid w:val="00843FFF"/>
    <w:rsid w:val="00846120"/>
    <w:rsid w:val="00847EA2"/>
    <w:rsid w:val="00857C44"/>
    <w:rsid w:val="00861F34"/>
    <w:rsid w:val="00890680"/>
    <w:rsid w:val="00892D6D"/>
    <w:rsid w:val="00892E24"/>
    <w:rsid w:val="0089587A"/>
    <w:rsid w:val="008B1737"/>
    <w:rsid w:val="008B4878"/>
    <w:rsid w:val="008C05A7"/>
    <w:rsid w:val="008C6879"/>
    <w:rsid w:val="008D044C"/>
    <w:rsid w:val="008D7995"/>
    <w:rsid w:val="008F3D35"/>
    <w:rsid w:val="00921C32"/>
    <w:rsid w:val="009221FE"/>
    <w:rsid w:val="0092641F"/>
    <w:rsid w:val="00927A4D"/>
    <w:rsid w:val="00944B64"/>
    <w:rsid w:val="00952690"/>
    <w:rsid w:val="009539AF"/>
    <w:rsid w:val="00954B9A"/>
    <w:rsid w:val="00956467"/>
    <w:rsid w:val="00956A6A"/>
    <w:rsid w:val="00983B6C"/>
    <w:rsid w:val="00986DE6"/>
    <w:rsid w:val="0099358C"/>
    <w:rsid w:val="00995AD9"/>
    <w:rsid w:val="0099651B"/>
    <w:rsid w:val="009A2ABE"/>
    <w:rsid w:val="009B1540"/>
    <w:rsid w:val="009B28F8"/>
    <w:rsid w:val="009B29DE"/>
    <w:rsid w:val="009C49BF"/>
    <w:rsid w:val="009C50E0"/>
    <w:rsid w:val="009D1918"/>
    <w:rsid w:val="009E300E"/>
    <w:rsid w:val="009F4885"/>
    <w:rsid w:val="009F6A77"/>
    <w:rsid w:val="00A024D2"/>
    <w:rsid w:val="00A037D7"/>
    <w:rsid w:val="00A1252A"/>
    <w:rsid w:val="00A12E3C"/>
    <w:rsid w:val="00A175BF"/>
    <w:rsid w:val="00A31926"/>
    <w:rsid w:val="00A32C9E"/>
    <w:rsid w:val="00A33820"/>
    <w:rsid w:val="00A40575"/>
    <w:rsid w:val="00A506A7"/>
    <w:rsid w:val="00A5297C"/>
    <w:rsid w:val="00A610A1"/>
    <w:rsid w:val="00A7048F"/>
    <w:rsid w:val="00A710DF"/>
    <w:rsid w:val="00A81513"/>
    <w:rsid w:val="00A915F9"/>
    <w:rsid w:val="00AA3C6D"/>
    <w:rsid w:val="00AA5D97"/>
    <w:rsid w:val="00AB1A4B"/>
    <w:rsid w:val="00AB3271"/>
    <w:rsid w:val="00AC0667"/>
    <w:rsid w:val="00AC06F6"/>
    <w:rsid w:val="00AD0178"/>
    <w:rsid w:val="00AD5BB0"/>
    <w:rsid w:val="00AD6B6F"/>
    <w:rsid w:val="00AE0D2E"/>
    <w:rsid w:val="00AF0791"/>
    <w:rsid w:val="00B03462"/>
    <w:rsid w:val="00B1295B"/>
    <w:rsid w:val="00B14EB1"/>
    <w:rsid w:val="00B21562"/>
    <w:rsid w:val="00B23D33"/>
    <w:rsid w:val="00B24C64"/>
    <w:rsid w:val="00B2583F"/>
    <w:rsid w:val="00B26182"/>
    <w:rsid w:val="00B26CD5"/>
    <w:rsid w:val="00B351B8"/>
    <w:rsid w:val="00B43F35"/>
    <w:rsid w:val="00B52416"/>
    <w:rsid w:val="00B60ACA"/>
    <w:rsid w:val="00B7184F"/>
    <w:rsid w:val="00B83281"/>
    <w:rsid w:val="00B8523D"/>
    <w:rsid w:val="00B85475"/>
    <w:rsid w:val="00B875BE"/>
    <w:rsid w:val="00B9044C"/>
    <w:rsid w:val="00B9448F"/>
    <w:rsid w:val="00BA7BD8"/>
    <w:rsid w:val="00BB0ABF"/>
    <w:rsid w:val="00BB1F1D"/>
    <w:rsid w:val="00BB2013"/>
    <w:rsid w:val="00BB648F"/>
    <w:rsid w:val="00BC4E7F"/>
    <w:rsid w:val="00BC5A08"/>
    <w:rsid w:val="00BC6462"/>
    <w:rsid w:val="00BF1C69"/>
    <w:rsid w:val="00C01900"/>
    <w:rsid w:val="00C0399C"/>
    <w:rsid w:val="00C0507C"/>
    <w:rsid w:val="00C0622C"/>
    <w:rsid w:val="00C07043"/>
    <w:rsid w:val="00C12A56"/>
    <w:rsid w:val="00C1316E"/>
    <w:rsid w:val="00C20BC0"/>
    <w:rsid w:val="00C41976"/>
    <w:rsid w:val="00C4619E"/>
    <w:rsid w:val="00C46E86"/>
    <w:rsid w:val="00C4795C"/>
    <w:rsid w:val="00C51292"/>
    <w:rsid w:val="00C51BDD"/>
    <w:rsid w:val="00C539BB"/>
    <w:rsid w:val="00C5429C"/>
    <w:rsid w:val="00C56262"/>
    <w:rsid w:val="00C632D4"/>
    <w:rsid w:val="00C65E3B"/>
    <w:rsid w:val="00C76353"/>
    <w:rsid w:val="00C80E7C"/>
    <w:rsid w:val="00C82988"/>
    <w:rsid w:val="00C9682D"/>
    <w:rsid w:val="00CA2182"/>
    <w:rsid w:val="00CB495B"/>
    <w:rsid w:val="00CB7023"/>
    <w:rsid w:val="00CC2280"/>
    <w:rsid w:val="00CC5AA8"/>
    <w:rsid w:val="00CC5E25"/>
    <w:rsid w:val="00CD202F"/>
    <w:rsid w:val="00CD5993"/>
    <w:rsid w:val="00CE2BF7"/>
    <w:rsid w:val="00CE3681"/>
    <w:rsid w:val="00CE7916"/>
    <w:rsid w:val="00CF2AE8"/>
    <w:rsid w:val="00D14132"/>
    <w:rsid w:val="00D253A8"/>
    <w:rsid w:val="00D32C14"/>
    <w:rsid w:val="00D334F7"/>
    <w:rsid w:val="00D4019D"/>
    <w:rsid w:val="00D415DE"/>
    <w:rsid w:val="00D44455"/>
    <w:rsid w:val="00D523A6"/>
    <w:rsid w:val="00D57105"/>
    <w:rsid w:val="00D61BA5"/>
    <w:rsid w:val="00D651F8"/>
    <w:rsid w:val="00D74440"/>
    <w:rsid w:val="00D7668B"/>
    <w:rsid w:val="00D81518"/>
    <w:rsid w:val="00D8516E"/>
    <w:rsid w:val="00D90349"/>
    <w:rsid w:val="00D94E88"/>
    <w:rsid w:val="00D9777A"/>
    <w:rsid w:val="00DA25BE"/>
    <w:rsid w:val="00DA6DED"/>
    <w:rsid w:val="00DA76CA"/>
    <w:rsid w:val="00DC4D0D"/>
    <w:rsid w:val="00DE33B6"/>
    <w:rsid w:val="00DF4B4B"/>
    <w:rsid w:val="00DF7C5A"/>
    <w:rsid w:val="00E11B3C"/>
    <w:rsid w:val="00E13C0F"/>
    <w:rsid w:val="00E24E31"/>
    <w:rsid w:val="00E24E94"/>
    <w:rsid w:val="00E25403"/>
    <w:rsid w:val="00E34263"/>
    <w:rsid w:val="00E34721"/>
    <w:rsid w:val="00E4317E"/>
    <w:rsid w:val="00E5030B"/>
    <w:rsid w:val="00E51A35"/>
    <w:rsid w:val="00E6100B"/>
    <w:rsid w:val="00E64758"/>
    <w:rsid w:val="00E67FD3"/>
    <w:rsid w:val="00E71740"/>
    <w:rsid w:val="00E77EB9"/>
    <w:rsid w:val="00E94167"/>
    <w:rsid w:val="00ED01C3"/>
    <w:rsid w:val="00ED17E5"/>
    <w:rsid w:val="00EE0A45"/>
    <w:rsid w:val="00EE3C20"/>
    <w:rsid w:val="00EF3F19"/>
    <w:rsid w:val="00EF5F22"/>
    <w:rsid w:val="00F02C25"/>
    <w:rsid w:val="00F02CB8"/>
    <w:rsid w:val="00F0610A"/>
    <w:rsid w:val="00F27532"/>
    <w:rsid w:val="00F303CF"/>
    <w:rsid w:val="00F324C9"/>
    <w:rsid w:val="00F34422"/>
    <w:rsid w:val="00F443E0"/>
    <w:rsid w:val="00F5135F"/>
    <w:rsid w:val="00F5271F"/>
    <w:rsid w:val="00F713B6"/>
    <w:rsid w:val="00F724B5"/>
    <w:rsid w:val="00F85793"/>
    <w:rsid w:val="00F903D3"/>
    <w:rsid w:val="00F91995"/>
    <w:rsid w:val="00F91AE4"/>
    <w:rsid w:val="00F93C3A"/>
    <w:rsid w:val="00F94715"/>
    <w:rsid w:val="00FA78D0"/>
    <w:rsid w:val="00FB326A"/>
    <w:rsid w:val="00FB5F95"/>
    <w:rsid w:val="00FB6AEB"/>
    <w:rsid w:val="00FC23D7"/>
    <w:rsid w:val="00FC3337"/>
    <w:rsid w:val="00FC5360"/>
    <w:rsid w:val="00FC5C06"/>
    <w:rsid w:val="00FE0F45"/>
    <w:rsid w:val="00FE2B3C"/>
    <w:rsid w:val="00FE580A"/>
    <w:rsid w:val="00FE5C96"/>
    <w:rsid w:val="00FE63BA"/>
    <w:rsid w:val="00FF6E39"/>
    <w:rsid w:val="36E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016D070-65A4-E547-9520-4CDC241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4878"/>
    <w:pPr>
      <w:spacing w:before="120" w:after="120" w:line="220" w:lineRule="exac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E55"/>
    <w:pPr>
      <w:keepNext/>
      <w:keepLines/>
      <w:spacing w:before="240" w:line="240" w:lineRule="atLeast"/>
      <w:outlineLvl w:val="0"/>
    </w:pPr>
    <w:rPr>
      <w:rFonts w:asciiTheme="majorHAnsi" w:eastAsiaTheme="majorEastAsia" w:hAnsiTheme="majorHAnsi" w:cs="Times New Roman (Headings CS)"/>
      <w:bCs/>
      <w:color w:val="D40032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E55"/>
    <w:pPr>
      <w:keepNext/>
      <w:keepLines/>
      <w:spacing w:before="400" w:line="240" w:lineRule="atLeast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E55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F87"/>
    <w:pPr>
      <w:keepNext/>
      <w:keepLines/>
      <w:spacing w:before="240" w:line="240" w:lineRule="exact"/>
      <w:outlineLvl w:val="3"/>
    </w:pPr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646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5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64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D3E55"/>
    <w:rPr>
      <w:rFonts w:asciiTheme="majorHAnsi" w:eastAsiaTheme="majorEastAsia" w:hAnsiTheme="majorHAnsi" w:cs="Times New Roman (Headings CS)"/>
      <w:bCs/>
      <w:color w:val="D40032" w:themeColor="text2"/>
      <w:sz w:val="32"/>
      <w:szCs w:val="32"/>
    </w:rPr>
  </w:style>
  <w:style w:type="paragraph" w:customStyle="1" w:styleId="Intro">
    <w:name w:val="Intro"/>
    <w:basedOn w:val="Normal"/>
    <w:qFormat/>
    <w:rsid w:val="004D3E55"/>
    <w:pPr>
      <w:spacing w:line="240" w:lineRule="atLeast"/>
    </w:pPr>
    <w:rPr>
      <w:color w:val="1F1646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D3E55"/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3E55"/>
    <w:rPr>
      <w:rFonts w:asciiTheme="majorHAnsi" w:eastAsiaTheme="majorEastAsia" w:hAnsiTheme="majorHAnsi" w:cstheme="majorBidi"/>
      <w:bCs/>
      <w:color w:val="1F164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4D3E55"/>
    <w:pPr>
      <w:spacing w:line="240" w:lineRule="atLeast"/>
      <w:ind w:left="284" w:right="284"/>
    </w:pPr>
    <w:rPr>
      <w:i/>
      <w:iCs/>
      <w:color w:val="1F164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3E55"/>
    <w:rPr>
      <w:i/>
      <w:iCs/>
      <w:color w:val="1F1646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4D3E55"/>
    <w:pPr>
      <w:numPr>
        <w:numId w:val="14"/>
      </w:numPr>
      <w:spacing w:line="240" w:lineRule="atLeast"/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4D3E55"/>
    <w:pPr>
      <w:numPr>
        <w:numId w:val="17"/>
      </w:numPr>
      <w:spacing w:line="240" w:lineRule="atLeast"/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646" w:themeColor="text1"/>
      <w:sz w:val="20"/>
    </w:rPr>
    <w:tblPr>
      <w:tblBorders>
        <w:insideH w:val="single" w:sz="4" w:space="0" w:color="1F1646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646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646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4D3E55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255F87"/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6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6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6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6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F87"/>
    <w:pP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F87"/>
    <w:rPr>
      <w:b/>
      <w:iCs/>
      <w:color w:val="1F1646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646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55F87"/>
    <w:rPr>
      <w:rFonts w:asciiTheme="majorHAnsi" w:eastAsiaTheme="majorEastAsia" w:hAnsiTheme="majorHAnsi" w:cstheme="majorBidi"/>
      <w:color w:val="1F1646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255F87"/>
    <w:rPr>
      <w:b/>
      <w:bCs/>
      <w:smallCaps/>
      <w:color w:val="1F1646" w:themeColor="text1"/>
      <w:spacing w:val="5"/>
    </w:rPr>
  </w:style>
  <w:style w:type="paragraph" w:customStyle="1" w:styleId="Figuretitle">
    <w:name w:val="Figure title"/>
    <w:basedOn w:val="Normal"/>
    <w:qFormat/>
    <w:rsid w:val="006456B2"/>
    <w:pPr>
      <w:keepNext/>
      <w:keepLines/>
      <w:spacing w:line="240" w:lineRule="atLeast"/>
    </w:pPr>
    <w:rPr>
      <w:b/>
      <w:color w:val="1F1646" w:themeColor="text1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BC64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6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19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4619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19E"/>
    <w:rPr>
      <w:b/>
      <w:bCs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A35"/>
    <w:rPr>
      <w:vertAlign w:val="superscript"/>
    </w:rPr>
  </w:style>
  <w:style w:type="paragraph" w:customStyle="1" w:styleId="Default">
    <w:name w:val="Default"/>
    <w:rsid w:val="0050595A"/>
    <w:pPr>
      <w:autoSpaceDE w:val="0"/>
      <w:autoSpaceDN w:val="0"/>
      <w:adjustRightInd w:val="0"/>
    </w:pPr>
    <w:rPr>
      <w:rFonts w:ascii="Verdana" w:hAnsi="Verdana" w:cs="Verdana"/>
      <w:color w:val="000000"/>
      <w:lang w:val="en-AU"/>
    </w:rPr>
  </w:style>
  <w:style w:type="paragraph" w:styleId="Revision">
    <w:name w:val="Revision"/>
    <w:hidden/>
    <w:uiPriority w:val="99"/>
    <w:semiHidden/>
    <w:rsid w:val="009C50E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544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hools.vic.gov.au/inclusion-outreach-coach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ic.gov.au/diverse-learners-hub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isability.inclusion@education.vic.gov.a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c.gov.au/disability-inclusion-extra-support-children-disa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SCHOOLS COLOUR SCHEME">
      <a:dk1>
        <a:srgbClr val="1F1646"/>
      </a:dk1>
      <a:lt1>
        <a:srgbClr val="FFFFFF"/>
      </a:lt1>
      <a:dk2>
        <a:srgbClr val="D40032"/>
      </a:dk2>
      <a:lt2>
        <a:srgbClr val="E8E8E8"/>
      </a:lt2>
      <a:accent1>
        <a:srgbClr val="D30032"/>
      </a:accent1>
      <a:accent2>
        <a:srgbClr val="B8E9EB"/>
      </a:accent2>
      <a:accent3>
        <a:srgbClr val="1F1646"/>
      </a:accent3>
      <a:accent4>
        <a:srgbClr val="01AE56"/>
      </a:accent4>
      <a:accent5>
        <a:srgbClr val="FBD2CA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59B40-E532-45E9-A2FE-956C5BDF55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C3373B-A761-4BAD-916C-A14A4CF33EA9}"/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61AB2A-0B65-45FE-8166-1AB23AAFF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Links>
    <vt:vector size="24" baseType="variant">
      <vt:variant>
        <vt:i4>4063312</vt:i4>
      </vt:variant>
      <vt:variant>
        <vt:i4>6</vt:i4>
      </vt:variant>
      <vt:variant>
        <vt:i4>0</vt:i4>
      </vt:variant>
      <vt:variant>
        <vt:i4>5</vt:i4>
      </vt:variant>
      <vt:variant>
        <vt:lpwstr>mailto:disability.inclusion@education.vic.gov.au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https://www.schools.vic.gov.au/inclusion-outreach-coaching</vt:lpwstr>
      </vt:variant>
      <vt:variant>
        <vt:lpwstr/>
      </vt:variant>
      <vt:variant>
        <vt:i4>7798833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https://www.vic.gov.au/diverse-learners-hub</vt:lpwstr>
      </vt:variant>
      <vt:variant>
        <vt:lpwstr/>
      </vt:variant>
      <vt:variant>
        <vt:i4>4194373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https://www.vic.gov.au/disability-inclusion-extra-support-children-disability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Al Bradtke</cp:lastModifiedBy>
  <cp:revision>2</cp:revision>
  <dcterms:created xsi:type="dcterms:W3CDTF">2026-03-25T02:35:00Z</dcterms:created>
  <dcterms:modified xsi:type="dcterms:W3CDTF">2026-03-25T02:35:00Z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SecClassTaxHTField0">
    <vt:lpwstr/>
  </property>
  <property fmtid="{D5CDD505-2E9C-101B-9397-08002B2CF9AE}" pid="4" name="DET_EDRMS_BusUnitTaxHTField0">
    <vt:lpwstr/>
  </property>
  <property fmtid="{D5CDD505-2E9C-101B-9397-08002B2CF9AE}" pid="5" name="DET_EDRMS_RCSTaxHTField0">
    <vt:lpwstr/>
  </property>
  <property fmtid="{D5CDD505-2E9C-101B-9397-08002B2CF9AE}" pid="6" name="_dlc_DocIdItemGuid">
    <vt:lpwstr>4c4e5d7f-512d-47d3-9552-0da081d95bb2</vt:lpwstr>
  </property>
  <property fmtid="{D5CDD505-2E9C-101B-9397-08002B2CF9AE}" pid="7" name="DEECD_Author">
    <vt:lpwstr>94;#Education|5232e41c-5101-41fe-b638-7d41d1371531</vt:lpwstr>
  </property>
  <property fmtid="{D5CDD505-2E9C-101B-9397-08002B2CF9AE}" pid="8" name="DEECD_ItemType">
    <vt:lpwstr>101;#Page|eb523acf-a821-456c-a76b-7607578309d7</vt:lpwstr>
  </property>
</Properties>
</file>