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014AC2B2" w:rsidR="00A63D55" w:rsidRPr="00A63D55" w:rsidRDefault="003F1F7B" w:rsidP="00A63D55">
      <w:pPr>
        <w:pStyle w:val="Covertitle"/>
      </w:pPr>
      <w:r>
        <w:t>MONITORING COMPLIANCE</w:t>
      </w:r>
      <w:r w:rsidR="00A63D55" w:rsidRPr="00A63D55">
        <w:t xml:space="preserve"> </w:t>
      </w:r>
      <w:r w:rsidR="00A63D55">
        <w:br/>
      </w:r>
      <w:r>
        <w:t>POLICY</w:t>
      </w:r>
    </w:p>
    <w:p w14:paraId="2BE6D8BB" w14:textId="083A1EBB" w:rsidR="00DA3218" w:rsidRDefault="003F1F7B" w:rsidP="003F1F7B">
      <w:pPr>
        <w:pStyle w:val="Coversubtitle"/>
        <w:sectPr w:rsidR="00DA3218" w:rsidSect="00A63D55">
          <w:headerReference w:type="default" r:id="rId11"/>
          <w:footerReference w:type="even" r:id="rId12"/>
          <w:footerReference w:type="default" r:id="rId13"/>
          <w:pgSz w:w="11900" w:h="16840"/>
          <w:pgMar w:top="992" w:right="1134" w:bottom="1701" w:left="1134" w:header="709" w:footer="709" w:gutter="0"/>
          <w:cols w:space="708"/>
          <w:docGrid w:linePitch="360"/>
        </w:sectPr>
      </w:pPr>
      <w:r>
        <w:t>REGULATORY AUTHORITY FOR EARLY CHILDHOOD EDUCATION AND CARE SERVICES IN VICTORIA</w:t>
      </w:r>
    </w:p>
    <w:p w14:paraId="0692BD75" w14:textId="77777777"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lastRenderedPageBreak/>
        <w:t>CONTENTS</w:t>
      </w:r>
    </w:p>
    <w:p w14:paraId="467ADB9D" w14:textId="77777777" w:rsidR="00DA3218" w:rsidRDefault="00DA3218" w:rsidP="00DA3218">
      <w:pPr>
        <w:spacing w:after="40"/>
        <w:rPr>
          <w:rFonts w:cstheme="minorHAnsi"/>
          <w:color w:val="E4858A" w:themeColor="text1" w:themeTint="80"/>
          <w:sz w:val="13"/>
          <w:szCs w:val="13"/>
        </w:rPr>
      </w:pPr>
    </w:p>
    <w:p w14:paraId="72E02248" w14:textId="7FDBFB68" w:rsidR="007B5259" w:rsidRDefault="00DA3218">
      <w:pPr>
        <w:pStyle w:val="TOC1"/>
        <w:rPr>
          <w:rFonts w:asciiTheme="minorHAnsi" w:hAnsiTheme="minorHAnsi" w:cstheme="minorBidi"/>
          <w:b w:val="0"/>
          <w:noProof/>
          <w:color w:val="auto"/>
          <w:szCs w:val="22"/>
          <w:lang w:val="en-AU" w:eastAsia="en-AU"/>
        </w:rPr>
      </w:pPr>
      <w:r>
        <w:fldChar w:fldCharType="begin"/>
      </w:r>
      <w:r>
        <w:instrText xml:space="preserve"> TOC \t "HEADING 1,1,HEADING 2,2,Heading 3,3" </w:instrText>
      </w:r>
      <w:r>
        <w:fldChar w:fldCharType="separate"/>
      </w:r>
      <w:r w:rsidR="007B5259" w:rsidRPr="000856E8">
        <w:rPr>
          <w:noProof/>
          <w:lang w:val="en-AU"/>
        </w:rPr>
        <w:t>Monitoring Compliance Policy</w:t>
      </w:r>
      <w:r w:rsidR="007B5259">
        <w:rPr>
          <w:noProof/>
        </w:rPr>
        <w:tab/>
      </w:r>
      <w:r w:rsidR="007B5259">
        <w:rPr>
          <w:noProof/>
        </w:rPr>
        <w:fldChar w:fldCharType="begin"/>
      </w:r>
      <w:r w:rsidR="007B5259">
        <w:rPr>
          <w:noProof/>
        </w:rPr>
        <w:instrText xml:space="preserve"> PAGEREF _Toc71637121 \h </w:instrText>
      </w:r>
      <w:r w:rsidR="007B5259">
        <w:rPr>
          <w:noProof/>
        </w:rPr>
      </w:r>
      <w:r w:rsidR="007B5259">
        <w:rPr>
          <w:noProof/>
        </w:rPr>
        <w:fldChar w:fldCharType="separate"/>
      </w:r>
      <w:r w:rsidR="004C449F">
        <w:rPr>
          <w:noProof/>
        </w:rPr>
        <w:t>3</w:t>
      </w:r>
      <w:r w:rsidR="007B5259">
        <w:rPr>
          <w:noProof/>
        </w:rPr>
        <w:fldChar w:fldCharType="end"/>
      </w:r>
    </w:p>
    <w:p w14:paraId="1B9025C9" w14:textId="42835743" w:rsidR="007B5259" w:rsidRDefault="007B5259">
      <w:pPr>
        <w:pStyle w:val="TOC2"/>
        <w:tabs>
          <w:tab w:val="right" w:leader="dot" w:pos="9622"/>
        </w:tabs>
        <w:rPr>
          <w:rFonts w:asciiTheme="minorHAnsi" w:hAnsiTheme="minorHAnsi" w:cstheme="minorBidi"/>
          <w:noProof/>
          <w:color w:val="auto"/>
          <w:szCs w:val="22"/>
          <w:lang w:val="en-AU" w:eastAsia="en-AU"/>
        </w:rPr>
      </w:pPr>
      <w:r w:rsidRPr="000856E8">
        <w:rPr>
          <w:noProof/>
          <w:lang w:val="en-AU"/>
        </w:rPr>
        <w:t>Purpose</w:t>
      </w:r>
      <w:r>
        <w:rPr>
          <w:noProof/>
        </w:rPr>
        <w:tab/>
      </w:r>
      <w:r>
        <w:rPr>
          <w:noProof/>
        </w:rPr>
        <w:fldChar w:fldCharType="begin"/>
      </w:r>
      <w:r>
        <w:rPr>
          <w:noProof/>
        </w:rPr>
        <w:instrText xml:space="preserve"> PAGEREF _Toc71637122 \h </w:instrText>
      </w:r>
      <w:r>
        <w:rPr>
          <w:noProof/>
        </w:rPr>
      </w:r>
      <w:r>
        <w:rPr>
          <w:noProof/>
        </w:rPr>
        <w:fldChar w:fldCharType="separate"/>
      </w:r>
      <w:r w:rsidR="004C449F">
        <w:rPr>
          <w:noProof/>
        </w:rPr>
        <w:t>3</w:t>
      </w:r>
      <w:r>
        <w:rPr>
          <w:noProof/>
        </w:rPr>
        <w:fldChar w:fldCharType="end"/>
      </w:r>
    </w:p>
    <w:p w14:paraId="04064CCA" w14:textId="70468883" w:rsidR="007B5259" w:rsidRDefault="007B5259">
      <w:pPr>
        <w:pStyle w:val="TOC2"/>
        <w:tabs>
          <w:tab w:val="right" w:leader="dot" w:pos="9622"/>
        </w:tabs>
        <w:rPr>
          <w:rFonts w:asciiTheme="minorHAnsi" w:hAnsiTheme="minorHAnsi" w:cstheme="minorBidi"/>
          <w:noProof/>
          <w:color w:val="auto"/>
          <w:szCs w:val="22"/>
          <w:lang w:val="en-AU" w:eastAsia="en-AU"/>
        </w:rPr>
      </w:pPr>
      <w:r w:rsidRPr="000856E8">
        <w:rPr>
          <w:noProof/>
          <w:lang w:val="en-AU"/>
        </w:rPr>
        <w:t>Defining monitoring and its objective</w:t>
      </w:r>
      <w:r>
        <w:rPr>
          <w:noProof/>
        </w:rPr>
        <w:tab/>
      </w:r>
      <w:r>
        <w:rPr>
          <w:noProof/>
        </w:rPr>
        <w:fldChar w:fldCharType="begin"/>
      </w:r>
      <w:r>
        <w:rPr>
          <w:noProof/>
        </w:rPr>
        <w:instrText xml:space="preserve"> PAGEREF _Toc71637123 \h </w:instrText>
      </w:r>
      <w:r>
        <w:rPr>
          <w:noProof/>
        </w:rPr>
      </w:r>
      <w:r>
        <w:rPr>
          <w:noProof/>
        </w:rPr>
        <w:fldChar w:fldCharType="separate"/>
      </w:r>
      <w:r w:rsidR="004C449F">
        <w:rPr>
          <w:noProof/>
        </w:rPr>
        <w:t>3</w:t>
      </w:r>
      <w:r>
        <w:rPr>
          <w:noProof/>
        </w:rPr>
        <w:fldChar w:fldCharType="end"/>
      </w:r>
    </w:p>
    <w:p w14:paraId="00BCA0C7" w14:textId="7D27FFC6" w:rsidR="007B5259" w:rsidRDefault="007B5259">
      <w:pPr>
        <w:pStyle w:val="TOC2"/>
        <w:tabs>
          <w:tab w:val="right" w:leader="dot" w:pos="9622"/>
        </w:tabs>
        <w:rPr>
          <w:rFonts w:asciiTheme="minorHAnsi" w:hAnsiTheme="minorHAnsi" w:cstheme="minorBidi"/>
          <w:noProof/>
          <w:color w:val="auto"/>
          <w:szCs w:val="22"/>
          <w:lang w:val="en-AU" w:eastAsia="en-AU"/>
        </w:rPr>
      </w:pPr>
      <w:r w:rsidRPr="000856E8">
        <w:rPr>
          <w:noProof/>
          <w:lang w:val="en-AU"/>
        </w:rPr>
        <w:t>Visits to a service</w:t>
      </w:r>
      <w:r>
        <w:rPr>
          <w:noProof/>
        </w:rPr>
        <w:tab/>
      </w:r>
      <w:r>
        <w:rPr>
          <w:noProof/>
        </w:rPr>
        <w:fldChar w:fldCharType="begin"/>
      </w:r>
      <w:r>
        <w:rPr>
          <w:noProof/>
        </w:rPr>
        <w:instrText xml:space="preserve"> PAGEREF _Toc71637124 \h </w:instrText>
      </w:r>
      <w:r>
        <w:rPr>
          <w:noProof/>
        </w:rPr>
      </w:r>
      <w:r>
        <w:rPr>
          <w:noProof/>
        </w:rPr>
        <w:fldChar w:fldCharType="separate"/>
      </w:r>
      <w:r w:rsidR="004C449F">
        <w:rPr>
          <w:noProof/>
        </w:rPr>
        <w:t>4</w:t>
      </w:r>
      <w:r>
        <w:rPr>
          <w:noProof/>
        </w:rPr>
        <w:fldChar w:fldCharType="end"/>
      </w:r>
    </w:p>
    <w:p w14:paraId="5F709908" w14:textId="3D681075" w:rsidR="007B5259" w:rsidRDefault="007B5259">
      <w:pPr>
        <w:pStyle w:val="TOC2"/>
        <w:tabs>
          <w:tab w:val="right" w:leader="dot" w:pos="9622"/>
        </w:tabs>
        <w:rPr>
          <w:rFonts w:asciiTheme="minorHAnsi" w:hAnsiTheme="minorHAnsi" w:cstheme="minorBidi"/>
          <w:noProof/>
          <w:color w:val="auto"/>
          <w:szCs w:val="22"/>
          <w:lang w:val="en-AU" w:eastAsia="en-AU"/>
        </w:rPr>
      </w:pPr>
      <w:r w:rsidRPr="000856E8">
        <w:rPr>
          <w:noProof/>
          <w:lang w:val="en-AU"/>
        </w:rPr>
        <w:t>The monitoring schedule</w:t>
      </w:r>
      <w:r>
        <w:rPr>
          <w:noProof/>
        </w:rPr>
        <w:tab/>
      </w:r>
      <w:r w:rsidR="00AC63DA">
        <w:rPr>
          <w:noProof/>
        </w:rPr>
        <w:t>5</w:t>
      </w:r>
    </w:p>
    <w:p w14:paraId="7DAB9E39" w14:textId="0B9FB0F7" w:rsidR="007B5259" w:rsidRDefault="007B5259">
      <w:pPr>
        <w:pStyle w:val="TOC2"/>
        <w:tabs>
          <w:tab w:val="right" w:leader="dot" w:pos="9622"/>
        </w:tabs>
        <w:rPr>
          <w:rFonts w:asciiTheme="minorHAnsi" w:hAnsiTheme="minorHAnsi" w:cstheme="minorBidi"/>
          <w:noProof/>
          <w:color w:val="auto"/>
          <w:szCs w:val="22"/>
          <w:lang w:val="en-AU" w:eastAsia="en-AU"/>
        </w:rPr>
      </w:pPr>
      <w:r w:rsidRPr="000856E8">
        <w:rPr>
          <w:noProof/>
          <w:lang w:val="en-AU"/>
        </w:rPr>
        <w:t>Additional monitoring explained</w:t>
      </w:r>
      <w:r>
        <w:rPr>
          <w:noProof/>
        </w:rPr>
        <w:tab/>
      </w:r>
      <w:r>
        <w:rPr>
          <w:noProof/>
        </w:rPr>
        <w:fldChar w:fldCharType="begin"/>
      </w:r>
      <w:r>
        <w:rPr>
          <w:noProof/>
        </w:rPr>
        <w:instrText xml:space="preserve"> PAGEREF _Toc71637126 \h </w:instrText>
      </w:r>
      <w:r>
        <w:rPr>
          <w:noProof/>
        </w:rPr>
      </w:r>
      <w:r>
        <w:rPr>
          <w:noProof/>
        </w:rPr>
        <w:fldChar w:fldCharType="separate"/>
      </w:r>
      <w:r w:rsidR="004C449F">
        <w:rPr>
          <w:noProof/>
        </w:rPr>
        <w:t>5</w:t>
      </w:r>
      <w:r>
        <w:rPr>
          <w:noProof/>
        </w:rPr>
        <w:fldChar w:fldCharType="end"/>
      </w:r>
    </w:p>
    <w:p w14:paraId="634BEA30" w14:textId="6A0EC10B" w:rsidR="007B5259" w:rsidRDefault="007B5259">
      <w:pPr>
        <w:pStyle w:val="TOC2"/>
        <w:tabs>
          <w:tab w:val="right" w:leader="dot" w:pos="9622"/>
        </w:tabs>
        <w:rPr>
          <w:rFonts w:asciiTheme="minorHAnsi" w:hAnsiTheme="minorHAnsi" w:cstheme="minorBidi"/>
          <w:noProof/>
          <w:color w:val="auto"/>
          <w:szCs w:val="22"/>
          <w:lang w:val="en-AU" w:eastAsia="en-AU"/>
        </w:rPr>
      </w:pPr>
      <w:r w:rsidRPr="000856E8">
        <w:rPr>
          <w:noProof/>
          <w:lang w:val="en-AU"/>
        </w:rPr>
        <w:t>Disclosure of information</w:t>
      </w:r>
      <w:r>
        <w:rPr>
          <w:noProof/>
        </w:rPr>
        <w:tab/>
      </w:r>
      <w:r>
        <w:rPr>
          <w:noProof/>
        </w:rPr>
        <w:fldChar w:fldCharType="begin"/>
      </w:r>
      <w:r>
        <w:rPr>
          <w:noProof/>
        </w:rPr>
        <w:instrText xml:space="preserve"> PAGEREF _Toc71637128 \h </w:instrText>
      </w:r>
      <w:r>
        <w:rPr>
          <w:noProof/>
        </w:rPr>
      </w:r>
      <w:r>
        <w:rPr>
          <w:noProof/>
        </w:rPr>
        <w:fldChar w:fldCharType="separate"/>
      </w:r>
      <w:r w:rsidR="004C449F">
        <w:rPr>
          <w:noProof/>
        </w:rPr>
        <w:t>6</w:t>
      </w:r>
      <w:r>
        <w:rPr>
          <w:noProof/>
        </w:rPr>
        <w:fldChar w:fldCharType="end"/>
      </w:r>
    </w:p>
    <w:p w14:paraId="72642C12" w14:textId="29421B79" w:rsidR="007B5259" w:rsidRDefault="007B5259">
      <w:pPr>
        <w:pStyle w:val="TOC2"/>
        <w:tabs>
          <w:tab w:val="right" w:leader="dot" w:pos="9622"/>
        </w:tabs>
        <w:rPr>
          <w:rFonts w:asciiTheme="minorHAnsi" w:hAnsiTheme="minorHAnsi" w:cstheme="minorBidi"/>
          <w:noProof/>
          <w:color w:val="auto"/>
          <w:szCs w:val="22"/>
          <w:lang w:val="en-AU" w:eastAsia="en-AU"/>
        </w:rPr>
      </w:pPr>
      <w:r w:rsidRPr="000856E8">
        <w:rPr>
          <w:noProof/>
          <w:lang w:val="en-AU"/>
        </w:rPr>
        <w:t>Feedback</w:t>
      </w:r>
      <w:r>
        <w:rPr>
          <w:noProof/>
        </w:rPr>
        <w:tab/>
      </w:r>
      <w:r>
        <w:rPr>
          <w:noProof/>
        </w:rPr>
        <w:fldChar w:fldCharType="begin"/>
      </w:r>
      <w:r>
        <w:rPr>
          <w:noProof/>
        </w:rPr>
        <w:instrText xml:space="preserve"> PAGEREF _Toc71637129 \h </w:instrText>
      </w:r>
      <w:r>
        <w:rPr>
          <w:noProof/>
        </w:rPr>
      </w:r>
      <w:r>
        <w:rPr>
          <w:noProof/>
        </w:rPr>
        <w:fldChar w:fldCharType="separate"/>
      </w:r>
      <w:r w:rsidR="004C449F">
        <w:rPr>
          <w:noProof/>
        </w:rPr>
        <w:t>7</w:t>
      </w:r>
      <w:r>
        <w:rPr>
          <w:noProof/>
        </w:rPr>
        <w:fldChar w:fldCharType="end"/>
      </w:r>
    </w:p>
    <w:p w14:paraId="0042E7F9" w14:textId="07FB9951" w:rsidR="00DA3218" w:rsidRDefault="00DA3218" w:rsidP="006C68CF">
      <w:pPr>
        <w:pStyle w:val="TOC3"/>
        <w:rPr>
          <w:rFonts w:cstheme="minorHAnsi"/>
          <w:color w:val="E4858A" w:themeColor="text1" w:themeTint="80"/>
          <w:sz w:val="13"/>
          <w:szCs w:val="13"/>
        </w:rPr>
      </w:pPr>
      <w:r>
        <w:fldChar w:fldCharType="end"/>
      </w:r>
    </w:p>
    <w:p w14:paraId="590C6889" w14:textId="77777777" w:rsidR="00714D72" w:rsidRDefault="00714D72" w:rsidP="00714D72">
      <w:pPr>
        <w:spacing w:after="7800"/>
        <w:rPr>
          <w:lang w:val="en-AU"/>
        </w:rPr>
      </w:pPr>
    </w:p>
    <w:p w14:paraId="1A3AE8CA" w14:textId="38B9B224" w:rsidR="00714D72" w:rsidRPr="006B2125" w:rsidRDefault="00714D72" w:rsidP="00714D72">
      <w:pPr>
        <w:spacing w:after="0"/>
        <w:ind w:right="-149"/>
        <w:rPr>
          <w:rFonts w:eastAsia="Times New Roman" w:cstheme="minorHAnsi"/>
          <w:szCs w:val="22"/>
          <w:lang w:val="en-AU"/>
        </w:rPr>
      </w:pPr>
      <w:r w:rsidRPr="00002ED8">
        <w:rPr>
          <w:rFonts w:cstheme="minorHAnsi"/>
          <w:iCs/>
          <w:color w:val="000000"/>
          <w:szCs w:val="22"/>
        </w:rPr>
        <w:t> </w:t>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DA3218">
          <w:headerReference w:type="default" r:id="rId14"/>
          <w:footerReference w:type="default" r:id="rId15"/>
          <w:pgSz w:w="11900" w:h="16840"/>
          <w:pgMar w:top="1985" w:right="1134" w:bottom="1701" w:left="1134" w:header="709" w:footer="709" w:gutter="0"/>
          <w:cols w:space="708"/>
          <w:docGrid w:linePitch="360"/>
        </w:sectPr>
      </w:pPr>
    </w:p>
    <w:p w14:paraId="3E7080F5" w14:textId="198D9174" w:rsidR="00624A55" w:rsidRPr="00624A55" w:rsidRDefault="003F1F7B" w:rsidP="00624A55">
      <w:pPr>
        <w:pStyle w:val="Heading1"/>
        <w:rPr>
          <w:lang w:val="en-AU"/>
        </w:rPr>
      </w:pPr>
      <w:bookmarkStart w:id="0" w:name="_Toc71637121"/>
      <w:r>
        <w:rPr>
          <w:lang w:val="en-AU"/>
        </w:rPr>
        <w:lastRenderedPageBreak/>
        <w:t>Monitoring Compliance Policy</w:t>
      </w:r>
      <w:bookmarkEnd w:id="0"/>
    </w:p>
    <w:p w14:paraId="7D101E54" w14:textId="14843B6C" w:rsidR="00624A55" w:rsidRPr="00624A55" w:rsidRDefault="003F1F7B" w:rsidP="00317F6C">
      <w:pPr>
        <w:pStyle w:val="Intro"/>
        <w:spacing w:after="240"/>
      </w:pPr>
      <w:r w:rsidRPr="000B2BD3">
        <w:rPr>
          <w:rFonts w:cstheme="minorHAnsi"/>
        </w:rPr>
        <w:t>This document</w:t>
      </w:r>
      <w:bookmarkStart w:id="1" w:name="_Hlk33611838"/>
      <w:r w:rsidRPr="000B2BD3">
        <w:rPr>
          <w:rFonts w:cstheme="minorHAnsi"/>
        </w:rPr>
        <w:t xml:space="preserve"> </w:t>
      </w:r>
      <w:bookmarkEnd w:id="1"/>
      <w:r w:rsidRPr="000B2BD3">
        <w:rPr>
          <w:rFonts w:cstheme="minorHAnsi"/>
        </w:rPr>
        <w:t xml:space="preserve">sets out the Regulatory Authority’s approach to monitoring </w:t>
      </w:r>
      <w:r>
        <w:rPr>
          <w:rFonts w:cstheme="minorHAnsi"/>
        </w:rPr>
        <w:t>compliance. It</w:t>
      </w:r>
      <w:r w:rsidRPr="000B2BD3">
        <w:rPr>
          <w:rFonts w:cstheme="minorHAnsi"/>
        </w:rPr>
        <w:t xml:space="preserve"> operates in conjunction with the</w:t>
      </w:r>
      <w:r w:rsidR="00AC63DA">
        <w:rPr>
          <w:rFonts w:cstheme="minorHAnsi"/>
        </w:rPr>
        <w:t xml:space="preserve"> Regulatory Framework for Education and Care Services in Victoria (available </w:t>
      </w:r>
      <w:hyperlink r:id="rId16" w:history="1">
        <w:r w:rsidR="00AC63DA" w:rsidRPr="00AC63DA">
          <w:rPr>
            <w:rStyle w:val="Hyperlink"/>
            <w:rFonts w:cstheme="minorHAnsi"/>
          </w:rPr>
          <w:t>here</w:t>
        </w:r>
      </w:hyperlink>
      <w:r w:rsidR="00AC63DA">
        <w:rPr>
          <w:rFonts w:cstheme="minorHAnsi"/>
        </w:rPr>
        <w:t>).</w:t>
      </w:r>
    </w:p>
    <w:p w14:paraId="6E6868DC" w14:textId="71BC373D" w:rsidR="00624A55" w:rsidRPr="00624A55" w:rsidRDefault="00B97E10" w:rsidP="00624A55">
      <w:pPr>
        <w:pStyle w:val="Heading2"/>
        <w:rPr>
          <w:lang w:val="en-AU"/>
        </w:rPr>
      </w:pPr>
      <w:bookmarkStart w:id="2" w:name="_Toc71637122"/>
      <w:r>
        <w:rPr>
          <w:lang w:val="en-AU"/>
        </w:rPr>
        <w:t>Purpose</w:t>
      </w:r>
      <w:bookmarkEnd w:id="2"/>
    </w:p>
    <w:p w14:paraId="3E6B5777" w14:textId="1357B707" w:rsidR="009A0EBC" w:rsidRPr="001409DF" w:rsidRDefault="009A0EBC" w:rsidP="00014055">
      <w:pPr>
        <w:rPr>
          <w:rFonts w:eastAsia="Times New Roman" w:cstheme="minorHAnsi"/>
          <w:szCs w:val="22"/>
          <w:lang w:eastAsia="en-AU"/>
        </w:rPr>
      </w:pPr>
      <w:r w:rsidRPr="00F4447C">
        <w:rPr>
          <w:color w:val="000000"/>
          <w:szCs w:val="22"/>
        </w:rPr>
        <w:t xml:space="preserve">The Secretary of the Department of Education and Training is the Regulatory Authority for </w:t>
      </w:r>
      <w:r w:rsidRPr="001409DF">
        <w:rPr>
          <w:rFonts w:cstheme="minorHAnsi"/>
          <w:color w:val="000000"/>
          <w:szCs w:val="22"/>
        </w:rPr>
        <w:t xml:space="preserve">Early Childhood Education and Care (ECEC) Services in Victoria. </w:t>
      </w:r>
      <w:r>
        <w:rPr>
          <w:rFonts w:cstheme="minorHAnsi"/>
          <w:szCs w:val="22"/>
        </w:rPr>
        <w:t>A</w:t>
      </w:r>
      <w:r w:rsidRPr="001409DF">
        <w:rPr>
          <w:rFonts w:cstheme="minorHAnsi"/>
          <w:szCs w:val="22"/>
        </w:rPr>
        <w:t xml:space="preserve"> core function of the Regulatory Authority is to monitor the compliance of ECEC services with the </w:t>
      </w:r>
      <w:r w:rsidRPr="001409DF">
        <w:rPr>
          <w:rFonts w:cstheme="minorHAnsi"/>
          <w:i/>
          <w:iCs/>
          <w:szCs w:val="22"/>
        </w:rPr>
        <w:t>Education and Care Services National Law Act 2010</w:t>
      </w:r>
      <w:r w:rsidRPr="001409DF">
        <w:rPr>
          <w:rFonts w:cstheme="minorHAnsi"/>
          <w:szCs w:val="22"/>
        </w:rPr>
        <w:t xml:space="preserve"> (National Law) and the Education and Care Services National Regulations 2011 (National Regulations)</w:t>
      </w:r>
      <w:r w:rsidRPr="00316D65">
        <w:rPr>
          <w:rFonts w:cstheme="minorHAnsi"/>
          <w:sz w:val="20"/>
          <w:szCs w:val="20"/>
        </w:rPr>
        <w:t>.</w:t>
      </w:r>
      <w:r w:rsidRPr="00316D65">
        <w:rPr>
          <w:rStyle w:val="FootnoteReference"/>
          <w:rFonts w:cstheme="minorHAnsi"/>
          <w:color w:val="auto"/>
          <w:sz w:val="20"/>
          <w:szCs w:val="20"/>
        </w:rPr>
        <w:footnoteReference w:id="1"/>
      </w:r>
      <w:r w:rsidRPr="001409DF">
        <w:rPr>
          <w:rFonts w:eastAsia="Times New Roman" w:cstheme="minorHAnsi"/>
          <w:szCs w:val="22"/>
          <w:lang w:eastAsia="en-AU"/>
        </w:rPr>
        <w:t xml:space="preserve"> </w:t>
      </w:r>
    </w:p>
    <w:p w14:paraId="370743B4" w14:textId="7D025FFC" w:rsidR="009A0EBC" w:rsidRDefault="009A0EBC" w:rsidP="00014055">
      <w:pPr>
        <w:rPr>
          <w:rFonts w:eastAsia="Times New Roman" w:cstheme="minorHAnsi"/>
          <w:color w:val="000000"/>
          <w:szCs w:val="22"/>
          <w:lang w:val="en-AU" w:eastAsia="en-AU"/>
        </w:rPr>
      </w:pPr>
      <w:r w:rsidRPr="001409DF">
        <w:rPr>
          <w:rFonts w:eastAsia="Times New Roman" w:cstheme="minorHAnsi"/>
          <w:color w:val="000000"/>
          <w:szCs w:val="22"/>
          <w:lang w:val="en-AU" w:eastAsia="en-AU"/>
        </w:rPr>
        <w:t xml:space="preserve">This document, the Monitoring Compliance </w:t>
      </w:r>
      <w:r>
        <w:rPr>
          <w:rFonts w:eastAsia="Times New Roman" w:cstheme="minorHAnsi"/>
          <w:color w:val="000000"/>
          <w:szCs w:val="22"/>
          <w:lang w:val="en-AU" w:eastAsia="en-AU"/>
        </w:rPr>
        <w:t>P</w:t>
      </w:r>
      <w:r w:rsidRPr="001409DF">
        <w:rPr>
          <w:rFonts w:eastAsia="Times New Roman" w:cstheme="minorHAnsi"/>
          <w:color w:val="000000"/>
          <w:szCs w:val="22"/>
          <w:lang w:val="en-AU" w:eastAsia="en-AU"/>
        </w:rPr>
        <w:t xml:space="preserve">olicy, </w:t>
      </w:r>
      <w:r>
        <w:rPr>
          <w:rFonts w:eastAsia="Times New Roman" w:cstheme="minorHAnsi"/>
          <w:color w:val="000000"/>
          <w:szCs w:val="22"/>
          <w:lang w:val="en-AU" w:eastAsia="en-AU"/>
        </w:rPr>
        <w:t>sets out</w:t>
      </w:r>
      <w:r w:rsidRPr="001409DF">
        <w:rPr>
          <w:rFonts w:eastAsia="Times New Roman" w:cstheme="minorHAnsi"/>
          <w:color w:val="000000"/>
          <w:szCs w:val="22"/>
          <w:lang w:val="en-AU" w:eastAsia="en-AU"/>
        </w:rPr>
        <w:t xml:space="preserve"> the Regulatory Authority’s approach to monitoring.</w:t>
      </w:r>
      <w:r>
        <w:rPr>
          <w:rFonts w:eastAsia="Times New Roman" w:cstheme="minorHAnsi"/>
          <w:color w:val="000000"/>
          <w:szCs w:val="22"/>
          <w:lang w:val="en-AU" w:eastAsia="en-AU"/>
        </w:rPr>
        <w:t xml:space="preserve"> </w:t>
      </w:r>
      <w:r w:rsidRPr="001409DF">
        <w:rPr>
          <w:rFonts w:eastAsia="Times New Roman" w:cstheme="minorHAnsi"/>
          <w:color w:val="000000"/>
          <w:szCs w:val="22"/>
          <w:lang w:val="en-AU" w:eastAsia="en-AU"/>
        </w:rPr>
        <w:t xml:space="preserve">It </w:t>
      </w:r>
      <w:r>
        <w:rPr>
          <w:rFonts w:eastAsia="Times New Roman" w:cstheme="minorHAnsi"/>
          <w:color w:val="000000"/>
          <w:szCs w:val="22"/>
          <w:lang w:val="en-AU" w:eastAsia="en-AU"/>
        </w:rPr>
        <w:t>outlines</w:t>
      </w:r>
      <w:r w:rsidRPr="001409DF">
        <w:rPr>
          <w:rFonts w:eastAsia="Times New Roman" w:cstheme="minorHAnsi"/>
          <w:color w:val="000000"/>
          <w:szCs w:val="22"/>
          <w:lang w:val="en-AU" w:eastAsia="en-AU"/>
        </w:rPr>
        <w:t xml:space="preserve"> expectations the Regulatory Authority has for those </w:t>
      </w:r>
      <w:r>
        <w:rPr>
          <w:rFonts w:eastAsia="Times New Roman" w:cstheme="minorHAnsi"/>
          <w:color w:val="000000"/>
          <w:szCs w:val="22"/>
          <w:lang w:val="en-AU" w:eastAsia="en-AU"/>
        </w:rPr>
        <w:t xml:space="preserve">operating ECEC services </w:t>
      </w:r>
      <w:r w:rsidRPr="001409DF">
        <w:rPr>
          <w:rFonts w:eastAsia="Times New Roman" w:cstheme="minorHAnsi"/>
          <w:color w:val="000000"/>
          <w:szCs w:val="22"/>
          <w:lang w:val="en-AU" w:eastAsia="en-AU"/>
        </w:rPr>
        <w:t xml:space="preserve">and </w:t>
      </w:r>
      <w:r>
        <w:rPr>
          <w:rFonts w:eastAsia="Times New Roman" w:cstheme="minorHAnsi"/>
          <w:color w:val="000000"/>
          <w:szCs w:val="22"/>
          <w:lang w:val="en-AU" w:eastAsia="en-AU"/>
        </w:rPr>
        <w:t>details</w:t>
      </w:r>
      <w:r w:rsidRPr="001409DF">
        <w:rPr>
          <w:rFonts w:eastAsia="Times New Roman" w:cstheme="minorHAnsi"/>
          <w:color w:val="000000"/>
          <w:szCs w:val="22"/>
          <w:lang w:val="en-AU" w:eastAsia="en-AU"/>
        </w:rPr>
        <w:t xml:space="preserve"> the Regulatory Authority’s </w:t>
      </w:r>
      <w:r>
        <w:rPr>
          <w:rFonts w:eastAsia="Times New Roman" w:cstheme="minorHAnsi"/>
          <w:color w:val="000000"/>
          <w:szCs w:val="22"/>
          <w:lang w:val="en-AU" w:eastAsia="en-AU"/>
        </w:rPr>
        <w:t>commitments</w:t>
      </w:r>
      <w:r w:rsidRPr="001409DF">
        <w:rPr>
          <w:rFonts w:eastAsia="Times New Roman" w:cstheme="minorHAnsi"/>
          <w:color w:val="000000"/>
          <w:szCs w:val="22"/>
          <w:lang w:val="en-AU" w:eastAsia="en-AU"/>
        </w:rPr>
        <w:t xml:space="preserve"> for planning and delivering transparent</w:t>
      </w:r>
      <w:r>
        <w:rPr>
          <w:rFonts w:eastAsia="Times New Roman" w:cstheme="minorHAnsi"/>
          <w:color w:val="000000"/>
          <w:szCs w:val="22"/>
          <w:lang w:val="en-AU" w:eastAsia="en-AU"/>
        </w:rPr>
        <w:t xml:space="preserve"> and</w:t>
      </w:r>
      <w:r w:rsidRPr="001409DF">
        <w:rPr>
          <w:rFonts w:eastAsia="Times New Roman" w:cstheme="minorHAnsi"/>
          <w:color w:val="000000"/>
          <w:szCs w:val="22"/>
          <w:lang w:val="en-AU" w:eastAsia="en-AU"/>
        </w:rPr>
        <w:t xml:space="preserve"> efficient monitoring activities.</w:t>
      </w:r>
      <w:r>
        <w:rPr>
          <w:rFonts w:eastAsia="Times New Roman" w:cstheme="minorHAnsi"/>
          <w:color w:val="000000"/>
          <w:szCs w:val="22"/>
          <w:lang w:val="en-AU" w:eastAsia="en-AU"/>
        </w:rPr>
        <w:t xml:space="preserve"> </w:t>
      </w:r>
      <w:r w:rsidR="00410231">
        <w:rPr>
          <w:rFonts w:eastAsia="Times New Roman" w:cstheme="minorHAnsi"/>
          <w:color w:val="000000"/>
          <w:szCs w:val="22"/>
          <w:lang w:val="en-AU" w:eastAsia="en-AU"/>
        </w:rPr>
        <w:t>T</w:t>
      </w:r>
      <w:r>
        <w:rPr>
          <w:rFonts w:eastAsia="Times New Roman" w:cstheme="minorHAnsi"/>
          <w:color w:val="000000"/>
          <w:szCs w:val="22"/>
          <w:lang w:val="en-AU" w:eastAsia="en-AU"/>
        </w:rPr>
        <w:t>he safety, health and wellbeing of children is paramount and guides the Regulatory Authority’s monitoring activities (</w:t>
      </w:r>
      <w:r w:rsidRPr="008C1566">
        <w:rPr>
          <w:rFonts w:eastAsia="Times New Roman" w:cstheme="minorHAnsi"/>
          <w:color w:val="000000"/>
          <w:szCs w:val="22"/>
          <w:lang w:val="en-AU" w:eastAsia="en-AU"/>
        </w:rPr>
        <w:t xml:space="preserve">including that ECEC services </w:t>
      </w:r>
      <w:r w:rsidR="008C1566">
        <w:rPr>
          <w:rFonts w:eastAsia="Times New Roman" w:cstheme="minorHAnsi"/>
          <w:color w:val="000000"/>
          <w:szCs w:val="22"/>
          <w:lang w:val="en-AU" w:eastAsia="en-AU"/>
        </w:rPr>
        <w:t xml:space="preserve">are </w:t>
      </w:r>
      <w:r w:rsidRPr="008C1566">
        <w:rPr>
          <w:rFonts w:eastAsia="Times New Roman" w:cstheme="minorHAnsi"/>
          <w:color w:val="000000"/>
          <w:szCs w:val="22"/>
          <w:lang w:val="en-AU" w:eastAsia="en-AU"/>
        </w:rPr>
        <w:t>meet</w:t>
      </w:r>
      <w:r w:rsidR="008C1566">
        <w:rPr>
          <w:rFonts w:eastAsia="Times New Roman" w:cstheme="minorHAnsi"/>
          <w:color w:val="000000"/>
          <w:szCs w:val="22"/>
          <w:lang w:val="en-AU" w:eastAsia="en-AU"/>
        </w:rPr>
        <w:t>ing</w:t>
      </w:r>
      <w:r w:rsidRPr="008C1566">
        <w:rPr>
          <w:rFonts w:eastAsia="Times New Roman" w:cstheme="minorHAnsi"/>
          <w:color w:val="000000"/>
          <w:szCs w:val="22"/>
          <w:lang w:val="en-AU" w:eastAsia="en-AU"/>
        </w:rPr>
        <w:t xml:space="preserve"> the Child Safe Standards).</w:t>
      </w:r>
    </w:p>
    <w:p w14:paraId="1930426E" w14:textId="05542A68" w:rsidR="00624A55" w:rsidRPr="00624A55" w:rsidRDefault="009A0EBC" w:rsidP="00014055">
      <w:pPr>
        <w:spacing w:after="240"/>
        <w:rPr>
          <w:lang w:val="en-AU"/>
        </w:rPr>
      </w:pPr>
      <w:r>
        <w:rPr>
          <w:rFonts w:cstheme="minorHAnsi"/>
        </w:rPr>
        <w:t xml:space="preserve">This policy also applies to ECEC services operating under the </w:t>
      </w:r>
      <w:r w:rsidRPr="00A0065D">
        <w:rPr>
          <w:rFonts w:cstheme="minorHAnsi"/>
          <w:i/>
          <w:iCs/>
        </w:rPr>
        <w:t>Children’s Services Act 1996</w:t>
      </w:r>
      <w:r>
        <w:rPr>
          <w:rFonts w:cstheme="minorHAnsi"/>
        </w:rPr>
        <w:t xml:space="preserve"> </w:t>
      </w:r>
      <w:r w:rsidR="00E233F3">
        <w:rPr>
          <w:rFonts w:cstheme="minorHAnsi"/>
        </w:rPr>
        <w:t xml:space="preserve">(Children’s Services Act) </w:t>
      </w:r>
      <w:r>
        <w:rPr>
          <w:rFonts w:cstheme="minorHAnsi"/>
        </w:rPr>
        <w:t>and Children’s Services Regulations 2020.</w:t>
      </w:r>
    </w:p>
    <w:p w14:paraId="6B714828" w14:textId="367C6E6B" w:rsidR="00624A55" w:rsidRPr="00624A55" w:rsidRDefault="00AA6D3D" w:rsidP="00624A55">
      <w:pPr>
        <w:pStyle w:val="Heading2"/>
        <w:rPr>
          <w:lang w:val="en-AU"/>
        </w:rPr>
      </w:pPr>
      <w:bookmarkStart w:id="3" w:name="_Toc71637123"/>
      <w:r>
        <w:rPr>
          <w:lang w:val="en-AU"/>
        </w:rPr>
        <w:t>Defining monitoring and its objective</w:t>
      </w:r>
      <w:bookmarkEnd w:id="3"/>
    </w:p>
    <w:p w14:paraId="79951686" w14:textId="77777777" w:rsidR="009A0EBC" w:rsidRDefault="009A0EBC" w:rsidP="00014055">
      <w:pPr>
        <w:rPr>
          <w:rFonts w:cstheme="minorHAnsi"/>
        </w:rPr>
      </w:pPr>
      <w:r w:rsidRPr="00BC067D">
        <w:t>Monitoring</w:t>
      </w:r>
      <w:r>
        <w:t xml:space="preserve"> is the regular assessment of an ECEC services’ compliance with the National Law and National Regulations. </w:t>
      </w:r>
      <w:r>
        <w:rPr>
          <w:rFonts w:cstheme="minorHAnsi"/>
        </w:rPr>
        <w:t xml:space="preserve">Whilst the majority of ECEC services voluntarily comply with their obligations and seek assistance or information where required, monitoring is the proactive checking of compliance by the Regulatory Authority. </w:t>
      </w:r>
    </w:p>
    <w:p w14:paraId="678E14FA" w14:textId="2D5E3155" w:rsidR="009A0EBC" w:rsidRDefault="009A0EBC" w:rsidP="00014055">
      <w:pPr>
        <w:rPr>
          <w:rFonts w:cstheme="minorHAnsi"/>
        </w:rPr>
      </w:pPr>
      <w:r w:rsidRPr="00E04B32">
        <w:t xml:space="preserve">The </w:t>
      </w:r>
      <w:r>
        <w:t>objective of</w:t>
      </w:r>
      <w:r w:rsidRPr="00E04B32">
        <w:t xml:space="preserve"> </w:t>
      </w:r>
      <w:r>
        <w:t xml:space="preserve">the Regulatory Authority’s </w:t>
      </w:r>
      <w:r w:rsidRPr="00E04B32">
        <w:t>monitor</w:t>
      </w:r>
      <w:r>
        <w:t>ing is to ensure ECEC services meet the requirements of the National Law and National Regulations. This is because compliance helps ensure</w:t>
      </w:r>
      <w:r w:rsidRPr="00E04B32">
        <w:t xml:space="preserve"> the safety, health and wellbeing of children in </w:t>
      </w:r>
      <w:r>
        <w:t>the</w:t>
      </w:r>
      <w:r w:rsidRPr="00E04B32">
        <w:t xml:space="preserve"> service.</w:t>
      </w:r>
      <w:r>
        <w:t xml:space="preserve"> Monitoring is also part of the continuous improvement cycle and</w:t>
      </w:r>
      <w:r w:rsidRPr="00E04B32">
        <w:t xml:space="preserve"> allows the </w:t>
      </w:r>
      <w:r>
        <w:t>Regulatory Authority</w:t>
      </w:r>
      <w:r w:rsidRPr="00E04B32">
        <w:t xml:space="preserve"> to </w:t>
      </w:r>
      <w:r w:rsidR="00410231">
        <w:t xml:space="preserve">identify and </w:t>
      </w:r>
      <w:r w:rsidRPr="00E04B32">
        <w:t>prevent</w:t>
      </w:r>
      <w:r>
        <w:t xml:space="preserve"> non-compliance</w:t>
      </w:r>
      <w:r w:rsidRPr="00E04B32">
        <w:t xml:space="preserve"> </w:t>
      </w:r>
      <w:r>
        <w:t>or</w:t>
      </w:r>
      <w:r w:rsidRPr="00E04B32">
        <w:t xml:space="preserve"> react </w:t>
      </w:r>
      <w:r>
        <w:t>to it before</w:t>
      </w:r>
      <w:r w:rsidRPr="00E04B32">
        <w:t xml:space="preserve"> </w:t>
      </w:r>
      <w:r>
        <w:t xml:space="preserve">it </w:t>
      </w:r>
      <w:r w:rsidRPr="00E04B32">
        <w:t>escalate</w:t>
      </w:r>
      <w:r>
        <w:t>s</w:t>
      </w:r>
      <w:r w:rsidRPr="00E04B32">
        <w:t>.</w:t>
      </w:r>
    </w:p>
    <w:p w14:paraId="507BFA7F" w14:textId="022CC4CF" w:rsidR="00EB0713" w:rsidRDefault="009A0EBC" w:rsidP="00014055">
      <w:pPr>
        <w:rPr>
          <w:rFonts w:cstheme="minorHAnsi"/>
        </w:rPr>
      </w:pPr>
      <w:bookmarkStart w:id="4" w:name="_Hlk57835099"/>
      <w:r>
        <w:rPr>
          <w:rFonts w:cstheme="minorHAnsi"/>
        </w:rPr>
        <w:t>Monitoring activities can include both formal and informal interactions with services. Primarily, t</w:t>
      </w:r>
      <w:r w:rsidRPr="00DB40CC">
        <w:rPr>
          <w:rFonts w:cstheme="minorHAnsi"/>
        </w:rPr>
        <w:t xml:space="preserve">he Regulatory Authority </w:t>
      </w:r>
      <w:r>
        <w:rPr>
          <w:rFonts w:cstheme="minorHAnsi"/>
        </w:rPr>
        <w:t>undertakes its monitoring function by</w:t>
      </w:r>
      <w:r w:rsidRPr="00DB40CC">
        <w:rPr>
          <w:rFonts w:cstheme="minorHAnsi"/>
        </w:rPr>
        <w:t xml:space="preserve"> </w:t>
      </w:r>
      <w:r>
        <w:rPr>
          <w:rFonts w:cstheme="minorHAnsi"/>
        </w:rPr>
        <w:t xml:space="preserve">conducting </w:t>
      </w:r>
      <w:r w:rsidRPr="00DB40CC">
        <w:rPr>
          <w:rFonts w:cstheme="minorHAnsi"/>
        </w:rPr>
        <w:t>visits</w:t>
      </w:r>
      <w:r>
        <w:rPr>
          <w:rFonts w:cstheme="minorHAnsi"/>
        </w:rPr>
        <w:t xml:space="preserve"> to ECEC services and inspecting the rectification of non-compliance that </w:t>
      </w:r>
      <w:r w:rsidR="00410231">
        <w:rPr>
          <w:rFonts w:cstheme="minorHAnsi"/>
        </w:rPr>
        <w:t>has been</w:t>
      </w:r>
      <w:r>
        <w:rPr>
          <w:rFonts w:cstheme="minorHAnsi"/>
        </w:rPr>
        <w:t xml:space="preserve"> identified.</w:t>
      </w:r>
      <w:bookmarkEnd w:id="4"/>
      <w:r>
        <w:rPr>
          <w:rFonts w:cstheme="minorHAnsi"/>
        </w:rPr>
        <w:t xml:space="preserve"> </w:t>
      </w:r>
      <w:r w:rsidR="00EB0713">
        <w:rPr>
          <w:rFonts w:cstheme="minorHAnsi"/>
        </w:rPr>
        <w:t>The safety, health and wellbeing of children attending an ECEC service is the primary focus for any visit and this includes how the Child Safe Standards are being implemented within the service.</w:t>
      </w:r>
    </w:p>
    <w:p w14:paraId="18A6AF22" w14:textId="77777777" w:rsidR="009A0EBC" w:rsidRDefault="009A0EBC" w:rsidP="00014055">
      <w:pPr>
        <w:rPr>
          <w:rFonts w:cstheme="minorHAnsi"/>
        </w:rPr>
      </w:pPr>
      <w:r>
        <w:rPr>
          <w:rFonts w:cstheme="minorHAnsi"/>
        </w:rPr>
        <w:t>Visits are an important and effective means for assessing compliance and allow identification of areas for regulatory attention that have otherwise gone unnoticed and/or unreported. Analysis of data recorded by the Regulatory Authority and collection of information from a range of stakeholders are also important aspects of the Regulatory Authority’s monitoring activities.</w:t>
      </w:r>
    </w:p>
    <w:p w14:paraId="4D995995" w14:textId="086A6D6C" w:rsidR="009A0EBC" w:rsidRDefault="009A0EBC" w:rsidP="00014055">
      <w:pPr>
        <w:rPr>
          <w:rFonts w:cstheme="minorHAnsi"/>
        </w:rPr>
      </w:pPr>
      <w:r>
        <w:rPr>
          <w:rFonts w:cstheme="minorHAnsi"/>
        </w:rPr>
        <w:t>The frequency and focus of visits to ECEC services varies based on the purpose of the visi</w:t>
      </w:r>
      <w:r w:rsidRPr="00515F60">
        <w:rPr>
          <w:rFonts w:cstheme="minorHAnsi"/>
        </w:rPr>
        <w:t>t</w:t>
      </w:r>
      <w:r>
        <w:rPr>
          <w:rFonts w:cstheme="minorHAnsi"/>
        </w:rPr>
        <w:t xml:space="preserve"> and </w:t>
      </w:r>
      <w:r w:rsidR="00410231">
        <w:rPr>
          <w:rFonts w:cstheme="minorHAnsi"/>
        </w:rPr>
        <w:t xml:space="preserve">visits </w:t>
      </w:r>
      <w:r>
        <w:rPr>
          <w:rFonts w:cstheme="minorHAnsi"/>
        </w:rPr>
        <w:t>may be announced or unannounced. Many v</w:t>
      </w:r>
      <w:r w:rsidRPr="00515F60">
        <w:rPr>
          <w:rFonts w:cstheme="minorHAnsi"/>
        </w:rPr>
        <w:t xml:space="preserve">isits </w:t>
      </w:r>
      <w:r>
        <w:rPr>
          <w:rFonts w:cstheme="minorHAnsi"/>
        </w:rPr>
        <w:t>are conducted for the primary purpose of monitoring compliance</w:t>
      </w:r>
      <w:r w:rsidR="000076D9">
        <w:rPr>
          <w:rFonts w:cstheme="minorHAnsi"/>
        </w:rPr>
        <w:t>, including the implementation of Child Safe Standards in the service</w:t>
      </w:r>
      <w:r w:rsidR="00410231">
        <w:rPr>
          <w:rFonts w:cstheme="minorHAnsi"/>
        </w:rPr>
        <w:t>. O</w:t>
      </w:r>
      <w:r>
        <w:rPr>
          <w:rFonts w:cstheme="minorHAnsi"/>
        </w:rPr>
        <w:t>ther</w:t>
      </w:r>
      <w:r w:rsidR="00410231">
        <w:rPr>
          <w:rFonts w:cstheme="minorHAnsi"/>
        </w:rPr>
        <w:t xml:space="preserve"> </w:t>
      </w:r>
      <w:r w:rsidR="00410231">
        <w:rPr>
          <w:rFonts w:cstheme="minorHAnsi"/>
        </w:rPr>
        <w:lastRenderedPageBreak/>
        <w:t>visits</w:t>
      </w:r>
      <w:r>
        <w:rPr>
          <w:rFonts w:cstheme="minorHAnsi"/>
        </w:rPr>
        <w:t xml:space="preserve"> are for </w:t>
      </w:r>
      <w:r w:rsidR="00410231">
        <w:rPr>
          <w:rFonts w:cstheme="minorHAnsi"/>
        </w:rPr>
        <w:t xml:space="preserve">one of </w:t>
      </w:r>
      <w:r>
        <w:rPr>
          <w:rFonts w:cstheme="minorHAnsi"/>
        </w:rPr>
        <w:t xml:space="preserve">the </w:t>
      </w:r>
      <w:r w:rsidR="00410231">
        <w:rPr>
          <w:rFonts w:cstheme="minorHAnsi"/>
        </w:rPr>
        <w:t xml:space="preserve">following </w:t>
      </w:r>
      <w:r>
        <w:rPr>
          <w:rFonts w:cstheme="minorHAnsi"/>
        </w:rPr>
        <w:t>purpose</w:t>
      </w:r>
      <w:r w:rsidR="00410231">
        <w:rPr>
          <w:rFonts w:cstheme="minorHAnsi"/>
        </w:rPr>
        <w:t>s</w:t>
      </w:r>
      <w:r>
        <w:rPr>
          <w:rFonts w:cstheme="minorHAnsi"/>
        </w:rPr>
        <w:t xml:space="preserve"> and </w:t>
      </w:r>
      <w:r w:rsidR="00410231">
        <w:rPr>
          <w:rFonts w:cstheme="minorHAnsi"/>
        </w:rPr>
        <w:t xml:space="preserve">also </w:t>
      </w:r>
      <w:r>
        <w:rPr>
          <w:rFonts w:cstheme="minorHAnsi"/>
        </w:rPr>
        <w:t>involve assessment of general compliance to varying degrees:</w:t>
      </w:r>
    </w:p>
    <w:p w14:paraId="0F0E85BE" w14:textId="77777777" w:rsidR="009A0EBC" w:rsidRDefault="009A0EBC" w:rsidP="0045123D">
      <w:pPr>
        <w:pStyle w:val="ListParagraph"/>
        <w:numPr>
          <w:ilvl w:val="0"/>
          <w:numId w:val="18"/>
        </w:numPr>
        <w:spacing w:after="120"/>
        <w:ind w:left="425" w:hanging="425"/>
        <w:contextualSpacing w:val="0"/>
        <w:rPr>
          <w:rFonts w:cstheme="minorHAnsi"/>
        </w:rPr>
      </w:pPr>
      <w:r w:rsidRPr="004A704E">
        <w:rPr>
          <w:rFonts w:cstheme="minorHAnsi"/>
        </w:rPr>
        <w:t xml:space="preserve">the approval </w:t>
      </w:r>
      <w:r>
        <w:rPr>
          <w:rFonts w:cstheme="minorHAnsi"/>
        </w:rPr>
        <w:t>process,</w:t>
      </w:r>
    </w:p>
    <w:p w14:paraId="3B2D90FB" w14:textId="4C083016" w:rsidR="009A0EBC" w:rsidRDefault="009A0EBC" w:rsidP="0045123D">
      <w:pPr>
        <w:pStyle w:val="ListParagraph"/>
        <w:numPr>
          <w:ilvl w:val="0"/>
          <w:numId w:val="18"/>
        </w:numPr>
        <w:spacing w:after="120"/>
        <w:ind w:left="425" w:hanging="425"/>
        <w:contextualSpacing w:val="0"/>
        <w:rPr>
          <w:rFonts w:cstheme="minorHAnsi"/>
        </w:rPr>
      </w:pPr>
      <w:r>
        <w:rPr>
          <w:rFonts w:cstheme="minorHAnsi"/>
        </w:rPr>
        <w:t xml:space="preserve">the </w:t>
      </w:r>
      <w:r w:rsidRPr="004A704E">
        <w:rPr>
          <w:rFonts w:cstheme="minorHAnsi"/>
        </w:rPr>
        <w:t>assessment and rating process</w:t>
      </w:r>
      <w:r>
        <w:rPr>
          <w:rFonts w:cstheme="minorHAnsi"/>
        </w:rPr>
        <w:t>,</w:t>
      </w:r>
    </w:p>
    <w:p w14:paraId="5E1FC78C" w14:textId="77777777" w:rsidR="009A0EBC" w:rsidRDefault="009A0EBC" w:rsidP="0045123D">
      <w:pPr>
        <w:pStyle w:val="ListParagraph"/>
        <w:numPr>
          <w:ilvl w:val="0"/>
          <w:numId w:val="18"/>
        </w:numPr>
        <w:spacing w:after="120"/>
        <w:ind w:left="425" w:hanging="425"/>
        <w:contextualSpacing w:val="0"/>
        <w:rPr>
          <w:rFonts w:cstheme="minorHAnsi"/>
        </w:rPr>
      </w:pPr>
      <w:r w:rsidRPr="004A704E">
        <w:rPr>
          <w:rFonts w:cstheme="minorHAnsi"/>
        </w:rPr>
        <w:t xml:space="preserve">an investigation in response to information received from </w:t>
      </w:r>
      <w:r>
        <w:rPr>
          <w:rFonts w:cstheme="minorHAnsi"/>
        </w:rPr>
        <w:t>an approved provider</w:t>
      </w:r>
      <w:r w:rsidRPr="004A704E">
        <w:rPr>
          <w:rFonts w:cstheme="minorHAnsi"/>
        </w:rPr>
        <w:t>, member of the public, parent</w:t>
      </w:r>
      <w:r>
        <w:rPr>
          <w:rFonts w:cstheme="minorHAnsi"/>
        </w:rPr>
        <w:t xml:space="preserve"> or stakeholders (such as </w:t>
      </w:r>
      <w:r w:rsidRPr="004A704E">
        <w:rPr>
          <w:rFonts w:cstheme="minorHAnsi"/>
        </w:rPr>
        <w:t>other government department</w:t>
      </w:r>
      <w:r>
        <w:rPr>
          <w:rFonts w:cstheme="minorHAnsi"/>
        </w:rPr>
        <w:t>s),</w:t>
      </w:r>
    </w:p>
    <w:p w14:paraId="13A5CCF3" w14:textId="77777777" w:rsidR="009A0EBC" w:rsidRDefault="009A0EBC" w:rsidP="0045123D">
      <w:pPr>
        <w:pStyle w:val="ListParagraph"/>
        <w:numPr>
          <w:ilvl w:val="0"/>
          <w:numId w:val="18"/>
        </w:numPr>
        <w:spacing w:after="120"/>
        <w:ind w:left="425" w:hanging="425"/>
        <w:contextualSpacing w:val="0"/>
        <w:rPr>
          <w:rFonts w:cstheme="minorHAnsi"/>
        </w:rPr>
      </w:pPr>
      <w:r w:rsidRPr="004A704E">
        <w:rPr>
          <w:rFonts w:cstheme="minorHAnsi"/>
        </w:rPr>
        <w:t xml:space="preserve">an audit program informed by data, stakeholder engagement or </w:t>
      </w:r>
      <w:r>
        <w:rPr>
          <w:rFonts w:cstheme="minorHAnsi"/>
        </w:rPr>
        <w:t xml:space="preserve">Authorised Officer </w:t>
      </w:r>
      <w:r w:rsidRPr="004A704E">
        <w:rPr>
          <w:rFonts w:cstheme="minorHAnsi"/>
        </w:rPr>
        <w:t>observations</w:t>
      </w:r>
      <w:r>
        <w:rPr>
          <w:rFonts w:cstheme="minorHAnsi"/>
        </w:rPr>
        <w:t>,</w:t>
      </w:r>
    </w:p>
    <w:p w14:paraId="298E0D58" w14:textId="5AB436FB" w:rsidR="009A0EBC" w:rsidRPr="009A0EBC" w:rsidRDefault="009A0EBC" w:rsidP="00014055">
      <w:pPr>
        <w:pStyle w:val="ListParagraph"/>
        <w:numPr>
          <w:ilvl w:val="0"/>
          <w:numId w:val="18"/>
        </w:numPr>
        <w:spacing w:after="240"/>
        <w:ind w:left="426" w:hanging="426"/>
        <w:rPr>
          <w:rFonts w:cstheme="minorHAnsi"/>
        </w:rPr>
      </w:pPr>
      <w:r w:rsidRPr="009A0EBC">
        <w:rPr>
          <w:rFonts w:cstheme="minorHAnsi"/>
        </w:rPr>
        <w:t>as part of imposing or enforcing a statutory sanction</w:t>
      </w:r>
      <w:r>
        <w:rPr>
          <w:rFonts w:cstheme="minorHAnsi"/>
        </w:rPr>
        <w:t>.</w:t>
      </w:r>
    </w:p>
    <w:p w14:paraId="43C32C11" w14:textId="1A55AB40" w:rsidR="00AA6D3D" w:rsidRPr="00624A55" w:rsidRDefault="00AA6D3D" w:rsidP="00AA6D3D">
      <w:pPr>
        <w:pStyle w:val="Heading2"/>
        <w:rPr>
          <w:lang w:val="en-AU"/>
        </w:rPr>
      </w:pPr>
      <w:bookmarkStart w:id="5" w:name="_Toc71637124"/>
      <w:r>
        <w:rPr>
          <w:lang w:val="en-AU"/>
        </w:rPr>
        <w:t>Visits to a service</w:t>
      </w:r>
      <w:bookmarkEnd w:id="5"/>
    </w:p>
    <w:p w14:paraId="4B90D640" w14:textId="2F8ABEEB" w:rsidR="00AA6D3D" w:rsidRDefault="00AA6D3D" w:rsidP="00014055">
      <w:pPr>
        <w:rPr>
          <w:rFonts w:cstheme="minorHAnsi"/>
        </w:rPr>
      </w:pPr>
      <w:r w:rsidRPr="00515F60">
        <w:rPr>
          <w:rFonts w:cstheme="minorHAnsi"/>
        </w:rPr>
        <w:t>Authorised Officers of the Regulatory Authority</w:t>
      </w:r>
      <w:r>
        <w:rPr>
          <w:rFonts w:cstheme="minorHAnsi"/>
        </w:rPr>
        <w:t xml:space="preserve"> conduct visits in accordance with their powers under the National Law.</w:t>
      </w:r>
      <w:r w:rsidRPr="00316D65">
        <w:rPr>
          <w:rStyle w:val="FootnoteReference"/>
          <w:rFonts w:cstheme="minorHAnsi"/>
          <w:color w:val="auto"/>
          <w:sz w:val="18"/>
          <w:szCs w:val="18"/>
        </w:rPr>
        <w:footnoteReference w:id="2"/>
      </w:r>
      <w:r w:rsidRPr="00316D65">
        <w:rPr>
          <w:rFonts w:cstheme="minorHAnsi"/>
          <w:sz w:val="20"/>
          <w:szCs w:val="20"/>
        </w:rPr>
        <w:t xml:space="preserve"> </w:t>
      </w:r>
      <w:r>
        <w:rPr>
          <w:rFonts w:cstheme="minorHAnsi"/>
          <w:sz w:val="20"/>
          <w:szCs w:val="20"/>
        </w:rPr>
        <w:t xml:space="preserve"> </w:t>
      </w:r>
      <w:r>
        <w:rPr>
          <w:rFonts w:cstheme="minorHAnsi"/>
        </w:rPr>
        <w:t xml:space="preserve">The priorities of visits to ECEC services are based on risk to the safety, health and wellbeing of children </w:t>
      </w:r>
      <w:r w:rsidR="00410231">
        <w:rPr>
          <w:rFonts w:cstheme="minorHAnsi"/>
        </w:rPr>
        <w:t>as well as</w:t>
      </w:r>
      <w:r>
        <w:rPr>
          <w:rFonts w:cstheme="minorHAnsi"/>
        </w:rPr>
        <w:t xml:space="preserve"> the reason and purpose for the visit. At times, the focus of a visit may change based on what is observed during the visit. </w:t>
      </w:r>
    </w:p>
    <w:p w14:paraId="0E78377C" w14:textId="77777777" w:rsidR="00AA6D3D" w:rsidRPr="00515F60" w:rsidRDefault="00AA6D3D" w:rsidP="00014055">
      <w:pPr>
        <w:rPr>
          <w:rFonts w:cstheme="minorHAnsi"/>
        </w:rPr>
      </w:pPr>
      <w:r>
        <w:rPr>
          <w:rFonts w:cstheme="minorHAnsi"/>
        </w:rPr>
        <w:t xml:space="preserve">Generally, Authorised Officers gather </w:t>
      </w:r>
      <w:bookmarkStart w:id="6" w:name="_Hlk34577241"/>
      <w:r w:rsidRPr="00515F60">
        <w:rPr>
          <w:rFonts w:cstheme="minorHAnsi"/>
        </w:rPr>
        <w:t xml:space="preserve">evidence </w:t>
      </w:r>
      <w:bookmarkEnd w:id="6"/>
      <w:r>
        <w:rPr>
          <w:rFonts w:cstheme="minorHAnsi"/>
        </w:rPr>
        <w:t xml:space="preserve">at visits </w:t>
      </w:r>
      <w:r w:rsidRPr="00515F60">
        <w:rPr>
          <w:rFonts w:cstheme="minorHAnsi"/>
        </w:rPr>
        <w:t>through</w:t>
      </w:r>
      <w:r>
        <w:rPr>
          <w:rFonts w:cstheme="minorHAnsi"/>
        </w:rPr>
        <w:t xml:space="preserve"> some or all of the following practices</w:t>
      </w:r>
      <w:r w:rsidRPr="00515F60">
        <w:rPr>
          <w:rFonts w:cstheme="minorHAnsi"/>
        </w:rPr>
        <w:t>:</w:t>
      </w:r>
    </w:p>
    <w:p w14:paraId="34F5488B" w14:textId="77777777" w:rsidR="00AA6D3D" w:rsidRDefault="00AA6D3D" w:rsidP="0045123D">
      <w:pPr>
        <w:pStyle w:val="ListParagraph"/>
        <w:numPr>
          <w:ilvl w:val="0"/>
          <w:numId w:val="19"/>
        </w:numPr>
        <w:spacing w:after="120" w:line="240" w:lineRule="auto"/>
        <w:ind w:left="425" w:hanging="425"/>
        <w:contextualSpacing w:val="0"/>
        <w:rPr>
          <w:rFonts w:cstheme="minorHAnsi"/>
        </w:rPr>
      </w:pPr>
      <w:r w:rsidRPr="00515F60">
        <w:rPr>
          <w:rFonts w:cstheme="minorHAnsi"/>
        </w:rPr>
        <w:t xml:space="preserve">observing children and the practice of educators within the program, </w:t>
      </w:r>
    </w:p>
    <w:p w14:paraId="40ECD4B0" w14:textId="77777777" w:rsidR="00AA6D3D" w:rsidRPr="00515F60" w:rsidRDefault="00AA6D3D" w:rsidP="0045123D">
      <w:pPr>
        <w:pStyle w:val="ListParagraph"/>
        <w:numPr>
          <w:ilvl w:val="0"/>
          <w:numId w:val="19"/>
        </w:numPr>
        <w:spacing w:after="120" w:line="240" w:lineRule="auto"/>
        <w:ind w:left="425" w:hanging="425"/>
        <w:contextualSpacing w:val="0"/>
        <w:rPr>
          <w:rFonts w:cstheme="minorHAnsi"/>
        </w:rPr>
      </w:pPr>
      <w:r>
        <w:rPr>
          <w:rFonts w:cstheme="minorHAnsi"/>
        </w:rPr>
        <w:t>inspecting the premises and equipment,</w:t>
      </w:r>
    </w:p>
    <w:p w14:paraId="58A835C2" w14:textId="7A8FA965" w:rsidR="00AA6D3D" w:rsidRPr="00515F60" w:rsidRDefault="00AA6D3D" w:rsidP="0045123D">
      <w:pPr>
        <w:pStyle w:val="ListParagraph"/>
        <w:numPr>
          <w:ilvl w:val="0"/>
          <w:numId w:val="19"/>
        </w:numPr>
        <w:spacing w:after="120" w:line="240" w:lineRule="auto"/>
        <w:ind w:left="425" w:hanging="425"/>
        <w:contextualSpacing w:val="0"/>
        <w:rPr>
          <w:rFonts w:cstheme="minorHAnsi"/>
        </w:rPr>
      </w:pPr>
      <w:r w:rsidRPr="00515F60">
        <w:rPr>
          <w:rFonts w:cstheme="minorHAnsi"/>
        </w:rPr>
        <w:t>discussing aspects of the service’s operations</w:t>
      </w:r>
      <w:r w:rsidR="00755AD1">
        <w:rPr>
          <w:rFonts w:cstheme="minorHAnsi"/>
        </w:rPr>
        <w:t xml:space="preserve"> and leadership</w:t>
      </w:r>
      <w:r w:rsidRPr="00515F60">
        <w:rPr>
          <w:rFonts w:cstheme="minorHAnsi"/>
        </w:rPr>
        <w:t xml:space="preserve"> </w:t>
      </w:r>
      <w:r>
        <w:rPr>
          <w:rFonts w:cstheme="minorHAnsi"/>
        </w:rPr>
        <w:t xml:space="preserve">with staff, </w:t>
      </w:r>
    </w:p>
    <w:p w14:paraId="48233ACD" w14:textId="77777777" w:rsidR="00AA6D3D" w:rsidRDefault="00AA6D3D" w:rsidP="0045123D">
      <w:pPr>
        <w:pStyle w:val="ListParagraph"/>
        <w:numPr>
          <w:ilvl w:val="0"/>
          <w:numId w:val="19"/>
        </w:numPr>
        <w:spacing w:after="120" w:line="240" w:lineRule="auto"/>
        <w:ind w:left="425" w:hanging="425"/>
        <w:contextualSpacing w:val="0"/>
        <w:rPr>
          <w:rFonts w:cstheme="minorHAnsi"/>
        </w:rPr>
      </w:pPr>
      <w:r w:rsidRPr="00515F60">
        <w:rPr>
          <w:rFonts w:cstheme="minorHAnsi"/>
        </w:rPr>
        <w:t>sighting records and documents</w:t>
      </w:r>
      <w:r>
        <w:rPr>
          <w:rFonts w:cstheme="minorHAnsi"/>
        </w:rPr>
        <w:t xml:space="preserve">, </w:t>
      </w:r>
    </w:p>
    <w:p w14:paraId="0A93B6D3" w14:textId="77777777" w:rsidR="00AA6D3D" w:rsidRPr="00515F60" w:rsidRDefault="00AA6D3D" w:rsidP="00014055">
      <w:pPr>
        <w:pStyle w:val="ListParagraph"/>
        <w:numPr>
          <w:ilvl w:val="0"/>
          <w:numId w:val="19"/>
        </w:numPr>
        <w:spacing w:after="120" w:line="240" w:lineRule="auto"/>
        <w:ind w:left="426" w:hanging="426"/>
        <w:rPr>
          <w:rFonts w:cstheme="minorHAnsi"/>
        </w:rPr>
      </w:pPr>
      <w:r>
        <w:rPr>
          <w:rFonts w:cstheme="minorHAnsi"/>
        </w:rPr>
        <w:t>making copies or photographs or film of any of the above</w:t>
      </w:r>
      <w:r w:rsidRPr="00515F60">
        <w:rPr>
          <w:rFonts w:cstheme="minorHAnsi"/>
        </w:rPr>
        <w:t xml:space="preserve">. </w:t>
      </w:r>
    </w:p>
    <w:p w14:paraId="5FD962CA" w14:textId="1826E3A2" w:rsidR="00AA6D3D" w:rsidRDefault="00410231" w:rsidP="00014055">
      <w:pPr>
        <w:rPr>
          <w:rFonts w:cstheme="minorHAnsi"/>
        </w:rPr>
      </w:pPr>
      <w:r>
        <w:rPr>
          <w:rFonts w:cstheme="minorHAnsi"/>
        </w:rPr>
        <w:t xml:space="preserve">During a visit, </w:t>
      </w:r>
      <w:r w:rsidR="00AA6D3D">
        <w:rPr>
          <w:rFonts w:cstheme="minorHAnsi"/>
        </w:rPr>
        <w:t xml:space="preserve">Authorised Officers </w:t>
      </w:r>
      <w:r>
        <w:rPr>
          <w:rFonts w:cstheme="minorHAnsi"/>
        </w:rPr>
        <w:t>will discuss their visit activities with the responsible person</w:t>
      </w:r>
      <w:r w:rsidR="00401165" w:rsidRPr="00401165">
        <w:rPr>
          <w:rStyle w:val="FootnoteReference"/>
          <w:rFonts w:cstheme="minorHAnsi"/>
          <w:color w:val="auto"/>
          <w:sz w:val="18"/>
          <w:szCs w:val="18"/>
        </w:rPr>
        <w:footnoteReference w:id="3"/>
      </w:r>
      <w:r>
        <w:rPr>
          <w:rFonts w:cstheme="minorHAnsi"/>
        </w:rPr>
        <w:t xml:space="preserve">. If non-compliance is observed by the Authorised Officer during the visit, </w:t>
      </w:r>
      <w:r w:rsidR="002C2A6D">
        <w:rPr>
          <w:rFonts w:cstheme="minorHAnsi"/>
        </w:rPr>
        <w:t>this</w:t>
      </w:r>
      <w:r>
        <w:rPr>
          <w:rFonts w:cstheme="minorHAnsi"/>
        </w:rPr>
        <w:t xml:space="preserve"> will </w:t>
      </w:r>
      <w:r w:rsidR="002C2A6D">
        <w:rPr>
          <w:rFonts w:cstheme="minorHAnsi"/>
        </w:rPr>
        <w:t>also be discussed with the responsible person so that</w:t>
      </w:r>
      <w:r>
        <w:rPr>
          <w:rFonts w:cstheme="minorHAnsi"/>
        </w:rPr>
        <w:t xml:space="preserve"> </w:t>
      </w:r>
      <w:r w:rsidR="002C2A6D">
        <w:rPr>
          <w:rFonts w:cstheme="minorHAnsi"/>
        </w:rPr>
        <w:t>there is</w:t>
      </w:r>
      <w:r>
        <w:rPr>
          <w:rFonts w:cstheme="minorHAnsi"/>
        </w:rPr>
        <w:t xml:space="preserve"> opportunity to</w:t>
      </w:r>
      <w:r w:rsidR="002C2A6D">
        <w:rPr>
          <w:rFonts w:cstheme="minorHAnsi"/>
        </w:rPr>
        <w:t xml:space="preserve"> commence </w:t>
      </w:r>
      <w:r>
        <w:rPr>
          <w:rFonts w:cstheme="minorHAnsi"/>
        </w:rPr>
        <w:t>address</w:t>
      </w:r>
      <w:r w:rsidR="002C2A6D">
        <w:rPr>
          <w:rFonts w:cstheme="minorHAnsi"/>
        </w:rPr>
        <w:t>ing</w:t>
      </w:r>
      <w:r>
        <w:rPr>
          <w:rFonts w:cstheme="minorHAnsi"/>
        </w:rPr>
        <w:t xml:space="preserve"> </w:t>
      </w:r>
      <w:r w:rsidR="002C2A6D">
        <w:rPr>
          <w:rFonts w:cstheme="minorHAnsi"/>
        </w:rPr>
        <w:t>non-compliance immediately</w:t>
      </w:r>
      <w:r w:rsidR="00AA6D3D" w:rsidRPr="000E1F3C">
        <w:rPr>
          <w:rFonts w:cstheme="minorHAnsi"/>
        </w:rPr>
        <w:t>.</w:t>
      </w:r>
      <w:r w:rsidR="00AA6D3D">
        <w:rPr>
          <w:rFonts w:cstheme="minorHAnsi"/>
        </w:rPr>
        <w:t xml:space="preserve"> Where there is non-compliance that creates serious </w:t>
      </w:r>
      <w:r w:rsidR="002C2A6D">
        <w:rPr>
          <w:rFonts w:cstheme="minorHAnsi"/>
        </w:rPr>
        <w:t xml:space="preserve">or imminent </w:t>
      </w:r>
      <w:r w:rsidR="00AA6D3D">
        <w:rPr>
          <w:rFonts w:cstheme="minorHAnsi"/>
        </w:rPr>
        <w:t>risk to safety, health and wellbeing of children, this is escalated immediately within the Regulatory Authority and emergency action is taken as necessary.</w:t>
      </w:r>
    </w:p>
    <w:p w14:paraId="31AFCAAE" w14:textId="6502DE1D" w:rsidR="00AA6D3D" w:rsidRPr="00A0065D" w:rsidRDefault="00AA6D3D" w:rsidP="00014055">
      <w:pPr>
        <w:rPr>
          <w:rFonts w:cstheme="minorHAnsi"/>
        </w:rPr>
      </w:pPr>
      <w:r w:rsidRPr="00A0065D">
        <w:rPr>
          <w:rFonts w:cstheme="minorHAnsi"/>
          <w:shd w:val="clear" w:color="auto" w:fill="FFFFFF" w:themeFill="background1"/>
        </w:rPr>
        <w:t xml:space="preserve">Following a visit, the Authorised Officer will </w:t>
      </w:r>
      <w:r w:rsidR="00E57EB6">
        <w:rPr>
          <w:rFonts w:cstheme="minorHAnsi"/>
          <w:shd w:val="clear" w:color="auto" w:fill="FFFFFF" w:themeFill="background1"/>
        </w:rPr>
        <w:t>notify</w:t>
      </w:r>
      <w:r w:rsidRPr="00A0065D">
        <w:rPr>
          <w:rFonts w:cstheme="minorHAnsi"/>
          <w:shd w:val="clear" w:color="auto" w:fill="FFFFFF" w:themeFill="background1"/>
        </w:rPr>
        <w:t xml:space="preserve"> the approved provider </w:t>
      </w:r>
      <w:r w:rsidR="00E57EB6">
        <w:rPr>
          <w:rFonts w:cstheme="minorHAnsi"/>
          <w:shd w:val="clear" w:color="auto" w:fill="FFFFFF" w:themeFill="background1"/>
        </w:rPr>
        <w:t>in writing about</w:t>
      </w:r>
      <w:r w:rsidRPr="00A0065D">
        <w:rPr>
          <w:rFonts w:cstheme="minorHAnsi"/>
          <w:shd w:val="clear" w:color="auto" w:fill="FFFFFF" w:themeFill="background1"/>
        </w:rPr>
        <w:t xml:space="preserve"> the</w:t>
      </w:r>
      <w:r>
        <w:rPr>
          <w:rFonts w:cstheme="minorHAnsi"/>
          <w:shd w:val="clear" w:color="auto" w:fill="FFFFFF" w:themeFill="background1"/>
        </w:rPr>
        <w:t xml:space="preserve"> visit</w:t>
      </w:r>
      <w:r w:rsidRPr="00A0065D">
        <w:rPr>
          <w:rFonts w:cstheme="minorHAnsi"/>
          <w:shd w:val="clear" w:color="auto" w:fill="FFFFFF" w:themeFill="background1"/>
        </w:rPr>
        <w:t xml:space="preserve"> findings. </w:t>
      </w:r>
      <w:r w:rsidRPr="00A0065D">
        <w:rPr>
          <w:rFonts w:cstheme="minorHAnsi"/>
        </w:rPr>
        <w:t xml:space="preserve">The approved provider </w:t>
      </w:r>
      <w:r>
        <w:rPr>
          <w:rFonts w:cstheme="minorHAnsi"/>
        </w:rPr>
        <w:t>is expected</w:t>
      </w:r>
      <w:r w:rsidRPr="00A0065D">
        <w:rPr>
          <w:rFonts w:cstheme="minorHAnsi"/>
        </w:rPr>
        <w:t xml:space="preserve"> to </w:t>
      </w:r>
      <w:r>
        <w:rPr>
          <w:rFonts w:cstheme="minorHAnsi"/>
        </w:rPr>
        <w:t xml:space="preserve">promptly </w:t>
      </w:r>
      <w:r w:rsidRPr="00A0065D">
        <w:rPr>
          <w:rFonts w:cstheme="minorHAnsi"/>
        </w:rPr>
        <w:t>rectify any non-compliance and to provide evidence of rectification.</w:t>
      </w:r>
      <w:r>
        <w:rPr>
          <w:rFonts w:cstheme="minorHAnsi"/>
        </w:rPr>
        <w:t xml:space="preserve"> </w:t>
      </w:r>
      <w:r w:rsidR="00E57EB6">
        <w:rPr>
          <w:rFonts w:cstheme="minorHAnsi"/>
        </w:rPr>
        <w:t>S</w:t>
      </w:r>
      <w:r w:rsidRPr="00A0065D">
        <w:rPr>
          <w:rFonts w:cstheme="minorHAnsi"/>
        </w:rPr>
        <w:t>anctions or other action may be applied</w:t>
      </w:r>
      <w:r>
        <w:rPr>
          <w:rFonts w:cstheme="minorHAnsi"/>
        </w:rPr>
        <w:t xml:space="preserve"> by the Regulatory Authority</w:t>
      </w:r>
      <w:r w:rsidRPr="00A0065D">
        <w:rPr>
          <w:rFonts w:cstheme="minorHAnsi"/>
        </w:rPr>
        <w:t xml:space="preserve"> </w:t>
      </w:r>
      <w:r w:rsidR="00E57EB6">
        <w:rPr>
          <w:rFonts w:cstheme="minorHAnsi"/>
        </w:rPr>
        <w:t>if</w:t>
      </w:r>
      <w:r w:rsidRPr="00A0065D">
        <w:rPr>
          <w:rFonts w:cstheme="minorHAnsi"/>
        </w:rPr>
        <w:t xml:space="preserve"> </w:t>
      </w:r>
      <w:r w:rsidR="00E57EB6">
        <w:rPr>
          <w:rFonts w:cstheme="minorHAnsi"/>
        </w:rPr>
        <w:t xml:space="preserve">compliance is inadequate </w:t>
      </w:r>
      <w:r w:rsidR="00401165">
        <w:rPr>
          <w:rFonts w:cstheme="minorHAnsi"/>
        </w:rPr>
        <w:t xml:space="preserve">and/or </w:t>
      </w:r>
      <w:r w:rsidR="00E57EB6">
        <w:rPr>
          <w:rFonts w:cstheme="minorHAnsi"/>
        </w:rPr>
        <w:t>risks to children’s safety, health and wellbeing are not addressed</w:t>
      </w:r>
      <w:r w:rsidRPr="00A0065D">
        <w:rPr>
          <w:rFonts w:cstheme="minorHAnsi"/>
        </w:rPr>
        <w:t>.</w:t>
      </w:r>
    </w:p>
    <w:p w14:paraId="7F3E88BC" w14:textId="7B289825" w:rsidR="009A0EBC" w:rsidRDefault="00AA6D3D" w:rsidP="00014055">
      <w:pPr>
        <w:spacing w:after="240"/>
        <w:rPr>
          <w:rFonts w:cstheme="minorHAnsi"/>
        </w:rPr>
      </w:pPr>
      <w:r w:rsidRPr="00A0065D">
        <w:rPr>
          <w:rFonts w:cstheme="minorHAnsi"/>
        </w:rPr>
        <w:t>The visit findings form part of the service’s compliance history and are used by the Regulatory Authority</w:t>
      </w:r>
      <w:r>
        <w:rPr>
          <w:rFonts w:cstheme="minorHAnsi"/>
        </w:rPr>
        <w:t xml:space="preserve"> when making any future decisions about the approved provider or the service. The findings are also used</w:t>
      </w:r>
      <w:r w:rsidRPr="00A0065D">
        <w:rPr>
          <w:rFonts w:cstheme="minorHAnsi"/>
        </w:rPr>
        <w:t xml:space="preserve"> to determine whether additional monitoring of the service is required based on the principle of earned autonomy, as </w:t>
      </w:r>
      <w:r>
        <w:rPr>
          <w:rFonts w:cstheme="minorHAnsi"/>
        </w:rPr>
        <w:t>outlined in the sections</w:t>
      </w:r>
      <w:r w:rsidRPr="00A0065D">
        <w:rPr>
          <w:rFonts w:cstheme="minorHAnsi"/>
        </w:rPr>
        <w:t xml:space="preserve"> below</w:t>
      </w:r>
      <w:r>
        <w:rPr>
          <w:rFonts w:cstheme="minorHAnsi"/>
        </w:rPr>
        <w:t>.</w:t>
      </w:r>
    </w:p>
    <w:p w14:paraId="7D3976FA" w14:textId="16C66BA2" w:rsidR="00AA6D3D" w:rsidRPr="00624A55" w:rsidRDefault="00AA6D3D" w:rsidP="00AA6D3D">
      <w:pPr>
        <w:pStyle w:val="Heading2"/>
        <w:rPr>
          <w:lang w:val="en-AU"/>
        </w:rPr>
      </w:pPr>
      <w:bookmarkStart w:id="7" w:name="_Toc71637125"/>
      <w:r>
        <w:rPr>
          <w:lang w:val="en-AU"/>
        </w:rPr>
        <w:lastRenderedPageBreak/>
        <w:t>The monitoring schedule</w:t>
      </w:r>
      <w:bookmarkEnd w:id="7"/>
    </w:p>
    <w:p w14:paraId="221FE32C" w14:textId="77777777" w:rsidR="00AA6D3D" w:rsidRDefault="00AA6D3D" w:rsidP="00014055">
      <w:pPr>
        <w:pStyle w:val="ListParagraph"/>
        <w:spacing w:after="120"/>
        <w:ind w:left="0"/>
        <w:contextualSpacing w:val="0"/>
        <w:rPr>
          <w:rFonts w:cstheme="minorHAnsi"/>
        </w:rPr>
      </w:pPr>
      <w:r>
        <w:rPr>
          <w:rFonts w:cstheme="minorHAnsi"/>
        </w:rPr>
        <w:t xml:space="preserve">The Regulatory Authority targets the frequency and focus of monitoring activities to areas of risk and likely benefit of regulatory action. A schedule of visits ensures the Regulatory Authority has regular engagement with, and checking of, ECEC services.  </w:t>
      </w:r>
    </w:p>
    <w:p w14:paraId="3C5ADABD" w14:textId="77777777" w:rsidR="00AA6D3D" w:rsidRPr="003240DE" w:rsidRDefault="00AA6D3D" w:rsidP="00014055">
      <w:pPr>
        <w:pStyle w:val="ListParagraph"/>
        <w:spacing w:after="120"/>
        <w:ind w:left="0"/>
        <w:contextualSpacing w:val="0"/>
        <w:rPr>
          <w:rFonts w:cstheme="minorHAnsi"/>
        </w:rPr>
      </w:pPr>
      <w:r>
        <w:rPr>
          <w:rFonts w:cstheme="minorHAnsi"/>
        </w:rPr>
        <w:t xml:space="preserve">The Regulatory Authority conducts a visit before granting approval to an ECEC service and then conducts scheduled visits to approved services: </w:t>
      </w:r>
    </w:p>
    <w:p w14:paraId="048650A4" w14:textId="77777777" w:rsidR="00AA6D3D" w:rsidRDefault="00AA6D3D" w:rsidP="0045123D">
      <w:pPr>
        <w:pStyle w:val="ListParagraph"/>
        <w:numPr>
          <w:ilvl w:val="0"/>
          <w:numId w:val="20"/>
        </w:numPr>
        <w:spacing w:after="120"/>
        <w:ind w:left="425" w:hanging="425"/>
        <w:contextualSpacing w:val="0"/>
        <w:rPr>
          <w:rFonts w:cstheme="minorHAnsi"/>
        </w:rPr>
      </w:pPr>
      <w:r>
        <w:rPr>
          <w:rFonts w:cstheme="minorHAnsi"/>
        </w:rPr>
        <w:t>During the first year of operation (or a change of approved provider);</w:t>
      </w:r>
    </w:p>
    <w:p w14:paraId="2FD05E19" w14:textId="77777777" w:rsidR="00AA6D3D" w:rsidRPr="00DE2D56" w:rsidRDefault="00AA6D3D" w:rsidP="0045123D">
      <w:pPr>
        <w:pStyle w:val="ListParagraph"/>
        <w:numPr>
          <w:ilvl w:val="0"/>
          <w:numId w:val="20"/>
        </w:numPr>
        <w:spacing w:after="120"/>
        <w:ind w:left="425" w:hanging="425"/>
        <w:contextualSpacing w:val="0"/>
        <w:rPr>
          <w:rFonts w:cstheme="minorHAnsi"/>
        </w:rPr>
      </w:pPr>
      <w:r>
        <w:rPr>
          <w:rFonts w:cstheme="minorHAnsi"/>
        </w:rPr>
        <w:t>For assessment and rating;</w:t>
      </w:r>
    </w:p>
    <w:p w14:paraId="67B6B999" w14:textId="77777777" w:rsidR="00AA6D3D" w:rsidRPr="003240DE" w:rsidRDefault="00AA6D3D" w:rsidP="00014055">
      <w:pPr>
        <w:pStyle w:val="ListParagraph"/>
        <w:numPr>
          <w:ilvl w:val="0"/>
          <w:numId w:val="20"/>
        </w:numPr>
        <w:spacing w:after="120"/>
        <w:ind w:left="426" w:hanging="426"/>
        <w:contextualSpacing w:val="0"/>
        <w:rPr>
          <w:rFonts w:cstheme="minorHAnsi"/>
        </w:rPr>
      </w:pPr>
      <w:r>
        <w:rPr>
          <w:rFonts w:cstheme="minorHAnsi"/>
        </w:rPr>
        <w:t>To monitor an ECEC service at least every three years.</w:t>
      </w:r>
    </w:p>
    <w:p w14:paraId="244117D1" w14:textId="3895A59D" w:rsidR="00AA6D3D" w:rsidRDefault="00AA6D3D" w:rsidP="00014055">
      <w:pPr>
        <w:pStyle w:val="ListParagraph"/>
        <w:spacing w:after="120"/>
        <w:ind w:left="0"/>
        <w:contextualSpacing w:val="0"/>
        <w:rPr>
          <w:rFonts w:cstheme="minorHAnsi"/>
        </w:rPr>
      </w:pPr>
      <w:r w:rsidRPr="00777DDF">
        <w:rPr>
          <w:rFonts w:cstheme="minorHAnsi"/>
        </w:rPr>
        <w:t xml:space="preserve">In addition, the Regulatory Authority conducts visits to ECEC services in response to </w:t>
      </w:r>
      <w:r>
        <w:rPr>
          <w:rFonts w:cstheme="minorHAnsi"/>
        </w:rPr>
        <w:t xml:space="preserve">data </w:t>
      </w:r>
      <w:r w:rsidR="00401165">
        <w:rPr>
          <w:rFonts w:cstheme="minorHAnsi"/>
        </w:rPr>
        <w:t xml:space="preserve">analysis, </w:t>
      </w:r>
      <w:r>
        <w:rPr>
          <w:rFonts w:cstheme="minorHAnsi"/>
        </w:rPr>
        <w:t>or information</w:t>
      </w:r>
      <w:r w:rsidR="00401165">
        <w:rPr>
          <w:rFonts w:cstheme="minorHAnsi"/>
        </w:rPr>
        <w:t xml:space="preserve"> received from stakeholders</w:t>
      </w:r>
      <w:r w:rsidRPr="00777DDF">
        <w:rPr>
          <w:rFonts w:cstheme="minorHAnsi"/>
        </w:rPr>
        <w:t>.</w:t>
      </w:r>
      <w:r>
        <w:rPr>
          <w:rFonts w:cstheme="minorHAnsi"/>
        </w:rPr>
        <w:t xml:space="preserve"> </w:t>
      </w:r>
      <w:r w:rsidRPr="00777DDF">
        <w:rPr>
          <w:rFonts w:cstheme="minorHAnsi"/>
        </w:rPr>
        <w:t>For example, complaints, notifications</w:t>
      </w:r>
      <w:r>
        <w:rPr>
          <w:rFonts w:cstheme="minorHAnsi"/>
        </w:rPr>
        <w:t xml:space="preserve"> from approved providers</w:t>
      </w:r>
      <w:r w:rsidRPr="00777DDF">
        <w:rPr>
          <w:rFonts w:cstheme="minorHAnsi"/>
        </w:rPr>
        <w:t xml:space="preserve"> and information from stakeholders </w:t>
      </w:r>
      <w:r>
        <w:rPr>
          <w:rFonts w:cstheme="minorHAnsi"/>
        </w:rPr>
        <w:t>(</w:t>
      </w:r>
      <w:r w:rsidRPr="00777DDF">
        <w:rPr>
          <w:rFonts w:cstheme="minorHAnsi"/>
        </w:rPr>
        <w:t>including parents/guardians</w:t>
      </w:r>
      <w:r>
        <w:rPr>
          <w:rFonts w:cstheme="minorHAnsi"/>
        </w:rPr>
        <w:t xml:space="preserve"> and the general public)</w:t>
      </w:r>
      <w:r w:rsidRPr="00777DDF">
        <w:rPr>
          <w:rFonts w:cstheme="minorHAnsi"/>
        </w:rPr>
        <w:t>, play a key role in alerting the Regulatory Authority to potential risks to the safety, health and wellbeing of children, and often prompt visits to ECEC services</w:t>
      </w:r>
      <w:r>
        <w:rPr>
          <w:rFonts w:cstheme="minorHAnsi"/>
        </w:rPr>
        <w:t>. These visits may also form part of an investigation</w:t>
      </w:r>
      <w:r w:rsidRPr="00777DDF">
        <w:rPr>
          <w:rFonts w:cstheme="minorHAnsi"/>
        </w:rPr>
        <w:t>. Data collection and analysis, including of a service’s quality rating, service characteristics and history of compliance,</w:t>
      </w:r>
      <w:r w:rsidR="00317F6C">
        <w:rPr>
          <w:rFonts w:cstheme="minorHAnsi"/>
        </w:rPr>
        <w:t xml:space="preserve"> </w:t>
      </w:r>
      <w:r w:rsidRPr="00777DDF">
        <w:rPr>
          <w:rFonts w:cstheme="minorHAnsi"/>
        </w:rPr>
        <w:t>may also lead to targeted visits and/or influence the timing of visits to ECEC services.</w:t>
      </w:r>
      <w:r>
        <w:rPr>
          <w:rFonts w:cstheme="minorHAnsi"/>
        </w:rPr>
        <w:t xml:space="preserve"> </w:t>
      </w:r>
    </w:p>
    <w:p w14:paraId="22626A20" w14:textId="07EEAA66" w:rsidR="009A0EBC" w:rsidRDefault="00AA6D3D" w:rsidP="00014055">
      <w:pPr>
        <w:spacing w:after="240"/>
        <w:rPr>
          <w:rFonts w:cstheme="minorHAnsi"/>
        </w:rPr>
      </w:pPr>
      <w:r>
        <w:rPr>
          <w:rFonts w:cstheme="minorHAnsi"/>
        </w:rPr>
        <w:t xml:space="preserve">Specific ‘additional </w:t>
      </w:r>
      <w:r w:rsidRPr="00B93244">
        <w:rPr>
          <w:rFonts w:cstheme="minorHAnsi"/>
        </w:rPr>
        <w:t>monitoring</w:t>
      </w:r>
      <w:r>
        <w:rPr>
          <w:rFonts w:cstheme="minorHAnsi"/>
        </w:rPr>
        <w:t>’</w:t>
      </w:r>
      <w:r w:rsidRPr="00B93244">
        <w:rPr>
          <w:rFonts w:cstheme="minorHAnsi"/>
        </w:rPr>
        <w:t xml:space="preserve"> visit</w:t>
      </w:r>
      <w:r>
        <w:rPr>
          <w:rFonts w:cstheme="minorHAnsi"/>
        </w:rPr>
        <w:t>s</w:t>
      </w:r>
      <w:r w:rsidRPr="00B93244">
        <w:rPr>
          <w:rFonts w:cstheme="minorHAnsi"/>
        </w:rPr>
        <w:t xml:space="preserve"> </w:t>
      </w:r>
      <w:r w:rsidR="00F84BD0">
        <w:rPr>
          <w:rFonts w:cstheme="minorHAnsi"/>
        </w:rPr>
        <w:t>may</w:t>
      </w:r>
      <w:r>
        <w:rPr>
          <w:rFonts w:cstheme="minorHAnsi"/>
        </w:rPr>
        <w:t xml:space="preserve"> also</w:t>
      </w:r>
      <w:r w:rsidR="00F84BD0">
        <w:rPr>
          <w:rFonts w:cstheme="minorHAnsi"/>
        </w:rPr>
        <w:t xml:space="preserve"> be</w:t>
      </w:r>
      <w:r>
        <w:rPr>
          <w:rFonts w:cstheme="minorHAnsi"/>
        </w:rPr>
        <w:t xml:space="preserve"> conducted to ECEC services </w:t>
      </w:r>
      <w:r w:rsidRPr="00B93244">
        <w:rPr>
          <w:rFonts w:cstheme="minorHAnsi"/>
        </w:rPr>
        <w:t xml:space="preserve">where non-compliance has been detected </w:t>
      </w:r>
      <w:r>
        <w:rPr>
          <w:rFonts w:cstheme="minorHAnsi"/>
        </w:rPr>
        <w:t>during a previous visit</w:t>
      </w:r>
      <w:r w:rsidR="00F84BD0">
        <w:rPr>
          <w:rFonts w:cstheme="minorHAnsi"/>
        </w:rPr>
        <w:t xml:space="preserve"> and further regulatory activities are required</w:t>
      </w:r>
      <w:r>
        <w:rPr>
          <w:rFonts w:cstheme="minorHAnsi"/>
        </w:rPr>
        <w:t xml:space="preserve"> (this is explained further below)</w:t>
      </w:r>
      <w:r w:rsidR="00317F6C">
        <w:rPr>
          <w:rFonts w:cstheme="minorHAnsi"/>
        </w:rPr>
        <w:t>.</w:t>
      </w:r>
    </w:p>
    <w:p w14:paraId="18FE0CB0" w14:textId="3F6C48A1" w:rsidR="00317F6C" w:rsidRPr="00624A55" w:rsidRDefault="00317F6C" w:rsidP="00317F6C">
      <w:pPr>
        <w:pStyle w:val="Heading2"/>
        <w:rPr>
          <w:lang w:val="en-AU"/>
        </w:rPr>
      </w:pPr>
      <w:bookmarkStart w:id="8" w:name="_Toc71637126"/>
      <w:r>
        <w:rPr>
          <w:lang w:val="en-AU"/>
        </w:rPr>
        <w:t>Additional monitoring explained</w:t>
      </w:r>
      <w:bookmarkEnd w:id="8"/>
    </w:p>
    <w:p w14:paraId="2F7D6BEB" w14:textId="77777777" w:rsidR="00317F6C" w:rsidRDefault="00317F6C" w:rsidP="00014055">
      <w:pPr>
        <w:pStyle w:val="ListParagraph"/>
        <w:spacing w:after="120"/>
        <w:ind w:left="0"/>
        <w:contextualSpacing w:val="0"/>
        <w:rPr>
          <w:rFonts w:cstheme="minorHAnsi"/>
        </w:rPr>
      </w:pPr>
      <w:r>
        <w:rPr>
          <w:rFonts w:cstheme="minorHAnsi"/>
        </w:rPr>
        <w:t>A</w:t>
      </w:r>
      <w:r w:rsidRPr="00B93244">
        <w:rPr>
          <w:rFonts w:cstheme="minorHAnsi"/>
        </w:rPr>
        <w:t xml:space="preserve">fter conducting </w:t>
      </w:r>
      <w:r>
        <w:rPr>
          <w:rFonts w:cstheme="minorHAnsi"/>
        </w:rPr>
        <w:t>a</w:t>
      </w:r>
      <w:r w:rsidRPr="00B93244">
        <w:rPr>
          <w:rFonts w:cstheme="minorHAnsi"/>
        </w:rPr>
        <w:t xml:space="preserve"> visit to a</w:t>
      </w:r>
      <w:r>
        <w:rPr>
          <w:rFonts w:cstheme="minorHAnsi"/>
        </w:rPr>
        <w:t>n ECEC</w:t>
      </w:r>
      <w:r w:rsidRPr="00B93244">
        <w:rPr>
          <w:rFonts w:cstheme="minorHAnsi"/>
        </w:rPr>
        <w:t xml:space="preserve"> service, </w:t>
      </w:r>
      <w:r>
        <w:rPr>
          <w:rFonts w:cstheme="minorHAnsi"/>
        </w:rPr>
        <w:t xml:space="preserve">Authorised Officers consider </w:t>
      </w:r>
      <w:bookmarkStart w:id="9" w:name="_Hlk40611361"/>
      <w:r w:rsidRPr="007A21FF">
        <w:rPr>
          <w:rFonts w:cstheme="minorHAnsi"/>
        </w:rPr>
        <w:t>the assessed non-compliances</w:t>
      </w:r>
      <w:bookmarkEnd w:id="9"/>
      <w:r>
        <w:rPr>
          <w:rFonts w:cstheme="minorHAnsi"/>
        </w:rPr>
        <w:t xml:space="preserve"> that were identified</w:t>
      </w:r>
      <w:r w:rsidRPr="007A21FF">
        <w:rPr>
          <w:rFonts w:cstheme="minorHAnsi"/>
        </w:rPr>
        <w:t>.</w:t>
      </w:r>
      <w:r>
        <w:rPr>
          <w:rFonts w:cstheme="minorHAnsi"/>
        </w:rPr>
        <w:t xml:space="preserve"> </w:t>
      </w:r>
      <w:r w:rsidRPr="007A21FF">
        <w:rPr>
          <w:rFonts w:cstheme="minorHAnsi"/>
        </w:rPr>
        <w:t>Where a service has not demonstrated a satisfactory level of compliance</w:t>
      </w:r>
      <w:r>
        <w:rPr>
          <w:rFonts w:cstheme="minorHAnsi"/>
        </w:rPr>
        <w:t>,</w:t>
      </w:r>
      <w:r w:rsidRPr="007A21FF">
        <w:rPr>
          <w:rFonts w:cstheme="minorHAnsi"/>
        </w:rPr>
        <w:t xml:space="preserve"> additional monitoring</w:t>
      </w:r>
      <w:r>
        <w:rPr>
          <w:rFonts w:cstheme="minorHAnsi"/>
        </w:rPr>
        <w:t xml:space="preserve"> or regulatory</w:t>
      </w:r>
      <w:r w:rsidRPr="007A21FF">
        <w:rPr>
          <w:rFonts w:cstheme="minorHAnsi"/>
        </w:rPr>
        <w:t xml:space="preserve"> activities will be conducted by the Regulatory </w:t>
      </w:r>
      <w:r w:rsidRPr="00162F88">
        <w:rPr>
          <w:rFonts w:cstheme="minorHAnsi"/>
        </w:rPr>
        <w:t>Authority (noting that emergency action will be taken in response to immediate or serious risk to children where needed</w:t>
      </w:r>
      <w:r w:rsidRPr="00EF24BF">
        <w:rPr>
          <w:rStyle w:val="FootnoteReference"/>
          <w:rFonts w:cstheme="minorHAnsi"/>
          <w:color w:val="auto"/>
          <w:sz w:val="20"/>
          <w:szCs w:val="20"/>
        </w:rPr>
        <w:footnoteReference w:id="4"/>
      </w:r>
      <w:r w:rsidRPr="00162F88">
        <w:rPr>
          <w:rFonts w:cstheme="minorHAnsi"/>
        </w:rPr>
        <w:t>).</w:t>
      </w:r>
    </w:p>
    <w:p w14:paraId="79A1E21F" w14:textId="14DB7239" w:rsidR="00317F6C" w:rsidRDefault="00317F6C" w:rsidP="00014055">
      <w:pPr>
        <w:ind w:hanging="6"/>
        <w:rPr>
          <w:rFonts w:cstheme="minorHAnsi"/>
        </w:rPr>
      </w:pPr>
      <w:bookmarkStart w:id="10" w:name="_Hlk40626483"/>
      <w:bookmarkStart w:id="11" w:name="_Hlk34582028"/>
      <w:r>
        <w:rPr>
          <w:rFonts w:cstheme="minorHAnsi"/>
        </w:rPr>
        <w:t>‘</w:t>
      </w:r>
      <w:r w:rsidRPr="00AC2507">
        <w:rPr>
          <w:rFonts w:cstheme="minorHAnsi"/>
        </w:rPr>
        <w:t>Additional monitoring</w:t>
      </w:r>
      <w:r>
        <w:rPr>
          <w:rFonts w:cstheme="minorHAnsi"/>
        </w:rPr>
        <w:t xml:space="preserve">’ means the service is subject to increased regulatory activities compared to the minimum visit schedule. </w:t>
      </w:r>
      <w:r w:rsidR="00401165">
        <w:rPr>
          <w:rFonts w:cstheme="minorHAnsi"/>
        </w:rPr>
        <w:t>This aims</w:t>
      </w:r>
      <w:r>
        <w:rPr>
          <w:rFonts w:cstheme="minorHAnsi"/>
        </w:rPr>
        <w:t xml:space="preserve"> to address problematic non-compliance before it escalates or causes serious harm. The benefit of additional </w:t>
      </w:r>
      <w:r w:rsidR="00401165">
        <w:rPr>
          <w:rFonts w:cstheme="minorHAnsi"/>
        </w:rPr>
        <w:t>monitoring</w:t>
      </w:r>
      <w:r>
        <w:rPr>
          <w:rFonts w:cstheme="minorHAnsi"/>
        </w:rPr>
        <w:t xml:space="preserve"> is that </w:t>
      </w:r>
      <w:r w:rsidR="00401165">
        <w:rPr>
          <w:rFonts w:cstheme="minorHAnsi"/>
        </w:rPr>
        <w:t xml:space="preserve">the Regulatory Authority can provide </w:t>
      </w:r>
      <w:r>
        <w:rPr>
          <w:rFonts w:cstheme="minorHAnsi"/>
        </w:rPr>
        <w:t>support</w:t>
      </w:r>
      <w:r w:rsidR="00401165">
        <w:rPr>
          <w:rFonts w:cstheme="minorHAnsi"/>
        </w:rPr>
        <w:t xml:space="preserve"> that is tailored to the service to assist them in reaching satisfactory compliance.</w:t>
      </w:r>
    </w:p>
    <w:p w14:paraId="526CB19A" w14:textId="77777777" w:rsidR="00317F6C" w:rsidRPr="00A0065D" w:rsidRDefault="00317F6C" w:rsidP="00014055">
      <w:pPr>
        <w:pStyle w:val="ListParagraph"/>
        <w:spacing w:after="120"/>
        <w:ind w:left="0"/>
        <w:contextualSpacing w:val="0"/>
        <w:rPr>
          <w:rFonts w:cstheme="minorHAnsi"/>
        </w:rPr>
      </w:pPr>
      <w:r>
        <w:rPr>
          <w:rFonts w:cstheme="minorHAnsi"/>
        </w:rPr>
        <w:t xml:space="preserve">Determining whether satisfactory levels of </w:t>
      </w:r>
      <w:r w:rsidRPr="00947799">
        <w:rPr>
          <w:rFonts w:cstheme="minorHAnsi"/>
        </w:rPr>
        <w:t>compliance have been achieved is an assessment based on the level of risk presented at the time of the visit.</w:t>
      </w:r>
      <w:r>
        <w:rPr>
          <w:rFonts w:cstheme="minorHAnsi"/>
        </w:rPr>
        <w:t xml:space="preserve"> </w:t>
      </w:r>
      <w:r w:rsidRPr="00947799">
        <w:rPr>
          <w:rFonts w:cstheme="minorHAnsi"/>
        </w:rPr>
        <w:t xml:space="preserve">The </w:t>
      </w:r>
      <w:r>
        <w:rPr>
          <w:rFonts w:cstheme="minorHAnsi"/>
        </w:rPr>
        <w:t>Regulatory Authority can then</w:t>
      </w:r>
      <w:r w:rsidRPr="00947799">
        <w:rPr>
          <w:rFonts w:cstheme="minorHAnsi"/>
        </w:rPr>
        <w:t xml:space="preserve"> implement measures that are proportionate to the </w:t>
      </w:r>
      <w:r>
        <w:rPr>
          <w:rFonts w:cstheme="minorHAnsi"/>
        </w:rPr>
        <w:t>risk. A</w:t>
      </w:r>
      <w:r w:rsidRPr="00351D65">
        <w:rPr>
          <w:rFonts w:cstheme="minorHAnsi"/>
        </w:rPr>
        <w:t>pproved provider</w:t>
      </w:r>
      <w:r>
        <w:rPr>
          <w:rFonts w:cstheme="minorHAnsi"/>
        </w:rPr>
        <w:t>s of services that are to be additionally monitored are informed of this in writing</w:t>
      </w:r>
      <w:r w:rsidRPr="00351D65">
        <w:rPr>
          <w:rFonts w:cstheme="minorHAnsi"/>
        </w:rPr>
        <w:t>.</w:t>
      </w:r>
      <w:bookmarkEnd w:id="10"/>
      <w:r w:rsidRPr="00A0065D">
        <w:rPr>
          <w:rFonts w:cstheme="minorHAnsi"/>
        </w:rPr>
        <w:t xml:space="preserve"> Additional monitoring activities, including supports to achiev</w:t>
      </w:r>
      <w:r>
        <w:rPr>
          <w:rFonts w:cstheme="minorHAnsi"/>
        </w:rPr>
        <w:t>e</w:t>
      </w:r>
      <w:r w:rsidRPr="00A0065D">
        <w:rPr>
          <w:rFonts w:cstheme="minorHAnsi"/>
        </w:rPr>
        <w:t xml:space="preserve"> compliance, </w:t>
      </w:r>
      <w:bookmarkEnd w:id="11"/>
      <w:r w:rsidRPr="00A0065D">
        <w:rPr>
          <w:rFonts w:cstheme="minorHAnsi"/>
        </w:rPr>
        <w:t>may include:</w:t>
      </w:r>
    </w:p>
    <w:p w14:paraId="2EE641FB" w14:textId="77777777" w:rsidR="00317F6C" w:rsidRPr="00A0065D" w:rsidRDefault="00317F6C" w:rsidP="0045123D">
      <w:pPr>
        <w:pStyle w:val="ListParagraph"/>
        <w:numPr>
          <w:ilvl w:val="0"/>
          <w:numId w:val="21"/>
        </w:numPr>
        <w:spacing w:after="120" w:line="240" w:lineRule="auto"/>
        <w:ind w:left="425" w:hanging="425"/>
        <w:contextualSpacing w:val="0"/>
        <w:rPr>
          <w:rFonts w:cstheme="minorHAnsi"/>
        </w:rPr>
      </w:pPr>
      <w:r>
        <w:rPr>
          <w:rFonts w:cstheme="minorHAnsi"/>
        </w:rPr>
        <w:t>extra</w:t>
      </w:r>
      <w:r w:rsidRPr="00A0065D">
        <w:rPr>
          <w:rFonts w:cstheme="minorHAnsi"/>
        </w:rPr>
        <w:t xml:space="preserve"> monitoring visits by the Regulatory Authority,  </w:t>
      </w:r>
    </w:p>
    <w:p w14:paraId="527DF646" w14:textId="77777777" w:rsidR="00317F6C" w:rsidRPr="00A0065D" w:rsidRDefault="00317F6C" w:rsidP="0045123D">
      <w:pPr>
        <w:pStyle w:val="ListParagraph"/>
        <w:numPr>
          <w:ilvl w:val="0"/>
          <w:numId w:val="21"/>
        </w:numPr>
        <w:spacing w:after="120" w:line="240" w:lineRule="auto"/>
        <w:ind w:left="425" w:hanging="425"/>
        <w:contextualSpacing w:val="0"/>
        <w:rPr>
          <w:rFonts w:cstheme="minorHAnsi"/>
        </w:rPr>
      </w:pPr>
      <w:r>
        <w:rPr>
          <w:rFonts w:cstheme="minorHAnsi"/>
        </w:rPr>
        <w:t xml:space="preserve">an approved provider </w:t>
      </w:r>
      <w:r w:rsidRPr="00A0065D">
        <w:rPr>
          <w:rFonts w:cstheme="minorHAnsi"/>
        </w:rPr>
        <w:t>meeting</w:t>
      </w:r>
      <w:r>
        <w:rPr>
          <w:rFonts w:cstheme="minorHAnsi"/>
        </w:rPr>
        <w:t xml:space="preserve"> with the Regulatory Authority</w:t>
      </w:r>
      <w:r w:rsidRPr="00A0065D">
        <w:rPr>
          <w:rFonts w:cstheme="minorHAnsi"/>
        </w:rPr>
        <w:t xml:space="preserve"> to discuss </w:t>
      </w:r>
      <w:r>
        <w:rPr>
          <w:rFonts w:cstheme="minorHAnsi"/>
        </w:rPr>
        <w:t xml:space="preserve">and determine </w:t>
      </w:r>
      <w:r w:rsidRPr="00A0065D">
        <w:rPr>
          <w:rFonts w:cstheme="minorHAnsi"/>
        </w:rPr>
        <w:t>strategies to support continuous improvement and service compliance,</w:t>
      </w:r>
    </w:p>
    <w:p w14:paraId="455DCF32" w14:textId="77777777" w:rsidR="00317F6C" w:rsidRPr="00A0065D" w:rsidRDefault="00317F6C" w:rsidP="0045123D">
      <w:pPr>
        <w:pStyle w:val="ListParagraph"/>
        <w:numPr>
          <w:ilvl w:val="0"/>
          <w:numId w:val="21"/>
        </w:numPr>
        <w:spacing w:after="120" w:line="240" w:lineRule="auto"/>
        <w:ind w:left="425" w:hanging="425"/>
        <w:contextualSpacing w:val="0"/>
        <w:rPr>
          <w:rFonts w:cstheme="minorHAnsi"/>
        </w:rPr>
      </w:pPr>
      <w:r w:rsidRPr="00A0065D">
        <w:rPr>
          <w:rFonts w:cstheme="minorHAnsi"/>
        </w:rPr>
        <w:lastRenderedPageBreak/>
        <w:t>an approved provider conducting a</w:t>
      </w:r>
      <w:r>
        <w:rPr>
          <w:rFonts w:cstheme="minorHAnsi"/>
        </w:rPr>
        <w:t xml:space="preserve"> </w:t>
      </w:r>
      <w:r w:rsidRPr="00A0065D">
        <w:rPr>
          <w:rFonts w:cstheme="minorHAnsi"/>
        </w:rPr>
        <w:t>self-assessment</w:t>
      </w:r>
      <w:r>
        <w:rPr>
          <w:rFonts w:cstheme="minorHAnsi"/>
        </w:rPr>
        <w:t xml:space="preserve"> and improvement action plan</w:t>
      </w:r>
      <w:r w:rsidRPr="00A0065D">
        <w:rPr>
          <w:rFonts w:cstheme="minorHAnsi"/>
        </w:rPr>
        <w:t>,</w:t>
      </w:r>
    </w:p>
    <w:p w14:paraId="3AE27CFE" w14:textId="77777777" w:rsidR="00317F6C" w:rsidRPr="00A0065D" w:rsidRDefault="00317F6C" w:rsidP="0045123D">
      <w:pPr>
        <w:pStyle w:val="ListParagraph"/>
        <w:numPr>
          <w:ilvl w:val="0"/>
          <w:numId w:val="21"/>
        </w:numPr>
        <w:spacing w:after="120" w:line="240" w:lineRule="auto"/>
        <w:ind w:left="425" w:hanging="425"/>
        <w:contextualSpacing w:val="0"/>
        <w:rPr>
          <w:rFonts w:cstheme="minorHAnsi"/>
        </w:rPr>
      </w:pPr>
      <w:r w:rsidRPr="00A0065D">
        <w:rPr>
          <w:rFonts w:cstheme="minorHAnsi"/>
        </w:rPr>
        <w:t xml:space="preserve">the Regulatory Authority </w:t>
      </w:r>
      <w:r>
        <w:rPr>
          <w:rFonts w:cstheme="minorHAnsi"/>
        </w:rPr>
        <w:t>providing guidance on documents and/or prescribed records</w:t>
      </w:r>
      <w:r w:rsidRPr="00A0065D">
        <w:rPr>
          <w:rFonts w:cstheme="minorHAnsi"/>
        </w:rPr>
        <w:t xml:space="preserve">, </w:t>
      </w:r>
    </w:p>
    <w:p w14:paraId="1DE1EF39" w14:textId="77777777" w:rsidR="00317F6C" w:rsidRPr="001F66E9" w:rsidRDefault="00317F6C" w:rsidP="0045123D">
      <w:pPr>
        <w:pStyle w:val="ListParagraph"/>
        <w:numPr>
          <w:ilvl w:val="0"/>
          <w:numId w:val="21"/>
        </w:numPr>
        <w:spacing w:after="120" w:line="240" w:lineRule="auto"/>
        <w:ind w:left="425" w:hanging="425"/>
        <w:contextualSpacing w:val="0"/>
        <w:rPr>
          <w:rFonts w:cstheme="minorHAnsi"/>
        </w:rPr>
      </w:pPr>
      <w:r w:rsidRPr="00A0065D">
        <w:rPr>
          <w:rFonts w:cstheme="minorHAnsi"/>
        </w:rPr>
        <w:t xml:space="preserve">an approved provider (and/or their staff) </w:t>
      </w:r>
      <w:r>
        <w:rPr>
          <w:rFonts w:cstheme="minorHAnsi"/>
        </w:rPr>
        <w:t>attending an</w:t>
      </w:r>
      <w:r w:rsidRPr="00A0065D">
        <w:rPr>
          <w:rFonts w:cstheme="minorHAnsi"/>
        </w:rPr>
        <w:t xml:space="preserve"> </w:t>
      </w:r>
      <w:r>
        <w:rPr>
          <w:rFonts w:cstheme="minorHAnsi"/>
        </w:rPr>
        <w:t>educative</w:t>
      </w:r>
      <w:r w:rsidRPr="00A0065D">
        <w:rPr>
          <w:rFonts w:cstheme="minorHAnsi"/>
        </w:rPr>
        <w:t xml:space="preserve"> session, forum, training or workshop</w:t>
      </w:r>
      <w:r>
        <w:rPr>
          <w:rFonts w:cstheme="minorHAnsi"/>
        </w:rPr>
        <w:t>,</w:t>
      </w:r>
    </w:p>
    <w:p w14:paraId="7FA3141A" w14:textId="77777777" w:rsidR="00317F6C" w:rsidRPr="00A0065D" w:rsidRDefault="00317F6C" w:rsidP="0045123D">
      <w:pPr>
        <w:pStyle w:val="ListParagraph"/>
        <w:numPr>
          <w:ilvl w:val="0"/>
          <w:numId w:val="21"/>
        </w:numPr>
        <w:spacing w:after="120" w:line="240" w:lineRule="auto"/>
        <w:ind w:left="425" w:hanging="425"/>
        <w:contextualSpacing w:val="0"/>
        <w:rPr>
          <w:rFonts w:cstheme="minorHAnsi"/>
        </w:rPr>
      </w:pPr>
      <w:r w:rsidRPr="001F66E9">
        <w:rPr>
          <w:rFonts w:cstheme="minorHAnsi"/>
        </w:rPr>
        <w:t>the provision of advice, best practice guidance material and/or relevant research to</w:t>
      </w:r>
      <w:r w:rsidRPr="00A0065D">
        <w:rPr>
          <w:rFonts w:cstheme="minorHAnsi"/>
        </w:rPr>
        <w:t xml:space="preserve"> the approved provider,</w:t>
      </w:r>
    </w:p>
    <w:p w14:paraId="2E4724B4" w14:textId="77777777" w:rsidR="00317F6C" w:rsidRPr="00A0065D" w:rsidRDefault="00317F6C" w:rsidP="00014055">
      <w:pPr>
        <w:pStyle w:val="ListParagraph"/>
        <w:numPr>
          <w:ilvl w:val="0"/>
          <w:numId w:val="21"/>
        </w:numPr>
        <w:spacing w:after="120" w:line="240" w:lineRule="auto"/>
        <w:ind w:left="426" w:hanging="426"/>
        <w:rPr>
          <w:rFonts w:cstheme="minorHAnsi"/>
        </w:rPr>
      </w:pPr>
      <w:r w:rsidRPr="00A0065D">
        <w:rPr>
          <w:rFonts w:cstheme="minorHAnsi"/>
        </w:rPr>
        <w:t>referral of an approved provider to relevant support programs and services.</w:t>
      </w:r>
    </w:p>
    <w:p w14:paraId="7A57DF95" w14:textId="77777777" w:rsidR="00317F6C" w:rsidRPr="00A0065D" w:rsidRDefault="00317F6C" w:rsidP="00014055">
      <w:pPr>
        <w:rPr>
          <w:rFonts w:cstheme="minorHAnsi"/>
        </w:rPr>
      </w:pPr>
      <w:r w:rsidRPr="00A0065D">
        <w:rPr>
          <w:rFonts w:cstheme="minorHAnsi"/>
        </w:rPr>
        <w:t xml:space="preserve">In all cases of additional monitoring, the Regulatory Authority expects the approved provider to engage with the process by developing an action plan linked to their </w:t>
      </w:r>
      <w:r>
        <w:rPr>
          <w:rFonts w:cstheme="minorHAnsi"/>
        </w:rPr>
        <w:t>Quality Improvement Plan (</w:t>
      </w:r>
      <w:r w:rsidRPr="00A0065D">
        <w:rPr>
          <w:rFonts w:cstheme="minorHAnsi"/>
        </w:rPr>
        <w:t>QIP</w:t>
      </w:r>
      <w:r>
        <w:rPr>
          <w:rFonts w:cstheme="minorHAnsi"/>
        </w:rPr>
        <w:t>),</w:t>
      </w:r>
      <w:r w:rsidRPr="00A0065D">
        <w:rPr>
          <w:rFonts w:cstheme="minorHAnsi"/>
        </w:rPr>
        <w:t xml:space="preserve"> detailing how they are </w:t>
      </w:r>
      <w:r>
        <w:rPr>
          <w:rFonts w:cstheme="minorHAnsi"/>
        </w:rPr>
        <w:t>addressing</w:t>
      </w:r>
      <w:r w:rsidRPr="00A0065D">
        <w:rPr>
          <w:rFonts w:cstheme="minorHAnsi"/>
        </w:rPr>
        <w:t xml:space="preserve"> non-compliance and how they will maintain compliance.</w:t>
      </w:r>
    </w:p>
    <w:p w14:paraId="1829614D" w14:textId="77777777" w:rsidR="00317F6C" w:rsidRPr="00812301" w:rsidRDefault="00317F6C" w:rsidP="00014055">
      <w:pPr>
        <w:rPr>
          <w:rFonts w:cstheme="minorHAnsi"/>
        </w:rPr>
      </w:pPr>
      <w:r w:rsidRPr="00A0065D">
        <w:rPr>
          <w:rFonts w:cstheme="minorHAnsi"/>
        </w:rPr>
        <w:t xml:space="preserve">The imposition of statutory sanctions in response to non-compliance may also be part of the Regulatory Authority’s actions depending on the seriousness of the issues and the </w:t>
      </w:r>
      <w:r>
        <w:rPr>
          <w:rFonts w:cstheme="minorHAnsi"/>
        </w:rPr>
        <w:t>engagement</w:t>
      </w:r>
      <w:r w:rsidRPr="00A0065D">
        <w:rPr>
          <w:rFonts w:cstheme="minorHAnsi"/>
        </w:rPr>
        <w:t xml:space="preserve"> of the approved provider. </w:t>
      </w:r>
      <w:r>
        <w:rPr>
          <w:rFonts w:cstheme="minorHAnsi"/>
        </w:rPr>
        <w:t>In situations where</w:t>
      </w:r>
      <w:r w:rsidRPr="00A0065D">
        <w:rPr>
          <w:rFonts w:cstheme="minorHAnsi"/>
        </w:rPr>
        <w:t xml:space="preserve"> children are at immediate or serious risk, the Regulatory Authority will respond accordingly with statutory sanction</w:t>
      </w:r>
      <w:r>
        <w:rPr>
          <w:rFonts w:cstheme="minorHAnsi"/>
        </w:rPr>
        <w:t>s</w:t>
      </w:r>
      <w:r w:rsidRPr="00A0065D">
        <w:rPr>
          <w:rFonts w:cstheme="minorHAnsi"/>
        </w:rPr>
        <w:t xml:space="preserve"> or prosecution.</w:t>
      </w:r>
    </w:p>
    <w:p w14:paraId="65243B80" w14:textId="5261F090" w:rsidR="00317F6C" w:rsidRPr="00624A55" w:rsidRDefault="00317F6C" w:rsidP="00014055">
      <w:pPr>
        <w:pStyle w:val="Heading3"/>
        <w:rPr>
          <w:lang w:val="en-AU"/>
        </w:rPr>
      </w:pPr>
      <w:bookmarkStart w:id="12" w:name="_Toc71637127"/>
      <w:r>
        <w:rPr>
          <w:lang w:val="en-AU"/>
        </w:rPr>
        <w:t>How is additional monitoring concluded?</w:t>
      </w:r>
      <w:bookmarkEnd w:id="12"/>
      <w:r w:rsidRPr="00624A55">
        <w:rPr>
          <w:lang w:val="en-AU"/>
        </w:rPr>
        <w:t xml:space="preserve"> </w:t>
      </w:r>
    </w:p>
    <w:p w14:paraId="6FC3E311" w14:textId="77777777" w:rsidR="00317F6C" w:rsidRDefault="00317F6C" w:rsidP="00014055">
      <w:pPr>
        <w:rPr>
          <w:rFonts w:cstheme="minorHAnsi"/>
        </w:rPr>
      </w:pPr>
      <w:r>
        <w:rPr>
          <w:rFonts w:eastAsiaTheme="majorEastAsia" w:cstheme="minorHAnsi"/>
        </w:rPr>
        <w:t xml:space="preserve">The Regulatory Authority expects compliance to be achieved as quickly as possible. Where satisfactory levels of compliance are not achieved within a reasonable timeframe the Regulatory Authority will determine whether statutory sanctions or prosecution are required. These decisions will depend on the facts of each situation and the impact to the safety, health and wellbeing of children. </w:t>
      </w:r>
    </w:p>
    <w:p w14:paraId="48EB033A" w14:textId="77777777" w:rsidR="00317F6C" w:rsidRDefault="00317F6C" w:rsidP="00014055">
      <w:pPr>
        <w:rPr>
          <w:rFonts w:cstheme="minorHAnsi"/>
        </w:rPr>
      </w:pPr>
      <w:r w:rsidRPr="007A21FF">
        <w:rPr>
          <w:rFonts w:cstheme="minorHAnsi"/>
        </w:rPr>
        <w:t xml:space="preserve">Where additional monitoring activities are being undertaken, the service will be provided opportunities to demonstrate their compliance. When the Regulatory Authority </w:t>
      </w:r>
      <w:r>
        <w:rPr>
          <w:rFonts w:cstheme="minorHAnsi"/>
        </w:rPr>
        <w:t>can determine, based on evidence,</w:t>
      </w:r>
      <w:r w:rsidRPr="007A21FF">
        <w:rPr>
          <w:rFonts w:cstheme="minorHAnsi"/>
        </w:rPr>
        <w:t xml:space="preserve"> that compliance has been achieved</w:t>
      </w:r>
      <w:r>
        <w:rPr>
          <w:rFonts w:cstheme="minorHAnsi"/>
        </w:rPr>
        <w:t xml:space="preserve"> to a satisfactory level</w:t>
      </w:r>
      <w:r w:rsidRPr="007A21FF">
        <w:rPr>
          <w:rFonts w:cstheme="minorHAnsi"/>
        </w:rPr>
        <w:t xml:space="preserve">, the approved provider will receive correspondence that additional monitoring activities have concluded. </w:t>
      </w:r>
    </w:p>
    <w:p w14:paraId="57D7936D" w14:textId="7B877250" w:rsidR="00317F6C" w:rsidRDefault="00317F6C" w:rsidP="00014055">
      <w:pPr>
        <w:spacing w:after="240"/>
        <w:rPr>
          <w:rFonts w:cstheme="minorHAnsi"/>
        </w:rPr>
      </w:pPr>
      <w:r w:rsidRPr="00A0065D">
        <w:rPr>
          <w:rFonts w:eastAsiaTheme="majorEastAsia" w:cstheme="minorHAnsi"/>
        </w:rPr>
        <w:t xml:space="preserve">It should be noted that </w:t>
      </w:r>
      <w:r>
        <w:rPr>
          <w:rFonts w:eastAsiaTheme="majorEastAsia" w:cstheme="minorHAnsi"/>
        </w:rPr>
        <w:t xml:space="preserve">statutory </w:t>
      </w:r>
      <w:r w:rsidRPr="00A0065D">
        <w:rPr>
          <w:rFonts w:eastAsiaTheme="majorEastAsia" w:cstheme="minorHAnsi"/>
        </w:rPr>
        <w:t>sanctions</w:t>
      </w:r>
      <w:r>
        <w:rPr>
          <w:rFonts w:eastAsiaTheme="majorEastAsia" w:cstheme="minorHAnsi"/>
        </w:rPr>
        <w:t>, including emergency action,</w:t>
      </w:r>
      <w:r w:rsidRPr="00A0065D">
        <w:rPr>
          <w:rFonts w:eastAsiaTheme="majorEastAsia" w:cstheme="minorHAnsi"/>
        </w:rPr>
        <w:t xml:space="preserve"> will be utilised to ensure the safety, health and wellbeing of children </w:t>
      </w:r>
      <w:r>
        <w:rPr>
          <w:rFonts w:cstheme="minorHAnsi"/>
        </w:rPr>
        <w:t>when</w:t>
      </w:r>
      <w:r w:rsidRPr="00A0065D">
        <w:rPr>
          <w:rFonts w:cstheme="minorHAnsi"/>
        </w:rPr>
        <w:t xml:space="preserve"> deemed necessary by the Regulatory Authority and this may be in conjunction with additional monitoring</w:t>
      </w:r>
      <w:r>
        <w:rPr>
          <w:rFonts w:cstheme="minorHAnsi"/>
        </w:rPr>
        <w:t>.</w:t>
      </w:r>
    </w:p>
    <w:p w14:paraId="1270952B" w14:textId="6C75884B" w:rsidR="00265603" w:rsidRPr="00624A55" w:rsidRDefault="00265603" w:rsidP="00265603">
      <w:pPr>
        <w:pStyle w:val="Heading2"/>
        <w:rPr>
          <w:lang w:val="en-AU"/>
        </w:rPr>
      </w:pPr>
      <w:bookmarkStart w:id="13" w:name="_Toc71637128"/>
      <w:r>
        <w:rPr>
          <w:lang w:val="en-AU"/>
        </w:rPr>
        <w:t xml:space="preserve">Disclosure of information </w:t>
      </w:r>
      <w:bookmarkEnd w:id="13"/>
    </w:p>
    <w:p w14:paraId="25B6A632" w14:textId="77777777" w:rsidR="00265603" w:rsidRDefault="00265603" w:rsidP="00014055">
      <w:pPr>
        <w:pStyle w:val="NormalWeb"/>
        <w:spacing w:before="0" w:beforeAutospacing="0" w:after="120" w:afterAutospacing="0"/>
        <w:rPr>
          <w:rFonts w:asciiTheme="minorHAnsi" w:hAnsiTheme="minorHAnsi" w:cstheme="minorHAnsi"/>
          <w:color w:val="000000"/>
          <w:sz w:val="22"/>
          <w:szCs w:val="22"/>
        </w:rPr>
      </w:pPr>
      <w:r w:rsidRPr="00A0065D">
        <w:rPr>
          <w:rFonts w:asciiTheme="minorHAnsi" w:hAnsiTheme="minorHAnsi" w:cstheme="minorHAnsi"/>
          <w:color w:val="000000"/>
          <w:sz w:val="22"/>
          <w:szCs w:val="22"/>
        </w:rPr>
        <w:t xml:space="preserve">The Regulatory Authority is committed to upholding the rights of children and reducing regulatory burden in order to maximise the benefit of government organisations to the community. </w:t>
      </w:r>
      <w:r>
        <w:rPr>
          <w:rFonts w:asciiTheme="minorHAnsi" w:hAnsiTheme="minorHAnsi" w:cstheme="minorHAnsi"/>
          <w:color w:val="000000"/>
          <w:sz w:val="22"/>
          <w:szCs w:val="22"/>
        </w:rPr>
        <w:t>As a result,</w:t>
      </w:r>
      <w:r w:rsidRPr="00A0065D">
        <w:rPr>
          <w:rFonts w:asciiTheme="minorHAnsi" w:hAnsiTheme="minorHAnsi" w:cstheme="minorHAnsi"/>
          <w:color w:val="000000"/>
          <w:sz w:val="22"/>
          <w:szCs w:val="22"/>
        </w:rPr>
        <w:t xml:space="preserve"> the Regulatory Authority promote</w:t>
      </w:r>
      <w:r>
        <w:rPr>
          <w:rFonts w:asciiTheme="minorHAnsi" w:hAnsiTheme="minorHAnsi" w:cstheme="minorHAnsi"/>
          <w:color w:val="000000"/>
          <w:sz w:val="22"/>
          <w:szCs w:val="22"/>
        </w:rPr>
        <w:t>s</w:t>
      </w:r>
      <w:r w:rsidRPr="00A0065D">
        <w:rPr>
          <w:rFonts w:asciiTheme="minorHAnsi" w:hAnsiTheme="minorHAnsi" w:cstheme="minorHAnsi"/>
          <w:color w:val="000000"/>
          <w:sz w:val="22"/>
          <w:szCs w:val="22"/>
        </w:rPr>
        <w:t xml:space="preserve"> coordinated information sharing with other government organisations</w:t>
      </w:r>
      <w:r>
        <w:rPr>
          <w:rFonts w:asciiTheme="minorHAnsi" w:hAnsiTheme="minorHAnsi" w:cstheme="minorHAnsi"/>
          <w:color w:val="000000"/>
          <w:sz w:val="22"/>
          <w:szCs w:val="22"/>
        </w:rPr>
        <w:t xml:space="preserve"> and expects ECEC services to comply with all their legislative obligations</w:t>
      </w:r>
      <w:r w:rsidRPr="00A0065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6B1296F1" w14:textId="1FBCB865" w:rsidR="00265603" w:rsidRPr="00F704B9" w:rsidRDefault="00265603" w:rsidP="00014055">
      <w:pPr>
        <w:pStyle w:val="NormalWeb"/>
        <w:spacing w:before="0" w:beforeAutospacing="0" w:after="120" w:afterAutospacing="0"/>
        <w:rPr>
          <w:rFonts w:asciiTheme="minorHAnsi" w:hAnsiTheme="minorHAnsi" w:cstheme="minorHAnsi"/>
          <w:color w:val="000000"/>
          <w:sz w:val="22"/>
          <w:szCs w:val="22"/>
        </w:rPr>
      </w:pPr>
      <w:r w:rsidRPr="00F704B9">
        <w:rPr>
          <w:rFonts w:asciiTheme="minorHAnsi" w:hAnsiTheme="minorHAnsi" w:cstheme="minorHAnsi"/>
          <w:color w:val="000000"/>
          <w:sz w:val="22"/>
          <w:szCs w:val="22"/>
        </w:rPr>
        <w:t xml:space="preserve">The Regulatory Authority may disclose information </w:t>
      </w:r>
      <w:r>
        <w:rPr>
          <w:rFonts w:asciiTheme="minorHAnsi" w:hAnsiTheme="minorHAnsi" w:cstheme="minorHAnsi"/>
          <w:color w:val="000000"/>
          <w:sz w:val="22"/>
          <w:szCs w:val="22"/>
        </w:rPr>
        <w:t>to</w:t>
      </w:r>
      <w:r w:rsidRPr="00F704B9">
        <w:rPr>
          <w:rFonts w:asciiTheme="minorHAnsi" w:hAnsiTheme="minorHAnsi" w:cstheme="minorHAnsi"/>
          <w:color w:val="000000"/>
          <w:sz w:val="22"/>
          <w:szCs w:val="22"/>
        </w:rPr>
        <w:t xml:space="preserve"> State or Commonwealth Government Departments (</w:t>
      </w:r>
      <w:r>
        <w:rPr>
          <w:rFonts w:asciiTheme="minorHAnsi" w:hAnsiTheme="minorHAnsi" w:cstheme="minorHAnsi"/>
          <w:color w:val="000000"/>
          <w:sz w:val="22"/>
          <w:szCs w:val="22"/>
        </w:rPr>
        <w:t xml:space="preserve">under </w:t>
      </w:r>
      <w:r w:rsidRPr="00F704B9">
        <w:rPr>
          <w:rFonts w:asciiTheme="minorHAnsi" w:hAnsiTheme="minorHAnsi" w:cstheme="minorHAnsi"/>
          <w:color w:val="000000"/>
          <w:sz w:val="22"/>
          <w:szCs w:val="22"/>
        </w:rPr>
        <w:t>section 271</w:t>
      </w:r>
      <w:r w:rsidR="00E233F3">
        <w:rPr>
          <w:rFonts w:asciiTheme="minorHAnsi" w:hAnsiTheme="minorHAnsi" w:cstheme="minorHAnsi"/>
          <w:color w:val="000000"/>
          <w:sz w:val="22"/>
          <w:szCs w:val="22"/>
        </w:rPr>
        <w:t xml:space="preserve"> of the</w:t>
      </w:r>
      <w:r w:rsidRPr="00F704B9">
        <w:rPr>
          <w:rFonts w:asciiTheme="minorHAnsi" w:hAnsiTheme="minorHAnsi" w:cstheme="minorHAnsi"/>
          <w:color w:val="000000"/>
          <w:sz w:val="22"/>
          <w:szCs w:val="22"/>
        </w:rPr>
        <w:t xml:space="preserve"> National Law </w:t>
      </w:r>
      <w:r>
        <w:rPr>
          <w:rFonts w:asciiTheme="minorHAnsi" w:hAnsiTheme="minorHAnsi" w:cstheme="minorHAnsi"/>
          <w:color w:val="000000"/>
          <w:sz w:val="22"/>
          <w:szCs w:val="22"/>
        </w:rPr>
        <w:t>or</w:t>
      </w:r>
      <w:r w:rsidRPr="00F704B9">
        <w:rPr>
          <w:rFonts w:asciiTheme="minorHAnsi" w:hAnsiTheme="minorHAnsi" w:cstheme="minorHAnsi"/>
          <w:color w:val="000000"/>
          <w:sz w:val="22"/>
          <w:szCs w:val="22"/>
        </w:rPr>
        <w:t xml:space="preserve"> 166 </w:t>
      </w:r>
      <w:r w:rsidR="00E233F3">
        <w:rPr>
          <w:rFonts w:asciiTheme="minorHAnsi" w:hAnsiTheme="minorHAnsi" w:cstheme="minorHAnsi"/>
          <w:color w:val="000000"/>
          <w:sz w:val="22"/>
          <w:szCs w:val="22"/>
        </w:rPr>
        <w:t xml:space="preserve">of the </w:t>
      </w:r>
      <w:r w:rsidRPr="00F704B9">
        <w:rPr>
          <w:rFonts w:asciiTheme="minorHAnsi" w:hAnsiTheme="minorHAnsi" w:cstheme="minorHAnsi"/>
          <w:color w:val="000000"/>
          <w:sz w:val="22"/>
          <w:szCs w:val="22"/>
        </w:rPr>
        <w:t xml:space="preserve">Children’s Services Act) </w:t>
      </w:r>
      <w:r>
        <w:rPr>
          <w:rFonts w:asciiTheme="minorHAnsi" w:hAnsiTheme="minorHAnsi" w:cstheme="minorHAnsi"/>
          <w:color w:val="000000"/>
          <w:sz w:val="22"/>
          <w:szCs w:val="22"/>
        </w:rPr>
        <w:t>where</w:t>
      </w:r>
      <w:r w:rsidRPr="00F704B9">
        <w:rPr>
          <w:rFonts w:asciiTheme="minorHAnsi" w:hAnsiTheme="minorHAnsi" w:cstheme="minorHAnsi"/>
          <w:color w:val="000000"/>
          <w:sz w:val="22"/>
          <w:szCs w:val="22"/>
        </w:rPr>
        <w:t xml:space="preserve"> the information relates to:</w:t>
      </w:r>
    </w:p>
    <w:p w14:paraId="43358008" w14:textId="3DC8F2E5" w:rsidR="00265603" w:rsidRPr="00F704B9" w:rsidRDefault="00265603" w:rsidP="0045123D">
      <w:pPr>
        <w:pStyle w:val="NormalWeb"/>
        <w:numPr>
          <w:ilvl w:val="0"/>
          <w:numId w:val="22"/>
        </w:numPr>
        <w:spacing w:before="0" w:beforeAutospacing="0" w:after="120" w:afterAutospacing="0"/>
        <w:ind w:left="425" w:hanging="425"/>
        <w:rPr>
          <w:rFonts w:asciiTheme="minorHAnsi" w:hAnsiTheme="minorHAnsi" w:cstheme="minorHAnsi"/>
          <w:color w:val="000000"/>
          <w:sz w:val="22"/>
          <w:szCs w:val="22"/>
        </w:rPr>
      </w:pPr>
      <w:r w:rsidRPr="00F704B9">
        <w:rPr>
          <w:rFonts w:asciiTheme="minorHAnsi" w:hAnsiTheme="minorHAnsi" w:cstheme="minorHAnsi"/>
          <w:color w:val="000000"/>
          <w:sz w:val="22"/>
          <w:szCs w:val="22"/>
        </w:rPr>
        <w:t xml:space="preserve">promoting the objectives of the </w:t>
      </w:r>
      <w:r>
        <w:rPr>
          <w:rFonts w:asciiTheme="minorHAnsi" w:hAnsiTheme="minorHAnsi" w:cstheme="minorHAnsi"/>
          <w:color w:val="000000"/>
          <w:sz w:val="22"/>
          <w:szCs w:val="22"/>
        </w:rPr>
        <w:t>National Law</w:t>
      </w:r>
      <w:r w:rsidRPr="00F704B9">
        <w:rPr>
          <w:rFonts w:asciiTheme="minorHAnsi" w:hAnsiTheme="minorHAnsi" w:cstheme="minorHAnsi"/>
          <w:color w:val="000000"/>
          <w:sz w:val="22"/>
          <w:szCs w:val="22"/>
        </w:rPr>
        <w:t xml:space="preserve"> or Children’s Services Act</w:t>
      </w:r>
      <w:r>
        <w:rPr>
          <w:rFonts w:asciiTheme="minorHAnsi" w:hAnsiTheme="minorHAnsi" w:cstheme="minorHAnsi"/>
          <w:color w:val="000000"/>
          <w:sz w:val="22"/>
          <w:szCs w:val="22"/>
        </w:rPr>
        <w:t>,</w:t>
      </w:r>
    </w:p>
    <w:p w14:paraId="767D7CB5" w14:textId="77777777" w:rsidR="00265603" w:rsidRPr="00F704B9" w:rsidRDefault="00265603" w:rsidP="0045123D">
      <w:pPr>
        <w:pStyle w:val="NormalWeb"/>
        <w:numPr>
          <w:ilvl w:val="0"/>
          <w:numId w:val="22"/>
        </w:numPr>
        <w:spacing w:before="0" w:beforeAutospacing="0" w:after="120" w:afterAutospacing="0"/>
        <w:ind w:left="425" w:hanging="425"/>
        <w:rPr>
          <w:rFonts w:asciiTheme="minorHAnsi" w:hAnsiTheme="minorHAnsi" w:cstheme="minorHAnsi"/>
          <w:color w:val="000000"/>
          <w:sz w:val="22"/>
          <w:szCs w:val="22"/>
        </w:rPr>
      </w:pPr>
      <w:r w:rsidRPr="00F704B9">
        <w:rPr>
          <w:rFonts w:asciiTheme="minorHAnsi" w:hAnsiTheme="minorHAnsi" w:cstheme="minorHAnsi"/>
          <w:color w:val="000000"/>
          <w:sz w:val="22"/>
          <w:szCs w:val="22"/>
        </w:rPr>
        <w:t>assisting authorities and other government departments to perform or exercise their functions and powers under the National Law or Children’s Services Act</w:t>
      </w:r>
      <w:r>
        <w:rPr>
          <w:rFonts w:asciiTheme="minorHAnsi" w:hAnsiTheme="minorHAnsi" w:cstheme="minorHAnsi"/>
          <w:color w:val="000000"/>
          <w:sz w:val="22"/>
          <w:szCs w:val="22"/>
        </w:rPr>
        <w:t>,</w:t>
      </w:r>
    </w:p>
    <w:p w14:paraId="472628BC" w14:textId="172FF3E5" w:rsidR="00265603" w:rsidRPr="00F704B9" w:rsidRDefault="00265603" w:rsidP="0045123D">
      <w:pPr>
        <w:pStyle w:val="NormalWeb"/>
        <w:numPr>
          <w:ilvl w:val="0"/>
          <w:numId w:val="22"/>
        </w:numPr>
        <w:spacing w:before="0" w:beforeAutospacing="0" w:after="120" w:afterAutospacing="0"/>
        <w:ind w:left="425" w:hanging="425"/>
        <w:rPr>
          <w:rFonts w:asciiTheme="minorHAnsi" w:hAnsiTheme="minorHAnsi" w:cstheme="minorHAnsi"/>
          <w:color w:val="000000"/>
          <w:sz w:val="22"/>
          <w:szCs w:val="22"/>
        </w:rPr>
      </w:pPr>
      <w:r w:rsidRPr="00F704B9">
        <w:rPr>
          <w:rFonts w:asciiTheme="minorHAnsi" w:hAnsiTheme="minorHAnsi" w:cstheme="minorHAnsi"/>
          <w:color w:val="000000"/>
          <w:sz w:val="22"/>
          <w:szCs w:val="22"/>
        </w:rPr>
        <w:t>research or the development of national, state</w:t>
      </w:r>
      <w:r w:rsidR="00A162D6">
        <w:rPr>
          <w:rFonts w:asciiTheme="minorHAnsi" w:hAnsiTheme="minorHAnsi" w:cstheme="minorHAnsi"/>
          <w:color w:val="000000"/>
          <w:sz w:val="22"/>
          <w:szCs w:val="22"/>
        </w:rPr>
        <w:t>/</w:t>
      </w:r>
      <w:r w:rsidRPr="00F704B9">
        <w:rPr>
          <w:rFonts w:asciiTheme="minorHAnsi" w:hAnsiTheme="minorHAnsi" w:cstheme="minorHAnsi"/>
          <w:color w:val="000000"/>
          <w:sz w:val="22"/>
          <w:szCs w:val="22"/>
        </w:rPr>
        <w:t xml:space="preserve">territory policy with respect to </w:t>
      </w:r>
      <w:r w:rsidR="00A162D6">
        <w:rPr>
          <w:rFonts w:asciiTheme="minorHAnsi" w:hAnsiTheme="minorHAnsi" w:cstheme="minorHAnsi"/>
          <w:color w:val="000000"/>
          <w:sz w:val="22"/>
          <w:szCs w:val="22"/>
        </w:rPr>
        <w:t>ECEC</w:t>
      </w:r>
      <w:r w:rsidRPr="00F704B9">
        <w:rPr>
          <w:rFonts w:asciiTheme="minorHAnsi" w:hAnsiTheme="minorHAnsi" w:cstheme="minorHAnsi"/>
          <w:color w:val="000000"/>
          <w:sz w:val="22"/>
          <w:szCs w:val="22"/>
        </w:rPr>
        <w:t xml:space="preserve"> services</w:t>
      </w:r>
      <w:r>
        <w:rPr>
          <w:rFonts w:asciiTheme="minorHAnsi" w:hAnsiTheme="minorHAnsi" w:cstheme="minorHAnsi"/>
          <w:color w:val="000000"/>
          <w:sz w:val="22"/>
          <w:szCs w:val="22"/>
        </w:rPr>
        <w:t>,</w:t>
      </w:r>
    </w:p>
    <w:p w14:paraId="1DF58D3D" w14:textId="0B38ACCF" w:rsidR="00265603" w:rsidRPr="00F704B9" w:rsidRDefault="00265603" w:rsidP="0045123D">
      <w:pPr>
        <w:pStyle w:val="NormalWeb"/>
        <w:numPr>
          <w:ilvl w:val="0"/>
          <w:numId w:val="22"/>
        </w:numPr>
        <w:spacing w:before="0" w:beforeAutospacing="0" w:after="120" w:afterAutospacing="0"/>
        <w:ind w:left="425" w:hanging="425"/>
        <w:rPr>
          <w:rFonts w:asciiTheme="minorHAnsi" w:hAnsiTheme="minorHAnsi" w:cstheme="minorHAnsi"/>
          <w:color w:val="000000"/>
          <w:sz w:val="22"/>
          <w:szCs w:val="22"/>
        </w:rPr>
      </w:pPr>
      <w:r w:rsidRPr="00F704B9">
        <w:rPr>
          <w:rFonts w:asciiTheme="minorHAnsi" w:hAnsiTheme="minorHAnsi" w:cstheme="minorHAnsi"/>
          <w:color w:val="000000"/>
          <w:sz w:val="22"/>
          <w:szCs w:val="22"/>
        </w:rPr>
        <w:t xml:space="preserve">the funding of </w:t>
      </w:r>
      <w:r w:rsidR="00E941B2">
        <w:rPr>
          <w:rFonts w:asciiTheme="minorHAnsi" w:hAnsiTheme="minorHAnsi" w:cstheme="minorHAnsi"/>
          <w:color w:val="000000"/>
          <w:sz w:val="22"/>
          <w:szCs w:val="22"/>
        </w:rPr>
        <w:t>ECEC</w:t>
      </w:r>
      <w:r w:rsidRPr="00F704B9">
        <w:rPr>
          <w:rFonts w:asciiTheme="minorHAnsi" w:hAnsiTheme="minorHAnsi" w:cstheme="minorHAnsi"/>
          <w:color w:val="000000"/>
          <w:sz w:val="22"/>
          <w:szCs w:val="22"/>
        </w:rPr>
        <w:t xml:space="preserve"> services</w:t>
      </w:r>
      <w:r>
        <w:rPr>
          <w:rFonts w:asciiTheme="minorHAnsi" w:hAnsiTheme="minorHAnsi" w:cstheme="minorHAnsi"/>
          <w:color w:val="000000"/>
          <w:sz w:val="22"/>
          <w:szCs w:val="22"/>
        </w:rPr>
        <w:t>,</w:t>
      </w:r>
    </w:p>
    <w:p w14:paraId="703827F0" w14:textId="77777777" w:rsidR="00265603" w:rsidRPr="00CE0176" w:rsidRDefault="00265603" w:rsidP="0045123D">
      <w:pPr>
        <w:pStyle w:val="NormalWeb"/>
        <w:numPr>
          <w:ilvl w:val="0"/>
          <w:numId w:val="22"/>
        </w:numPr>
        <w:spacing w:before="0" w:beforeAutospacing="0" w:after="120" w:afterAutospacing="0"/>
        <w:ind w:left="425" w:hanging="425"/>
        <w:rPr>
          <w:rFonts w:asciiTheme="minorHAnsi" w:hAnsiTheme="minorHAnsi" w:cstheme="minorHAnsi"/>
          <w:color w:val="000000"/>
          <w:sz w:val="22"/>
          <w:szCs w:val="22"/>
        </w:rPr>
      </w:pPr>
      <w:r w:rsidRPr="00CE0176">
        <w:rPr>
          <w:rFonts w:asciiTheme="minorHAnsi" w:hAnsiTheme="minorHAnsi" w:cstheme="minorHAnsi"/>
          <w:color w:val="000000"/>
          <w:sz w:val="22"/>
          <w:szCs w:val="22"/>
        </w:rPr>
        <w:t>the payment of benefits or allowances to persons using education and care services,</w:t>
      </w:r>
    </w:p>
    <w:p w14:paraId="356106AB" w14:textId="77777777" w:rsidR="00265603" w:rsidRPr="00CE0176" w:rsidRDefault="00265603" w:rsidP="00F84BD0">
      <w:pPr>
        <w:pStyle w:val="NormalWeb"/>
        <w:numPr>
          <w:ilvl w:val="0"/>
          <w:numId w:val="22"/>
        </w:numPr>
        <w:spacing w:before="0" w:beforeAutospacing="0" w:after="240" w:afterAutospacing="0"/>
        <w:ind w:left="426" w:hanging="426"/>
        <w:rPr>
          <w:rFonts w:asciiTheme="minorHAnsi" w:hAnsiTheme="minorHAnsi" w:cstheme="minorHAnsi"/>
          <w:color w:val="000000"/>
          <w:sz w:val="22"/>
          <w:szCs w:val="22"/>
        </w:rPr>
      </w:pPr>
      <w:r w:rsidRPr="00CE0176">
        <w:rPr>
          <w:rFonts w:asciiTheme="minorHAnsi" w:hAnsiTheme="minorHAnsi" w:cstheme="minorHAnsi"/>
          <w:color w:val="000000"/>
          <w:sz w:val="22"/>
          <w:szCs w:val="22"/>
        </w:rPr>
        <w:lastRenderedPageBreak/>
        <w:t>compliance, monitoring and enforcement.</w:t>
      </w:r>
    </w:p>
    <w:p w14:paraId="664997EC" w14:textId="77777777" w:rsidR="00265603" w:rsidRPr="00CE0176" w:rsidRDefault="00265603" w:rsidP="00014055">
      <w:pPr>
        <w:pStyle w:val="NormalWeb"/>
        <w:spacing w:before="0" w:beforeAutospacing="0" w:after="120" w:afterAutospacing="0"/>
        <w:rPr>
          <w:rFonts w:asciiTheme="minorHAnsi" w:hAnsiTheme="minorHAnsi" w:cstheme="minorHAnsi"/>
          <w:color w:val="000000"/>
          <w:sz w:val="22"/>
          <w:szCs w:val="22"/>
        </w:rPr>
      </w:pPr>
      <w:r w:rsidRPr="00CE0176">
        <w:rPr>
          <w:rFonts w:asciiTheme="minorHAnsi" w:hAnsiTheme="minorHAnsi" w:cstheme="minorHAnsi"/>
          <w:color w:val="000000"/>
          <w:sz w:val="22"/>
          <w:szCs w:val="22"/>
        </w:rPr>
        <w:t>In particular, in so far as is permitted by the National Law and/or Children’s Services Act, the Regulatory Authority works closely with:</w:t>
      </w:r>
    </w:p>
    <w:p w14:paraId="305635B7" w14:textId="5D5BD4D5" w:rsidR="00265603" w:rsidRPr="00CE0176" w:rsidRDefault="00265603"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sidRPr="00CE0176">
        <w:rPr>
          <w:rFonts w:asciiTheme="minorHAnsi" w:hAnsiTheme="minorHAnsi" w:cstheme="minorHAnsi"/>
          <w:color w:val="000000"/>
          <w:sz w:val="22"/>
          <w:szCs w:val="22"/>
        </w:rPr>
        <w:t>all areas of the Department of Education</w:t>
      </w:r>
      <w:r w:rsidR="00401165">
        <w:rPr>
          <w:rFonts w:asciiTheme="minorHAnsi" w:hAnsiTheme="minorHAnsi" w:cstheme="minorHAnsi"/>
          <w:color w:val="000000"/>
          <w:sz w:val="22"/>
          <w:szCs w:val="22"/>
        </w:rPr>
        <w:t xml:space="preserve"> and Training</w:t>
      </w:r>
      <w:r w:rsidRPr="00CE0176">
        <w:rPr>
          <w:rFonts w:asciiTheme="minorHAnsi" w:hAnsiTheme="minorHAnsi" w:cstheme="minorHAnsi"/>
          <w:color w:val="000000"/>
          <w:sz w:val="22"/>
          <w:szCs w:val="22"/>
        </w:rPr>
        <w:t xml:space="preserve"> (Vic) </w:t>
      </w:r>
    </w:p>
    <w:p w14:paraId="7657866B" w14:textId="77777777" w:rsidR="00265603" w:rsidRPr="00CE0176" w:rsidRDefault="00265603"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sidRPr="00CE0176">
        <w:rPr>
          <w:rFonts w:asciiTheme="minorHAnsi" w:hAnsiTheme="minorHAnsi" w:cstheme="minorHAnsi"/>
          <w:color w:val="000000"/>
          <w:sz w:val="22"/>
          <w:szCs w:val="22"/>
        </w:rPr>
        <w:t>the equivalent regulatory authorities in other states/territories</w:t>
      </w:r>
    </w:p>
    <w:p w14:paraId="16CCA804" w14:textId="77777777" w:rsidR="00265603" w:rsidRPr="00CE0176" w:rsidRDefault="00265603"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sidRPr="00CE0176">
        <w:rPr>
          <w:rFonts w:asciiTheme="minorHAnsi" w:hAnsiTheme="minorHAnsi" w:cstheme="minorHAnsi"/>
          <w:color w:val="000000"/>
          <w:sz w:val="22"/>
          <w:szCs w:val="22"/>
        </w:rPr>
        <w:t>the Commission for Children and Young People (Vic)</w:t>
      </w:r>
    </w:p>
    <w:p w14:paraId="44565FB8" w14:textId="77777777" w:rsidR="00265603" w:rsidRPr="00CE0176" w:rsidRDefault="00265603"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sidRPr="00CE0176">
        <w:rPr>
          <w:rFonts w:asciiTheme="minorHAnsi" w:hAnsiTheme="minorHAnsi" w:cstheme="minorHAnsi"/>
          <w:color w:val="000000"/>
          <w:sz w:val="22"/>
          <w:szCs w:val="22"/>
        </w:rPr>
        <w:t>the Department of Education, Skills and Employment (Cth)</w:t>
      </w:r>
    </w:p>
    <w:p w14:paraId="40A2ED83" w14:textId="0F31B50C" w:rsidR="00265603" w:rsidRDefault="00265603"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sidRPr="00CE0176">
        <w:rPr>
          <w:rFonts w:asciiTheme="minorHAnsi" w:hAnsiTheme="minorHAnsi" w:cstheme="minorHAnsi"/>
          <w:color w:val="000000"/>
          <w:sz w:val="22"/>
          <w:szCs w:val="22"/>
        </w:rPr>
        <w:t xml:space="preserve">the </w:t>
      </w:r>
      <w:r w:rsidRPr="00265603">
        <w:rPr>
          <w:rFonts w:asciiTheme="minorHAnsi" w:hAnsiTheme="minorHAnsi" w:cstheme="minorHAnsi"/>
          <w:color w:val="000000"/>
          <w:sz w:val="22"/>
          <w:szCs w:val="22"/>
        </w:rPr>
        <w:t>Department of Health (Vic)</w:t>
      </w:r>
    </w:p>
    <w:p w14:paraId="00FB4A94" w14:textId="2CE16FB3" w:rsidR="00C6545B" w:rsidRPr="00265603" w:rsidRDefault="00C6545B"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the Department of Justice (Vic)</w:t>
      </w:r>
    </w:p>
    <w:p w14:paraId="457E81FF" w14:textId="77777777" w:rsidR="00265603" w:rsidRPr="00265603" w:rsidRDefault="00265603"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sidRPr="00265603">
        <w:rPr>
          <w:rFonts w:asciiTheme="minorHAnsi" w:hAnsiTheme="minorHAnsi" w:cstheme="minorHAnsi"/>
          <w:color w:val="000000"/>
          <w:sz w:val="22"/>
          <w:szCs w:val="22"/>
        </w:rPr>
        <w:t>the Department of Families, Fairness and Housing (Vic)</w:t>
      </w:r>
    </w:p>
    <w:p w14:paraId="48398487" w14:textId="78D4661E" w:rsidR="00265603" w:rsidRDefault="00265603"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sidRPr="00265603">
        <w:rPr>
          <w:rFonts w:asciiTheme="minorHAnsi" w:hAnsiTheme="minorHAnsi" w:cstheme="minorHAnsi"/>
          <w:color w:val="000000"/>
          <w:sz w:val="22"/>
          <w:szCs w:val="22"/>
        </w:rPr>
        <w:t>the Victorian Institute of Teaching</w:t>
      </w:r>
    </w:p>
    <w:p w14:paraId="075E7D25" w14:textId="02C73493" w:rsidR="00F84BD0" w:rsidRPr="00265603" w:rsidRDefault="00F84BD0" w:rsidP="0045123D">
      <w:pPr>
        <w:pStyle w:val="NormalWeb"/>
        <w:numPr>
          <w:ilvl w:val="0"/>
          <w:numId w:val="23"/>
        </w:numPr>
        <w:spacing w:before="0" w:beforeAutospacing="0" w:after="120" w:afterAutospacing="0"/>
        <w:ind w:left="425" w:hanging="425"/>
        <w:rPr>
          <w:rFonts w:asciiTheme="minorHAnsi" w:hAnsiTheme="minorHAnsi" w:cstheme="minorHAnsi"/>
          <w:color w:val="000000"/>
          <w:sz w:val="22"/>
          <w:szCs w:val="22"/>
        </w:rPr>
      </w:pPr>
      <w:r>
        <w:rPr>
          <w:rFonts w:asciiTheme="minorHAnsi" w:hAnsiTheme="minorHAnsi" w:cstheme="minorHAnsi"/>
          <w:color w:val="000000"/>
          <w:sz w:val="22"/>
          <w:szCs w:val="22"/>
        </w:rPr>
        <w:t>Worksafe Victoria</w:t>
      </w:r>
    </w:p>
    <w:p w14:paraId="4378CA92" w14:textId="1506FD8B" w:rsidR="00317F6C" w:rsidRPr="00265603" w:rsidRDefault="00265603" w:rsidP="00B20038">
      <w:pPr>
        <w:pStyle w:val="NormalWeb"/>
        <w:numPr>
          <w:ilvl w:val="0"/>
          <w:numId w:val="23"/>
        </w:numPr>
        <w:spacing w:before="0" w:beforeAutospacing="0" w:after="240" w:afterAutospacing="0"/>
        <w:ind w:left="426" w:hanging="426"/>
        <w:rPr>
          <w:rFonts w:asciiTheme="minorHAnsi" w:hAnsiTheme="minorHAnsi" w:cstheme="minorHAnsi"/>
          <w:color w:val="000000"/>
          <w:sz w:val="22"/>
          <w:szCs w:val="22"/>
        </w:rPr>
      </w:pPr>
      <w:r w:rsidRPr="00265603">
        <w:rPr>
          <w:rFonts w:asciiTheme="minorHAnsi" w:hAnsiTheme="minorHAnsi" w:cstheme="minorHAnsi"/>
          <w:color w:val="000000"/>
          <w:sz w:val="22"/>
          <w:szCs w:val="22"/>
        </w:rPr>
        <w:t>Victoria Police.</w:t>
      </w:r>
    </w:p>
    <w:p w14:paraId="5F0AFA3A" w14:textId="56978CBC" w:rsidR="00842D8C" w:rsidRPr="00624A55" w:rsidRDefault="00842D8C" w:rsidP="00842D8C">
      <w:pPr>
        <w:pStyle w:val="Heading2"/>
        <w:rPr>
          <w:lang w:val="en-AU"/>
        </w:rPr>
      </w:pPr>
      <w:bookmarkStart w:id="14" w:name="_Toc71637129"/>
      <w:r>
        <w:rPr>
          <w:lang w:val="en-AU"/>
        </w:rPr>
        <w:t>Feedback</w:t>
      </w:r>
      <w:bookmarkEnd w:id="14"/>
    </w:p>
    <w:p w14:paraId="7C74A8FE" w14:textId="205C727D" w:rsidR="00317F6C" w:rsidRDefault="00842D8C" w:rsidP="00AA6D3D">
      <w:pPr>
        <w:rPr>
          <w:rFonts w:cstheme="minorHAnsi"/>
        </w:rPr>
      </w:pPr>
      <w:r>
        <w:rPr>
          <w:color w:val="000000"/>
          <w:szCs w:val="22"/>
        </w:rPr>
        <w:t xml:space="preserve">The Regulatory Authority </w:t>
      </w:r>
      <w:r w:rsidRPr="00F704B9">
        <w:rPr>
          <w:color w:val="000000"/>
          <w:szCs w:val="22"/>
        </w:rPr>
        <w:t>continuously review</w:t>
      </w:r>
      <w:r>
        <w:rPr>
          <w:color w:val="000000"/>
          <w:szCs w:val="22"/>
        </w:rPr>
        <w:t>s its</w:t>
      </w:r>
      <w:r w:rsidRPr="00F704B9">
        <w:rPr>
          <w:color w:val="000000"/>
          <w:szCs w:val="22"/>
        </w:rPr>
        <w:t xml:space="preserve"> practice</w:t>
      </w:r>
      <w:r>
        <w:rPr>
          <w:color w:val="000000"/>
          <w:szCs w:val="22"/>
        </w:rPr>
        <w:t>s</w:t>
      </w:r>
      <w:r w:rsidR="00401165">
        <w:rPr>
          <w:color w:val="000000"/>
          <w:szCs w:val="22"/>
        </w:rPr>
        <w:t xml:space="preserve"> </w:t>
      </w:r>
      <w:r w:rsidRPr="00F704B9">
        <w:rPr>
          <w:color w:val="000000"/>
          <w:szCs w:val="22"/>
        </w:rPr>
        <w:t xml:space="preserve">with the aim </w:t>
      </w:r>
      <w:r>
        <w:rPr>
          <w:color w:val="000000"/>
          <w:szCs w:val="22"/>
        </w:rPr>
        <w:t>of</w:t>
      </w:r>
      <w:r w:rsidRPr="00F704B9">
        <w:rPr>
          <w:color w:val="000000"/>
          <w:szCs w:val="22"/>
        </w:rPr>
        <w:t xml:space="preserve"> ensur</w:t>
      </w:r>
      <w:r>
        <w:rPr>
          <w:color w:val="000000"/>
          <w:szCs w:val="22"/>
        </w:rPr>
        <w:t>ing</w:t>
      </w:r>
      <w:r w:rsidRPr="00F704B9">
        <w:rPr>
          <w:color w:val="000000"/>
          <w:szCs w:val="22"/>
        </w:rPr>
        <w:t xml:space="preserve"> safety, health and wellbeing of children and improv</w:t>
      </w:r>
      <w:r>
        <w:rPr>
          <w:color w:val="000000"/>
          <w:szCs w:val="22"/>
        </w:rPr>
        <w:t>ing</w:t>
      </w:r>
      <w:r w:rsidRPr="00F704B9">
        <w:rPr>
          <w:color w:val="000000"/>
          <w:szCs w:val="22"/>
        </w:rPr>
        <w:t xml:space="preserve"> the provision of quality </w:t>
      </w:r>
      <w:r>
        <w:rPr>
          <w:color w:val="000000"/>
          <w:szCs w:val="22"/>
        </w:rPr>
        <w:t>ECEC services in Victoria</w:t>
      </w:r>
      <w:r w:rsidRPr="00F704B9">
        <w:rPr>
          <w:color w:val="000000"/>
          <w:szCs w:val="22"/>
        </w:rPr>
        <w:t xml:space="preserve">. </w:t>
      </w:r>
      <w:r>
        <w:rPr>
          <w:color w:val="000000"/>
          <w:szCs w:val="22"/>
        </w:rPr>
        <w:t>The Regulatory Authority</w:t>
      </w:r>
      <w:r w:rsidRPr="00F704B9">
        <w:rPr>
          <w:color w:val="000000"/>
          <w:szCs w:val="22"/>
        </w:rPr>
        <w:t xml:space="preserve"> welcome</w:t>
      </w:r>
      <w:r>
        <w:rPr>
          <w:color w:val="000000"/>
          <w:szCs w:val="22"/>
        </w:rPr>
        <w:t>s</w:t>
      </w:r>
      <w:r w:rsidRPr="00F704B9">
        <w:rPr>
          <w:color w:val="000000"/>
          <w:szCs w:val="22"/>
        </w:rPr>
        <w:t xml:space="preserve"> feedback about </w:t>
      </w:r>
      <w:r>
        <w:rPr>
          <w:color w:val="000000"/>
          <w:szCs w:val="22"/>
        </w:rPr>
        <w:t>this</w:t>
      </w:r>
      <w:r w:rsidRPr="00F704B9">
        <w:rPr>
          <w:color w:val="000000"/>
          <w:szCs w:val="22"/>
        </w:rPr>
        <w:t xml:space="preserve"> policy </w:t>
      </w:r>
      <w:r>
        <w:rPr>
          <w:color w:val="000000"/>
          <w:szCs w:val="22"/>
        </w:rPr>
        <w:t>as part of, and to assist with,</w:t>
      </w:r>
      <w:r w:rsidRPr="00F704B9">
        <w:rPr>
          <w:color w:val="000000"/>
          <w:szCs w:val="22"/>
        </w:rPr>
        <w:t xml:space="preserve"> </w:t>
      </w:r>
      <w:r>
        <w:rPr>
          <w:color w:val="000000"/>
          <w:szCs w:val="22"/>
        </w:rPr>
        <w:t>continual improvement.</w:t>
      </w:r>
    </w:p>
    <w:sectPr w:rsidR="00317F6C" w:rsidSect="00DA3218">
      <w:headerReference w:type="default" r:id="rId17"/>
      <w:footerReference w:type="default" r:id="rId18"/>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7381" w14:textId="77777777" w:rsidR="0077066B" w:rsidRDefault="0077066B" w:rsidP="003967DD">
      <w:pPr>
        <w:spacing w:after="0"/>
      </w:pPr>
      <w:r>
        <w:separator/>
      </w:r>
    </w:p>
  </w:endnote>
  <w:endnote w:type="continuationSeparator" w:id="0">
    <w:p w14:paraId="485BE916" w14:textId="77777777" w:rsidR="0077066B" w:rsidRDefault="0077066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0A1E3024" w:rsidR="00714D72" w:rsidRDefault="00714D72" w:rsidP="00714D72">
    <w:pPr>
      <w:pStyle w:val="FootnoteText"/>
      <w:ind w:right="3395"/>
      <w:rPr>
        <w:sz w:val="12"/>
        <w:szCs w:val="12"/>
      </w:rPr>
    </w:pPr>
    <w:r w:rsidRPr="001105FA">
      <w:rPr>
        <w:sz w:val="12"/>
        <w:szCs w:val="12"/>
      </w:rPr>
      <w:t xml:space="preserve">© State of Victoria (Department of Education and Training) </w:t>
    </w:r>
    <w:r w:rsidR="003F1F7B">
      <w:rPr>
        <w:sz w:val="12"/>
        <w:szCs w:val="12"/>
      </w:rPr>
      <w:t>2021</w:t>
    </w:r>
  </w:p>
  <w:p w14:paraId="2D4683BF" w14:textId="77777777" w:rsidR="00714D72" w:rsidRPr="001105FA" w:rsidRDefault="00714D72" w:rsidP="00714D72">
    <w:pPr>
      <w:pStyle w:val="FootnoteText"/>
      <w:ind w:right="3395"/>
      <w:rPr>
        <w:sz w:val="12"/>
        <w:szCs w:val="12"/>
      </w:rPr>
    </w:pPr>
    <w:r>
      <w:rPr>
        <w:noProof/>
        <w:sz w:val="12"/>
        <w:szCs w:val="12"/>
      </w:rPr>
      <w:drawing>
        <wp:inline distT="0" distB="0" distL="0" distR="0" wp14:anchorId="261808AF" wp14:editId="2F94573F">
          <wp:extent cx="485336" cy="173334"/>
          <wp:effectExtent l="0" t="0" r="0" b="5080"/>
          <wp:docPr id="13" name="Picture 13"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5D17BE38" w:rsidR="00714D72" w:rsidRPr="001105FA" w:rsidRDefault="003F1F7B" w:rsidP="00714D72">
    <w:pPr>
      <w:pStyle w:val="FootnoteText"/>
      <w:spacing w:before="120"/>
      <w:ind w:right="2544"/>
      <w:rPr>
        <w:sz w:val="12"/>
        <w:szCs w:val="12"/>
      </w:rPr>
    </w:pPr>
    <w:r w:rsidRPr="003F1F7B">
      <w:rPr>
        <w:sz w:val="12"/>
        <w:szCs w:val="12"/>
      </w:rPr>
      <w:t xml:space="preserve">This document, the Monitoring Compliance Policy </w:t>
    </w:r>
    <w:r w:rsidR="00714D72" w:rsidRPr="003F1F7B">
      <w:rPr>
        <w:sz w:val="12"/>
        <w:szCs w:val="12"/>
      </w:rPr>
      <w:t>is</w:t>
    </w:r>
    <w:r w:rsidR="00714D72" w:rsidRPr="001105FA">
      <w:rPr>
        <w:sz w:val="12"/>
        <w:szCs w:val="12"/>
      </w:rPr>
      <w:t xml:space="preserve"> provided under a Creative Commons Attribution 4.0 International licence. You are free to re-use the work under that licence, on the condition that you credit the State of Victoria (Department of Education and Training), indicate if changes were made and comply</w:t>
    </w:r>
    <w:r w:rsidR="00714D72">
      <w:rPr>
        <w:sz w:val="12"/>
        <w:szCs w:val="12"/>
      </w:rPr>
      <w:t xml:space="preserve"> with the other licence terms, </w:t>
    </w:r>
    <w:r w:rsidR="00714D72" w:rsidRPr="001105FA">
      <w:rPr>
        <w:sz w:val="12"/>
        <w:szCs w:val="12"/>
      </w:rPr>
      <w:t xml:space="preserve">see: </w:t>
    </w:r>
    <w:hyperlink r:id="rId2" w:history="1">
      <w:r w:rsidR="00714D72" w:rsidRPr="001105FA">
        <w:rPr>
          <w:rStyle w:val="Hyperlink"/>
          <w:sz w:val="12"/>
          <w:szCs w:val="12"/>
        </w:rPr>
        <w:t>Creative Commons Attribution 4.0 International</w:t>
      </w:r>
    </w:hyperlink>
    <w:r w:rsidR="00714D72" w:rsidRPr="001105FA">
      <w:rPr>
        <w:sz w:val="12"/>
        <w:szCs w:val="12"/>
      </w:rPr>
      <w:t xml:space="preserve"> </w:t>
    </w:r>
  </w:p>
  <w:p w14:paraId="7741E8FC" w14:textId="77777777" w:rsidR="00714D72" w:rsidRPr="001105FA" w:rsidRDefault="00714D72" w:rsidP="00714D72">
    <w:pPr>
      <w:pStyle w:val="FootnoteText"/>
      <w:ind w:right="1977"/>
      <w:rPr>
        <w:sz w:val="12"/>
        <w:szCs w:val="12"/>
      </w:rPr>
    </w:pPr>
    <w:r w:rsidRPr="001105FA">
      <w:rPr>
        <w:sz w:val="12"/>
        <w:szCs w:val="12"/>
      </w:rPr>
      <w:t>The licence does not apply to:</w:t>
    </w:r>
  </w:p>
  <w:p w14:paraId="3693F738" w14:textId="77777777" w:rsidR="00714D72" w:rsidRPr="001105FA" w:rsidRDefault="00714D72" w:rsidP="00714D72">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657FF9EE" w14:textId="77777777" w:rsidR="00714D72" w:rsidRPr="001105FA" w:rsidRDefault="00714D72" w:rsidP="00714D72">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1ED30E75" w14:textId="62BBF0A1" w:rsidR="00A63D55" w:rsidRPr="00714D72" w:rsidRDefault="00714D72" w:rsidP="00714D72">
    <w:pPr>
      <w:pStyle w:val="FootnoteText"/>
      <w:ind w:right="1977"/>
      <w:rPr>
        <w:color w:val="AF272F" w:themeColor="hyperlink"/>
        <w:sz w:val="12"/>
        <w:szCs w:val="12"/>
        <w:u w:val="single"/>
      </w:rPr>
    </w:pPr>
    <w:r w:rsidRPr="001105FA">
      <w:rPr>
        <w:sz w:val="12"/>
        <w:szCs w:val="12"/>
      </w:rPr>
      <w:t xml:space="preserve">Copyright queries may be directed to </w:t>
    </w:r>
    <w:hyperlink r:id="rId3" w:history="1">
      <w:r w:rsidRPr="001105FA">
        <w:rPr>
          <w:rStyle w:val="Hyperlink"/>
          <w:color w:val="53565A" w:themeColor="accent5"/>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A17A" w14:textId="77777777" w:rsidR="0077066B" w:rsidRDefault="0077066B" w:rsidP="003967DD">
      <w:pPr>
        <w:spacing w:after="0"/>
      </w:pPr>
      <w:r>
        <w:separator/>
      </w:r>
    </w:p>
  </w:footnote>
  <w:footnote w:type="continuationSeparator" w:id="0">
    <w:p w14:paraId="7D5ACA4E" w14:textId="77777777" w:rsidR="0077066B" w:rsidRDefault="0077066B" w:rsidP="003967DD">
      <w:pPr>
        <w:spacing w:after="0"/>
      </w:pPr>
      <w:r>
        <w:continuationSeparator/>
      </w:r>
    </w:p>
  </w:footnote>
  <w:footnote w:id="1">
    <w:p w14:paraId="6E01A283" w14:textId="77777777" w:rsidR="009A0EBC" w:rsidRPr="00D92C5F" w:rsidRDefault="009A0EBC" w:rsidP="009A0EBC">
      <w:pPr>
        <w:pStyle w:val="FootnoteText"/>
        <w:rPr>
          <w:sz w:val="18"/>
          <w:szCs w:val="18"/>
        </w:rPr>
      </w:pPr>
      <w:r w:rsidRPr="00D92C5F">
        <w:rPr>
          <w:rStyle w:val="FootnoteReference"/>
          <w:color w:val="auto"/>
          <w:sz w:val="18"/>
          <w:szCs w:val="18"/>
        </w:rPr>
        <w:footnoteRef/>
      </w:r>
      <w:r w:rsidRPr="00D92C5F">
        <w:rPr>
          <w:sz w:val="18"/>
          <w:szCs w:val="18"/>
        </w:rPr>
        <w:t xml:space="preserve"> Section 260 of the National Law sets out the functions of the Regulatory Authority</w:t>
      </w:r>
      <w:r>
        <w:rPr>
          <w:sz w:val="18"/>
          <w:szCs w:val="18"/>
        </w:rPr>
        <w:t>.</w:t>
      </w:r>
    </w:p>
  </w:footnote>
  <w:footnote w:id="2">
    <w:p w14:paraId="41297027" w14:textId="2C9402C9" w:rsidR="00AA6D3D" w:rsidRPr="00DC21DD" w:rsidRDefault="00AA6D3D" w:rsidP="00AA6D3D">
      <w:pPr>
        <w:pStyle w:val="FootnoteText"/>
        <w:rPr>
          <w:sz w:val="18"/>
          <w:szCs w:val="18"/>
          <w:lang w:val="en-AU"/>
        </w:rPr>
      </w:pPr>
      <w:r w:rsidRPr="00DC21DD">
        <w:rPr>
          <w:rStyle w:val="FootnoteReference"/>
          <w:color w:val="auto"/>
          <w:sz w:val="18"/>
          <w:szCs w:val="18"/>
        </w:rPr>
        <w:footnoteRef/>
      </w:r>
      <w:r w:rsidRPr="00DC21DD">
        <w:rPr>
          <w:sz w:val="18"/>
          <w:szCs w:val="18"/>
        </w:rPr>
        <w:t xml:space="preserve"> These powers are set out in </w:t>
      </w:r>
      <w:r w:rsidRPr="00DC21DD">
        <w:rPr>
          <w:rFonts w:cstheme="minorHAnsi"/>
          <w:sz w:val="18"/>
          <w:szCs w:val="18"/>
        </w:rPr>
        <w:t xml:space="preserve">sections 197-201 of the National Law </w:t>
      </w:r>
      <w:r w:rsidR="00401165">
        <w:rPr>
          <w:rFonts w:cstheme="minorHAnsi"/>
          <w:sz w:val="18"/>
          <w:szCs w:val="18"/>
        </w:rPr>
        <w:t xml:space="preserve">(if the Authorised Officer is acting under the Children’s Services Act, similar powers are set out in </w:t>
      </w:r>
      <w:r w:rsidRPr="00DC21DD">
        <w:rPr>
          <w:rFonts w:cstheme="minorHAnsi"/>
          <w:sz w:val="18"/>
          <w:szCs w:val="18"/>
        </w:rPr>
        <w:t>sections 138-142 of the Children’s Services Act</w:t>
      </w:r>
      <w:r w:rsidR="00401165">
        <w:rPr>
          <w:rFonts w:cstheme="minorHAnsi"/>
          <w:sz w:val="18"/>
          <w:szCs w:val="18"/>
        </w:rPr>
        <w:t>)</w:t>
      </w:r>
      <w:r w:rsidRPr="00DC21DD">
        <w:rPr>
          <w:rFonts w:cstheme="minorHAnsi"/>
          <w:sz w:val="18"/>
          <w:szCs w:val="18"/>
        </w:rPr>
        <w:t>.</w:t>
      </w:r>
    </w:p>
  </w:footnote>
  <w:footnote w:id="3">
    <w:p w14:paraId="26F77E24" w14:textId="5CDEF324" w:rsidR="00401165" w:rsidRPr="00401165" w:rsidRDefault="00401165">
      <w:pPr>
        <w:pStyle w:val="FootnoteText"/>
        <w:rPr>
          <w:lang w:val="en-AU"/>
        </w:rPr>
      </w:pPr>
      <w:r w:rsidRPr="00401165">
        <w:rPr>
          <w:rStyle w:val="FootnoteReference"/>
          <w:color w:val="auto"/>
          <w:sz w:val="18"/>
          <w:szCs w:val="18"/>
        </w:rPr>
        <w:footnoteRef/>
      </w:r>
      <w:r w:rsidRPr="00401165">
        <w:rPr>
          <w:sz w:val="18"/>
          <w:szCs w:val="18"/>
        </w:rPr>
        <w:t xml:space="preserve"> Section </w:t>
      </w:r>
      <w:r w:rsidRPr="00056315">
        <w:rPr>
          <w:sz w:val="18"/>
          <w:szCs w:val="18"/>
        </w:rPr>
        <w:t>162 of the National Law makes it an offence to operate an education and care service without a responsible person present and sets out who a ‘responsible person’ can be</w:t>
      </w:r>
      <w:r>
        <w:rPr>
          <w:sz w:val="18"/>
          <w:szCs w:val="18"/>
        </w:rPr>
        <w:t>.</w:t>
      </w:r>
    </w:p>
  </w:footnote>
  <w:footnote w:id="4">
    <w:p w14:paraId="25ADDD20" w14:textId="77777777" w:rsidR="00317F6C" w:rsidRPr="00947799" w:rsidRDefault="00317F6C" w:rsidP="00317F6C">
      <w:pPr>
        <w:pStyle w:val="FootnoteText"/>
        <w:rPr>
          <w:sz w:val="18"/>
          <w:szCs w:val="18"/>
          <w:lang w:val="en-AU"/>
        </w:rPr>
      </w:pPr>
      <w:r w:rsidRPr="00947799">
        <w:rPr>
          <w:rStyle w:val="FootnoteReference"/>
          <w:color w:val="auto"/>
          <w:sz w:val="18"/>
          <w:szCs w:val="18"/>
        </w:rPr>
        <w:footnoteRef/>
      </w:r>
      <w:r w:rsidRPr="00947799">
        <w:rPr>
          <w:sz w:val="18"/>
          <w:szCs w:val="18"/>
        </w:rPr>
        <w:t xml:space="preserve"> </w:t>
      </w:r>
      <w:r w:rsidRPr="00947799">
        <w:rPr>
          <w:sz w:val="18"/>
          <w:szCs w:val="18"/>
          <w:lang w:val="en-AU"/>
        </w:rPr>
        <w:t>The Regulatory Auth</w:t>
      </w:r>
      <w:r>
        <w:rPr>
          <w:sz w:val="18"/>
          <w:szCs w:val="18"/>
          <w:lang w:val="en-AU"/>
        </w:rPr>
        <w:t>or</w:t>
      </w:r>
      <w:r w:rsidRPr="00947799">
        <w:rPr>
          <w:sz w:val="18"/>
          <w:szCs w:val="18"/>
          <w:lang w:val="en-AU"/>
        </w:rPr>
        <w:t>ity</w:t>
      </w:r>
      <w:r>
        <w:rPr>
          <w:sz w:val="18"/>
          <w:szCs w:val="18"/>
          <w:lang w:val="en-AU"/>
        </w:rPr>
        <w:t xml:space="preserve"> has powers to take various emergency responses as appropriate to the circumstances such as: issuing an emergency action notice, the emergency removal of children or immediately suspending the service approval or provider approval (see sections 28, 73, 179 and 189 of the National Law for further detail of these powers).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1FA245A0" w:rsidR="00DA3218" w:rsidRDefault="00A71967" w:rsidP="00A63D55">
    <w:pPr>
      <w:pStyle w:val="Header"/>
      <w:tabs>
        <w:tab w:val="clear" w:pos="4513"/>
        <w:tab w:val="clear" w:pos="9026"/>
        <w:tab w:val="left" w:pos="1425"/>
      </w:tabs>
    </w:pPr>
    <w:r>
      <w:rPr>
        <w:noProof/>
      </w:rPr>
      <w:drawing>
        <wp:anchor distT="0" distB="0" distL="114300" distR="114300" simplePos="0" relativeHeight="251666432" behindDoc="1" locked="0" layoutInCell="1" allowOverlap="1" wp14:anchorId="2F55C6EB" wp14:editId="5B81B170">
          <wp:simplePos x="0" y="0"/>
          <wp:positionH relativeFrom="page">
            <wp:align>left</wp:align>
          </wp:positionH>
          <wp:positionV relativeFrom="page">
            <wp:align>top</wp:align>
          </wp:positionV>
          <wp:extent cx="7560000" cy="10699200"/>
          <wp:effectExtent l="0" t="0" r="0" b="0"/>
          <wp:wrapNone/>
          <wp:docPr id="6" name="Picture 6"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rsidR="00A63D5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3FCA2EAE">
          <wp:simplePos x="0" y="0"/>
          <wp:positionH relativeFrom="page">
            <wp:align>left</wp:align>
          </wp:positionH>
          <wp:positionV relativeFrom="page">
            <wp:align>top</wp:align>
          </wp:positionV>
          <wp:extent cx="7560000" cy="10690453"/>
          <wp:effectExtent l="0" t="0" r="9525" b="3175"/>
          <wp:wrapNone/>
          <wp:docPr id="12" name="Picture 12"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5BC6EF85">
          <wp:simplePos x="0" y="0"/>
          <wp:positionH relativeFrom="page">
            <wp:align>left</wp:align>
          </wp:positionH>
          <wp:positionV relativeFrom="page">
            <wp:align>top</wp:align>
          </wp:positionV>
          <wp:extent cx="7560000" cy="10690453"/>
          <wp:effectExtent l="0" t="0" r="9525" b="3175"/>
          <wp:wrapNone/>
          <wp:docPr id="3" name="Picture 3"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43D5F"/>
    <w:multiLevelType w:val="hybridMultilevel"/>
    <w:tmpl w:val="51DA83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77542"/>
    <w:multiLevelType w:val="hybridMultilevel"/>
    <w:tmpl w:val="7AF0E4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62C3B55"/>
    <w:multiLevelType w:val="hybridMultilevel"/>
    <w:tmpl w:val="DE40C24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AEC6504"/>
    <w:multiLevelType w:val="hybridMultilevel"/>
    <w:tmpl w:val="45FC3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E58B8"/>
    <w:multiLevelType w:val="hybridMultilevel"/>
    <w:tmpl w:val="C492A68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43A07"/>
    <w:multiLevelType w:val="hybridMultilevel"/>
    <w:tmpl w:val="D76E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0922097">
    <w:abstractNumId w:val="0"/>
  </w:num>
  <w:num w:numId="2" w16cid:durableId="1151559197">
    <w:abstractNumId w:val="1"/>
  </w:num>
  <w:num w:numId="3" w16cid:durableId="920914886">
    <w:abstractNumId w:val="2"/>
  </w:num>
  <w:num w:numId="4" w16cid:durableId="1514340796">
    <w:abstractNumId w:val="3"/>
  </w:num>
  <w:num w:numId="5" w16cid:durableId="952134516">
    <w:abstractNumId w:val="4"/>
  </w:num>
  <w:num w:numId="6" w16cid:durableId="2078238070">
    <w:abstractNumId w:val="9"/>
  </w:num>
  <w:num w:numId="7" w16cid:durableId="371659271">
    <w:abstractNumId w:val="5"/>
  </w:num>
  <w:num w:numId="8" w16cid:durableId="572662272">
    <w:abstractNumId w:val="6"/>
  </w:num>
  <w:num w:numId="9" w16cid:durableId="583687610">
    <w:abstractNumId w:val="7"/>
  </w:num>
  <w:num w:numId="10" w16cid:durableId="1078015789">
    <w:abstractNumId w:val="8"/>
  </w:num>
  <w:num w:numId="11" w16cid:durableId="456216621">
    <w:abstractNumId w:val="10"/>
  </w:num>
  <w:num w:numId="12" w16cid:durableId="1300452154">
    <w:abstractNumId w:val="13"/>
  </w:num>
  <w:num w:numId="13" w16cid:durableId="1067800112">
    <w:abstractNumId w:val="18"/>
  </w:num>
  <w:num w:numId="14" w16cid:durableId="1557468228">
    <w:abstractNumId w:val="20"/>
  </w:num>
  <w:num w:numId="15" w16cid:durableId="384567651">
    <w:abstractNumId w:val="11"/>
  </w:num>
  <w:num w:numId="16" w16cid:durableId="1191838285">
    <w:abstractNumId w:val="11"/>
    <w:lvlOverride w:ilvl="0">
      <w:startOverride w:val="1"/>
    </w:lvlOverride>
  </w:num>
  <w:num w:numId="17" w16cid:durableId="1056469468">
    <w:abstractNumId w:val="16"/>
  </w:num>
  <w:num w:numId="18" w16cid:durableId="596058382">
    <w:abstractNumId w:val="15"/>
  </w:num>
  <w:num w:numId="19" w16cid:durableId="1324237784">
    <w:abstractNumId w:val="17"/>
  </w:num>
  <w:num w:numId="20" w16cid:durableId="1313295534">
    <w:abstractNumId w:val="12"/>
  </w:num>
  <w:num w:numId="21" w16cid:durableId="583805546">
    <w:abstractNumId w:val="14"/>
  </w:num>
  <w:num w:numId="22" w16cid:durableId="1132213286">
    <w:abstractNumId w:val="21"/>
  </w:num>
  <w:num w:numId="23" w16cid:durableId="853147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6D9"/>
    <w:rsid w:val="00013339"/>
    <w:rsid w:val="000136A4"/>
    <w:rsid w:val="00014055"/>
    <w:rsid w:val="00014A37"/>
    <w:rsid w:val="00024A82"/>
    <w:rsid w:val="00027F3D"/>
    <w:rsid w:val="00065195"/>
    <w:rsid w:val="0006773D"/>
    <w:rsid w:val="00086F67"/>
    <w:rsid w:val="0009592E"/>
    <w:rsid w:val="000A47D4"/>
    <w:rsid w:val="000D31F6"/>
    <w:rsid w:val="000F61A6"/>
    <w:rsid w:val="00122369"/>
    <w:rsid w:val="00124D09"/>
    <w:rsid w:val="00141F23"/>
    <w:rsid w:val="00196FEF"/>
    <w:rsid w:val="001B3405"/>
    <w:rsid w:val="00207499"/>
    <w:rsid w:val="00265603"/>
    <w:rsid w:val="002970D9"/>
    <w:rsid w:val="002A4A96"/>
    <w:rsid w:val="002A7261"/>
    <w:rsid w:val="002C2A6D"/>
    <w:rsid w:val="002E3BED"/>
    <w:rsid w:val="00312720"/>
    <w:rsid w:val="00317F6C"/>
    <w:rsid w:val="00323DD1"/>
    <w:rsid w:val="00326E53"/>
    <w:rsid w:val="00343D7F"/>
    <w:rsid w:val="00380CC9"/>
    <w:rsid w:val="003967DD"/>
    <w:rsid w:val="003A7F97"/>
    <w:rsid w:val="003D6961"/>
    <w:rsid w:val="003F1F7B"/>
    <w:rsid w:val="00401165"/>
    <w:rsid w:val="00410231"/>
    <w:rsid w:val="004355F4"/>
    <w:rsid w:val="0045123D"/>
    <w:rsid w:val="0045446B"/>
    <w:rsid w:val="0047430E"/>
    <w:rsid w:val="004B078F"/>
    <w:rsid w:val="004C3F3D"/>
    <w:rsid w:val="004C449F"/>
    <w:rsid w:val="004E1B99"/>
    <w:rsid w:val="00507148"/>
    <w:rsid w:val="00507514"/>
    <w:rsid w:val="00584366"/>
    <w:rsid w:val="005C62E8"/>
    <w:rsid w:val="005D37DC"/>
    <w:rsid w:val="00624A55"/>
    <w:rsid w:val="00635C65"/>
    <w:rsid w:val="006621B2"/>
    <w:rsid w:val="006A25AC"/>
    <w:rsid w:val="006C68CF"/>
    <w:rsid w:val="006D16AB"/>
    <w:rsid w:val="00714D72"/>
    <w:rsid w:val="00736FB0"/>
    <w:rsid w:val="00744E46"/>
    <w:rsid w:val="00755AD1"/>
    <w:rsid w:val="0077066B"/>
    <w:rsid w:val="007B5259"/>
    <w:rsid w:val="007B556E"/>
    <w:rsid w:val="007B5834"/>
    <w:rsid w:val="007B77F2"/>
    <w:rsid w:val="007D1FB1"/>
    <w:rsid w:val="007D3E38"/>
    <w:rsid w:val="007F7D32"/>
    <w:rsid w:val="00842D8C"/>
    <w:rsid w:val="00886574"/>
    <w:rsid w:val="008B5C45"/>
    <w:rsid w:val="008C1566"/>
    <w:rsid w:val="008C6C2E"/>
    <w:rsid w:val="008C78AF"/>
    <w:rsid w:val="008D31B4"/>
    <w:rsid w:val="008F494F"/>
    <w:rsid w:val="009A0EBC"/>
    <w:rsid w:val="009C5945"/>
    <w:rsid w:val="009D4957"/>
    <w:rsid w:val="009F4D23"/>
    <w:rsid w:val="00A162D6"/>
    <w:rsid w:val="00A31926"/>
    <w:rsid w:val="00A63D55"/>
    <w:rsid w:val="00A71967"/>
    <w:rsid w:val="00A724F4"/>
    <w:rsid w:val="00AA6D3D"/>
    <w:rsid w:val="00AC63DA"/>
    <w:rsid w:val="00AF0ED2"/>
    <w:rsid w:val="00AF4B31"/>
    <w:rsid w:val="00B04CD2"/>
    <w:rsid w:val="00B20038"/>
    <w:rsid w:val="00B211E6"/>
    <w:rsid w:val="00B55660"/>
    <w:rsid w:val="00B718B9"/>
    <w:rsid w:val="00B97E10"/>
    <w:rsid w:val="00BB5707"/>
    <w:rsid w:val="00BB7E9F"/>
    <w:rsid w:val="00BD5BAB"/>
    <w:rsid w:val="00BE63CA"/>
    <w:rsid w:val="00C6545B"/>
    <w:rsid w:val="00CC5997"/>
    <w:rsid w:val="00D013E1"/>
    <w:rsid w:val="00D84718"/>
    <w:rsid w:val="00DA1D8E"/>
    <w:rsid w:val="00DA2C68"/>
    <w:rsid w:val="00DA3218"/>
    <w:rsid w:val="00DA5F30"/>
    <w:rsid w:val="00DB7DA8"/>
    <w:rsid w:val="00DC360B"/>
    <w:rsid w:val="00DE156F"/>
    <w:rsid w:val="00DF3442"/>
    <w:rsid w:val="00DF7020"/>
    <w:rsid w:val="00E233F3"/>
    <w:rsid w:val="00E57EB6"/>
    <w:rsid w:val="00E941B2"/>
    <w:rsid w:val="00EB027C"/>
    <w:rsid w:val="00EB0713"/>
    <w:rsid w:val="00F84BD0"/>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AF0ED2"/>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AF0ED2"/>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AF0ED2"/>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AF0ED2"/>
    <w:pPr>
      <w:keepNext/>
      <w:keepLines/>
    </w:pPr>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F0ED2"/>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AF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AF272F" w:themeColor="accent4"/>
    </w:rPr>
  </w:style>
  <w:style w:type="paragraph" w:styleId="IntenseQuote">
    <w:name w:val="Intense Quote"/>
    <w:basedOn w:val="Normal"/>
    <w:next w:val="Normal"/>
    <w:link w:val="IntenseQuoteChar"/>
    <w:uiPriority w:val="30"/>
    <w:qFormat/>
    <w:rsid w:val="00326E53"/>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326E53"/>
    <w:rPr>
      <w:i/>
      <w:iCs/>
      <w:color w:val="53565A" w:themeColor="accent5"/>
      <w:sz w:val="22"/>
    </w:rPr>
  </w:style>
  <w:style w:type="character" w:styleId="IntenseReference">
    <w:name w:val="Intense Reference"/>
    <w:basedOn w:val="DefaultParagraphFont"/>
    <w:uiPriority w:val="32"/>
    <w:qFormat/>
    <w:rsid w:val="00326E53"/>
    <w:rPr>
      <w:b/>
      <w:bCs/>
      <w:smallCaps/>
      <w:color w:val="53565A" w:themeColor="accent5"/>
      <w:spacing w:val="5"/>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AF272F" w:themeColor="text1"/>
      <w:spacing w:val="15"/>
      <w:sz w:val="22"/>
      <w:szCs w:val="22"/>
    </w:rPr>
  </w:style>
  <w:style w:type="character" w:styleId="SubtleEmphasis">
    <w:name w:val="Subtle Emphasis"/>
    <w:basedOn w:val="DefaultParagraphFont"/>
    <w:uiPriority w:val="19"/>
    <w:qFormat/>
    <w:rsid w:val="00326E53"/>
    <w:rPr>
      <w:i/>
      <w:iCs/>
      <w:color w:val="AF272F" w:themeColor="text1"/>
    </w:rPr>
  </w:style>
  <w:style w:type="character" w:styleId="SubtleReference">
    <w:name w:val="Subtle Reference"/>
    <w:basedOn w:val="DefaultParagraphFont"/>
    <w:uiPriority w:val="31"/>
    <w:qFormat/>
    <w:rsid w:val="00326E53"/>
    <w:rPr>
      <w:smallCaps/>
      <w:color w:val="53565A" w:themeColor="accent5"/>
    </w:rPr>
  </w:style>
  <w:style w:type="paragraph" w:styleId="ListParagraph">
    <w:name w:val="List Paragraph"/>
    <w:basedOn w:val="Normal"/>
    <w:link w:val="ListParagraphChar"/>
    <w:uiPriority w:val="34"/>
    <w:qFormat/>
    <w:rsid w:val="009A0EBC"/>
    <w:pPr>
      <w:spacing w:after="160" w:line="259" w:lineRule="auto"/>
      <w:ind w:left="720"/>
      <w:contextualSpacing/>
    </w:pPr>
    <w:rPr>
      <w:szCs w:val="22"/>
      <w:lang w:val="en-AU"/>
    </w:rPr>
  </w:style>
  <w:style w:type="character" w:customStyle="1" w:styleId="ListParagraphChar">
    <w:name w:val="List Paragraph Char"/>
    <w:basedOn w:val="DefaultParagraphFont"/>
    <w:link w:val="ListParagraph"/>
    <w:uiPriority w:val="34"/>
    <w:locked/>
    <w:rsid w:val="009A0EBC"/>
    <w:rPr>
      <w:sz w:val="22"/>
      <w:szCs w:val="22"/>
      <w:lang w:val="en-AU"/>
    </w:rPr>
  </w:style>
  <w:style w:type="paragraph" w:styleId="NormalWeb">
    <w:name w:val="Normal (Web)"/>
    <w:basedOn w:val="Normal"/>
    <w:uiPriority w:val="99"/>
    <w:unhideWhenUsed/>
    <w:rsid w:val="00265603"/>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AC63DA"/>
    <w:rPr>
      <w:color w:val="605E5C"/>
      <w:shd w:val="clear" w:color="auto" w:fill="E1DFDD"/>
    </w:rPr>
  </w:style>
  <w:style w:type="character" w:styleId="FollowedHyperlink">
    <w:name w:val="FollowedHyperlink"/>
    <w:basedOn w:val="DefaultParagraphFont"/>
    <w:uiPriority w:val="99"/>
    <w:semiHidden/>
    <w:unhideWhenUsed/>
    <w:rsid w:val="00AC63DA"/>
    <w:rPr>
      <w:color w:val="8A2A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510">
      <w:bodyDiv w:val="1"/>
      <w:marLeft w:val="0"/>
      <w:marRight w:val="0"/>
      <w:marTop w:val="0"/>
      <w:marBottom w:val="0"/>
      <w:divBdr>
        <w:top w:val="none" w:sz="0" w:space="0" w:color="auto"/>
        <w:left w:val="none" w:sz="0" w:space="0" w:color="auto"/>
        <w:bottom w:val="none" w:sz="0" w:space="0" w:color="auto"/>
        <w:right w:val="none" w:sz="0" w:space="0" w:color="auto"/>
      </w:divBdr>
    </w:div>
    <w:div w:id="314839900">
      <w:bodyDiv w:val="1"/>
      <w:marLeft w:val="0"/>
      <w:marRight w:val="0"/>
      <w:marTop w:val="0"/>
      <w:marBottom w:val="0"/>
      <w:divBdr>
        <w:top w:val="none" w:sz="0" w:space="0" w:color="auto"/>
        <w:left w:val="none" w:sz="0" w:space="0" w:color="auto"/>
        <w:bottom w:val="none" w:sz="0" w:space="0" w:color="auto"/>
        <w:right w:val="none" w:sz="0" w:space="0" w:color="auto"/>
      </w:divBdr>
    </w:div>
    <w:div w:id="589430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ducation.vic.gov.au/childhood/providers/regulation/Pages/which.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QAR_Monitoring_Compliance_Policy_Aug2021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14D0956C38511E4598EE7313A96F29B4" ma:contentTypeVersion="7" ma:contentTypeDescription="DET Document" ma:contentTypeScope="" ma:versionID="ac2635e55c710899a409b5274d44706a">
  <xsd:schema xmlns:xsd="http://www.w3.org/2001/XMLSchema" xmlns:xs="http://www.w3.org/2001/XMLSchema" xmlns:p="http://schemas.microsoft.com/office/2006/metadata/properties" xmlns:ns1="http://schemas.microsoft.com/sharepoint/v3" xmlns:ns2="http://schemas.microsoft.com/Sharepoint/v3" xmlns:ns3="804efb73-d99a-4164-a16e-f4dd8d7725bf" xmlns:ns4="cd465468-7b33-4704-a4f4-7162470acdcb" targetNamespace="http://schemas.microsoft.com/office/2006/metadata/properties" ma:root="true" ma:fieldsID="9aa5ca340ffdf39cbef7a04cb0a8b6cc" ns1:_="" ns2:_="" ns3:_="" ns4:_="">
    <xsd:import namespace="http://schemas.microsoft.com/sharepoint/v3"/>
    <xsd:import namespace="http://schemas.microsoft.com/Sharepoint/v3"/>
    <xsd:import namespace="804efb73-d99a-4164-a16e-f4dd8d7725bf"/>
    <xsd:import namespace="cd465468-7b33-4704-a4f4-7162470acdcb"/>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ontent category" ma:internalName="DET_EDRMS_Category">
      <xsd:complexType>
        <xsd:complexContent>
          <xsd:extension base="dms:MultiChoiceFillIn">
            <xsd:sequence>
              <xsd:element name="Value" maxOccurs="unbounded" minOccurs="0" nillable="true">
                <xsd:simpleType>
                  <xsd:union memberTypes="dms:Text">
                    <xsd:simpleType>
                      <xsd:restriction base="dms:Choice">
                        <xsd:enumeration value="Assessment and Rating"/>
                        <xsd:enumeration value="Approvals"/>
                        <xsd:enumeration value="Compliance"/>
                        <xsd:enumeration value="Enforcement"/>
                      </xsd:restriction>
                    </xsd:simpleType>
                  </xsd:union>
                </xsd:simpleType>
              </xsd:element>
            </xsd:sequence>
          </xsd:extension>
        </xsd:complexContent>
      </xsd:complex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127;#ECSEG - Quality Assessment and Regulation|a9449559-d2d2-4f8d-b693-714e55197d41"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efb73-d99a-4164-a16e-f4dd8d7725b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0b99e9b-c124-4c96-959e-3c52b3341f7a}" ma:internalName="TaxCatchAll" ma:readOnly="false" ma:showField="CatchAllData"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b99e9b-c124-4c96-959e-3c52b3341f7a}" ma:internalName="TaxCatchAllLabel" ma:readOnly="true" ma:showField="CatchAllDataLabel" ma:web="804efb73-d99a-4164-a16e-f4dd8d7725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465468-7b33-4704-a4f4-7162470acdcb" elementFormDefault="qualified">
    <xsd:import namespace="http://schemas.microsoft.com/office/2006/documentManagement/types"/>
    <xsd:import namespace="http://schemas.microsoft.com/office/infopath/2007/PartnerControls"/>
    <xsd:element name="Status" ma:index="21" nillable="true" ma:displayName="Status" ma:default="Working / Final" ma:format="Dropdown" ma:internalName="Status">
      <xsd:simpleType>
        <xsd:restriction base="dms:Choice">
          <xsd:enumeration value="Working / 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F8F7E-9430-4982-B06B-038AEE2395D2}">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99833A9-F939-4A0A-997B-41040E324D96}"/>
</file>

<file path=customXml/itemProps5.xml><?xml version="1.0" encoding="utf-8"?>
<ds:datastoreItem xmlns:ds="http://schemas.openxmlformats.org/officeDocument/2006/customXml" ds:itemID="{5E2A5DB8-75EA-4C6D-A4D1-BE0D2CBA6528}"/>
</file>

<file path=docProps/app.xml><?xml version="1.0" encoding="utf-8"?>
<Properties xmlns="http://schemas.openxmlformats.org/officeDocument/2006/extended-properties" xmlns:vt="http://schemas.openxmlformats.org/officeDocument/2006/docPropsVTypes">
  <Template>Normal.dotm</Template>
  <TotalTime>0</TotalTime>
  <Pages>7</Pages>
  <Words>2025</Words>
  <Characters>11547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Alice Sykes</cp:lastModifiedBy>
  <cp:revision>2</cp:revision>
  <dcterms:created xsi:type="dcterms:W3CDTF">2023-06-06T07:50:00Z</dcterms:created>
  <dcterms:modified xsi:type="dcterms:W3CDTF">2023-06-06T07:50:00Z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UniqueId">
    <vt:lpwstr>{eaa12474-b185-4def-90f4-021c3606ed84}</vt:lpwstr>
  </property>
  <property fmtid="{D5CDD505-2E9C-101B-9397-08002B2CF9AE}" pid="12" name="RecordPoint_ActiveItemWebId">
    <vt:lpwstr>{713f3290-8e16-48df-8bbc-3205181500f2}</vt:lpwstr>
  </property>
  <property fmtid="{D5CDD505-2E9C-101B-9397-08002B2CF9AE}" pid="13" name="RecordPoint_ActiveItemSiteId">
    <vt:lpwstr>{e8677fde-1864-4dec-8cb7-9a0d4136aab0}</vt:lpwstr>
  </property>
  <property fmtid="{D5CDD505-2E9C-101B-9397-08002B2CF9AE}" pid="14" name="RecordPoint_ActiveItemListId">
    <vt:lpwstr>{cd465468-7b33-4704-a4f4-7162470acdcb}</vt:lpwstr>
  </property>
  <property fmtid="{D5CDD505-2E9C-101B-9397-08002B2CF9AE}" pid="15" name="RecordPoint_RecordNumberSubmitted">
    <vt:lpwstr>R20230300006</vt:lpwstr>
  </property>
  <property fmtid="{D5CDD505-2E9C-101B-9397-08002B2CF9AE}" pid="16" name="RecordPoint_SubmissionCompleted">
    <vt:lpwstr>2023-06-09T09:36:32.0157651+10:00</vt:lpwstr>
  </property>
</Properties>
</file>