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15D7" w14:textId="0B20177E" w:rsidR="00A63D55" w:rsidRPr="00A63D55" w:rsidRDefault="00C03FC5" w:rsidP="00A63D55">
      <w:pPr>
        <w:pStyle w:val="Covertitle"/>
      </w:pPr>
      <w:r>
        <w:t xml:space="preserve">Monitoring </w:t>
      </w:r>
      <w:r w:rsidR="00F63A34">
        <w:t>and Assessing Compliance and Quality</w:t>
      </w:r>
    </w:p>
    <w:p w14:paraId="385AAE9A" w14:textId="05FE486E" w:rsidR="00A63D55" w:rsidRPr="00A63D55" w:rsidRDefault="00F63A34" w:rsidP="00A63D55">
      <w:pPr>
        <w:pStyle w:val="Coversubtitle"/>
      </w:pPr>
      <w:r>
        <w:t>Policy of the Victorian Regulatory Authority for Early Childhood Education and Care Services</w:t>
      </w:r>
    </w:p>
    <w:p w14:paraId="2BE6D8BB" w14:textId="77777777" w:rsidR="00DA3218" w:rsidRDefault="00DA3218" w:rsidP="00624A55">
      <w:pPr>
        <w:pStyle w:val="Heading1"/>
        <w:rPr>
          <w:lang w:val="en-AU"/>
        </w:rPr>
        <w:sectPr w:rsidR="00DA3218" w:rsidSect="004764D0">
          <w:headerReference w:type="default" r:id="rId10"/>
          <w:footerReference w:type="even" r:id="rId11"/>
          <w:footerReference w:type="default" r:id="rId12"/>
          <w:pgSz w:w="11900" w:h="16840"/>
          <w:pgMar w:top="3402" w:right="1134" w:bottom="1701" w:left="1134" w:header="227" w:footer="709" w:gutter="0"/>
          <w:cols w:space="708"/>
          <w:docGrid w:linePitch="360"/>
        </w:sectPr>
      </w:pPr>
    </w:p>
    <w:p w14:paraId="0692BD75" w14:textId="294771C1" w:rsidR="00DA3218" w:rsidRPr="007B3A5A" w:rsidRDefault="00144FD5" w:rsidP="00144FD5">
      <w:pPr>
        <w:pStyle w:val="Covertitle"/>
        <w:rPr>
          <w:color w:val="86189C" w:themeColor="accent2"/>
        </w:rPr>
      </w:pPr>
      <w:r w:rsidRPr="007B3A5A">
        <w:rPr>
          <w:color w:val="86189C" w:themeColor="accent2"/>
        </w:rPr>
        <w:lastRenderedPageBreak/>
        <w:t>Contents</w:t>
      </w:r>
    </w:p>
    <w:p w14:paraId="467ADB9D" w14:textId="77777777" w:rsidR="00DA3218" w:rsidRDefault="00DA3218" w:rsidP="00DA3218">
      <w:pPr>
        <w:spacing w:after="40"/>
        <w:rPr>
          <w:rFonts w:cstheme="minorHAnsi"/>
          <w:color w:val="7F7F7F" w:themeColor="text1" w:themeTint="80"/>
          <w:sz w:val="13"/>
          <w:szCs w:val="13"/>
        </w:rPr>
      </w:pPr>
    </w:p>
    <w:p w14:paraId="415571CD" w14:textId="38CAAA28" w:rsidR="00803E69" w:rsidRDefault="00DA3218">
      <w:pPr>
        <w:pStyle w:val="TOC1"/>
        <w:rPr>
          <w:rFonts w:asciiTheme="minorHAnsi" w:hAnsiTheme="minorHAnsi" w:cstheme="minorBidi"/>
          <w:b w:val="0"/>
          <w:noProof/>
          <w:color w:val="auto"/>
          <w:kern w:val="2"/>
          <w:szCs w:val="22"/>
          <w:lang w:val="en-AU" w:eastAsia="en-AU"/>
          <w14:ligatures w14:val="standardContextual"/>
        </w:rPr>
      </w:pPr>
      <w:r>
        <w:rPr>
          <w:color w:val="AF272F"/>
        </w:rPr>
        <w:fldChar w:fldCharType="begin"/>
      </w:r>
      <w:r>
        <w:instrText xml:space="preserve"> TOC \t "HEADING 1,1,HEADING 2,2,Heading 3,3" </w:instrText>
      </w:r>
      <w:r>
        <w:rPr>
          <w:color w:val="AF272F"/>
        </w:rPr>
        <w:fldChar w:fldCharType="separate"/>
      </w:r>
      <w:r w:rsidR="00803E69" w:rsidRPr="00746CBE">
        <w:rPr>
          <w:noProof/>
          <w:lang w:val="en-AU"/>
        </w:rPr>
        <w:t>Monitoring and Assessing Compliance and Quality</w:t>
      </w:r>
      <w:r w:rsidR="00803E69">
        <w:rPr>
          <w:noProof/>
        </w:rPr>
        <w:tab/>
      </w:r>
      <w:r w:rsidR="00803E69">
        <w:rPr>
          <w:noProof/>
        </w:rPr>
        <w:fldChar w:fldCharType="begin"/>
      </w:r>
      <w:r w:rsidR="00803E69">
        <w:rPr>
          <w:noProof/>
        </w:rPr>
        <w:instrText xml:space="preserve"> PAGEREF _Toc150338730 \h </w:instrText>
      </w:r>
      <w:r w:rsidR="00803E69">
        <w:rPr>
          <w:noProof/>
        </w:rPr>
      </w:r>
      <w:r w:rsidR="00803E69">
        <w:rPr>
          <w:noProof/>
        </w:rPr>
        <w:fldChar w:fldCharType="separate"/>
      </w:r>
      <w:r w:rsidR="00857DD9">
        <w:rPr>
          <w:noProof/>
        </w:rPr>
        <w:t>3</w:t>
      </w:r>
      <w:r w:rsidR="00803E69">
        <w:rPr>
          <w:noProof/>
        </w:rPr>
        <w:fldChar w:fldCharType="end"/>
      </w:r>
    </w:p>
    <w:p w14:paraId="05FBA10A" w14:textId="4A4E988E" w:rsidR="00803E69" w:rsidRDefault="00803E69">
      <w:pPr>
        <w:pStyle w:val="TOC2"/>
        <w:tabs>
          <w:tab w:val="right" w:leader="dot" w:pos="9622"/>
        </w:tabs>
        <w:rPr>
          <w:rFonts w:asciiTheme="minorHAnsi" w:hAnsiTheme="minorHAnsi" w:cstheme="minorBidi"/>
          <w:noProof/>
          <w:color w:val="auto"/>
          <w:kern w:val="2"/>
          <w:szCs w:val="22"/>
          <w:lang w:val="en-AU" w:eastAsia="en-AU"/>
          <w14:ligatures w14:val="standardContextual"/>
        </w:rPr>
      </w:pPr>
      <w:r w:rsidRPr="00746CBE">
        <w:rPr>
          <w:noProof/>
          <w:lang w:val="en-AU"/>
        </w:rPr>
        <w:t>Background</w:t>
      </w:r>
      <w:r>
        <w:rPr>
          <w:noProof/>
        </w:rPr>
        <w:tab/>
      </w:r>
      <w:r>
        <w:rPr>
          <w:noProof/>
        </w:rPr>
        <w:fldChar w:fldCharType="begin"/>
      </w:r>
      <w:r>
        <w:rPr>
          <w:noProof/>
        </w:rPr>
        <w:instrText xml:space="preserve"> PAGEREF _Toc150338731 \h </w:instrText>
      </w:r>
      <w:r>
        <w:rPr>
          <w:noProof/>
        </w:rPr>
      </w:r>
      <w:r>
        <w:rPr>
          <w:noProof/>
        </w:rPr>
        <w:fldChar w:fldCharType="separate"/>
      </w:r>
      <w:r w:rsidR="00857DD9">
        <w:rPr>
          <w:noProof/>
        </w:rPr>
        <w:t>3</w:t>
      </w:r>
      <w:r>
        <w:rPr>
          <w:noProof/>
        </w:rPr>
        <w:fldChar w:fldCharType="end"/>
      </w:r>
    </w:p>
    <w:p w14:paraId="215DAEC3" w14:textId="4B53F36B" w:rsidR="00803E69" w:rsidRDefault="00803E69">
      <w:pPr>
        <w:pStyle w:val="TOC2"/>
        <w:tabs>
          <w:tab w:val="right" w:leader="dot" w:pos="9622"/>
        </w:tabs>
        <w:rPr>
          <w:rFonts w:asciiTheme="minorHAnsi" w:hAnsiTheme="minorHAnsi" w:cstheme="minorBidi"/>
          <w:noProof/>
          <w:color w:val="auto"/>
          <w:kern w:val="2"/>
          <w:szCs w:val="22"/>
          <w:lang w:val="en-AU" w:eastAsia="en-AU"/>
          <w14:ligatures w14:val="standardContextual"/>
        </w:rPr>
      </w:pPr>
      <w:r w:rsidRPr="00746CBE">
        <w:rPr>
          <w:noProof/>
          <w:lang w:val="en-AU"/>
        </w:rPr>
        <w:t>Purpose</w:t>
      </w:r>
      <w:r>
        <w:rPr>
          <w:noProof/>
        </w:rPr>
        <w:tab/>
      </w:r>
      <w:r>
        <w:rPr>
          <w:noProof/>
        </w:rPr>
        <w:fldChar w:fldCharType="begin"/>
      </w:r>
      <w:r>
        <w:rPr>
          <w:noProof/>
        </w:rPr>
        <w:instrText xml:space="preserve"> PAGEREF _Toc150338732 \h </w:instrText>
      </w:r>
      <w:r>
        <w:rPr>
          <w:noProof/>
        </w:rPr>
      </w:r>
      <w:r>
        <w:rPr>
          <w:noProof/>
        </w:rPr>
        <w:fldChar w:fldCharType="separate"/>
      </w:r>
      <w:r w:rsidR="00857DD9">
        <w:rPr>
          <w:noProof/>
        </w:rPr>
        <w:t>3</w:t>
      </w:r>
      <w:r>
        <w:rPr>
          <w:noProof/>
        </w:rPr>
        <w:fldChar w:fldCharType="end"/>
      </w:r>
    </w:p>
    <w:p w14:paraId="2206362C" w14:textId="2BC20E6F" w:rsidR="00803E69" w:rsidRDefault="00803E69">
      <w:pPr>
        <w:pStyle w:val="TOC2"/>
        <w:tabs>
          <w:tab w:val="right" w:leader="dot" w:pos="9622"/>
        </w:tabs>
        <w:rPr>
          <w:rFonts w:asciiTheme="minorHAnsi" w:hAnsiTheme="minorHAnsi" w:cstheme="minorBidi"/>
          <w:noProof/>
          <w:color w:val="auto"/>
          <w:kern w:val="2"/>
          <w:szCs w:val="22"/>
          <w:lang w:val="en-AU" w:eastAsia="en-AU"/>
          <w14:ligatures w14:val="standardContextual"/>
        </w:rPr>
      </w:pPr>
      <w:r w:rsidRPr="00746CBE">
        <w:rPr>
          <w:noProof/>
          <w:lang w:val="en-AU"/>
        </w:rPr>
        <w:t>Monitoring and assessing by the Regulatory Authority</w:t>
      </w:r>
      <w:r>
        <w:rPr>
          <w:noProof/>
        </w:rPr>
        <w:tab/>
      </w:r>
      <w:r>
        <w:rPr>
          <w:noProof/>
        </w:rPr>
        <w:fldChar w:fldCharType="begin"/>
      </w:r>
      <w:r>
        <w:rPr>
          <w:noProof/>
        </w:rPr>
        <w:instrText xml:space="preserve"> PAGEREF _Toc150338733 \h </w:instrText>
      </w:r>
      <w:r>
        <w:rPr>
          <w:noProof/>
        </w:rPr>
      </w:r>
      <w:r>
        <w:rPr>
          <w:noProof/>
        </w:rPr>
        <w:fldChar w:fldCharType="separate"/>
      </w:r>
      <w:r w:rsidR="00857DD9">
        <w:rPr>
          <w:noProof/>
        </w:rPr>
        <w:t>3</w:t>
      </w:r>
      <w:r>
        <w:rPr>
          <w:noProof/>
        </w:rPr>
        <w:fldChar w:fldCharType="end"/>
      </w:r>
    </w:p>
    <w:p w14:paraId="63590CD3" w14:textId="6745E288" w:rsidR="00803E69" w:rsidRDefault="00803E69">
      <w:pPr>
        <w:pStyle w:val="TOC2"/>
        <w:tabs>
          <w:tab w:val="right" w:leader="dot" w:pos="9622"/>
        </w:tabs>
        <w:rPr>
          <w:rFonts w:asciiTheme="minorHAnsi" w:hAnsiTheme="minorHAnsi" w:cstheme="minorBidi"/>
          <w:noProof/>
          <w:color w:val="auto"/>
          <w:kern w:val="2"/>
          <w:szCs w:val="22"/>
          <w:lang w:val="en-AU" w:eastAsia="en-AU"/>
          <w14:ligatures w14:val="standardContextual"/>
        </w:rPr>
      </w:pPr>
      <w:r w:rsidRPr="00746CBE">
        <w:rPr>
          <w:noProof/>
          <w:lang w:val="en-AU"/>
        </w:rPr>
        <w:t>Visits to an ECEC service</w:t>
      </w:r>
      <w:r>
        <w:rPr>
          <w:noProof/>
        </w:rPr>
        <w:tab/>
      </w:r>
      <w:r>
        <w:rPr>
          <w:noProof/>
        </w:rPr>
        <w:fldChar w:fldCharType="begin"/>
      </w:r>
      <w:r>
        <w:rPr>
          <w:noProof/>
        </w:rPr>
        <w:instrText xml:space="preserve"> PAGEREF _Toc150338734 \h </w:instrText>
      </w:r>
      <w:r>
        <w:rPr>
          <w:noProof/>
        </w:rPr>
      </w:r>
      <w:r>
        <w:rPr>
          <w:noProof/>
        </w:rPr>
        <w:fldChar w:fldCharType="separate"/>
      </w:r>
      <w:r w:rsidR="00857DD9">
        <w:rPr>
          <w:noProof/>
        </w:rPr>
        <w:t>5</w:t>
      </w:r>
      <w:r>
        <w:rPr>
          <w:noProof/>
        </w:rPr>
        <w:fldChar w:fldCharType="end"/>
      </w:r>
    </w:p>
    <w:p w14:paraId="6A4DE87F" w14:textId="32918D51" w:rsidR="00803E69" w:rsidRDefault="00803E69">
      <w:pPr>
        <w:pStyle w:val="TOC2"/>
        <w:tabs>
          <w:tab w:val="right" w:leader="dot" w:pos="9622"/>
        </w:tabs>
        <w:rPr>
          <w:rFonts w:asciiTheme="minorHAnsi" w:hAnsiTheme="minorHAnsi" w:cstheme="minorBidi"/>
          <w:noProof/>
          <w:color w:val="auto"/>
          <w:kern w:val="2"/>
          <w:szCs w:val="22"/>
          <w:lang w:val="en-AU" w:eastAsia="en-AU"/>
          <w14:ligatures w14:val="standardContextual"/>
        </w:rPr>
      </w:pPr>
      <w:r w:rsidRPr="00746CBE">
        <w:rPr>
          <w:noProof/>
          <w:lang w:val="en-AU"/>
        </w:rPr>
        <w:t>Assessment and rating process</w:t>
      </w:r>
      <w:r>
        <w:rPr>
          <w:noProof/>
        </w:rPr>
        <w:tab/>
      </w:r>
      <w:r>
        <w:rPr>
          <w:noProof/>
        </w:rPr>
        <w:fldChar w:fldCharType="begin"/>
      </w:r>
      <w:r>
        <w:rPr>
          <w:noProof/>
        </w:rPr>
        <w:instrText xml:space="preserve"> PAGEREF _Toc150338735 \h </w:instrText>
      </w:r>
      <w:r>
        <w:rPr>
          <w:noProof/>
        </w:rPr>
      </w:r>
      <w:r>
        <w:rPr>
          <w:noProof/>
        </w:rPr>
        <w:fldChar w:fldCharType="separate"/>
      </w:r>
      <w:r w:rsidR="00857DD9">
        <w:rPr>
          <w:noProof/>
        </w:rPr>
        <w:t>6</w:t>
      </w:r>
      <w:r>
        <w:rPr>
          <w:noProof/>
        </w:rPr>
        <w:fldChar w:fldCharType="end"/>
      </w:r>
    </w:p>
    <w:p w14:paraId="49DD34EA" w14:textId="0250C074" w:rsidR="00803E69" w:rsidRDefault="00803E69">
      <w:pPr>
        <w:pStyle w:val="TOC2"/>
        <w:tabs>
          <w:tab w:val="right" w:leader="dot" w:pos="9622"/>
        </w:tabs>
        <w:rPr>
          <w:rFonts w:asciiTheme="minorHAnsi" w:hAnsiTheme="minorHAnsi" w:cstheme="minorBidi"/>
          <w:noProof/>
          <w:color w:val="auto"/>
          <w:kern w:val="2"/>
          <w:szCs w:val="22"/>
          <w:lang w:val="en-AU" w:eastAsia="en-AU"/>
          <w14:ligatures w14:val="standardContextual"/>
        </w:rPr>
      </w:pPr>
      <w:r w:rsidRPr="00746CBE">
        <w:rPr>
          <w:noProof/>
          <w:lang w:val="en-AU"/>
        </w:rPr>
        <w:t>Desktop audits</w:t>
      </w:r>
      <w:r>
        <w:rPr>
          <w:noProof/>
        </w:rPr>
        <w:tab/>
      </w:r>
      <w:r>
        <w:rPr>
          <w:noProof/>
        </w:rPr>
        <w:fldChar w:fldCharType="begin"/>
      </w:r>
      <w:r>
        <w:rPr>
          <w:noProof/>
        </w:rPr>
        <w:instrText xml:space="preserve"> PAGEREF _Toc150338736 \h </w:instrText>
      </w:r>
      <w:r>
        <w:rPr>
          <w:noProof/>
        </w:rPr>
      </w:r>
      <w:r>
        <w:rPr>
          <w:noProof/>
        </w:rPr>
        <w:fldChar w:fldCharType="separate"/>
      </w:r>
      <w:r w:rsidR="00857DD9">
        <w:rPr>
          <w:noProof/>
        </w:rPr>
        <w:t>7</w:t>
      </w:r>
      <w:r>
        <w:rPr>
          <w:noProof/>
        </w:rPr>
        <w:fldChar w:fldCharType="end"/>
      </w:r>
    </w:p>
    <w:p w14:paraId="4643DA9C" w14:textId="1934B8A6" w:rsidR="00803E69" w:rsidRDefault="00803E69">
      <w:pPr>
        <w:pStyle w:val="TOC2"/>
        <w:tabs>
          <w:tab w:val="right" w:leader="dot" w:pos="9622"/>
        </w:tabs>
        <w:rPr>
          <w:rFonts w:asciiTheme="minorHAnsi" w:hAnsiTheme="minorHAnsi" w:cstheme="minorBidi"/>
          <w:noProof/>
          <w:color w:val="auto"/>
          <w:kern w:val="2"/>
          <w:szCs w:val="22"/>
          <w:lang w:val="en-AU" w:eastAsia="en-AU"/>
          <w14:ligatures w14:val="standardContextual"/>
        </w:rPr>
      </w:pPr>
      <w:r w:rsidRPr="00746CBE">
        <w:rPr>
          <w:noProof/>
          <w:lang w:val="en-AU"/>
        </w:rPr>
        <w:t>Targeted compliance campaigns</w:t>
      </w:r>
      <w:r>
        <w:rPr>
          <w:noProof/>
        </w:rPr>
        <w:tab/>
      </w:r>
      <w:r>
        <w:rPr>
          <w:noProof/>
        </w:rPr>
        <w:fldChar w:fldCharType="begin"/>
      </w:r>
      <w:r>
        <w:rPr>
          <w:noProof/>
        </w:rPr>
        <w:instrText xml:space="preserve"> PAGEREF _Toc150338737 \h </w:instrText>
      </w:r>
      <w:r>
        <w:rPr>
          <w:noProof/>
        </w:rPr>
      </w:r>
      <w:r>
        <w:rPr>
          <w:noProof/>
        </w:rPr>
        <w:fldChar w:fldCharType="separate"/>
      </w:r>
      <w:r w:rsidR="00857DD9">
        <w:rPr>
          <w:noProof/>
        </w:rPr>
        <w:t>7</w:t>
      </w:r>
      <w:r>
        <w:rPr>
          <w:noProof/>
        </w:rPr>
        <w:fldChar w:fldCharType="end"/>
      </w:r>
    </w:p>
    <w:p w14:paraId="34267833" w14:textId="09DFA955" w:rsidR="00803E69" w:rsidRDefault="00803E69">
      <w:pPr>
        <w:pStyle w:val="TOC2"/>
        <w:tabs>
          <w:tab w:val="right" w:leader="dot" w:pos="9622"/>
        </w:tabs>
        <w:rPr>
          <w:rFonts w:asciiTheme="minorHAnsi" w:hAnsiTheme="minorHAnsi" w:cstheme="minorBidi"/>
          <w:noProof/>
          <w:color w:val="auto"/>
          <w:kern w:val="2"/>
          <w:szCs w:val="22"/>
          <w:lang w:val="en-AU" w:eastAsia="en-AU"/>
          <w14:ligatures w14:val="standardContextual"/>
        </w:rPr>
      </w:pPr>
      <w:r w:rsidRPr="00746CBE">
        <w:rPr>
          <w:noProof/>
          <w:lang w:val="en-AU"/>
        </w:rPr>
        <w:t>Additional monitoring</w:t>
      </w:r>
      <w:r>
        <w:rPr>
          <w:noProof/>
        </w:rPr>
        <w:tab/>
      </w:r>
      <w:r>
        <w:rPr>
          <w:noProof/>
        </w:rPr>
        <w:fldChar w:fldCharType="begin"/>
      </w:r>
      <w:r>
        <w:rPr>
          <w:noProof/>
        </w:rPr>
        <w:instrText xml:space="preserve"> PAGEREF _Toc150338738 \h </w:instrText>
      </w:r>
      <w:r>
        <w:rPr>
          <w:noProof/>
        </w:rPr>
      </w:r>
      <w:r>
        <w:rPr>
          <w:noProof/>
        </w:rPr>
        <w:fldChar w:fldCharType="separate"/>
      </w:r>
      <w:r w:rsidR="00857DD9">
        <w:rPr>
          <w:noProof/>
        </w:rPr>
        <w:t>8</w:t>
      </w:r>
      <w:r>
        <w:rPr>
          <w:noProof/>
        </w:rPr>
        <w:fldChar w:fldCharType="end"/>
      </w:r>
    </w:p>
    <w:p w14:paraId="42DE1B16" w14:textId="31479682" w:rsidR="00803E69" w:rsidRDefault="00803E69">
      <w:pPr>
        <w:pStyle w:val="TOC2"/>
        <w:tabs>
          <w:tab w:val="right" w:leader="dot" w:pos="9622"/>
        </w:tabs>
        <w:rPr>
          <w:rFonts w:asciiTheme="minorHAnsi" w:hAnsiTheme="minorHAnsi" w:cstheme="minorBidi"/>
          <w:noProof/>
          <w:color w:val="auto"/>
          <w:kern w:val="2"/>
          <w:szCs w:val="22"/>
          <w:lang w:val="en-AU" w:eastAsia="en-AU"/>
          <w14:ligatures w14:val="standardContextual"/>
        </w:rPr>
      </w:pPr>
      <w:r w:rsidRPr="00746CBE">
        <w:rPr>
          <w:noProof/>
          <w:lang w:val="en-AU"/>
        </w:rPr>
        <w:t>Disclosure of information</w:t>
      </w:r>
      <w:r>
        <w:rPr>
          <w:noProof/>
        </w:rPr>
        <w:tab/>
      </w:r>
      <w:r>
        <w:rPr>
          <w:noProof/>
        </w:rPr>
        <w:fldChar w:fldCharType="begin"/>
      </w:r>
      <w:r>
        <w:rPr>
          <w:noProof/>
        </w:rPr>
        <w:instrText xml:space="preserve"> PAGEREF _Toc150338739 \h </w:instrText>
      </w:r>
      <w:r>
        <w:rPr>
          <w:noProof/>
        </w:rPr>
      </w:r>
      <w:r>
        <w:rPr>
          <w:noProof/>
        </w:rPr>
        <w:fldChar w:fldCharType="separate"/>
      </w:r>
      <w:r w:rsidR="00857DD9">
        <w:rPr>
          <w:noProof/>
        </w:rPr>
        <w:t>9</w:t>
      </w:r>
      <w:r>
        <w:rPr>
          <w:noProof/>
        </w:rPr>
        <w:fldChar w:fldCharType="end"/>
      </w:r>
    </w:p>
    <w:p w14:paraId="0042E7F9" w14:textId="5DC1FDAC" w:rsidR="00DA3218" w:rsidRDefault="00DA3218" w:rsidP="006C68CF">
      <w:pPr>
        <w:pStyle w:val="TOC3"/>
        <w:rPr>
          <w:rFonts w:cstheme="minorHAnsi"/>
          <w:color w:val="7F7F7F" w:themeColor="text1" w:themeTint="80"/>
          <w:sz w:val="13"/>
          <w:szCs w:val="13"/>
        </w:rPr>
      </w:pPr>
      <w:r>
        <w:fldChar w:fldCharType="end"/>
      </w:r>
    </w:p>
    <w:p w14:paraId="590C6889" w14:textId="77777777" w:rsidR="00714D72" w:rsidRDefault="00714D72" w:rsidP="00714D72">
      <w:pPr>
        <w:spacing w:after="7800"/>
        <w:rPr>
          <w:lang w:val="en-AU"/>
        </w:rPr>
      </w:pPr>
    </w:p>
    <w:p w14:paraId="717675D3" w14:textId="54BFB194" w:rsidR="00DA3218" w:rsidRPr="00DF7020" w:rsidRDefault="00DA3218" w:rsidP="00DF7020">
      <w:pPr>
        <w:spacing w:after="0"/>
        <w:ind w:right="-149"/>
        <w:rPr>
          <w:rFonts w:eastAsia="Times New Roman" w:cstheme="minorHAnsi"/>
          <w:szCs w:val="22"/>
          <w:lang w:val="en-AU"/>
        </w:rPr>
        <w:sectPr w:rsidR="00DA3218" w:rsidRPr="00DF7020" w:rsidSect="00144FD5">
          <w:headerReference w:type="even" r:id="rId13"/>
          <w:headerReference w:type="default" r:id="rId14"/>
          <w:footerReference w:type="default" r:id="rId15"/>
          <w:headerReference w:type="first" r:id="rId16"/>
          <w:pgSz w:w="11900" w:h="16840"/>
          <w:pgMar w:top="1134" w:right="1134" w:bottom="1701" w:left="1134" w:header="709" w:footer="709" w:gutter="0"/>
          <w:cols w:space="708"/>
          <w:docGrid w:linePitch="360"/>
        </w:sectPr>
      </w:pPr>
    </w:p>
    <w:p w14:paraId="3E7080F5" w14:textId="24B61122" w:rsidR="00624A55" w:rsidRPr="00624A55" w:rsidRDefault="00D723F7" w:rsidP="00624A55">
      <w:pPr>
        <w:pStyle w:val="Heading1"/>
        <w:rPr>
          <w:lang w:val="en-AU"/>
        </w:rPr>
      </w:pPr>
      <w:bookmarkStart w:id="0" w:name="_Toc150338730"/>
      <w:r>
        <w:rPr>
          <w:lang w:val="en-AU"/>
        </w:rPr>
        <w:lastRenderedPageBreak/>
        <w:t>Monitoring and Assessing Compliance and Quality</w:t>
      </w:r>
      <w:bookmarkEnd w:id="0"/>
    </w:p>
    <w:p w14:paraId="7D101E54" w14:textId="3FBAA5E2" w:rsidR="00624A55" w:rsidRPr="00DE4D93" w:rsidRDefault="00433CC8" w:rsidP="00DE4D93">
      <w:pPr>
        <w:pStyle w:val="Intro"/>
        <w:rPr>
          <w:sz w:val="22"/>
          <w:szCs w:val="22"/>
        </w:rPr>
      </w:pPr>
      <w:r w:rsidRPr="00DE4D93">
        <w:rPr>
          <w:sz w:val="22"/>
          <w:szCs w:val="22"/>
        </w:rPr>
        <w:t xml:space="preserve">This document sets out </w:t>
      </w:r>
      <w:r w:rsidR="00BF2373" w:rsidRPr="00DE4D93">
        <w:rPr>
          <w:rFonts w:cstheme="minorHAnsi"/>
          <w:sz w:val="22"/>
          <w:szCs w:val="22"/>
        </w:rPr>
        <w:t>the policy of the Victorian Regulatory Authority in relation to monitoring and assessing compliance and quality in early childhood education and care services. It operates in conjunction with the Regulatory Framework (</w:t>
      </w:r>
      <w:hyperlink r:id="rId17" w:history="1">
        <w:r w:rsidR="00BF2373" w:rsidRPr="00DE4D93">
          <w:rPr>
            <w:rStyle w:val="Hyperlink"/>
            <w:rFonts w:cstheme="minorHAnsi"/>
            <w:sz w:val="22"/>
            <w:szCs w:val="22"/>
          </w:rPr>
          <w:t>available here</w:t>
        </w:r>
      </w:hyperlink>
      <w:r w:rsidR="00BF2373" w:rsidRPr="00DE4D93">
        <w:rPr>
          <w:rFonts w:cstheme="minorHAnsi"/>
          <w:sz w:val="22"/>
          <w:szCs w:val="22"/>
        </w:rPr>
        <w:t>)</w:t>
      </w:r>
      <w:r w:rsidR="00F46981" w:rsidRPr="00DE4D93">
        <w:rPr>
          <w:rFonts w:cstheme="minorHAnsi"/>
          <w:sz w:val="22"/>
          <w:szCs w:val="22"/>
        </w:rPr>
        <w:t>.</w:t>
      </w:r>
    </w:p>
    <w:p w14:paraId="580AE161" w14:textId="77777777" w:rsidR="00101DFD" w:rsidRDefault="00101DFD" w:rsidP="00101DFD">
      <w:pPr>
        <w:pStyle w:val="Heading2"/>
        <w:rPr>
          <w:lang w:val="en-AU"/>
        </w:rPr>
      </w:pPr>
      <w:bookmarkStart w:id="1" w:name="_Toc150338731"/>
      <w:bookmarkStart w:id="2" w:name="_Toc144893798"/>
      <w:r>
        <w:rPr>
          <w:lang w:val="en-AU"/>
        </w:rPr>
        <w:t>Background</w:t>
      </w:r>
      <w:bookmarkEnd w:id="1"/>
      <w:r>
        <w:rPr>
          <w:lang w:val="en-AU"/>
        </w:rPr>
        <w:t xml:space="preserve"> </w:t>
      </w:r>
      <w:bookmarkEnd w:id="2"/>
    </w:p>
    <w:p w14:paraId="26090130" w14:textId="77777777" w:rsidR="00B26686" w:rsidRDefault="00B26686" w:rsidP="00B26686">
      <w:pPr>
        <w:rPr>
          <w:rFonts w:eastAsia="Times New Roman"/>
          <w:i/>
          <w:iCs/>
          <w:szCs w:val="22"/>
          <w:lang w:eastAsia="en-AU"/>
        </w:rPr>
      </w:pPr>
      <w:r>
        <w:rPr>
          <w:color w:val="000000"/>
          <w:szCs w:val="22"/>
        </w:rPr>
        <w:t xml:space="preserve">Under the </w:t>
      </w:r>
      <w:r w:rsidRPr="001409DF">
        <w:rPr>
          <w:rFonts w:cstheme="minorHAnsi"/>
          <w:i/>
          <w:iCs/>
          <w:szCs w:val="22"/>
        </w:rPr>
        <w:t>Education and Care Services National Law Act 2010</w:t>
      </w:r>
      <w:r w:rsidRPr="001409DF">
        <w:rPr>
          <w:rFonts w:cstheme="minorHAnsi"/>
          <w:szCs w:val="22"/>
        </w:rPr>
        <w:t xml:space="preserve"> (National Law)</w:t>
      </w:r>
      <w:r>
        <w:rPr>
          <w:rFonts w:cstheme="minorHAnsi"/>
          <w:szCs w:val="22"/>
        </w:rPr>
        <w:t>, t</w:t>
      </w:r>
      <w:r w:rsidRPr="00F4447C">
        <w:rPr>
          <w:color w:val="000000"/>
          <w:szCs w:val="22"/>
        </w:rPr>
        <w:t xml:space="preserve">he Secretary of the Department of Education is the Regulatory Authority for </w:t>
      </w:r>
      <w:r>
        <w:rPr>
          <w:rFonts w:cstheme="minorHAnsi"/>
          <w:color w:val="000000"/>
          <w:szCs w:val="22"/>
        </w:rPr>
        <w:t>e</w:t>
      </w:r>
      <w:r w:rsidRPr="001409DF">
        <w:rPr>
          <w:rFonts w:cstheme="minorHAnsi"/>
          <w:color w:val="000000"/>
          <w:szCs w:val="22"/>
        </w:rPr>
        <w:t xml:space="preserve">arly </w:t>
      </w:r>
      <w:r>
        <w:rPr>
          <w:rFonts w:cstheme="minorHAnsi"/>
          <w:color w:val="000000"/>
          <w:szCs w:val="22"/>
        </w:rPr>
        <w:t>c</w:t>
      </w:r>
      <w:r w:rsidRPr="001409DF">
        <w:rPr>
          <w:rFonts w:cstheme="minorHAnsi"/>
          <w:color w:val="000000"/>
          <w:szCs w:val="22"/>
        </w:rPr>
        <w:t xml:space="preserve">hildhood </w:t>
      </w:r>
      <w:r>
        <w:rPr>
          <w:rFonts w:cstheme="minorHAnsi"/>
          <w:color w:val="000000"/>
          <w:szCs w:val="22"/>
        </w:rPr>
        <w:t>e</w:t>
      </w:r>
      <w:r w:rsidRPr="001409DF">
        <w:rPr>
          <w:rFonts w:cstheme="minorHAnsi"/>
          <w:color w:val="000000"/>
          <w:szCs w:val="22"/>
        </w:rPr>
        <w:t xml:space="preserve">ducation and </w:t>
      </w:r>
      <w:r>
        <w:rPr>
          <w:rFonts w:cstheme="minorHAnsi"/>
          <w:color w:val="000000"/>
          <w:szCs w:val="22"/>
        </w:rPr>
        <w:t>c</w:t>
      </w:r>
      <w:r w:rsidRPr="001409DF">
        <w:rPr>
          <w:rFonts w:cstheme="minorHAnsi"/>
          <w:color w:val="000000"/>
          <w:szCs w:val="22"/>
        </w:rPr>
        <w:t xml:space="preserve">are (ECEC) </w:t>
      </w:r>
      <w:r>
        <w:rPr>
          <w:rFonts w:cstheme="minorHAnsi"/>
          <w:color w:val="000000"/>
          <w:szCs w:val="22"/>
        </w:rPr>
        <w:t>s</w:t>
      </w:r>
      <w:r w:rsidRPr="001409DF">
        <w:rPr>
          <w:rFonts w:cstheme="minorHAnsi"/>
          <w:color w:val="000000"/>
          <w:szCs w:val="22"/>
        </w:rPr>
        <w:t>ervices</w:t>
      </w:r>
      <w:r>
        <w:rPr>
          <w:rFonts w:cstheme="minorHAnsi"/>
          <w:color w:val="000000"/>
          <w:szCs w:val="22"/>
        </w:rPr>
        <w:t xml:space="preserve"> in Victoria</w:t>
      </w:r>
      <w:r w:rsidRPr="001409DF">
        <w:rPr>
          <w:rFonts w:cstheme="minorHAnsi"/>
          <w:color w:val="000000"/>
          <w:szCs w:val="22"/>
        </w:rPr>
        <w:t xml:space="preserve">. </w:t>
      </w:r>
      <w:r>
        <w:rPr>
          <w:rFonts w:eastAsia="Times New Roman"/>
          <w:szCs w:val="22"/>
          <w:lang w:eastAsia="en-AU"/>
        </w:rPr>
        <w:t xml:space="preserve">From 1 January 2023, the Regulatory Authority is also the integrated sector regulator of the Child Safe Standards under the </w:t>
      </w:r>
      <w:r w:rsidRPr="00E838DB">
        <w:rPr>
          <w:rFonts w:eastAsia="Times New Roman"/>
          <w:i/>
          <w:iCs/>
          <w:szCs w:val="22"/>
          <w:lang w:eastAsia="en-AU"/>
        </w:rPr>
        <w:t>Child Wellbeing and Safety Act 2005</w:t>
      </w:r>
      <w:r>
        <w:rPr>
          <w:rFonts w:eastAsia="Times New Roman"/>
          <w:color w:val="000000" w:themeColor="text2"/>
          <w:lang w:val="en-AU" w:eastAsia="en-AU"/>
        </w:rPr>
        <w:t>.</w:t>
      </w:r>
    </w:p>
    <w:p w14:paraId="427F4B5B" w14:textId="77777777" w:rsidR="00B26686" w:rsidRDefault="00B26686" w:rsidP="00B26686">
      <w:pPr>
        <w:rPr>
          <w:rFonts w:cstheme="minorHAnsi"/>
          <w:szCs w:val="22"/>
        </w:rPr>
      </w:pPr>
      <w:r>
        <w:rPr>
          <w:rFonts w:cstheme="minorHAnsi"/>
          <w:szCs w:val="22"/>
        </w:rPr>
        <w:t>The</w:t>
      </w:r>
      <w:r w:rsidRPr="001409DF">
        <w:rPr>
          <w:rFonts w:cstheme="minorHAnsi"/>
          <w:szCs w:val="22"/>
        </w:rPr>
        <w:t xml:space="preserve"> Regulatory Authority</w:t>
      </w:r>
      <w:r>
        <w:rPr>
          <w:rFonts w:cstheme="minorHAnsi"/>
          <w:szCs w:val="22"/>
        </w:rPr>
        <w:t xml:space="preserve"> has core functions</w:t>
      </w:r>
      <w:r w:rsidRPr="001409DF">
        <w:rPr>
          <w:rFonts w:cstheme="minorHAnsi"/>
          <w:szCs w:val="22"/>
        </w:rPr>
        <w:t xml:space="preserve"> to</w:t>
      </w:r>
      <w:r>
        <w:rPr>
          <w:rFonts w:cstheme="minorHAnsi"/>
          <w:szCs w:val="22"/>
        </w:rPr>
        <w:t>:</w:t>
      </w:r>
    </w:p>
    <w:p w14:paraId="287AAF63" w14:textId="77777777" w:rsidR="00B26686" w:rsidRPr="003C4B01" w:rsidRDefault="00B26686" w:rsidP="00B26686">
      <w:pPr>
        <w:pStyle w:val="ListParagraph"/>
        <w:numPr>
          <w:ilvl w:val="0"/>
          <w:numId w:val="21"/>
        </w:numPr>
        <w:ind w:left="426"/>
        <w:rPr>
          <w:rFonts w:cstheme="minorHAnsi"/>
          <w:lang w:val="en-GB"/>
        </w:rPr>
      </w:pPr>
      <w:r w:rsidRPr="003C4B01">
        <w:rPr>
          <w:rFonts w:cstheme="minorHAnsi"/>
          <w:b/>
          <w:bCs/>
        </w:rPr>
        <w:t>monitor compliance</w:t>
      </w:r>
      <w:r w:rsidRPr="003B023C">
        <w:rPr>
          <w:rFonts w:cstheme="minorHAnsi"/>
        </w:rPr>
        <w:t xml:space="preserve"> of ECEC services with the National Law, Education and Care Services National Regulations 2011 (National Regulations) </w:t>
      </w:r>
      <w:r>
        <w:rPr>
          <w:rFonts w:cstheme="minorHAnsi"/>
        </w:rPr>
        <w:t xml:space="preserve">and </w:t>
      </w:r>
      <w:r w:rsidRPr="003B023C">
        <w:rPr>
          <w:rFonts w:cstheme="minorHAnsi"/>
        </w:rPr>
        <w:t>the Child Safe Standards</w:t>
      </w:r>
      <w:r w:rsidRPr="003B023C">
        <w:rPr>
          <w:rFonts w:cstheme="minorHAnsi"/>
          <w:sz w:val="20"/>
          <w:szCs w:val="20"/>
        </w:rPr>
        <w:t>.</w:t>
      </w:r>
      <w:r w:rsidRPr="00316D65">
        <w:rPr>
          <w:rStyle w:val="FootnoteReference"/>
          <w:rFonts w:cstheme="minorHAnsi"/>
          <w:color w:val="auto"/>
          <w:sz w:val="20"/>
          <w:szCs w:val="20"/>
        </w:rPr>
        <w:footnoteReference w:id="1"/>
      </w:r>
      <w:r w:rsidRPr="003B023C">
        <w:rPr>
          <w:rFonts w:eastAsia="Times New Roman" w:cstheme="minorHAnsi"/>
          <w:lang w:eastAsia="en-AU"/>
        </w:rPr>
        <w:t xml:space="preserve"> </w:t>
      </w:r>
    </w:p>
    <w:p w14:paraId="05A72DD4" w14:textId="77777777" w:rsidR="00B26686" w:rsidRPr="003C4B01" w:rsidRDefault="00B26686" w:rsidP="00B26686">
      <w:pPr>
        <w:pStyle w:val="ListParagraph"/>
        <w:numPr>
          <w:ilvl w:val="0"/>
          <w:numId w:val="20"/>
        </w:numPr>
        <w:spacing w:after="120"/>
        <w:ind w:left="425" w:hanging="357"/>
        <w:rPr>
          <w:color w:val="000000" w:themeColor="text2"/>
          <w:lang w:eastAsia="en-AU"/>
        </w:rPr>
      </w:pPr>
      <w:r>
        <w:rPr>
          <w:rFonts w:eastAsia="Times New Roman" w:cstheme="minorHAnsi"/>
          <w:b/>
          <w:bCs/>
          <w:lang w:eastAsia="en-AU"/>
        </w:rPr>
        <w:t>a</w:t>
      </w:r>
      <w:r w:rsidRPr="003C4B01">
        <w:rPr>
          <w:rFonts w:eastAsia="Times New Roman" w:cstheme="minorHAnsi"/>
          <w:b/>
          <w:bCs/>
          <w:lang w:eastAsia="en-AU"/>
        </w:rPr>
        <w:t>ssess</w:t>
      </w:r>
      <w:r>
        <w:rPr>
          <w:rFonts w:eastAsia="Times New Roman" w:cstheme="minorHAnsi"/>
          <w:lang w:eastAsia="en-AU"/>
        </w:rPr>
        <w:t xml:space="preserve"> </w:t>
      </w:r>
      <w:r w:rsidRPr="003C4B01">
        <w:rPr>
          <w:rFonts w:eastAsia="Times New Roman" w:cstheme="minorHAnsi"/>
          <w:b/>
          <w:bCs/>
          <w:lang w:eastAsia="en-AU"/>
        </w:rPr>
        <w:t>quality</w:t>
      </w:r>
      <w:r>
        <w:rPr>
          <w:rFonts w:eastAsia="Times New Roman" w:cstheme="minorHAnsi"/>
          <w:lang w:eastAsia="en-AU"/>
        </w:rPr>
        <w:t xml:space="preserve"> of ECEC services</w:t>
      </w:r>
      <w:r w:rsidRPr="003C4B01">
        <w:rPr>
          <w:rFonts w:eastAsia="Times New Roman" w:cstheme="minorHAnsi"/>
          <w:lang w:eastAsia="en-AU"/>
        </w:rPr>
        <w:t xml:space="preserve"> against the National Quality Standard</w:t>
      </w:r>
      <w:r>
        <w:rPr>
          <w:rFonts w:eastAsia="Times New Roman" w:cstheme="minorHAnsi"/>
          <w:lang w:eastAsia="en-AU"/>
        </w:rPr>
        <w:t>s</w:t>
      </w:r>
      <w:r w:rsidRPr="003C4B01">
        <w:rPr>
          <w:rFonts w:eastAsia="Times New Roman" w:cstheme="minorHAnsi"/>
          <w:lang w:eastAsia="en-AU"/>
        </w:rPr>
        <w:t xml:space="preserve"> and</w:t>
      </w:r>
      <w:r>
        <w:rPr>
          <w:rFonts w:eastAsia="Times New Roman" w:cstheme="minorHAnsi"/>
          <w:lang w:eastAsia="en-AU"/>
        </w:rPr>
        <w:t xml:space="preserve"> the</w:t>
      </w:r>
      <w:r w:rsidRPr="003C4B01">
        <w:rPr>
          <w:rFonts w:eastAsia="Times New Roman" w:cstheme="minorHAnsi"/>
          <w:lang w:eastAsia="en-AU"/>
        </w:rPr>
        <w:t xml:space="preserve"> National Regulations</w:t>
      </w:r>
      <w:r>
        <w:rPr>
          <w:rFonts w:eastAsia="Times New Roman" w:cstheme="minorHAnsi"/>
          <w:lang w:eastAsia="en-AU"/>
        </w:rPr>
        <w:t xml:space="preserve"> and determine ratings of those services.</w:t>
      </w:r>
    </w:p>
    <w:p w14:paraId="0C007514" w14:textId="17DA3303" w:rsidR="00101DFD" w:rsidRDefault="00B26686" w:rsidP="00DE4D93">
      <w:pPr>
        <w:rPr>
          <w:rFonts w:cstheme="minorHAnsi"/>
          <w:szCs w:val="22"/>
        </w:rPr>
      </w:pPr>
      <w:r>
        <w:rPr>
          <w:rFonts w:eastAsia="Times New Roman" w:cstheme="minorHAnsi"/>
          <w:szCs w:val="22"/>
          <w:lang w:eastAsia="en-AU"/>
        </w:rPr>
        <w:t xml:space="preserve">The Regulatory Authority is also the regulator of the small number of services who are governed by the </w:t>
      </w:r>
      <w:r w:rsidRPr="00A0065D">
        <w:rPr>
          <w:rFonts w:cstheme="minorHAnsi"/>
          <w:i/>
          <w:iCs/>
        </w:rPr>
        <w:t>Children’s Services Act 1996</w:t>
      </w:r>
      <w:r>
        <w:rPr>
          <w:rFonts w:cstheme="minorHAnsi"/>
        </w:rPr>
        <w:t xml:space="preserve"> (Children’s Services Act). The general principles and processes set out in this document are also applicable to those services </w:t>
      </w:r>
      <w:proofErr w:type="gramStart"/>
      <w:r>
        <w:rPr>
          <w:rFonts w:cstheme="minorHAnsi"/>
        </w:rPr>
        <w:t>with the exception of</w:t>
      </w:r>
      <w:proofErr w:type="gramEnd"/>
      <w:r>
        <w:rPr>
          <w:rFonts w:cstheme="minorHAnsi"/>
        </w:rPr>
        <w:t xml:space="preserve"> assessment and rating, which is not part of the Children’s Services Act.</w:t>
      </w:r>
    </w:p>
    <w:p w14:paraId="6B714828" w14:textId="3951BC05" w:rsidR="00624A55" w:rsidRPr="00624A55" w:rsidRDefault="00B26686" w:rsidP="00624A55">
      <w:pPr>
        <w:pStyle w:val="Heading2"/>
        <w:rPr>
          <w:lang w:val="en-AU"/>
        </w:rPr>
      </w:pPr>
      <w:bookmarkStart w:id="3" w:name="_Toc150338732"/>
      <w:r>
        <w:rPr>
          <w:lang w:val="en-AU"/>
        </w:rPr>
        <w:t>Purpose</w:t>
      </w:r>
      <w:bookmarkEnd w:id="3"/>
    </w:p>
    <w:p w14:paraId="0524C9DA" w14:textId="77777777" w:rsidR="003D04B9" w:rsidRDefault="003D04B9" w:rsidP="00DE4D93">
      <w:pPr>
        <w:rPr>
          <w:rFonts w:eastAsia="Times New Roman" w:cstheme="minorHAnsi"/>
          <w:color w:val="000000"/>
          <w:szCs w:val="22"/>
          <w:lang w:val="en-AU" w:eastAsia="en-AU"/>
        </w:rPr>
      </w:pPr>
      <w:r>
        <w:rPr>
          <w:rFonts w:eastAsia="Times New Roman" w:cstheme="minorHAnsi"/>
          <w:color w:val="000000"/>
          <w:szCs w:val="22"/>
          <w:lang w:val="en-AU" w:eastAsia="en-AU"/>
        </w:rPr>
        <w:t>The purpose of monitoring and assessing ECEC services is to protect the safety, health and wellbeing of children, and drive quality and continuous improvement in those services, for the benefit of children and the community. T</w:t>
      </w:r>
      <w:r w:rsidRPr="001409DF">
        <w:rPr>
          <w:rFonts w:eastAsia="Times New Roman" w:cstheme="minorHAnsi"/>
          <w:color w:val="000000"/>
          <w:szCs w:val="22"/>
          <w:lang w:val="en-AU" w:eastAsia="en-AU"/>
        </w:rPr>
        <w:t xml:space="preserve">his document </w:t>
      </w:r>
      <w:r>
        <w:rPr>
          <w:rFonts w:eastAsia="Times New Roman" w:cstheme="minorHAnsi"/>
          <w:color w:val="000000"/>
          <w:szCs w:val="22"/>
          <w:lang w:val="en-AU" w:eastAsia="en-AU"/>
        </w:rPr>
        <w:t>sets out</w:t>
      </w:r>
      <w:r w:rsidRPr="001409DF">
        <w:rPr>
          <w:rFonts w:eastAsia="Times New Roman" w:cstheme="minorHAnsi"/>
          <w:color w:val="000000"/>
          <w:szCs w:val="22"/>
          <w:lang w:val="en-AU" w:eastAsia="en-AU"/>
        </w:rPr>
        <w:t xml:space="preserve"> the Regulatory Authority</w:t>
      </w:r>
      <w:r>
        <w:rPr>
          <w:rFonts w:eastAsia="Times New Roman" w:cstheme="minorHAnsi"/>
          <w:color w:val="000000"/>
          <w:szCs w:val="22"/>
          <w:lang w:val="en-AU" w:eastAsia="en-AU"/>
        </w:rPr>
        <w:t xml:space="preserve">’s </w:t>
      </w:r>
      <w:r w:rsidRPr="001409DF">
        <w:rPr>
          <w:rFonts w:eastAsia="Times New Roman" w:cstheme="minorHAnsi"/>
          <w:color w:val="000000"/>
          <w:szCs w:val="22"/>
          <w:lang w:val="en-AU" w:eastAsia="en-AU"/>
        </w:rPr>
        <w:t>approach</w:t>
      </w:r>
      <w:r>
        <w:rPr>
          <w:rFonts w:eastAsia="Times New Roman" w:cstheme="minorHAnsi"/>
          <w:color w:val="000000"/>
          <w:szCs w:val="22"/>
          <w:lang w:val="en-AU" w:eastAsia="en-AU"/>
        </w:rPr>
        <w:t xml:space="preserve"> to</w:t>
      </w:r>
      <w:r w:rsidRPr="001409DF">
        <w:rPr>
          <w:rFonts w:eastAsia="Times New Roman" w:cstheme="minorHAnsi"/>
          <w:color w:val="000000"/>
          <w:szCs w:val="22"/>
          <w:lang w:val="en-AU" w:eastAsia="en-AU"/>
        </w:rPr>
        <w:t xml:space="preserve"> </w:t>
      </w:r>
      <w:r>
        <w:rPr>
          <w:rFonts w:eastAsia="Times New Roman" w:cstheme="minorHAnsi"/>
          <w:color w:val="000000"/>
          <w:szCs w:val="22"/>
          <w:lang w:val="en-AU" w:eastAsia="en-AU"/>
        </w:rPr>
        <w:t>this work</w:t>
      </w:r>
      <w:r w:rsidRPr="001409DF">
        <w:rPr>
          <w:rFonts w:eastAsia="Times New Roman" w:cstheme="minorHAnsi"/>
          <w:color w:val="000000"/>
          <w:szCs w:val="22"/>
          <w:lang w:val="en-AU" w:eastAsia="en-AU"/>
        </w:rPr>
        <w:t>.</w:t>
      </w:r>
      <w:r>
        <w:rPr>
          <w:rFonts w:eastAsia="Times New Roman" w:cstheme="minorHAnsi"/>
          <w:color w:val="000000"/>
          <w:szCs w:val="22"/>
          <w:lang w:val="en-AU" w:eastAsia="en-AU"/>
        </w:rPr>
        <w:t xml:space="preserve"> </w:t>
      </w:r>
      <w:r w:rsidRPr="001409DF">
        <w:rPr>
          <w:rFonts w:eastAsia="Times New Roman" w:cstheme="minorHAnsi"/>
          <w:color w:val="000000"/>
          <w:szCs w:val="22"/>
          <w:lang w:val="en-AU" w:eastAsia="en-AU"/>
        </w:rPr>
        <w:t xml:space="preserve">It </w:t>
      </w:r>
      <w:r>
        <w:rPr>
          <w:rFonts w:eastAsia="Times New Roman" w:cstheme="minorHAnsi"/>
          <w:color w:val="000000"/>
          <w:szCs w:val="22"/>
          <w:lang w:val="en-AU" w:eastAsia="en-AU"/>
        </w:rPr>
        <w:t>outlines</w:t>
      </w:r>
      <w:r w:rsidRPr="001409DF">
        <w:rPr>
          <w:rFonts w:eastAsia="Times New Roman" w:cstheme="minorHAnsi"/>
          <w:color w:val="000000"/>
          <w:szCs w:val="22"/>
          <w:lang w:val="en-AU" w:eastAsia="en-AU"/>
        </w:rPr>
        <w:t xml:space="preserve"> expectations the Regulatory Authority has for </w:t>
      </w:r>
      <w:r>
        <w:rPr>
          <w:rFonts w:eastAsia="Times New Roman" w:cstheme="minorHAnsi"/>
          <w:color w:val="000000"/>
          <w:szCs w:val="22"/>
          <w:lang w:val="en-AU" w:eastAsia="en-AU"/>
        </w:rPr>
        <w:t>regulated entities</w:t>
      </w:r>
      <w:r w:rsidRPr="001409DF">
        <w:rPr>
          <w:rFonts w:eastAsia="Times New Roman" w:cstheme="minorHAnsi"/>
          <w:color w:val="000000"/>
          <w:szCs w:val="22"/>
          <w:lang w:val="en-AU" w:eastAsia="en-AU"/>
        </w:rPr>
        <w:t xml:space="preserve"> </w:t>
      </w:r>
      <w:r>
        <w:rPr>
          <w:rFonts w:eastAsia="Times New Roman" w:cstheme="minorHAnsi"/>
          <w:color w:val="000000"/>
          <w:szCs w:val="22"/>
          <w:lang w:val="en-AU" w:eastAsia="en-AU"/>
        </w:rPr>
        <w:t xml:space="preserve">operating approved ECEC services </w:t>
      </w:r>
      <w:r w:rsidRPr="001409DF">
        <w:rPr>
          <w:rFonts w:eastAsia="Times New Roman" w:cstheme="minorHAnsi"/>
          <w:color w:val="000000"/>
          <w:szCs w:val="22"/>
          <w:lang w:val="en-AU" w:eastAsia="en-AU"/>
        </w:rPr>
        <w:t xml:space="preserve">and </w:t>
      </w:r>
      <w:r>
        <w:rPr>
          <w:rFonts w:eastAsia="Times New Roman" w:cstheme="minorHAnsi"/>
          <w:color w:val="000000"/>
          <w:szCs w:val="22"/>
          <w:lang w:val="en-AU" w:eastAsia="en-AU"/>
        </w:rPr>
        <w:t>details</w:t>
      </w:r>
      <w:r w:rsidRPr="001409DF">
        <w:rPr>
          <w:rFonts w:eastAsia="Times New Roman" w:cstheme="minorHAnsi"/>
          <w:color w:val="000000"/>
          <w:szCs w:val="22"/>
          <w:lang w:val="en-AU" w:eastAsia="en-AU"/>
        </w:rPr>
        <w:t xml:space="preserve"> the Regulatory Authority’s </w:t>
      </w:r>
      <w:r>
        <w:rPr>
          <w:rFonts w:eastAsia="Times New Roman" w:cstheme="minorHAnsi"/>
          <w:color w:val="000000"/>
          <w:szCs w:val="22"/>
          <w:lang w:val="en-AU" w:eastAsia="en-AU"/>
        </w:rPr>
        <w:t xml:space="preserve">commitment to </w:t>
      </w:r>
      <w:r w:rsidRPr="001409DF">
        <w:rPr>
          <w:rFonts w:eastAsia="Times New Roman" w:cstheme="minorHAnsi"/>
          <w:color w:val="000000"/>
          <w:szCs w:val="22"/>
          <w:lang w:val="en-AU" w:eastAsia="en-AU"/>
        </w:rPr>
        <w:t>transparent</w:t>
      </w:r>
      <w:r>
        <w:rPr>
          <w:rFonts w:eastAsia="Times New Roman" w:cstheme="minorHAnsi"/>
          <w:color w:val="000000"/>
          <w:szCs w:val="22"/>
          <w:lang w:val="en-AU" w:eastAsia="en-AU"/>
        </w:rPr>
        <w:t>, effective and</w:t>
      </w:r>
      <w:r w:rsidRPr="001409DF">
        <w:rPr>
          <w:rFonts w:eastAsia="Times New Roman" w:cstheme="minorHAnsi"/>
          <w:color w:val="000000"/>
          <w:szCs w:val="22"/>
          <w:lang w:val="en-AU" w:eastAsia="en-AU"/>
        </w:rPr>
        <w:t xml:space="preserve"> efficient monitoring </w:t>
      </w:r>
      <w:r>
        <w:rPr>
          <w:rFonts w:eastAsia="Times New Roman" w:cstheme="minorHAnsi"/>
          <w:color w:val="000000"/>
          <w:szCs w:val="22"/>
          <w:lang w:val="en-AU" w:eastAsia="en-AU"/>
        </w:rPr>
        <w:t xml:space="preserve">and assessment </w:t>
      </w:r>
      <w:r w:rsidRPr="001409DF">
        <w:rPr>
          <w:rFonts w:eastAsia="Times New Roman" w:cstheme="minorHAnsi"/>
          <w:color w:val="000000"/>
          <w:szCs w:val="22"/>
          <w:lang w:val="en-AU" w:eastAsia="en-AU"/>
        </w:rPr>
        <w:t>activities.</w:t>
      </w:r>
    </w:p>
    <w:p w14:paraId="471C5EF0" w14:textId="057B0600" w:rsidR="003D04B9" w:rsidRPr="00624A55" w:rsidRDefault="003D04B9" w:rsidP="003D04B9">
      <w:pPr>
        <w:pStyle w:val="Heading2"/>
        <w:rPr>
          <w:lang w:val="en-AU"/>
        </w:rPr>
      </w:pPr>
      <w:bookmarkStart w:id="4" w:name="_Toc150338733"/>
      <w:r>
        <w:rPr>
          <w:lang w:val="en-AU"/>
        </w:rPr>
        <w:t>Monitoring and assessing by the Regulatory Authority</w:t>
      </w:r>
      <w:bookmarkEnd w:id="4"/>
    </w:p>
    <w:p w14:paraId="6395FFE2" w14:textId="77777777" w:rsidR="002C09E0" w:rsidRDefault="002C09E0" w:rsidP="002C09E0">
      <w:r w:rsidRPr="00BC067D">
        <w:t>Monitoring</w:t>
      </w:r>
      <w:r>
        <w:t xml:space="preserve"> and assessing are regulatory tools for evaluating, </w:t>
      </w:r>
      <w:proofErr w:type="gramStart"/>
      <w:r>
        <w:t>supporting</w:t>
      </w:r>
      <w:proofErr w:type="gramEnd"/>
      <w:r>
        <w:t xml:space="preserve"> and influencing compliance and quality. The Regulatory Authority uses the following regulatory activities to determine a regulated entities compliance with the National Law, National Regulations and Child Safe Standards: </w:t>
      </w:r>
    </w:p>
    <w:p w14:paraId="0C866DFA" w14:textId="77777777" w:rsidR="002C09E0" w:rsidRDefault="002C09E0" w:rsidP="002C09E0">
      <w:pPr>
        <w:pStyle w:val="ListParagraph"/>
        <w:numPr>
          <w:ilvl w:val="0"/>
          <w:numId w:val="22"/>
        </w:numPr>
        <w:spacing w:after="0"/>
        <w:ind w:left="425" w:hanging="425"/>
        <w:contextualSpacing w:val="0"/>
        <w:rPr>
          <w:rFonts w:cstheme="minorHAnsi"/>
        </w:rPr>
      </w:pPr>
      <w:r>
        <w:rPr>
          <w:rFonts w:cstheme="minorHAnsi"/>
        </w:rPr>
        <w:t xml:space="preserve">compliance </w:t>
      </w:r>
      <w:r w:rsidRPr="00A21CC1">
        <w:rPr>
          <w:rFonts w:cstheme="minorHAnsi"/>
        </w:rPr>
        <w:t>visits to ECEC service</w:t>
      </w:r>
      <w:r>
        <w:rPr>
          <w:rFonts w:cstheme="minorHAnsi"/>
        </w:rPr>
        <w:t xml:space="preserve"> premises</w:t>
      </w:r>
      <w:r w:rsidRPr="003C4B01">
        <w:rPr>
          <w:rStyle w:val="FootnoteReference"/>
          <w:rFonts w:cstheme="minorHAnsi"/>
          <w:sz w:val="18"/>
          <w:szCs w:val="18"/>
        </w:rPr>
        <w:footnoteReference w:id="2"/>
      </w:r>
      <w:r>
        <w:rPr>
          <w:rFonts w:cstheme="minorHAnsi"/>
        </w:rPr>
        <w:t xml:space="preserve"> </w:t>
      </w:r>
    </w:p>
    <w:p w14:paraId="1C35C060" w14:textId="77777777" w:rsidR="002C09E0" w:rsidRDefault="002C09E0" w:rsidP="002C09E0">
      <w:pPr>
        <w:pStyle w:val="ListParagraph"/>
        <w:numPr>
          <w:ilvl w:val="0"/>
          <w:numId w:val="22"/>
        </w:numPr>
        <w:spacing w:after="0"/>
        <w:ind w:left="425" w:hanging="425"/>
        <w:contextualSpacing w:val="0"/>
        <w:rPr>
          <w:rFonts w:cstheme="minorHAnsi"/>
        </w:rPr>
      </w:pPr>
      <w:r>
        <w:rPr>
          <w:rFonts w:cstheme="minorHAnsi"/>
        </w:rPr>
        <w:t>d</w:t>
      </w:r>
      <w:r w:rsidRPr="00DC726A">
        <w:rPr>
          <w:rFonts w:cstheme="minorHAnsi"/>
        </w:rPr>
        <w:t xml:space="preserve">esktop audits and reviews </w:t>
      </w:r>
    </w:p>
    <w:p w14:paraId="5521F153" w14:textId="77777777" w:rsidR="002C09E0" w:rsidRDefault="002C09E0" w:rsidP="002C09E0">
      <w:pPr>
        <w:pStyle w:val="ListParagraph"/>
        <w:numPr>
          <w:ilvl w:val="0"/>
          <w:numId w:val="22"/>
        </w:numPr>
        <w:spacing w:after="0"/>
        <w:ind w:left="425" w:hanging="425"/>
        <w:contextualSpacing w:val="0"/>
        <w:rPr>
          <w:rFonts w:cstheme="minorHAnsi"/>
        </w:rPr>
      </w:pPr>
      <w:r>
        <w:rPr>
          <w:rFonts w:cstheme="minorHAnsi"/>
        </w:rPr>
        <w:t>t</w:t>
      </w:r>
      <w:r w:rsidRPr="00522B30">
        <w:rPr>
          <w:rFonts w:cstheme="minorHAnsi"/>
        </w:rPr>
        <w:t>argeted compliance campaigns</w:t>
      </w:r>
      <w:r>
        <w:rPr>
          <w:rFonts w:cstheme="minorHAnsi"/>
        </w:rPr>
        <w:t>, and</w:t>
      </w:r>
    </w:p>
    <w:p w14:paraId="1233DDD0" w14:textId="77777777" w:rsidR="002C09E0" w:rsidRPr="00FC54A7" w:rsidRDefault="002C09E0" w:rsidP="002C09E0">
      <w:pPr>
        <w:pStyle w:val="ListParagraph"/>
        <w:numPr>
          <w:ilvl w:val="0"/>
          <w:numId w:val="22"/>
        </w:numPr>
        <w:spacing w:after="120"/>
        <w:ind w:left="425" w:hanging="425"/>
        <w:contextualSpacing w:val="0"/>
        <w:rPr>
          <w:rFonts w:cstheme="minorHAnsi"/>
        </w:rPr>
      </w:pPr>
      <w:r>
        <w:t xml:space="preserve">the assessment and rating process which provides detailed appraisal of a service against the National Quality Standards and National Regulations. </w:t>
      </w:r>
    </w:p>
    <w:p w14:paraId="6AD1342D" w14:textId="6ED84E64" w:rsidR="002C09E0" w:rsidRPr="00900E6E" w:rsidRDefault="002C09E0" w:rsidP="002C09E0">
      <w:r>
        <w:t>Through these activities, the Regulatory Authority identifies, and then controls or prevents, real and</w:t>
      </w:r>
      <w:r w:rsidR="00900E6E">
        <w:t xml:space="preserve"> </w:t>
      </w:r>
      <w:r>
        <w:t xml:space="preserve">potential risks and harms. </w:t>
      </w:r>
      <w:r>
        <w:rPr>
          <w:rFonts w:cstheme="minorHAnsi"/>
        </w:rPr>
        <w:t xml:space="preserve">This includes identifying systemic or sector wide compliance challenges as well as individual entities who are unwilling and/or unable to comply. The Regulatory Authority </w:t>
      </w:r>
      <w:proofErr w:type="gramStart"/>
      <w:r>
        <w:rPr>
          <w:rFonts w:cstheme="minorHAnsi"/>
        </w:rPr>
        <w:lastRenderedPageBreak/>
        <w:t>tailors</w:t>
      </w:r>
      <w:proofErr w:type="gramEnd"/>
      <w:r>
        <w:rPr>
          <w:rFonts w:cstheme="minorHAnsi"/>
        </w:rPr>
        <w:t xml:space="preserve"> responses to the problem, including initiating the use of proportionate enforcement tools where necessary to ensure the safety, health and wellbeing of children.</w:t>
      </w:r>
    </w:p>
    <w:p w14:paraId="76CB845A" w14:textId="77777777" w:rsidR="002C09E0" w:rsidRPr="008324EE" w:rsidRDefault="002C09E0" w:rsidP="00A10B54">
      <w:r>
        <w:t>A robust monitoring and assessment program incentivises regulated entities to operate safe, quality services. T</w:t>
      </w:r>
      <w:r>
        <w:rPr>
          <w:rFonts w:cstheme="minorHAnsi"/>
        </w:rPr>
        <w:t xml:space="preserve">he majority of ECEC services voluntarily comply with their obligations and are directly supported by these activities through the </w:t>
      </w:r>
      <w:r w:rsidRPr="00886C94">
        <w:rPr>
          <w:rFonts w:cstheme="minorHAnsi"/>
        </w:rPr>
        <w:t>provision of information and resources</w:t>
      </w:r>
      <w:r>
        <w:rPr>
          <w:rFonts w:cstheme="minorHAnsi"/>
        </w:rPr>
        <w:t xml:space="preserve">, reports about their </w:t>
      </w:r>
      <w:r w:rsidRPr="00886C94">
        <w:rPr>
          <w:rFonts w:cstheme="minorHAnsi"/>
        </w:rPr>
        <w:t>compliance</w:t>
      </w:r>
      <w:r>
        <w:rPr>
          <w:rFonts w:cstheme="minorHAnsi"/>
        </w:rPr>
        <w:t xml:space="preserve"> and quality including a service</w:t>
      </w:r>
      <w:r w:rsidRPr="00886C94">
        <w:rPr>
          <w:rFonts w:cstheme="minorHAnsi"/>
        </w:rPr>
        <w:t xml:space="preserve"> rating</w:t>
      </w:r>
      <w:r>
        <w:rPr>
          <w:rFonts w:cstheme="minorHAnsi"/>
        </w:rPr>
        <w:t xml:space="preserve"> </w:t>
      </w:r>
      <w:r w:rsidRPr="00886C94">
        <w:rPr>
          <w:rFonts w:cstheme="minorHAnsi"/>
        </w:rPr>
        <w:t>they can promote</w:t>
      </w:r>
      <w:r>
        <w:rPr>
          <w:rFonts w:cstheme="minorHAnsi"/>
        </w:rPr>
        <w:t xml:space="preserve">, as well as indirectly, through ensuring a level playing field of </w:t>
      </w:r>
      <w:r w:rsidRPr="00886C94">
        <w:rPr>
          <w:rFonts w:cstheme="minorHAnsi"/>
        </w:rPr>
        <w:t>minimum standards across the sector</w:t>
      </w:r>
      <w:r>
        <w:rPr>
          <w:rFonts w:cstheme="minorHAnsi"/>
        </w:rPr>
        <w:t>.</w:t>
      </w:r>
    </w:p>
    <w:p w14:paraId="47CD2A13" w14:textId="77777777" w:rsidR="00C36AD0" w:rsidRPr="00A22E9F" w:rsidRDefault="00C36AD0" w:rsidP="00C36AD0">
      <w:pPr>
        <w:rPr>
          <w:rFonts w:cstheme="minorHAnsi"/>
          <w:b/>
          <w:bCs/>
        </w:rPr>
      </w:pPr>
      <w:r w:rsidRPr="00A22E9F">
        <w:rPr>
          <w:rFonts w:cstheme="minorHAnsi"/>
          <w:b/>
          <w:bCs/>
        </w:rPr>
        <w:t>Monitoring</w:t>
      </w:r>
      <w:r>
        <w:rPr>
          <w:rFonts w:cstheme="minorHAnsi"/>
          <w:b/>
          <w:bCs/>
        </w:rPr>
        <w:t xml:space="preserve"> and Assessment</w:t>
      </w:r>
      <w:r w:rsidRPr="00A22E9F">
        <w:rPr>
          <w:rFonts w:cstheme="minorHAnsi"/>
          <w:b/>
          <w:bCs/>
        </w:rPr>
        <w:t xml:space="preserve"> Schedule</w:t>
      </w:r>
    </w:p>
    <w:p w14:paraId="24D3ED8D" w14:textId="3C5B7173" w:rsidR="00C36AD0" w:rsidRDefault="00EA1D4D" w:rsidP="00C36AD0">
      <w:pPr>
        <w:pStyle w:val="ListParagraph"/>
        <w:spacing w:after="120"/>
        <w:ind w:left="0"/>
        <w:contextualSpacing w:val="0"/>
        <w:rPr>
          <w:rFonts w:cstheme="minorHAnsi"/>
        </w:rPr>
      </w:pPr>
      <w:r>
        <w:rPr>
          <w:rFonts w:cstheme="minorHAnsi"/>
        </w:rPr>
        <w:t xml:space="preserve">The Regulatory Authority may conduct monitoring and assessment activities at any time. </w:t>
      </w:r>
      <w:r w:rsidR="00C36AD0">
        <w:rPr>
          <w:rFonts w:cstheme="minorHAnsi"/>
        </w:rPr>
        <w:t>The frequency and type of activity used by the Regulatory Authority to monitor and/or assess an ECEC service is informed by risk, regulatory priorities and regulatory benefit. This includes ensuring the regulator’s presence and visibility as tools to influence outcomes in services while also acting as a deterrent to non-compliance.</w:t>
      </w:r>
    </w:p>
    <w:p w14:paraId="06C3014C" w14:textId="5A234DE8" w:rsidR="00C36AD0" w:rsidRPr="00247035" w:rsidRDefault="008B56BA" w:rsidP="00247035">
      <w:pPr>
        <w:pStyle w:val="ListParagraph"/>
        <w:spacing w:after="120"/>
        <w:ind w:left="0"/>
        <w:contextualSpacing w:val="0"/>
        <w:rPr>
          <w:rFonts w:cstheme="minorHAnsi"/>
        </w:rPr>
      </w:pPr>
      <w:r>
        <w:rPr>
          <w:rFonts w:cstheme="minorHAnsi"/>
        </w:rPr>
        <w:t>The</w:t>
      </w:r>
      <w:r w:rsidR="00C36AD0">
        <w:rPr>
          <w:rFonts w:cstheme="minorHAnsi"/>
        </w:rPr>
        <w:t xml:space="preserve"> following table outlines the general monitoring and assessment schedule undertaken by the Regulatory Authority. The schedule </w:t>
      </w:r>
      <w:r w:rsidR="006C6C68">
        <w:rPr>
          <w:rFonts w:cstheme="minorHAnsi"/>
        </w:rPr>
        <w:t>includes</w:t>
      </w:r>
      <w:r w:rsidR="00C36AD0">
        <w:rPr>
          <w:rFonts w:cstheme="minorHAnsi"/>
        </w:rPr>
        <w:t xml:space="preserve"> stages of an ECEC service life that present greater compliance risk or, in the case of assessment and rating, to drive quality and provide a comprehensive baseline to inform future regulatory activity.</w:t>
      </w:r>
    </w:p>
    <w:tbl>
      <w:tblPr>
        <w:tblStyle w:val="TableGrid"/>
        <w:tblW w:w="9918" w:type="dxa"/>
        <w:tblLook w:val="04A0" w:firstRow="1" w:lastRow="0" w:firstColumn="1" w:lastColumn="0" w:noHBand="0" w:noVBand="1"/>
      </w:tblPr>
      <w:tblGrid>
        <w:gridCol w:w="3397"/>
        <w:gridCol w:w="6521"/>
      </w:tblGrid>
      <w:tr w:rsidR="00C36AD0" w14:paraId="57BADCA7" w14:textId="77777777" w:rsidTr="00424E5E">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397" w:type="dxa"/>
          </w:tcPr>
          <w:p w14:paraId="186989F6" w14:textId="2040B25F" w:rsidR="00C36AD0" w:rsidRDefault="00C36AD0" w:rsidP="00DE4D93">
            <w:pPr>
              <w:pStyle w:val="TableHead"/>
              <w:spacing w:after="60"/>
            </w:pPr>
            <w:r>
              <w:t>Timing</w:t>
            </w:r>
          </w:p>
        </w:tc>
        <w:tc>
          <w:tcPr>
            <w:tcW w:w="6521" w:type="dxa"/>
          </w:tcPr>
          <w:p w14:paraId="23DE5159" w14:textId="57E46597" w:rsidR="00C36AD0" w:rsidRDefault="00C36AD0" w:rsidP="00DE4D93">
            <w:pPr>
              <w:pStyle w:val="TableHead"/>
              <w:spacing w:after="0"/>
              <w:ind w:left="1024" w:hanging="1024"/>
              <w:cnfStyle w:val="100000000000" w:firstRow="1" w:lastRow="0" w:firstColumn="0" w:lastColumn="0" w:oddVBand="0" w:evenVBand="0" w:oddHBand="0" w:evenHBand="0" w:firstRowFirstColumn="0" w:firstRowLastColumn="0" w:lastRowFirstColumn="0" w:lastRowLastColumn="0"/>
            </w:pPr>
            <w:r>
              <w:t>Activity</w:t>
            </w:r>
          </w:p>
        </w:tc>
      </w:tr>
      <w:tr w:rsidR="00EC792D" w14:paraId="5F9F2566" w14:textId="77777777" w:rsidTr="00424E5E">
        <w:tc>
          <w:tcPr>
            <w:cnfStyle w:val="001000000000" w:firstRow="0" w:lastRow="0" w:firstColumn="1" w:lastColumn="0" w:oddVBand="0" w:evenVBand="0" w:oddHBand="0" w:evenHBand="0" w:firstRowFirstColumn="0" w:firstRowLastColumn="0" w:lastRowFirstColumn="0" w:lastRowLastColumn="0"/>
            <w:tcW w:w="3397" w:type="dxa"/>
          </w:tcPr>
          <w:p w14:paraId="36AFD1E7" w14:textId="6744288E" w:rsidR="00EC792D" w:rsidRPr="00D02C11" w:rsidRDefault="00EC792D" w:rsidP="00DE4D93">
            <w:pPr>
              <w:pStyle w:val="TableHead"/>
              <w:spacing w:after="0"/>
              <w:rPr>
                <w:sz w:val="20"/>
                <w:szCs w:val="20"/>
              </w:rPr>
            </w:pPr>
            <w:r w:rsidRPr="00D02C11">
              <w:rPr>
                <w:color w:val="auto"/>
                <w:sz w:val="20"/>
                <w:szCs w:val="20"/>
              </w:rPr>
              <w:t xml:space="preserve">Before </w:t>
            </w:r>
            <w:r w:rsidRPr="00D02C11">
              <w:rPr>
                <w:rFonts w:cstheme="minorHAnsi"/>
                <w:color w:val="auto"/>
                <w:sz w:val="20"/>
                <w:szCs w:val="20"/>
              </w:rPr>
              <w:t>granting approval to an ECEC service (or for a new waiver)</w:t>
            </w:r>
          </w:p>
        </w:tc>
        <w:tc>
          <w:tcPr>
            <w:tcW w:w="6521" w:type="dxa"/>
          </w:tcPr>
          <w:p w14:paraId="554F918B" w14:textId="77777777" w:rsidR="00EC792D" w:rsidRPr="00D02C11" w:rsidRDefault="00EC792D" w:rsidP="00EC792D">
            <w:pPr>
              <w:pStyle w:val="ListParagraph"/>
              <w:numPr>
                <w:ilvl w:val="0"/>
                <w:numId w:val="24"/>
              </w:numPr>
              <w:spacing w:after="0"/>
              <w:ind w:left="273"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02C11">
              <w:rPr>
                <w:rFonts w:cstheme="minorHAnsi"/>
                <w:sz w:val="20"/>
                <w:szCs w:val="20"/>
              </w:rPr>
              <w:t>Pre-approval visit to premises, and/or</w:t>
            </w:r>
          </w:p>
          <w:p w14:paraId="22E63E17" w14:textId="77777777" w:rsidR="00EC792D" w:rsidRPr="00D02C11" w:rsidRDefault="00EC792D" w:rsidP="00EC792D">
            <w:pPr>
              <w:pStyle w:val="ListParagraph"/>
              <w:numPr>
                <w:ilvl w:val="0"/>
                <w:numId w:val="24"/>
              </w:numPr>
              <w:spacing w:after="0"/>
              <w:ind w:left="273"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02C11">
              <w:rPr>
                <w:rFonts w:cstheme="minorHAnsi"/>
                <w:sz w:val="20"/>
                <w:szCs w:val="20"/>
              </w:rPr>
              <w:t xml:space="preserve">Desktop audit of applications and associated documents and any other relevant information available to the Regulatory Authority, and/or </w:t>
            </w:r>
          </w:p>
          <w:p w14:paraId="12145F97" w14:textId="2F5D21CB" w:rsidR="00EC792D" w:rsidRPr="00D02C11" w:rsidRDefault="00EC792D" w:rsidP="00EC792D">
            <w:pPr>
              <w:pStyle w:val="ListParagraph"/>
              <w:numPr>
                <w:ilvl w:val="0"/>
                <w:numId w:val="24"/>
              </w:numPr>
              <w:spacing w:after="0"/>
              <w:ind w:left="273"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02C11">
              <w:rPr>
                <w:rFonts w:cstheme="minorHAnsi"/>
                <w:sz w:val="20"/>
                <w:szCs w:val="20"/>
              </w:rPr>
              <w:t>Meetings/interviews with applicant/s.</w:t>
            </w:r>
          </w:p>
        </w:tc>
      </w:tr>
      <w:tr w:rsidR="00EC792D" w14:paraId="7C85F7C4" w14:textId="77777777" w:rsidTr="00424E5E">
        <w:tc>
          <w:tcPr>
            <w:cnfStyle w:val="001000000000" w:firstRow="0" w:lastRow="0" w:firstColumn="1" w:lastColumn="0" w:oddVBand="0" w:evenVBand="0" w:oddHBand="0" w:evenHBand="0" w:firstRowFirstColumn="0" w:firstRowLastColumn="0" w:lastRowFirstColumn="0" w:lastRowLastColumn="0"/>
            <w:tcW w:w="3397" w:type="dxa"/>
          </w:tcPr>
          <w:p w14:paraId="5AA8D8FB" w14:textId="7415CDB6" w:rsidR="00EC792D" w:rsidRPr="00D02C11" w:rsidRDefault="00EC792D" w:rsidP="00EC792D">
            <w:pPr>
              <w:pStyle w:val="TableHead"/>
              <w:rPr>
                <w:color w:val="auto"/>
                <w:sz w:val="20"/>
                <w:szCs w:val="20"/>
              </w:rPr>
            </w:pPr>
            <w:r w:rsidRPr="00D02C11">
              <w:rPr>
                <w:rFonts w:cstheme="minorHAnsi"/>
                <w:color w:val="auto"/>
                <w:sz w:val="20"/>
                <w:szCs w:val="20"/>
              </w:rPr>
              <w:t>During the first year of operation</w:t>
            </w:r>
          </w:p>
        </w:tc>
        <w:tc>
          <w:tcPr>
            <w:tcW w:w="6521" w:type="dxa"/>
          </w:tcPr>
          <w:p w14:paraId="12471535" w14:textId="77777777" w:rsidR="00EC792D" w:rsidRPr="00D02C11" w:rsidRDefault="00EC792D" w:rsidP="00EC792D">
            <w:pPr>
              <w:pStyle w:val="ListParagraph"/>
              <w:numPr>
                <w:ilvl w:val="0"/>
                <w:numId w:val="26"/>
              </w:numPr>
              <w:spacing w:after="0"/>
              <w:ind w:left="273" w:hanging="284"/>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02C11">
              <w:rPr>
                <w:rFonts w:cstheme="minorHAnsi"/>
                <w:sz w:val="20"/>
                <w:szCs w:val="20"/>
              </w:rPr>
              <w:t>Discussion with approved provider or service leadership, and/or:</w:t>
            </w:r>
          </w:p>
          <w:p w14:paraId="17748D12" w14:textId="77777777" w:rsidR="00EC792D" w:rsidRPr="00D02C11" w:rsidRDefault="00EC792D" w:rsidP="00EC792D">
            <w:pPr>
              <w:pStyle w:val="ListParagraph"/>
              <w:numPr>
                <w:ilvl w:val="0"/>
                <w:numId w:val="25"/>
              </w:numPr>
              <w:spacing w:after="0"/>
              <w:ind w:left="273"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02C11">
              <w:rPr>
                <w:rFonts w:cstheme="minorHAnsi"/>
                <w:sz w:val="20"/>
                <w:szCs w:val="20"/>
              </w:rPr>
              <w:t xml:space="preserve">Desktop audit of identified documents, and/or </w:t>
            </w:r>
          </w:p>
          <w:p w14:paraId="1A990C9F" w14:textId="7EFEFE73" w:rsidR="00EC792D" w:rsidRPr="00D02C11" w:rsidRDefault="00EC792D" w:rsidP="00EC792D">
            <w:pPr>
              <w:pStyle w:val="ListParagraph"/>
              <w:numPr>
                <w:ilvl w:val="0"/>
                <w:numId w:val="25"/>
              </w:numPr>
              <w:spacing w:after="0"/>
              <w:ind w:left="273"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02C11">
              <w:rPr>
                <w:rFonts w:cstheme="minorHAnsi"/>
                <w:sz w:val="20"/>
                <w:szCs w:val="20"/>
              </w:rPr>
              <w:t>Compliance visit to the approved ECEC service.</w:t>
            </w:r>
          </w:p>
        </w:tc>
      </w:tr>
      <w:tr w:rsidR="00EC792D" w14:paraId="56692E44" w14:textId="77777777" w:rsidTr="00424E5E">
        <w:tc>
          <w:tcPr>
            <w:cnfStyle w:val="001000000000" w:firstRow="0" w:lastRow="0" w:firstColumn="1" w:lastColumn="0" w:oddVBand="0" w:evenVBand="0" w:oddHBand="0" w:evenHBand="0" w:firstRowFirstColumn="0" w:firstRowLastColumn="0" w:lastRowFirstColumn="0" w:lastRowLastColumn="0"/>
            <w:tcW w:w="3397" w:type="dxa"/>
          </w:tcPr>
          <w:p w14:paraId="2A3DE7A9" w14:textId="0381A732" w:rsidR="00EC792D" w:rsidRPr="00D02C11" w:rsidRDefault="00EC792D" w:rsidP="00EC792D">
            <w:pPr>
              <w:pStyle w:val="TableHead"/>
              <w:rPr>
                <w:color w:val="auto"/>
                <w:sz w:val="20"/>
                <w:szCs w:val="20"/>
              </w:rPr>
            </w:pPr>
            <w:r w:rsidRPr="00D02C11">
              <w:rPr>
                <w:rFonts w:cstheme="minorHAnsi"/>
                <w:color w:val="auto"/>
                <w:sz w:val="20"/>
                <w:szCs w:val="20"/>
              </w:rPr>
              <w:t>For assessment and rating (or reassessment and re-rating)</w:t>
            </w:r>
          </w:p>
        </w:tc>
        <w:tc>
          <w:tcPr>
            <w:tcW w:w="6521" w:type="dxa"/>
          </w:tcPr>
          <w:p w14:paraId="507671BA" w14:textId="77777777" w:rsidR="00EC792D" w:rsidRPr="00D02C11" w:rsidRDefault="00EC792D" w:rsidP="00EC792D">
            <w:pPr>
              <w:pStyle w:val="ListParagraph"/>
              <w:numPr>
                <w:ilvl w:val="0"/>
                <w:numId w:val="25"/>
              </w:numPr>
              <w:spacing w:after="0"/>
              <w:ind w:left="273"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02C11">
              <w:rPr>
                <w:rFonts w:cstheme="minorHAnsi"/>
                <w:sz w:val="20"/>
                <w:szCs w:val="20"/>
              </w:rPr>
              <w:t>Discussion with approved provider or service leadership, and</w:t>
            </w:r>
          </w:p>
          <w:p w14:paraId="10807706" w14:textId="77777777" w:rsidR="00EC792D" w:rsidRPr="00D02C11" w:rsidRDefault="00EC792D" w:rsidP="00EC792D">
            <w:pPr>
              <w:pStyle w:val="ListParagraph"/>
              <w:numPr>
                <w:ilvl w:val="0"/>
                <w:numId w:val="25"/>
              </w:numPr>
              <w:spacing w:after="0"/>
              <w:ind w:left="273"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02C11">
              <w:rPr>
                <w:rFonts w:cstheme="minorHAnsi"/>
                <w:sz w:val="20"/>
                <w:szCs w:val="20"/>
              </w:rPr>
              <w:t>Review of Quality Improvement Plan, compliance history and other documents, and</w:t>
            </w:r>
          </w:p>
          <w:p w14:paraId="23ED01C2" w14:textId="0DD070B5" w:rsidR="00EC792D" w:rsidRPr="00D02C11" w:rsidRDefault="00EC792D" w:rsidP="00EC792D">
            <w:pPr>
              <w:pStyle w:val="ListParagraph"/>
              <w:numPr>
                <w:ilvl w:val="0"/>
                <w:numId w:val="25"/>
              </w:numPr>
              <w:spacing w:after="0"/>
              <w:ind w:left="273"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02C11">
              <w:rPr>
                <w:rFonts w:cstheme="minorHAnsi"/>
                <w:sz w:val="20"/>
                <w:szCs w:val="20"/>
              </w:rPr>
              <w:t>Assessment and rating visit to the service (</w:t>
            </w:r>
            <w:r w:rsidRPr="00D02C11">
              <w:rPr>
                <w:sz w:val="20"/>
                <w:szCs w:val="20"/>
              </w:rPr>
              <w:t>where observations of practice are needed to inform a rating</w:t>
            </w:r>
            <w:r w:rsidRPr="00D02C11">
              <w:rPr>
                <w:rFonts w:cstheme="minorHAnsi"/>
                <w:sz w:val="20"/>
                <w:szCs w:val="20"/>
              </w:rPr>
              <w:t>).</w:t>
            </w:r>
          </w:p>
        </w:tc>
      </w:tr>
      <w:tr w:rsidR="00EC792D" w14:paraId="6D8BF006" w14:textId="77777777" w:rsidTr="00424E5E">
        <w:tc>
          <w:tcPr>
            <w:cnfStyle w:val="001000000000" w:firstRow="0" w:lastRow="0" w:firstColumn="1" w:lastColumn="0" w:oddVBand="0" w:evenVBand="0" w:oddHBand="0" w:evenHBand="0" w:firstRowFirstColumn="0" w:firstRowLastColumn="0" w:lastRowFirstColumn="0" w:lastRowLastColumn="0"/>
            <w:tcW w:w="3397" w:type="dxa"/>
          </w:tcPr>
          <w:p w14:paraId="46E77E2D" w14:textId="1FF7E82E" w:rsidR="00EC792D" w:rsidRPr="00D02C11" w:rsidRDefault="00EC792D" w:rsidP="00EC792D">
            <w:pPr>
              <w:pStyle w:val="TableHead"/>
              <w:rPr>
                <w:color w:val="auto"/>
                <w:sz w:val="20"/>
                <w:szCs w:val="20"/>
              </w:rPr>
            </w:pPr>
            <w:r w:rsidRPr="00D02C11">
              <w:rPr>
                <w:rFonts w:cstheme="minorHAnsi"/>
                <w:color w:val="auto"/>
                <w:sz w:val="20"/>
                <w:szCs w:val="20"/>
              </w:rPr>
              <w:t>To be present in a service at least every three years</w:t>
            </w:r>
          </w:p>
        </w:tc>
        <w:tc>
          <w:tcPr>
            <w:tcW w:w="6521" w:type="dxa"/>
          </w:tcPr>
          <w:p w14:paraId="08F8D359" w14:textId="77777777" w:rsidR="00EC792D" w:rsidRPr="00D02C11" w:rsidRDefault="00EC792D" w:rsidP="00EC792D">
            <w:pPr>
              <w:pStyle w:val="ListParagraph"/>
              <w:numPr>
                <w:ilvl w:val="0"/>
                <w:numId w:val="25"/>
              </w:numPr>
              <w:spacing w:after="0"/>
              <w:ind w:left="273"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02C11">
              <w:rPr>
                <w:rFonts w:cstheme="minorHAnsi"/>
                <w:sz w:val="20"/>
                <w:szCs w:val="20"/>
              </w:rPr>
              <w:t xml:space="preserve">Discussion with approved provider or service leadership, and/or </w:t>
            </w:r>
          </w:p>
          <w:p w14:paraId="3474EF0D" w14:textId="0CB19542" w:rsidR="00EC792D" w:rsidRPr="00D02C11" w:rsidRDefault="00EC792D" w:rsidP="00EC792D">
            <w:pPr>
              <w:pStyle w:val="ListParagraph"/>
              <w:numPr>
                <w:ilvl w:val="0"/>
                <w:numId w:val="25"/>
              </w:numPr>
              <w:spacing w:after="0"/>
              <w:ind w:left="273"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02C11">
              <w:rPr>
                <w:rFonts w:cstheme="minorHAnsi"/>
                <w:sz w:val="20"/>
                <w:szCs w:val="20"/>
              </w:rPr>
              <w:t xml:space="preserve">Desktop audit of identified documents, compliance history and any other relevant information available to the Regulatory Authority, </w:t>
            </w:r>
            <w:r w:rsidR="00424E5E">
              <w:rPr>
                <w:rFonts w:cstheme="minorHAnsi"/>
                <w:sz w:val="20"/>
                <w:szCs w:val="20"/>
              </w:rPr>
              <w:t>and</w:t>
            </w:r>
          </w:p>
          <w:p w14:paraId="39E050E3" w14:textId="64FF628F" w:rsidR="00EC792D" w:rsidRPr="00D02C11" w:rsidRDefault="00EC792D" w:rsidP="00EC792D">
            <w:pPr>
              <w:pStyle w:val="ListParagraph"/>
              <w:numPr>
                <w:ilvl w:val="0"/>
                <w:numId w:val="25"/>
              </w:numPr>
              <w:spacing w:after="0"/>
              <w:ind w:left="273"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02C11">
              <w:rPr>
                <w:rFonts w:cstheme="minorHAnsi"/>
                <w:sz w:val="20"/>
                <w:szCs w:val="20"/>
              </w:rPr>
              <w:t>Compliance visit to the approved ECEC service premises.</w:t>
            </w:r>
          </w:p>
        </w:tc>
      </w:tr>
      <w:tr w:rsidR="00EC792D" w14:paraId="436E7D40" w14:textId="77777777" w:rsidTr="00424E5E">
        <w:tc>
          <w:tcPr>
            <w:cnfStyle w:val="001000000000" w:firstRow="0" w:lastRow="0" w:firstColumn="1" w:lastColumn="0" w:oddVBand="0" w:evenVBand="0" w:oddHBand="0" w:evenHBand="0" w:firstRowFirstColumn="0" w:firstRowLastColumn="0" w:lastRowFirstColumn="0" w:lastRowLastColumn="0"/>
            <w:tcW w:w="3397" w:type="dxa"/>
          </w:tcPr>
          <w:p w14:paraId="0492FD56" w14:textId="77777777" w:rsidR="00EC792D" w:rsidRPr="00D02C11" w:rsidRDefault="00EC792D" w:rsidP="00EC792D">
            <w:pPr>
              <w:pStyle w:val="ListParagraph"/>
              <w:spacing w:after="60"/>
              <w:ind w:left="0"/>
              <w:contextualSpacing w:val="0"/>
              <w:rPr>
                <w:rFonts w:cstheme="minorHAnsi"/>
                <w:b/>
                <w:bCs/>
                <w:color w:val="auto"/>
                <w:sz w:val="20"/>
                <w:szCs w:val="20"/>
              </w:rPr>
            </w:pPr>
            <w:r w:rsidRPr="00D02C11">
              <w:rPr>
                <w:rFonts w:cstheme="minorHAnsi"/>
                <w:b/>
                <w:bCs/>
                <w:color w:val="auto"/>
                <w:sz w:val="20"/>
                <w:szCs w:val="20"/>
              </w:rPr>
              <w:t>Following identification of a regulatory concern, major change or as part of other regulatory activity, such as:</w:t>
            </w:r>
          </w:p>
          <w:p w14:paraId="160D90CE" w14:textId="1F946E50" w:rsidR="00EC792D" w:rsidRPr="00D02C11" w:rsidRDefault="00EC792D" w:rsidP="00EC792D">
            <w:pPr>
              <w:pStyle w:val="ListParagraph"/>
              <w:numPr>
                <w:ilvl w:val="0"/>
                <w:numId w:val="23"/>
              </w:numPr>
              <w:spacing w:after="0"/>
              <w:ind w:left="309" w:hanging="309"/>
              <w:contextualSpacing w:val="0"/>
              <w:rPr>
                <w:rFonts w:cstheme="minorHAnsi"/>
                <w:b/>
                <w:bCs/>
                <w:color w:val="auto"/>
                <w:sz w:val="20"/>
                <w:szCs w:val="20"/>
              </w:rPr>
            </w:pPr>
            <w:r w:rsidRPr="00D02C11">
              <w:rPr>
                <w:rFonts w:cstheme="minorHAnsi"/>
                <w:b/>
                <w:bCs/>
                <w:color w:val="auto"/>
                <w:sz w:val="20"/>
                <w:szCs w:val="20"/>
              </w:rPr>
              <w:t>within 12 months of approved provider</w:t>
            </w:r>
            <w:r w:rsidR="00C90612" w:rsidRPr="00D02C11">
              <w:rPr>
                <w:rFonts w:cstheme="minorHAnsi"/>
                <w:b/>
                <w:bCs/>
                <w:color w:val="auto"/>
                <w:sz w:val="20"/>
                <w:szCs w:val="20"/>
              </w:rPr>
              <w:t xml:space="preserve"> change</w:t>
            </w:r>
            <w:r w:rsidRPr="00D02C11">
              <w:rPr>
                <w:rFonts w:cstheme="minorHAnsi"/>
                <w:b/>
                <w:bCs/>
                <w:color w:val="auto"/>
                <w:sz w:val="20"/>
                <w:szCs w:val="20"/>
              </w:rPr>
              <w:t>,</w:t>
            </w:r>
          </w:p>
          <w:p w14:paraId="0F158423" w14:textId="642F4513" w:rsidR="00C90612" w:rsidRPr="00D02C11" w:rsidRDefault="00EC792D" w:rsidP="00EC792D">
            <w:pPr>
              <w:pStyle w:val="ListParagraph"/>
              <w:numPr>
                <w:ilvl w:val="0"/>
                <w:numId w:val="23"/>
              </w:numPr>
              <w:spacing w:after="60"/>
              <w:ind w:left="309" w:hanging="309"/>
              <w:contextualSpacing w:val="0"/>
              <w:rPr>
                <w:rFonts w:cstheme="minorHAnsi"/>
                <w:b/>
                <w:bCs/>
                <w:color w:val="auto"/>
                <w:sz w:val="20"/>
                <w:szCs w:val="20"/>
              </w:rPr>
            </w:pPr>
            <w:r w:rsidRPr="00D02C11">
              <w:rPr>
                <w:rFonts w:cstheme="minorHAnsi"/>
                <w:b/>
                <w:bCs/>
                <w:color w:val="auto"/>
                <w:sz w:val="20"/>
                <w:szCs w:val="20"/>
              </w:rPr>
              <w:t>to check</w:t>
            </w:r>
            <w:r w:rsidR="00936EC6" w:rsidRPr="00D02C11">
              <w:rPr>
                <w:rFonts w:cstheme="minorHAnsi"/>
                <w:b/>
                <w:bCs/>
                <w:color w:val="auto"/>
                <w:sz w:val="20"/>
                <w:szCs w:val="20"/>
              </w:rPr>
              <w:t xml:space="preserve">/oversee </w:t>
            </w:r>
            <w:r w:rsidRPr="00D02C11">
              <w:rPr>
                <w:rFonts w:cstheme="minorHAnsi"/>
                <w:b/>
                <w:bCs/>
                <w:color w:val="auto"/>
                <w:sz w:val="20"/>
                <w:szCs w:val="20"/>
              </w:rPr>
              <w:t>remedies or sanctions to previously identified non-compliance,</w:t>
            </w:r>
          </w:p>
          <w:p w14:paraId="0FA997A8" w14:textId="516AF3BD" w:rsidR="00EC792D" w:rsidRPr="00D02C11" w:rsidRDefault="00EC792D" w:rsidP="00424E5E">
            <w:pPr>
              <w:pStyle w:val="ListParagraph"/>
              <w:numPr>
                <w:ilvl w:val="0"/>
                <w:numId w:val="23"/>
              </w:numPr>
              <w:spacing w:after="0"/>
              <w:ind w:left="309" w:hanging="309"/>
              <w:contextualSpacing w:val="0"/>
              <w:rPr>
                <w:rFonts w:cstheme="minorHAnsi"/>
                <w:b/>
                <w:bCs/>
                <w:color w:val="auto"/>
                <w:sz w:val="20"/>
                <w:szCs w:val="20"/>
              </w:rPr>
            </w:pPr>
            <w:r w:rsidRPr="00D02C11">
              <w:rPr>
                <w:rFonts w:cstheme="minorHAnsi"/>
                <w:b/>
                <w:bCs/>
                <w:color w:val="auto"/>
                <w:sz w:val="20"/>
                <w:szCs w:val="20"/>
              </w:rPr>
              <w:t>part of an investigation or targeted campaign.</w:t>
            </w:r>
          </w:p>
        </w:tc>
        <w:tc>
          <w:tcPr>
            <w:tcW w:w="6521" w:type="dxa"/>
          </w:tcPr>
          <w:p w14:paraId="50DE2468" w14:textId="77777777" w:rsidR="00EC792D" w:rsidRPr="00D02C11" w:rsidRDefault="00EC792D" w:rsidP="00EC792D">
            <w:pPr>
              <w:pStyle w:val="ListParagraph"/>
              <w:numPr>
                <w:ilvl w:val="0"/>
                <w:numId w:val="26"/>
              </w:numPr>
              <w:spacing w:after="0"/>
              <w:ind w:left="273" w:hanging="284"/>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02C11">
              <w:rPr>
                <w:rFonts w:cstheme="minorHAnsi"/>
                <w:sz w:val="20"/>
                <w:szCs w:val="20"/>
              </w:rPr>
              <w:t>Discussion/meeting/interview (depending on reason for the activity) with approved provider or service leadership, and/or</w:t>
            </w:r>
          </w:p>
          <w:p w14:paraId="6DB9F9A0" w14:textId="77777777" w:rsidR="00EC792D" w:rsidRPr="00D02C11" w:rsidRDefault="00EC792D" w:rsidP="00EC792D">
            <w:pPr>
              <w:pStyle w:val="ListParagraph"/>
              <w:numPr>
                <w:ilvl w:val="0"/>
                <w:numId w:val="25"/>
              </w:numPr>
              <w:spacing w:after="0"/>
              <w:ind w:left="273"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02C11">
              <w:rPr>
                <w:rFonts w:cstheme="minorHAnsi"/>
                <w:sz w:val="20"/>
                <w:szCs w:val="20"/>
              </w:rPr>
              <w:t>Desktop audit of identified documents, compliance history and any other relevant information available to the Regulatory Authority, and/or</w:t>
            </w:r>
          </w:p>
          <w:p w14:paraId="782BCD43" w14:textId="5E6BEEEE" w:rsidR="00EC792D" w:rsidRPr="00D02C11" w:rsidRDefault="00EC792D" w:rsidP="00EC792D">
            <w:pPr>
              <w:pStyle w:val="ListParagraph"/>
              <w:numPr>
                <w:ilvl w:val="0"/>
                <w:numId w:val="25"/>
              </w:numPr>
              <w:spacing w:after="0"/>
              <w:ind w:left="273"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02C11">
              <w:rPr>
                <w:rFonts w:cstheme="minorHAnsi"/>
                <w:sz w:val="20"/>
                <w:szCs w:val="20"/>
              </w:rPr>
              <w:t>Compliance/investigation/targeted campaign visit to the approved ECEC service.</w:t>
            </w:r>
          </w:p>
        </w:tc>
      </w:tr>
    </w:tbl>
    <w:p w14:paraId="5EA0A6B4" w14:textId="6AE892FF" w:rsidR="00141F23" w:rsidRPr="00141F23" w:rsidRDefault="002737E8" w:rsidP="00141F23">
      <w:pPr>
        <w:pStyle w:val="Heading2"/>
        <w:rPr>
          <w:lang w:val="en-AU"/>
        </w:rPr>
      </w:pPr>
      <w:bookmarkStart w:id="5" w:name="_Toc150338734"/>
      <w:r>
        <w:rPr>
          <w:lang w:val="en-AU"/>
        </w:rPr>
        <w:lastRenderedPageBreak/>
        <w:t>Visits to an ECEC service</w:t>
      </w:r>
      <w:bookmarkEnd w:id="5"/>
    </w:p>
    <w:p w14:paraId="64406180" w14:textId="77777777" w:rsidR="00DD6C0C" w:rsidRDefault="00DD6C0C" w:rsidP="00DD6C0C">
      <w:pPr>
        <w:spacing w:before="120"/>
        <w:rPr>
          <w:rFonts w:cstheme="minorHAnsi"/>
        </w:rPr>
      </w:pPr>
      <w:r>
        <w:rPr>
          <w:rFonts w:cstheme="minorHAnsi"/>
        </w:rPr>
        <w:t>V</w:t>
      </w:r>
      <w:r w:rsidRPr="00D46284">
        <w:rPr>
          <w:rFonts w:cstheme="minorHAnsi"/>
        </w:rPr>
        <w:t>isits</w:t>
      </w:r>
      <w:r>
        <w:rPr>
          <w:rFonts w:cstheme="minorHAnsi"/>
        </w:rPr>
        <w:t xml:space="preserve"> to ECEC service premises or family day care educator residences </w:t>
      </w:r>
      <w:r w:rsidRPr="00D46284">
        <w:rPr>
          <w:rFonts w:cstheme="minorHAnsi"/>
        </w:rPr>
        <w:t xml:space="preserve">are an important and effective means </w:t>
      </w:r>
      <w:r>
        <w:rPr>
          <w:rFonts w:cstheme="minorHAnsi"/>
        </w:rPr>
        <w:t>of</w:t>
      </w:r>
      <w:r w:rsidRPr="00D46284">
        <w:rPr>
          <w:rFonts w:cstheme="minorHAnsi"/>
        </w:rPr>
        <w:t xml:space="preserve"> </w:t>
      </w:r>
      <w:r>
        <w:rPr>
          <w:rFonts w:cstheme="minorHAnsi"/>
        </w:rPr>
        <w:t>monitoring</w:t>
      </w:r>
      <w:r w:rsidRPr="00D46284">
        <w:rPr>
          <w:rFonts w:cstheme="minorHAnsi"/>
        </w:rPr>
        <w:t xml:space="preserve"> </w:t>
      </w:r>
      <w:r>
        <w:rPr>
          <w:rFonts w:cstheme="minorHAnsi"/>
        </w:rPr>
        <w:t xml:space="preserve">and assessing as they </w:t>
      </w:r>
      <w:r w:rsidRPr="00D46284">
        <w:rPr>
          <w:rFonts w:cstheme="minorHAnsi"/>
        </w:rPr>
        <w:t>allow</w:t>
      </w:r>
      <w:r>
        <w:rPr>
          <w:rFonts w:cstheme="minorHAnsi"/>
        </w:rPr>
        <w:t xml:space="preserve"> </w:t>
      </w:r>
      <w:r w:rsidRPr="00D46284">
        <w:rPr>
          <w:rFonts w:cstheme="minorHAnsi"/>
        </w:rPr>
        <w:t>identification of areas for regulatory attention that have otherwise gone unnoticed and/or unreported</w:t>
      </w:r>
      <w:r>
        <w:rPr>
          <w:rFonts w:cstheme="minorHAnsi"/>
        </w:rPr>
        <w:t>. They are also an opportunity to maintain connections with, and provide information and guidance to, services</w:t>
      </w:r>
      <w:r w:rsidRPr="00D46284">
        <w:rPr>
          <w:rFonts w:cstheme="minorHAnsi"/>
        </w:rPr>
        <w:t>.</w:t>
      </w:r>
      <w:r>
        <w:rPr>
          <w:rFonts w:cstheme="minorHAnsi"/>
        </w:rPr>
        <w:t xml:space="preserve"> </w:t>
      </w:r>
    </w:p>
    <w:p w14:paraId="14E95347" w14:textId="77777777" w:rsidR="00DD6C0C" w:rsidRPr="00DF1214" w:rsidRDefault="00DD6C0C" w:rsidP="00DD6C0C">
      <w:pPr>
        <w:rPr>
          <w:rFonts w:cstheme="minorHAnsi"/>
        </w:rPr>
      </w:pPr>
      <w:r w:rsidRPr="00DF1214">
        <w:rPr>
          <w:rFonts w:cstheme="minorHAnsi"/>
        </w:rPr>
        <w:t xml:space="preserve">The National Law provides powers for Authorised Officers of the Regulatory </w:t>
      </w:r>
      <w:r w:rsidRPr="00DF1214">
        <w:rPr>
          <w:rFonts w:cstheme="minorHAnsi"/>
          <w:szCs w:val="22"/>
        </w:rPr>
        <w:t>Authority to enter a service premises for assessing or monitoring compliance, or for investigations.</w:t>
      </w:r>
      <w:r w:rsidRPr="003C4B01">
        <w:rPr>
          <w:rStyle w:val="FootnoteReference"/>
          <w:rFonts w:cstheme="minorHAnsi"/>
          <w:color w:val="auto"/>
          <w:sz w:val="22"/>
          <w:szCs w:val="22"/>
        </w:rPr>
        <w:footnoteReference w:id="3"/>
      </w:r>
      <w:r w:rsidRPr="003C4B01">
        <w:rPr>
          <w:rFonts w:cstheme="minorHAnsi"/>
          <w:szCs w:val="22"/>
        </w:rPr>
        <w:t xml:space="preserve"> </w:t>
      </w:r>
      <w:r w:rsidRPr="00DF1214">
        <w:rPr>
          <w:rFonts w:cstheme="minorHAnsi"/>
          <w:szCs w:val="22"/>
        </w:rPr>
        <w:t>Visits may be announced or unannounced and t</w:t>
      </w:r>
      <w:r w:rsidRPr="00DF1214">
        <w:rPr>
          <w:rFonts w:cstheme="minorHAnsi"/>
        </w:rPr>
        <w:t xml:space="preserve">he priorities are always based around risk to the safety, </w:t>
      </w:r>
      <w:proofErr w:type="gramStart"/>
      <w:r w:rsidRPr="00DF1214">
        <w:rPr>
          <w:rFonts w:cstheme="minorHAnsi"/>
        </w:rPr>
        <w:t>health</w:t>
      </w:r>
      <w:proofErr w:type="gramEnd"/>
      <w:r w:rsidRPr="00DF1214">
        <w:rPr>
          <w:rFonts w:cstheme="minorHAnsi"/>
        </w:rPr>
        <w:t xml:space="preserve"> and wellbeing of children. As outlined in the table in the previous section, </w:t>
      </w:r>
      <w:r>
        <w:rPr>
          <w:rFonts w:cstheme="minorHAnsi"/>
        </w:rPr>
        <w:t xml:space="preserve">the Regulatory Authority conducts the following types of </w:t>
      </w:r>
      <w:r w:rsidRPr="00DF1214">
        <w:rPr>
          <w:rFonts w:cstheme="minorHAnsi"/>
        </w:rPr>
        <w:t>visits:</w:t>
      </w:r>
    </w:p>
    <w:p w14:paraId="562C9439" w14:textId="77777777" w:rsidR="00DD6C0C" w:rsidRDefault="00DD6C0C" w:rsidP="00DD6C0C">
      <w:pPr>
        <w:pStyle w:val="ListParagraph"/>
        <w:numPr>
          <w:ilvl w:val="0"/>
          <w:numId w:val="28"/>
        </w:numPr>
        <w:ind w:left="426" w:hanging="426"/>
      </w:pPr>
      <w:r>
        <w:t>Pre-approval visits: to verify premises compliance in relation to an application for service approval or a waiver.</w:t>
      </w:r>
    </w:p>
    <w:p w14:paraId="073F28D9" w14:textId="77777777" w:rsidR="00DD6C0C" w:rsidRDefault="00DD6C0C" w:rsidP="00DD6C0C">
      <w:pPr>
        <w:pStyle w:val="ListParagraph"/>
        <w:numPr>
          <w:ilvl w:val="0"/>
          <w:numId w:val="29"/>
        </w:numPr>
        <w:ind w:left="426" w:hanging="426"/>
        <w:rPr>
          <w:rFonts w:cstheme="minorHAnsi"/>
        </w:rPr>
      </w:pPr>
      <w:r>
        <w:rPr>
          <w:rFonts w:cstheme="minorHAnsi"/>
        </w:rPr>
        <w:t xml:space="preserve">Compliance visits: to check or reinforce compliance, including follow-up visits to check compliance with any remedy or sanction imposed by the Regulatory Authority </w:t>
      </w:r>
      <w:proofErr w:type="gramStart"/>
      <w:r>
        <w:rPr>
          <w:rFonts w:cstheme="minorHAnsi"/>
        </w:rPr>
        <w:t>as a result of</w:t>
      </w:r>
      <w:proofErr w:type="gramEnd"/>
      <w:r>
        <w:rPr>
          <w:rFonts w:cstheme="minorHAnsi"/>
        </w:rPr>
        <w:t xml:space="preserve"> previously identified non-compliance.</w:t>
      </w:r>
    </w:p>
    <w:p w14:paraId="1D0ED404" w14:textId="77777777" w:rsidR="00DD6C0C" w:rsidRDefault="00DD6C0C" w:rsidP="00DD6C0C">
      <w:pPr>
        <w:pStyle w:val="ListParagraph"/>
        <w:numPr>
          <w:ilvl w:val="0"/>
          <w:numId w:val="29"/>
        </w:numPr>
        <w:ind w:left="426" w:hanging="426"/>
        <w:rPr>
          <w:rFonts w:cstheme="minorHAnsi"/>
        </w:rPr>
      </w:pPr>
      <w:r>
        <w:rPr>
          <w:rFonts w:cstheme="minorHAnsi"/>
        </w:rPr>
        <w:t>Investigation visits: to check compliance and collect evidence in relation to an investigation regarding an incident, complaint or other intelligence received by the Regulatory Authority.</w:t>
      </w:r>
    </w:p>
    <w:p w14:paraId="5CE8665B" w14:textId="77777777" w:rsidR="00DD6C0C" w:rsidRDefault="00DD6C0C" w:rsidP="00DD6C0C">
      <w:pPr>
        <w:pStyle w:val="ListParagraph"/>
        <w:numPr>
          <w:ilvl w:val="0"/>
          <w:numId w:val="29"/>
        </w:numPr>
        <w:ind w:left="426" w:hanging="426"/>
        <w:rPr>
          <w:rFonts w:cstheme="minorHAnsi"/>
        </w:rPr>
      </w:pPr>
      <w:r>
        <w:rPr>
          <w:rFonts w:cstheme="minorHAnsi"/>
        </w:rPr>
        <w:t xml:space="preserve">Targeted campaign visits: to check compliance as part of a targeted campaign and usually focused on </w:t>
      </w:r>
      <w:proofErr w:type="gramStart"/>
      <w:r>
        <w:rPr>
          <w:rFonts w:cstheme="minorHAnsi"/>
        </w:rPr>
        <w:t>particular risks</w:t>
      </w:r>
      <w:proofErr w:type="gramEnd"/>
      <w:r>
        <w:rPr>
          <w:rFonts w:cstheme="minorHAnsi"/>
        </w:rPr>
        <w:t xml:space="preserve"> or issues.</w:t>
      </w:r>
    </w:p>
    <w:p w14:paraId="5AABA725" w14:textId="77777777" w:rsidR="00DD6C0C" w:rsidRPr="00F10972" w:rsidRDefault="00DD6C0C" w:rsidP="00DD6C0C">
      <w:pPr>
        <w:pStyle w:val="ListParagraph"/>
        <w:numPr>
          <w:ilvl w:val="0"/>
          <w:numId w:val="29"/>
        </w:numPr>
        <w:ind w:left="426" w:hanging="426"/>
        <w:rPr>
          <w:rFonts w:cstheme="minorHAnsi"/>
        </w:rPr>
      </w:pPr>
      <w:r>
        <w:rPr>
          <w:rFonts w:cstheme="minorHAnsi"/>
        </w:rPr>
        <w:t>Assessment and rating visits: to assess and rate a service as described in the relevant section below.</w:t>
      </w:r>
    </w:p>
    <w:p w14:paraId="06381A79" w14:textId="77777777" w:rsidR="00DD6C0C" w:rsidRPr="00515F60" w:rsidRDefault="00DD6C0C" w:rsidP="00DD6C0C">
      <w:pPr>
        <w:rPr>
          <w:rFonts w:cstheme="minorHAnsi"/>
        </w:rPr>
      </w:pPr>
      <w:r>
        <w:rPr>
          <w:rFonts w:cstheme="minorHAnsi"/>
        </w:rPr>
        <w:t xml:space="preserve">Authorised Officers may gather </w:t>
      </w:r>
      <w:bookmarkStart w:id="6" w:name="_Hlk34577241"/>
      <w:r w:rsidRPr="00515F60">
        <w:rPr>
          <w:rFonts w:cstheme="minorHAnsi"/>
        </w:rPr>
        <w:t xml:space="preserve">evidence </w:t>
      </w:r>
      <w:bookmarkEnd w:id="6"/>
      <w:r>
        <w:rPr>
          <w:rFonts w:cstheme="minorHAnsi"/>
        </w:rPr>
        <w:t xml:space="preserve">during these visits </w:t>
      </w:r>
      <w:r w:rsidRPr="00515F60">
        <w:rPr>
          <w:rFonts w:cstheme="minorHAnsi"/>
        </w:rPr>
        <w:t>through</w:t>
      </w:r>
      <w:r>
        <w:rPr>
          <w:rFonts w:cstheme="minorHAnsi"/>
        </w:rPr>
        <w:t xml:space="preserve"> the following practices</w:t>
      </w:r>
      <w:r w:rsidRPr="00515F60">
        <w:rPr>
          <w:rFonts w:cstheme="minorHAnsi"/>
        </w:rPr>
        <w:t>:</w:t>
      </w:r>
    </w:p>
    <w:p w14:paraId="315C5A3E" w14:textId="77777777" w:rsidR="00DD6C0C" w:rsidRDefault="00DD6C0C" w:rsidP="00DD6C0C">
      <w:pPr>
        <w:pStyle w:val="ListParagraph"/>
        <w:numPr>
          <w:ilvl w:val="0"/>
          <w:numId w:val="27"/>
        </w:numPr>
        <w:spacing w:after="0" w:line="240" w:lineRule="auto"/>
        <w:ind w:left="425" w:hanging="425"/>
        <w:contextualSpacing w:val="0"/>
        <w:rPr>
          <w:rFonts w:cstheme="minorHAnsi"/>
        </w:rPr>
      </w:pPr>
      <w:r w:rsidRPr="00515F60">
        <w:rPr>
          <w:rFonts w:cstheme="minorHAnsi"/>
        </w:rPr>
        <w:t xml:space="preserve">observing children and the practice of educators within the program, </w:t>
      </w:r>
    </w:p>
    <w:p w14:paraId="3EFEBE89" w14:textId="77777777" w:rsidR="00DD6C0C" w:rsidRPr="00515F60" w:rsidRDefault="00DD6C0C" w:rsidP="00DD6C0C">
      <w:pPr>
        <w:pStyle w:val="ListParagraph"/>
        <w:numPr>
          <w:ilvl w:val="0"/>
          <w:numId w:val="27"/>
        </w:numPr>
        <w:spacing w:after="0" w:line="240" w:lineRule="auto"/>
        <w:ind w:left="425" w:hanging="425"/>
        <w:contextualSpacing w:val="0"/>
        <w:rPr>
          <w:rFonts w:cstheme="minorHAnsi"/>
        </w:rPr>
      </w:pPr>
      <w:r>
        <w:rPr>
          <w:rFonts w:cstheme="minorHAnsi"/>
        </w:rPr>
        <w:t>inspecting the premises and equipment,</w:t>
      </w:r>
    </w:p>
    <w:p w14:paraId="4DE06895" w14:textId="77777777" w:rsidR="00DD6C0C" w:rsidRPr="00515F60" w:rsidRDefault="00DD6C0C" w:rsidP="00DD6C0C">
      <w:pPr>
        <w:pStyle w:val="ListParagraph"/>
        <w:numPr>
          <w:ilvl w:val="0"/>
          <w:numId w:val="27"/>
        </w:numPr>
        <w:spacing w:after="0" w:line="240" w:lineRule="auto"/>
        <w:ind w:left="425" w:hanging="425"/>
        <w:contextualSpacing w:val="0"/>
        <w:rPr>
          <w:rFonts w:cstheme="minorHAnsi"/>
        </w:rPr>
      </w:pPr>
      <w:r w:rsidRPr="00515F60">
        <w:rPr>
          <w:rFonts w:cstheme="minorHAnsi"/>
        </w:rPr>
        <w:t>discussing aspects of the service’s operations</w:t>
      </w:r>
      <w:r>
        <w:rPr>
          <w:rFonts w:cstheme="minorHAnsi"/>
        </w:rPr>
        <w:t xml:space="preserve"> and leadership</w:t>
      </w:r>
      <w:r w:rsidRPr="00515F60">
        <w:rPr>
          <w:rFonts w:cstheme="minorHAnsi"/>
        </w:rPr>
        <w:t xml:space="preserve"> </w:t>
      </w:r>
      <w:r>
        <w:rPr>
          <w:rFonts w:cstheme="minorHAnsi"/>
        </w:rPr>
        <w:t xml:space="preserve">with staff, </w:t>
      </w:r>
    </w:p>
    <w:p w14:paraId="3518FBAA" w14:textId="77777777" w:rsidR="00DD6C0C" w:rsidRDefault="00DD6C0C" w:rsidP="00DD6C0C">
      <w:pPr>
        <w:pStyle w:val="ListParagraph"/>
        <w:numPr>
          <w:ilvl w:val="0"/>
          <w:numId w:val="27"/>
        </w:numPr>
        <w:spacing w:after="0" w:line="240" w:lineRule="auto"/>
        <w:ind w:left="425" w:hanging="425"/>
        <w:contextualSpacing w:val="0"/>
        <w:rPr>
          <w:rFonts w:cstheme="minorHAnsi"/>
        </w:rPr>
      </w:pPr>
      <w:r w:rsidRPr="00515F60">
        <w:rPr>
          <w:rFonts w:cstheme="minorHAnsi"/>
        </w:rPr>
        <w:t>sighting records and documents</w:t>
      </w:r>
      <w:r>
        <w:rPr>
          <w:rFonts w:cstheme="minorHAnsi"/>
        </w:rPr>
        <w:t xml:space="preserve">, </w:t>
      </w:r>
    </w:p>
    <w:p w14:paraId="1A7B72F0" w14:textId="77777777" w:rsidR="00DD6C0C" w:rsidRPr="00515F60" w:rsidRDefault="00DD6C0C" w:rsidP="00DD6C0C">
      <w:pPr>
        <w:pStyle w:val="ListParagraph"/>
        <w:numPr>
          <w:ilvl w:val="0"/>
          <w:numId w:val="27"/>
        </w:numPr>
        <w:spacing w:after="120" w:line="240" w:lineRule="auto"/>
        <w:ind w:left="426" w:hanging="426"/>
        <w:rPr>
          <w:rFonts w:cstheme="minorHAnsi"/>
        </w:rPr>
      </w:pPr>
      <w:r>
        <w:rPr>
          <w:rFonts w:cstheme="minorHAnsi"/>
        </w:rPr>
        <w:t>making copies or photographs or film of any of the above</w:t>
      </w:r>
      <w:r w:rsidRPr="00515F60">
        <w:rPr>
          <w:rFonts w:cstheme="minorHAnsi"/>
        </w:rPr>
        <w:t xml:space="preserve">. </w:t>
      </w:r>
    </w:p>
    <w:p w14:paraId="55C344FF" w14:textId="77777777" w:rsidR="00574066" w:rsidRDefault="00574066" w:rsidP="00574066">
      <w:pPr>
        <w:rPr>
          <w:rFonts w:cstheme="minorHAnsi"/>
        </w:rPr>
      </w:pPr>
      <w:r>
        <w:rPr>
          <w:rFonts w:cstheme="minorHAnsi"/>
        </w:rPr>
        <w:t>During a visit, Authorised Officers will explain the purpose of their attendance and discuss their planned activity at the premises with the responsible person.</w:t>
      </w:r>
      <w:r w:rsidRPr="00401165">
        <w:rPr>
          <w:rStyle w:val="FootnoteReference"/>
          <w:rFonts w:cstheme="minorHAnsi"/>
          <w:color w:val="auto"/>
          <w:sz w:val="18"/>
          <w:szCs w:val="18"/>
        </w:rPr>
        <w:footnoteReference w:id="4"/>
      </w:r>
      <w:r>
        <w:rPr>
          <w:rFonts w:cstheme="minorHAnsi"/>
        </w:rPr>
        <w:t xml:space="preserve"> Non-compliance observed by an Authorised Officer may also be discussed so there is immediate opportunity to commence mitigation or rectification</w:t>
      </w:r>
      <w:r w:rsidRPr="000E1F3C">
        <w:rPr>
          <w:rFonts w:cstheme="minorHAnsi"/>
        </w:rPr>
        <w:t>.</w:t>
      </w:r>
      <w:r>
        <w:rPr>
          <w:rFonts w:cstheme="minorHAnsi"/>
        </w:rPr>
        <w:t xml:space="preserve"> Where there is non-compliance that creates serious or imminent risk to safety, </w:t>
      </w:r>
      <w:proofErr w:type="gramStart"/>
      <w:r>
        <w:rPr>
          <w:rFonts w:cstheme="minorHAnsi"/>
        </w:rPr>
        <w:t>health</w:t>
      </w:r>
      <w:proofErr w:type="gramEnd"/>
      <w:r>
        <w:rPr>
          <w:rFonts w:cstheme="minorHAnsi"/>
        </w:rPr>
        <w:t xml:space="preserve"> and wellbeing of children, this is escalated immediately within the Regulatory Authority and emergency action is taken where necessary.</w:t>
      </w:r>
    </w:p>
    <w:p w14:paraId="3F3AD376" w14:textId="77777777" w:rsidR="00574066" w:rsidRPr="00A0065D" w:rsidRDefault="00574066" w:rsidP="00574066">
      <w:pPr>
        <w:rPr>
          <w:rFonts w:cstheme="minorHAnsi"/>
        </w:rPr>
      </w:pPr>
      <w:r w:rsidRPr="00A0065D">
        <w:rPr>
          <w:rFonts w:cstheme="minorHAnsi"/>
          <w:shd w:val="clear" w:color="auto" w:fill="FFFFFF" w:themeFill="background1"/>
        </w:rPr>
        <w:t xml:space="preserve">Following a visit, the Authorised Officer will </w:t>
      </w:r>
      <w:r>
        <w:rPr>
          <w:rFonts w:cstheme="minorHAnsi"/>
          <w:shd w:val="clear" w:color="auto" w:fill="FFFFFF" w:themeFill="background1"/>
        </w:rPr>
        <w:t>provide written findings to</w:t>
      </w:r>
      <w:r w:rsidRPr="00A0065D">
        <w:rPr>
          <w:rFonts w:cstheme="minorHAnsi"/>
          <w:shd w:val="clear" w:color="auto" w:fill="FFFFFF" w:themeFill="background1"/>
        </w:rPr>
        <w:t xml:space="preserve"> the approved provider. </w:t>
      </w:r>
      <w:r w:rsidRPr="00A0065D">
        <w:rPr>
          <w:rFonts w:cstheme="minorHAnsi"/>
        </w:rPr>
        <w:t xml:space="preserve">The approved provider </w:t>
      </w:r>
      <w:r>
        <w:rPr>
          <w:rFonts w:cstheme="minorHAnsi"/>
        </w:rPr>
        <w:t>is expected</w:t>
      </w:r>
      <w:r w:rsidRPr="00A0065D">
        <w:rPr>
          <w:rFonts w:cstheme="minorHAnsi"/>
        </w:rPr>
        <w:t xml:space="preserve"> to </w:t>
      </w:r>
      <w:r>
        <w:rPr>
          <w:rFonts w:cstheme="minorHAnsi"/>
        </w:rPr>
        <w:t xml:space="preserve">promptly </w:t>
      </w:r>
      <w:r w:rsidRPr="00A0065D">
        <w:rPr>
          <w:rFonts w:cstheme="minorHAnsi"/>
        </w:rPr>
        <w:t>rectify any non-compliance and to provide evidence of rectification.</w:t>
      </w:r>
      <w:r>
        <w:rPr>
          <w:rFonts w:cstheme="minorHAnsi"/>
        </w:rPr>
        <w:t xml:space="preserve"> S</w:t>
      </w:r>
      <w:r w:rsidRPr="00A0065D">
        <w:rPr>
          <w:rFonts w:cstheme="minorHAnsi"/>
        </w:rPr>
        <w:t>anctions or other action may be applied</w:t>
      </w:r>
      <w:r>
        <w:rPr>
          <w:rFonts w:cstheme="minorHAnsi"/>
        </w:rPr>
        <w:t xml:space="preserve"> by the Regulatory Authority</w:t>
      </w:r>
      <w:r w:rsidRPr="00A0065D">
        <w:rPr>
          <w:rFonts w:cstheme="minorHAnsi"/>
        </w:rPr>
        <w:t xml:space="preserve"> </w:t>
      </w:r>
      <w:r>
        <w:rPr>
          <w:rFonts w:cstheme="minorHAnsi"/>
        </w:rPr>
        <w:t>if</w:t>
      </w:r>
      <w:r w:rsidRPr="00A0065D">
        <w:rPr>
          <w:rFonts w:cstheme="minorHAnsi"/>
        </w:rPr>
        <w:t xml:space="preserve"> </w:t>
      </w:r>
      <w:r>
        <w:rPr>
          <w:rFonts w:cstheme="minorHAnsi"/>
        </w:rPr>
        <w:t>compliance is inadequate and/or risks to children’s safety, health and wellbeing are unacceptable or persist</w:t>
      </w:r>
      <w:r w:rsidRPr="00A0065D">
        <w:rPr>
          <w:rFonts w:cstheme="minorHAnsi"/>
        </w:rPr>
        <w:t>.</w:t>
      </w:r>
    </w:p>
    <w:p w14:paraId="42DDE5BC" w14:textId="494E1A3D" w:rsidR="00574066" w:rsidRDefault="00574066" w:rsidP="00CB54B5">
      <w:pPr>
        <w:rPr>
          <w:rFonts w:cstheme="minorHAnsi"/>
        </w:rPr>
      </w:pPr>
      <w:r>
        <w:rPr>
          <w:rFonts w:cstheme="minorHAnsi"/>
        </w:rPr>
        <w:t>F</w:t>
      </w:r>
      <w:r w:rsidRPr="00A0065D">
        <w:rPr>
          <w:rFonts w:cstheme="minorHAnsi"/>
        </w:rPr>
        <w:t xml:space="preserve">indings </w:t>
      </w:r>
      <w:r>
        <w:rPr>
          <w:rFonts w:cstheme="minorHAnsi"/>
        </w:rPr>
        <w:t xml:space="preserve">from a visit, as well as the approved provider’s response, </w:t>
      </w:r>
      <w:r w:rsidRPr="00A0065D">
        <w:rPr>
          <w:rFonts w:cstheme="minorHAnsi"/>
        </w:rPr>
        <w:t>form part of the service’s compliance history</w:t>
      </w:r>
      <w:r>
        <w:rPr>
          <w:rFonts w:cstheme="minorHAnsi"/>
        </w:rPr>
        <w:t xml:space="preserve">. Compliance history is relevant to </w:t>
      </w:r>
      <w:r w:rsidRPr="00A0065D">
        <w:rPr>
          <w:rFonts w:cstheme="minorHAnsi"/>
        </w:rPr>
        <w:t>the Regulatory Authority</w:t>
      </w:r>
      <w:r>
        <w:rPr>
          <w:rFonts w:cstheme="minorHAnsi"/>
        </w:rPr>
        <w:t xml:space="preserve"> when making future decisions about the approved provider or the service. The findings are also used</w:t>
      </w:r>
      <w:r w:rsidRPr="00A0065D">
        <w:rPr>
          <w:rFonts w:cstheme="minorHAnsi"/>
        </w:rPr>
        <w:t xml:space="preserve"> to determine whether additional monitoring of the service is required, as </w:t>
      </w:r>
      <w:r>
        <w:rPr>
          <w:rFonts w:cstheme="minorHAnsi"/>
        </w:rPr>
        <w:t>outlined in the relevant section</w:t>
      </w:r>
      <w:r w:rsidRPr="00A0065D">
        <w:rPr>
          <w:rFonts w:cstheme="minorHAnsi"/>
        </w:rPr>
        <w:t xml:space="preserve"> below</w:t>
      </w:r>
      <w:r>
        <w:rPr>
          <w:rFonts w:cstheme="minorHAnsi"/>
        </w:rPr>
        <w:t>.</w:t>
      </w:r>
    </w:p>
    <w:p w14:paraId="297A2206" w14:textId="77777777" w:rsidR="00A10B54" w:rsidRDefault="00A10B54" w:rsidP="00574066">
      <w:pPr>
        <w:spacing w:after="240"/>
        <w:rPr>
          <w:rFonts w:cstheme="minorHAnsi"/>
        </w:rPr>
      </w:pPr>
    </w:p>
    <w:p w14:paraId="3172418F" w14:textId="52FD63A8" w:rsidR="00574066" w:rsidRPr="00141F23" w:rsidRDefault="002A386C" w:rsidP="00574066">
      <w:pPr>
        <w:pStyle w:val="Heading2"/>
        <w:rPr>
          <w:lang w:val="en-AU"/>
        </w:rPr>
      </w:pPr>
      <w:bookmarkStart w:id="7" w:name="_Toc150338735"/>
      <w:r>
        <w:rPr>
          <w:lang w:val="en-AU"/>
        </w:rPr>
        <w:lastRenderedPageBreak/>
        <w:t>A</w:t>
      </w:r>
      <w:r w:rsidR="0085166B">
        <w:rPr>
          <w:lang w:val="en-AU"/>
        </w:rPr>
        <w:t>ssessment and rating process</w:t>
      </w:r>
      <w:bookmarkEnd w:id="7"/>
    </w:p>
    <w:p w14:paraId="78451B52" w14:textId="77777777" w:rsidR="0085166B" w:rsidRPr="004C2430" w:rsidRDefault="0085166B" w:rsidP="0085166B">
      <w:r w:rsidRPr="00105F69">
        <w:rPr>
          <w:rFonts w:cstheme="minorHAnsi"/>
        </w:rPr>
        <w:t xml:space="preserve">The Regulatory Authority </w:t>
      </w:r>
      <w:r>
        <w:rPr>
          <w:rFonts w:cstheme="minorHAnsi"/>
        </w:rPr>
        <w:t xml:space="preserve">may at any time assess an ECEC service </w:t>
      </w:r>
      <w:r w:rsidRPr="00105F69">
        <w:rPr>
          <w:rFonts w:cstheme="minorHAnsi"/>
        </w:rPr>
        <w:t>to determine</w:t>
      </w:r>
      <w:r>
        <w:rPr>
          <w:rFonts w:cstheme="minorHAnsi"/>
        </w:rPr>
        <w:t xml:space="preserve"> whether, and at what rating level,</w:t>
      </w:r>
      <w:r w:rsidRPr="00105F69">
        <w:rPr>
          <w:rFonts w:cstheme="minorHAnsi"/>
        </w:rPr>
        <w:t xml:space="preserve"> </w:t>
      </w:r>
      <w:r>
        <w:rPr>
          <w:rFonts w:cstheme="minorHAnsi"/>
        </w:rPr>
        <w:t>the service</w:t>
      </w:r>
      <w:r w:rsidRPr="00105F69">
        <w:rPr>
          <w:rFonts w:cstheme="minorHAnsi"/>
        </w:rPr>
        <w:t xml:space="preserve"> </w:t>
      </w:r>
      <w:r>
        <w:rPr>
          <w:rFonts w:cstheme="minorHAnsi"/>
        </w:rPr>
        <w:t>meets</w:t>
      </w:r>
      <w:r w:rsidRPr="00105F69">
        <w:rPr>
          <w:rFonts w:cstheme="minorHAnsi"/>
        </w:rPr>
        <w:t xml:space="preserve"> the National Quality Standard and the requirements of the </w:t>
      </w:r>
      <w:r>
        <w:rPr>
          <w:rFonts w:cstheme="minorHAnsi"/>
        </w:rPr>
        <w:t>N</w:t>
      </w:r>
      <w:r w:rsidRPr="00105F69">
        <w:rPr>
          <w:rFonts w:cstheme="minorHAnsi"/>
        </w:rPr>
        <w:t xml:space="preserve">ational </w:t>
      </w:r>
      <w:r>
        <w:rPr>
          <w:rFonts w:cstheme="minorHAnsi"/>
        </w:rPr>
        <w:t>R</w:t>
      </w:r>
      <w:r w:rsidRPr="00105F69">
        <w:rPr>
          <w:rFonts w:cstheme="minorHAnsi"/>
        </w:rPr>
        <w:t>egulations</w:t>
      </w:r>
      <w:r w:rsidRPr="00F43DEA">
        <w:rPr>
          <w:rFonts w:cstheme="minorHAnsi"/>
        </w:rPr>
        <w:t>.</w:t>
      </w:r>
      <w:r w:rsidRPr="003C4B01">
        <w:rPr>
          <w:rStyle w:val="FootnoteReference"/>
          <w:rFonts w:cstheme="minorHAnsi"/>
          <w:color w:val="auto"/>
          <w:sz w:val="20"/>
          <w:szCs w:val="20"/>
        </w:rPr>
        <w:footnoteReference w:id="5"/>
      </w:r>
      <w:r w:rsidRPr="003C4B01">
        <w:rPr>
          <w:rFonts w:cstheme="minorHAnsi"/>
          <w:sz w:val="28"/>
          <w:szCs w:val="32"/>
        </w:rPr>
        <w:t xml:space="preserve"> </w:t>
      </w:r>
      <w:r>
        <w:t>Usually, the Regulatory Authority conducts the first full assessment and rating of an ECEC service between 12 and 18 months after a new service commences operating. The process for the first full assessment and rating typically involves authorised officers:</w:t>
      </w:r>
    </w:p>
    <w:p w14:paraId="0E361579" w14:textId="77777777" w:rsidR="0085166B" w:rsidRPr="004C2430" w:rsidRDefault="0085166B" w:rsidP="0085166B">
      <w:pPr>
        <w:numPr>
          <w:ilvl w:val="0"/>
          <w:numId w:val="31"/>
        </w:numPr>
        <w:spacing w:after="0" w:line="259" w:lineRule="auto"/>
        <w:ind w:left="284" w:hanging="284"/>
      </w:pPr>
      <w:r>
        <w:t>Reviewing the c</w:t>
      </w:r>
      <w:r w:rsidRPr="004C2430">
        <w:t>urrent quality improvement plan (QIP)</w:t>
      </w:r>
      <w:r>
        <w:t>,</w:t>
      </w:r>
    </w:p>
    <w:p w14:paraId="4BE28006" w14:textId="77777777" w:rsidR="0085166B" w:rsidRDefault="0085166B" w:rsidP="0085166B">
      <w:pPr>
        <w:numPr>
          <w:ilvl w:val="0"/>
          <w:numId w:val="30"/>
        </w:numPr>
        <w:spacing w:after="0" w:line="259" w:lineRule="auto"/>
        <w:ind w:left="284" w:hanging="284"/>
      </w:pPr>
      <w:r w:rsidRPr="004C2430">
        <w:t>R</w:t>
      </w:r>
      <w:r>
        <w:t xml:space="preserve">eviewing the service compliance and rating </w:t>
      </w:r>
      <w:r w:rsidRPr="004C2430">
        <w:t>history</w:t>
      </w:r>
      <w:r>
        <w:t>,</w:t>
      </w:r>
    </w:p>
    <w:p w14:paraId="4B564171" w14:textId="77777777" w:rsidR="0085166B" w:rsidRPr="004C2430" w:rsidRDefault="0085166B" w:rsidP="0085166B">
      <w:pPr>
        <w:numPr>
          <w:ilvl w:val="0"/>
          <w:numId w:val="30"/>
        </w:numPr>
        <w:spacing w:after="0" w:line="259" w:lineRule="auto"/>
        <w:ind w:left="284" w:hanging="284"/>
      </w:pPr>
      <w:r>
        <w:t>Conducting a leadership discussion (prior to a visit) with service leadership,</w:t>
      </w:r>
    </w:p>
    <w:p w14:paraId="47196F08" w14:textId="77777777" w:rsidR="0085166B" w:rsidRDefault="0085166B" w:rsidP="0085166B">
      <w:pPr>
        <w:numPr>
          <w:ilvl w:val="0"/>
          <w:numId w:val="30"/>
        </w:numPr>
        <w:spacing w:after="0" w:line="259" w:lineRule="auto"/>
        <w:ind w:left="284" w:hanging="284"/>
      </w:pPr>
      <w:r>
        <w:t>Conducting a s</w:t>
      </w:r>
      <w:r w:rsidRPr="004C2430">
        <w:t>ite visit to the service</w:t>
      </w:r>
      <w:r>
        <w:t xml:space="preserve"> and in the case of family day care, one or more family day care venue or educator residences,</w:t>
      </w:r>
    </w:p>
    <w:p w14:paraId="35C55DB9" w14:textId="77777777" w:rsidR="0085166B" w:rsidRDefault="0085166B" w:rsidP="0085166B">
      <w:pPr>
        <w:numPr>
          <w:ilvl w:val="0"/>
          <w:numId w:val="30"/>
        </w:numPr>
        <w:spacing w:after="0" w:line="259" w:lineRule="auto"/>
        <w:ind w:left="284" w:hanging="284"/>
      </w:pPr>
      <w:r>
        <w:t>Reviewing any additional information as prescribed by the National Regulations.</w:t>
      </w:r>
      <w:r w:rsidRPr="003C4B01">
        <w:rPr>
          <w:rStyle w:val="FootnoteReference"/>
          <w:color w:val="auto"/>
          <w:sz w:val="20"/>
          <w:szCs w:val="20"/>
        </w:rPr>
        <w:footnoteReference w:id="6"/>
      </w:r>
    </w:p>
    <w:p w14:paraId="78A8841C" w14:textId="5C74E110" w:rsidR="00493B14" w:rsidRPr="00493B14" w:rsidRDefault="0085166B" w:rsidP="00285402">
      <w:pPr>
        <w:numPr>
          <w:ilvl w:val="0"/>
          <w:numId w:val="30"/>
        </w:numPr>
        <w:spacing w:after="180" w:line="259" w:lineRule="auto"/>
        <w:ind w:left="284" w:hanging="284"/>
      </w:pPr>
      <w:r>
        <w:t>Analysing all information and evidence gathered through the process and comparing it to the assessment criteria of the National Quality Standards to determine rating and prepare a report. A draft version of the rating report is sent to the approved provider, who then has 14 days to provide feedback to the Regulatory Authority before the final rating notice is issued.</w:t>
      </w:r>
    </w:p>
    <w:p w14:paraId="4E9091CA" w14:textId="3121CC54" w:rsidR="0085166B" w:rsidRPr="003C4B01" w:rsidRDefault="0085166B" w:rsidP="0085166B">
      <w:pPr>
        <w:rPr>
          <w:b/>
          <w:bCs/>
        </w:rPr>
      </w:pPr>
      <w:r w:rsidRPr="003C4B01">
        <w:rPr>
          <w:b/>
          <w:bCs/>
        </w:rPr>
        <w:t>Reassessment</w:t>
      </w:r>
      <w:r>
        <w:rPr>
          <w:b/>
          <w:bCs/>
        </w:rPr>
        <w:t xml:space="preserve"> process</w:t>
      </w:r>
    </w:p>
    <w:p w14:paraId="1B35DD02" w14:textId="77777777" w:rsidR="0085166B" w:rsidRDefault="0085166B" w:rsidP="0085166B">
      <w:r>
        <w:t xml:space="preserve">The Regulatory Authority reassesses ECEC services for a variety of reasons. Reassessments may be full reassessments or partial reassessments where only certain aspects or elements of the service are reassessed. </w:t>
      </w:r>
    </w:p>
    <w:p w14:paraId="0EF9E900" w14:textId="77777777" w:rsidR="006158AE" w:rsidRDefault="006158AE" w:rsidP="006158AE">
      <w:r>
        <w:t>Partial reassessments can only occur if a full assessment and rating has previously been completed. Partial reassessments provide the opportunity to target quality areas with a direct link to improving educational and developmental outcomes for children without needing a full assessment. The steps in a partial reassessment, and the aspects to be reassessed, are determined by the Regulatory Authority based on the reasons for the reassessment. The partial reassessment process will usually include:</w:t>
      </w:r>
    </w:p>
    <w:p w14:paraId="246C4B97" w14:textId="77777777" w:rsidR="006158AE" w:rsidRDefault="006158AE" w:rsidP="006158AE">
      <w:pPr>
        <w:pStyle w:val="ListParagraph"/>
        <w:numPr>
          <w:ilvl w:val="0"/>
          <w:numId w:val="32"/>
        </w:numPr>
        <w:ind w:left="284" w:hanging="284"/>
      </w:pPr>
      <w:r>
        <w:t xml:space="preserve">A review of the QIP, </w:t>
      </w:r>
    </w:p>
    <w:p w14:paraId="699CA83C" w14:textId="77777777" w:rsidR="006158AE" w:rsidRDefault="006158AE" w:rsidP="006158AE">
      <w:pPr>
        <w:pStyle w:val="ListParagraph"/>
        <w:numPr>
          <w:ilvl w:val="0"/>
          <w:numId w:val="32"/>
        </w:numPr>
        <w:ind w:left="284" w:hanging="284"/>
      </w:pPr>
      <w:r>
        <w:t>Leadership discussion,</w:t>
      </w:r>
    </w:p>
    <w:p w14:paraId="39EEF178" w14:textId="77777777" w:rsidR="006158AE" w:rsidRDefault="006158AE" w:rsidP="006158AE">
      <w:pPr>
        <w:pStyle w:val="ListParagraph"/>
        <w:numPr>
          <w:ilvl w:val="0"/>
          <w:numId w:val="32"/>
        </w:numPr>
        <w:ind w:left="284" w:hanging="284"/>
      </w:pPr>
      <w:r>
        <w:t>A review of the service history and prior assessment and rating findings, and</w:t>
      </w:r>
    </w:p>
    <w:p w14:paraId="1EB2631C" w14:textId="77777777" w:rsidR="006158AE" w:rsidRDefault="006158AE" w:rsidP="00285402">
      <w:pPr>
        <w:pStyle w:val="ListParagraph"/>
        <w:numPr>
          <w:ilvl w:val="0"/>
          <w:numId w:val="32"/>
        </w:numPr>
        <w:spacing w:after="180"/>
        <w:ind w:left="284" w:hanging="284"/>
      </w:pPr>
      <w:r>
        <w:t>A visit to the service premises if observations of practice are needed to inform a rating.</w:t>
      </w:r>
    </w:p>
    <w:p w14:paraId="3C90ECD5" w14:textId="73E11EF4" w:rsidR="006158AE" w:rsidRPr="003C4B01" w:rsidRDefault="006158AE" w:rsidP="006158AE">
      <w:pPr>
        <w:rPr>
          <w:b/>
          <w:bCs/>
        </w:rPr>
      </w:pPr>
      <w:r w:rsidRPr="003C4B01">
        <w:rPr>
          <w:b/>
          <w:bCs/>
        </w:rPr>
        <w:t xml:space="preserve">Reassessment schedule </w:t>
      </w:r>
    </w:p>
    <w:p w14:paraId="5B94E8AA" w14:textId="32DF9E49" w:rsidR="00AC2225" w:rsidRDefault="006158AE" w:rsidP="00C46F32">
      <w:r>
        <w:t xml:space="preserve">Reassessments are primarily undertaken as part of a cyclical program based on the previous rating, as outlined in the table below. </w:t>
      </w:r>
      <w:r w:rsidRPr="008E6C36">
        <w:t>The cyclical program is designed to maintain currency of quality ratings while recognising the earned autonomy provided to higher quality rated services. In most of these cases, a full reassessment will be undertaken</w:t>
      </w:r>
      <w:r w:rsidR="00036E01">
        <w:t>:</w:t>
      </w:r>
    </w:p>
    <w:tbl>
      <w:tblPr>
        <w:tblStyle w:val="TableGrid"/>
        <w:tblW w:w="0" w:type="auto"/>
        <w:jc w:val="center"/>
        <w:tblLook w:val="04A0" w:firstRow="1" w:lastRow="0" w:firstColumn="1" w:lastColumn="0" w:noHBand="0" w:noVBand="1"/>
      </w:tblPr>
      <w:tblGrid>
        <w:gridCol w:w="3261"/>
        <w:gridCol w:w="5812"/>
      </w:tblGrid>
      <w:tr w:rsidR="006158AE" w14:paraId="03825750" w14:textId="77777777" w:rsidTr="00C46F3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Pr>
          <w:p w14:paraId="144BED17" w14:textId="2204EA37" w:rsidR="006158AE" w:rsidRDefault="006158AE" w:rsidP="00C46F32">
            <w:pPr>
              <w:pStyle w:val="TableHead"/>
              <w:spacing w:after="80"/>
              <w:jc w:val="center"/>
            </w:pPr>
            <w:r>
              <w:t>Overall rating</w:t>
            </w:r>
          </w:p>
        </w:tc>
        <w:tc>
          <w:tcPr>
            <w:tcW w:w="5812" w:type="dxa"/>
          </w:tcPr>
          <w:p w14:paraId="3FD34846" w14:textId="74B879ED" w:rsidR="006158AE" w:rsidRDefault="006158AE" w:rsidP="00C46F32">
            <w:pPr>
              <w:pStyle w:val="TableHead"/>
              <w:spacing w:after="80"/>
              <w:jc w:val="center"/>
              <w:cnfStyle w:val="100000000000" w:firstRow="1" w:lastRow="0" w:firstColumn="0" w:lastColumn="0" w:oddVBand="0" w:evenVBand="0" w:oddHBand="0" w:evenHBand="0" w:firstRowFirstColumn="0" w:firstRowLastColumn="0" w:lastRowFirstColumn="0" w:lastRowLastColumn="0"/>
            </w:pPr>
            <w:r>
              <w:t>Sc</w:t>
            </w:r>
            <w:r w:rsidR="00B55C73">
              <w:t>hedule for reassessment since last Rating Notice</w:t>
            </w:r>
          </w:p>
        </w:tc>
      </w:tr>
      <w:tr w:rsidR="00F94BD2" w:rsidRPr="00C46F32" w14:paraId="6FAF31FC" w14:textId="77777777" w:rsidTr="00C46F32">
        <w:trPr>
          <w:jc w:val="center"/>
        </w:trPr>
        <w:tc>
          <w:tcPr>
            <w:cnfStyle w:val="001000000000" w:firstRow="0" w:lastRow="0" w:firstColumn="1" w:lastColumn="0" w:oddVBand="0" w:evenVBand="0" w:oddHBand="0" w:evenHBand="0" w:firstRowFirstColumn="0" w:firstRowLastColumn="0" w:lastRowFirstColumn="0" w:lastRowLastColumn="0"/>
            <w:tcW w:w="3261" w:type="dxa"/>
          </w:tcPr>
          <w:p w14:paraId="3A5C4E16" w14:textId="17311EAD" w:rsidR="00F94BD2" w:rsidRPr="00C46F32" w:rsidRDefault="00F94BD2" w:rsidP="003812EB">
            <w:pPr>
              <w:pStyle w:val="TableHead"/>
              <w:spacing w:after="0"/>
              <w:jc w:val="center"/>
              <w:rPr>
                <w:sz w:val="20"/>
                <w:szCs w:val="20"/>
              </w:rPr>
            </w:pPr>
            <w:r w:rsidRPr="00C46F32">
              <w:rPr>
                <w:color w:val="000000" w:themeColor="text1"/>
                <w:sz w:val="20"/>
                <w:szCs w:val="20"/>
              </w:rPr>
              <w:t>Exceeding</w:t>
            </w:r>
          </w:p>
        </w:tc>
        <w:tc>
          <w:tcPr>
            <w:tcW w:w="5812" w:type="dxa"/>
          </w:tcPr>
          <w:p w14:paraId="022C7A69" w14:textId="3423A3BF" w:rsidR="00F94BD2" w:rsidRPr="00C46F32" w:rsidRDefault="00F94BD2" w:rsidP="003812EB">
            <w:pPr>
              <w:spacing w:after="0"/>
              <w:jc w:val="center"/>
              <w:cnfStyle w:val="000000000000" w:firstRow="0" w:lastRow="0" w:firstColumn="0" w:lastColumn="0" w:oddVBand="0" w:evenVBand="0" w:oddHBand="0" w:evenHBand="0" w:firstRowFirstColumn="0" w:firstRowLastColumn="0" w:lastRowFirstColumn="0" w:lastRowLastColumn="0"/>
              <w:rPr>
                <w:sz w:val="20"/>
                <w:szCs w:val="20"/>
                <w:lang w:val="en-AU"/>
              </w:rPr>
            </w:pPr>
            <w:r w:rsidRPr="00C46F32">
              <w:rPr>
                <w:sz w:val="20"/>
                <w:szCs w:val="20"/>
              </w:rPr>
              <w:t>Between 3 years and 4 years</w:t>
            </w:r>
          </w:p>
        </w:tc>
      </w:tr>
      <w:tr w:rsidR="00F94BD2" w:rsidRPr="00C46F32" w14:paraId="78B0CE7A" w14:textId="77777777" w:rsidTr="00C46F32">
        <w:trPr>
          <w:jc w:val="center"/>
        </w:trPr>
        <w:tc>
          <w:tcPr>
            <w:cnfStyle w:val="001000000000" w:firstRow="0" w:lastRow="0" w:firstColumn="1" w:lastColumn="0" w:oddVBand="0" w:evenVBand="0" w:oddHBand="0" w:evenHBand="0" w:firstRowFirstColumn="0" w:firstRowLastColumn="0" w:lastRowFirstColumn="0" w:lastRowLastColumn="0"/>
            <w:tcW w:w="3261" w:type="dxa"/>
          </w:tcPr>
          <w:p w14:paraId="2F1D76C0" w14:textId="47289DEA" w:rsidR="00F94BD2" w:rsidRPr="00C46F32" w:rsidRDefault="00F94BD2" w:rsidP="003812EB">
            <w:pPr>
              <w:spacing w:after="0"/>
              <w:jc w:val="center"/>
              <w:rPr>
                <w:sz w:val="20"/>
                <w:szCs w:val="20"/>
                <w:lang w:val="en-AU"/>
              </w:rPr>
            </w:pPr>
            <w:r w:rsidRPr="00C46F32">
              <w:rPr>
                <w:sz w:val="20"/>
                <w:szCs w:val="20"/>
                <w:lang w:val="en-AU"/>
              </w:rPr>
              <w:t>Meeting</w:t>
            </w:r>
          </w:p>
        </w:tc>
        <w:tc>
          <w:tcPr>
            <w:tcW w:w="5812" w:type="dxa"/>
          </w:tcPr>
          <w:p w14:paraId="1861744D" w14:textId="564DB6D2" w:rsidR="00F94BD2" w:rsidRPr="00C46F32" w:rsidRDefault="00F94BD2" w:rsidP="003812EB">
            <w:pPr>
              <w:spacing w:after="0"/>
              <w:jc w:val="center"/>
              <w:cnfStyle w:val="000000000000" w:firstRow="0" w:lastRow="0" w:firstColumn="0" w:lastColumn="0" w:oddVBand="0" w:evenVBand="0" w:oddHBand="0" w:evenHBand="0" w:firstRowFirstColumn="0" w:firstRowLastColumn="0" w:lastRowFirstColumn="0" w:lastRowLastColumn="0"/>
              <w:rPr>
                <w:sz w:val="20"/>
                <w:szCs w:val="20"/>
                <w:lang w:val="en-AU"/>
              </w:rPr>
            </w:pPr>
            <w:r w:rsidRPr="00C46F32">
              <w:rPr>
                <w:sz w:val="20"/>
                <w:szCs w:val="20"/>
              </w:rPr>
              <w:t>Between 2 years and 3 years</w:t>
            </w:r>
          </w:p>
        </w:tc>
      </w:tr>
      <w:tr w:rsidR="00F94BD2" w:rsidRPr="00C46F32" w14:paraId="07FFAEA2" w14:textId="77777777" w:rsidTr="00C46F32">
        <w:trPr>
          <w:jc w:val="center"/>
        </w:trPr>
        <w:tc>
          <w:tcPr>
            <w:cnfStyle w:val="001000000000" w:firstRow="0" w:lastRow="0" w:firstColumn="1" w:lastColumn="0" w:oddVBand="0" w:evenVBand="0" w:oddHBand="0" w:evenHBand="0" w:firstRowFirstColumn="0" w:firstRowLastColumn="0" w:lastRowFirstColumn="0" w:lastRowLastColumn="0"/>
            <w:tcW w:w="3261" w:type="dxa"/>
          </w:tcPr>
          <w:p w14:paraId="0FB625A9" w14:textId="46EA58FF" w:rsidR="00F94BD2" w:rsidRPr="00C46F32" w:rsidRDefault="00F94BD2" w:rsidP="003812EB">
            <w:pPr>
              <w:spacing w:after="0"/>
              <w:jc w:val="center"/>
              <w:rPr>
                <w:sz w:val="20"/>
                <w:szCs w:val="20"/>
                <w:lang w:val="en-AU"/>
              </w:rPr>
            </w:pPr>
            <w:r w:rsidRPr="00C46F32">
              <w:rPr>
                <w:sz w:val="20"/>
                <w:szCs w:val="20"/>
                <w:lang w:val="en-AU"/>
              </w:rPr>
              <w:t>Working Towards</w:t>
            </w:r>
          </w:p>
        </w:tc>
        <w:tc>
          <w:tcPr>
            <w:tcW w:w="5812" w:type="dxa"/>
          </w:tcPr>
          <w:p w14:paraId="59CF7D1D" w14:textId="7E6B675C" w:rsidR="00F94BD2" w:rsidRPr="00C46F32" w:rsidRDefault="00F94BD2" w:rsidP="003812EB">
            <w:pPr>
              <w:spacing w:after="0"/>
              <w:jc w:val="center"/>
              <w:cnfStyle w:val="000000000000" w:firstRow="0" w:lastRow="0" w:firstColumn="0" w:lastColumn="0" w:oddVBand="0" w:evenVBand="0" w:oddHBand="0" w:evenHBand="0" w:firstRowFirstColumn="0" w:firstRowLastColumn="0" w:lastRowFirstColumn="0" w:lastRowLastColumn="0"/>
              <w:rPr>
                <w:sz w:val="20"/>
                <w:szCs w:val="20"/>
                <w:lang w:val="en-AU"/>
              </w:rPr>
            </w:pPr>
            <w:r w:rsidRPr="00C46F32">
              <w:rPr>
                <w:sz w:val="20"/>
                <w:szCs w:val="20"/>
              </w:rPr>
              <w:t>Between 1 year and 2 years</w:t>
            </w:r>
          </w:p>
        </w:tc>
      </w:tr>
      <w:tr w:rsidR="00F94BD2" w:rsidRPr="00C46F32" w14:paraId="7F0D6782" w14:textId="77777777" w:rsidTr="00C46F32">
        <w:trPr>
          <w:jc w:val="center"/>
        </w:trPr>
        <w:tc>
          <w:tcPr>
            <w:cnfStyle w:val="001000000000" w:firstRow="0" w:lastRow="0" w:firstColumn="1" w:lastColumn="0" w:oddVBand="0" w:evenVBand="0" w:oddHBand="0" w:evenHBand="0" w:firstRowFirstColumn="0" w:firstRowLastColumn="0" w:lastRowFirstColumn="0" w:lastRowLastColumn="0"/>
            <w:tcW w:w="3261" w:type="dxa"/>
          </w:tcPr>
          <w:p w14:paraId="75504793" w14:textId="312DEE10" w:rsidR="00F94BD2" w:rsidRPr="00C46F32" w:rsidRDefault="00F94BD2" w:rsidP="003812EB">
            <w:pPr>
              <w:spacing w:after="0"/>
              <w:jc w:val="center"/>
              <w:rPr>
                <w:sz w:val="20"/>
                <w:szCs w:val="20"/>
                <w:lang w:val="en-AU"/>
              </w:rPr>
            </w:pPr>
            <w:r w:rsidRPr="00C46F32">
              <w:rPr>
                <w:sz w:val="20"/>
                <w:szCs w:val="20"/>
                <w:lang w:val="en-AU"/>
              </w:rPr>
              <w:t>Significant Improvement required</w:t>
            </w:r>
          </w:p>
        </w:tc>
        <w:tc>
          <w:tcPr>
            <w:tcW w:w="5812" w:type="dxa"/>
          </w:tcPr>
          <w:p w14:paraId="23D6B5E9" w14:textId="796922CA" w:rsidR="00F94BD2" w:rsidRPr="00C46F32" w:rsidRDefault="00F94BD2" w:rsidP="003812EB">
            <w:pPr>
              <w:spacing w:after="0"/>
              <w:jc w:val="center"/>
              <w:cnfStyle w:val="000000000000" w:firstRow="0" w:lastRow="0" w:firstColumn="0" w:lastColumn="0" w:oddVBand="0" w:evenVBand="0" w:oddHBand="0" w:evenHBand="0" w:firstRowFirstColumn="0" w:firstRowLastColumn="0" w:lastRowFirstColumn="0" w:lastRowLastColumn="0"/>
              <w:rPr>
                <w:sz w:val="20"/>
                <w:szCs w:val="20"/>
                <w:lang w:val="en-AU"/>
              </w:rPr>
            </w:pPr>
            <w:r w:rsidRPr="00C46F32">
              <w:rPr>
                <w:sz w:val="20"/>
                <w:szCs w:val="20"/>
              </w:rPr>
              <w:t>Within 1 year</w:t>
            </w:r>
          </w:p>
        </w:tc>
      </w:tr>
      <w:tr w:rsidR="00F94BD2" w:rsidRPr="00C46F32" w14:paraId="21EF6548" w14:textId="77777777" w:rsidTr="00C46F32">
        <w:trPr>
          <w:jc w:val="center"/>
        </w:trPr>
        <w:tc>
          <w:tcPr>
            <w:cnfStyle w:val="001000000000" w:firstRow="0" w:lastRow="0" w:firstColumn="1" w:lastColumn="0" w:oddVBand="0" w:evenVBand="0" w:oddHBand="0" w:evenHBand="0" w:firstRowFirstColumn="0" w:firstRowLastColumn="0" w:lastRowFirstColumn="0" w:lastRowLastColumn="0"/>
            <w:tcW w:w="3261" w:type="dxa"/>
          </w:tcPr>
          <w:p w14:paraId="2E6B2A81" w14:textId="0C327D2B" w:rsidR="00F94BD2" w:rsidRPr="00C46F32" w:rsidRDefault="00F94BD2" w:rsidP="003812EB">
            <w:pPr>
              <w:spacing w:after="0"/>
              <w:jc w:val="center"/>
              <w:rPr>
                <w:sz w:val="20"/>
                <w:szCs w:val="20"/>
                <w:lang w:val="en-AU"/>
              </w:rPr>
            </w:pPr>
            <w:r w:rsidRPr="00C46F32">
              <w:rPr>
                <w:sz w:val="20"/>
                <w:szCs w:val="20"/>
                <w:lang w:val="en-AU"/>
              </w:rPr>
              <w:t>Excellent</w:t>
            </w:r>
          </w:p>
        </w:tc>
        <w:tc>
          <w:tcPr>
            <w:tcW w:w="5812" w:type="dxa"/>
          </w:tcPr>
          <w:p w14:paraId="604A6AC8" w14:textId="51688EA7" w:rsidR="00F94BD2" w:rsidRPr="00C46F32" w:rsidRDefault="00F94BD2" w:rsidP="003812EB">
            <w:pPr>
              <w:spacing w:after="0"/>
              <w:jc w:val="center"/>
              <w:cnfStyle w:val="000000000000" w:firstRow="0" w:lastRow="0" w:firstColumn="0" w:lastColumn="0" w:oddVBand="0" w:evenVBand="0" w:oddHBand="0" w:evenHBand="0" w:firstRowFirstColumn="0" w:firstRowLastColumn="0" w:lastRowFirstColumn="0" w:lastRowLastColumn="0"/>
              <w:rPr>
                <w:sz w:val="20"/>
                <w:szCs w:val="20"/>
                <w:lang w:val="en-AU"/>
              </w:rPr>
            </w:pPr>
            <w:r w:rsidRPr="00C46F32">
              <w:rPr>
                <w:sz w:val="20"/>
                <w:szCs w:val="20"/>
              </w:rPr>
              <w:t>About 5 years</w:t>
            </w:r>
          </w:p>
        </w:tc>
      </w:tr>
    </w:tbl>
    <w:p w14:paraId="03F90A62" w14:textId="77777777" w:rsidR="00187469" w:rsidRPr="003C4B01" w:rsidRDefault="00187469" w:rsidP="00036E01">
      <w:pPr>
        <w:pStyle w:val="Heading5"/>
        <w:spacing w:before="240" w:after="120"/>
        <w:rPr>
          <w:color w:val="auto"/>
        </w:rPr>
      </w:pPr>
      <w:r w:rsidRPr="003C4B01">
        <w:rPr>
          <w:color w:val="auto"/>
        </w:rPr>
        <w:lastRenderedPageBreak/>
        <w:t xml:space="preserve">The Regulatory Authority also undertakes reassessments based on risk and </w:t>
      </w:r>
      <w:r w:rsidRPr="00C81238">
        <w:rPr>
          <w:color w:val="auto"/>
        </w:rPr>
        <w:t>occasionally as</w:t>
      </w:r>
      <w:r w:rsidRPr="003C4B01">
        <w:rPr>
          <w:color w:val="auto"/>
        </w:rPr>
        <w:t xml:space="preserve"> part of its own quality assurance processes. </w:t>
      </w:r>
      <w:r>
        <w:rPr>
          <w:color w:val="auto"/>
        </w:rPr>
        <w:t>In addition to the cyclical program outlined above, r</w:t>
      </w:r>
      <w:r w:rsidRPr="00C81238">
        <w:rPr>
          <w:color w:val="auto"/>
        </w:rPr>
        <w:t>eassessment</w:t>
      </w:r>
      <w:r>
        <w:rPr>
          <w:color w:val="auto"/>
        </w:rPr>
        <w:t>s may</w:t>
      </w:r>
      <w:r w:rsidRPr="00C81238">
        <w:rPr>
          <w:color w:val="auto"/>
        </w:rPr>
        <w:t xml:space="preserve"> occur</w:t>
      </w:r>
      <w:r>
        <w:rPr>
          <w:color w:val="auto"/>
        </w:rPr>
        <w:t xml:space="preserve"> upon application from an approved provider or</w:t>
      </w:r>
      <w:r w:rsidRPr="00C81238">
        <w:rPr>
          <w:color w:val="auto"/>
        </w:rPr>
        <w:t xml:space="preserve"> in circumstances where</w:t>
      </w:r>
      <w:r w:rsidRPr="003C4B01">
        <w:rPr>
          <w:color w:val="auto"/>
        </w:rPr>
        <w:t xml:space="preserve"> </w:t>
      </w:r>
      <w:r w:rsidRPr="00C81238">
        <w:rPr>
          <w:color w:val="auto"/>
        </w:rPr>
        <w:t>there is</w:t>
      </w:r>
      <w:r w:rsidRPr="003C4B01">
        <w:rPr>
          <w:color w:val="auto"/>
        </w:rPr>
        <w:t xml:space="preserve"> uncertainty about the accuracy of </w:t>
      </w:r>
      <w:r w:rsidRPr="003B41B7">
        <w:rPr>
          <w:color w:val="auto"/>
        </w:rPr>
        <w:t>a</w:t>
      </w:r>
      <w:r w:rsidRPr="003C4B01">
        <w:rPr>
          <w:color w:val="auto"/>
        </w:rPr>
        <w:t xml:space="preserve"> current rating</w:t>
      </w:r>
      <w:r w:rsidRPr="003B41B7">
        <w:rPr>
          <w:color w:val="auto"/>
        </w:rPr>
        <w:t>, such as</w:t>
      </w:r>
      <w:r>
        <w:rPr>
          <w:color w:val="auto"/>
        </w:rPr>
        <w:t xml:space="preserve"> when:</w:t>
      </w:r>
      <w:r w:rsidRPr="003B41B7">
        <w:rPr>
          <w:color w:val="auto"/>
        </w:rPr>
        <w:t xml:space="preserve"> </w:t>
      </w:r>
    </w:p>
    <w:p w14:paraId="040FF6D8" w14:textId="77777777" w:rsidR="00187469" w:rsidRPr="003B41B7" w:rsidRDefault="00187469" w:rsidP="00187469">
      <w:pPr>
        <w:pStyle w:val="ListParagraph"/>
        <w:numPr>
          <w:ilvl w:val="0"/>
          <w:numId w:val="33"/>
        </w:numPr>
        <w:ind w:left="426" w:hanging="426"/>
      </w:pPr>
      <w:r w:rsidRPr="003B41B7">
        <w:t>There are significant changes to the service</w:t>
      </w:r>
      <w:r>
        <w:t>’</w:t>
      </w:r>
      <w:r w:rsidRPr="003B41B7">
        <w:t xml:space="preserve">s operating environment, </w:t>
      </w:r>
      <w:r>
        <w:t>for instance,</w:t>
      </w:r>
      <w:r w:rsidRPr="003B41B7">
        <w:t xml:space="preserve"> a change in approved provider or significant staffing changes. </w:t>
      </w:r>
    </w:p>
    <w:p w14:paraId="737D7A82" w14:textId="77777777" w:rsidR="00187469" w:rsidRPr="003B41B7" w:rsidRDefault="00187469" w:rsidP="00187469">
      <w:pPr>
        <w:pStyle w:val="ListParagraph"/>
        <w:numPr>
          <w:ilvl w:val="0"/>
          <w:numId w:val="33"/>
        </w:numPr>
        <w:ind w:left="426" w:hanging="426"/>
      </w:pPr>
      <w:r w:rsidRPr="003B41B7">
        <w:t>A compliance or investigation visit reveals that overall quality, or an area, standards or element does not equate to the service rating.</w:t>
      </w:r>
    </w:p>
    <w:p w14:paraId="2FD1B65A" w14:textId="77777777" w:rsidR="00187469" w:rsidRDefault="00187469" w:rsidP="00187469">
      <w:pPr>
        <w:pStyle w:val="ListParagraph"/>
        <w:numPr>
          <w:ilvl w:val="0"/>
          <w:numId w:val="33"/>
        </w:numPr>
        <w:spacing w:after="120"/>
        <w:ind w:left="426" w:hanging="426"/>
        <w:contextualSpacing w:val="0"/>
      </w:pPr>
      <w:r w:rsidRPr="003B41B7">
        <w:t xml:space="preserve">Information from other government bodies, stakeholders and/or the public, </w:t>
      </w:r>
      <w:r>
        <w:t>suggests</w:t>
      </w:r>
      <w:r w:rsidRPr="003B41B7">
        <w:t xml:space="preserve"> that overall quality, or an area, standards or element does not equate to the service </w:t>
      </w:r>
      <w:r>
        <w:t>rating.</w:t>
      </w:r>
    </w:p>
    <w:p w14:paraId="1B4D6E8B" w14:textId="77777777" w:rsidR="00187469" w:rsidRDefault="00187469" w:rsidP="00187469">
      <w:r>
        <w:t>The Regulatory Authority determines whether a full or partial reassessment is required in each case based on the reasons for the reassessment and review of the service history.</w:t>
      </w:r>
    </w:p>
    <w:p w14:paraId="74E82165" w14:textId="32C78E81" w:rsidR="00DF7020" w:rsidRDefault="00187469" w:rsidP="00285402">
      <w:pPr>
        <w:rPr>
          <w:rStyle w:val="Hyperlink"/>
        </w:rPr>
      </w:pPr>
      <w:r>
        <w:t xml:space="preserve">ACECQA publishes further information about the assessment and rating process including the quality ratings, the QIP and self-assessment tool, the draft report and giving feedback on the draft report, the review of final ratings and reassessments. This information, along with the Guide to the NQF, is available on ACECQA’s website at </w:t>
      </w:r>
      <w:hyperlink r:id="rId18" w:history="1">
        <w:r w:rsidRPr="00B02F59">
          <w:rPr>
            <w:rStyle w:val="Hyperlink"/>
          </w:rPr>
          <w:t>www.acecqa.gov.au</w:t>
        </w:r>
      </w:hyperlink>
      <w:r w:rsidR="00543EAA">
        <w:rPr>
          <w:rStyle w:val="Hyperlink"/>
        </w:rPr>
        <w:t>.</w:t>
      </w:r>
    </w:p>
    <w:p w14:paraId="63D3FA19" w14:textId="4F140592" w:rsidR="004E3A01" w:rsidRPr="00141F23" w:rsidRDefault="004E3A01" w:rsidP="004E3A01">
      <w:pPr>
        <w:pStyle w:val="Heading2"/>
        <w:rPr>
          <w:lang w:val="en-AU"/>
        </w:rPr>
      </w:pPr>
      <w:bookmarkStart w:id="8" w:name="_Toc150338736"/>
      <w:r>
        <w:rPr>
          <w:lang w:val="en-AU"/>
        </w:rPr>
        <w:t>Desktop audits</w:t>
      </w:r>
      <w:bookmarkEnd w:id="8"/>
    </w:p>
    <w:p w14:paraId="7CC98078" w14:textId="77777777" w:rsidR="001D00DC" w:rsidRDefault="004E3A01" w:rsidP="001D00DC">
      <w:pPr>
        <w:rPr>
          <w:rFonts w:cstheme="minorHAnsi"/>
        </w:rPr>
      </w:pPr>
      <w:r w:rsidRPr="00105F69">
        <w:rPr>
          <w:rFonts w:cstheme="minorHAnsi"/>
        </w:rPr>
        <w:t xml:space="preserve">The Regulatory Authority </w:t>
      </w:r>
      <w:r>
        <w:rPr>
          <w:rFonts w:cstheme="minorHAnsi"/>
        </w:rPr>
        <w:t xml:space="preserve">may at any time assess an ECEC service </w:t>
      </w:r>
      <w:r w:rsidRPr="00105F69">
        <w:rPr>
          <w:rFonts w:cstheme="minorHAnsi"/>
        </w:rPr>
        <w:t>to determine</w:t>
      </w:r>
      <w:r>
        <w:rPr>
          <w:rFonts w:cstheme="minorHAnsi"/>
        </w:rPr>
        <w:t xml:space="preserve"> whether, and at </w:t>
      </w:r>
      <w:r w:rsidR="001D00DC">
        <w:rPr>
          <w:rFonts w:cstheme="minorHAnsi"/>
        </w:rPr>
        <w:t xml:space="preserve">The Regulatory Authority undertakes desktop audits to check or verify compliance in certain situations. Desktop audits are predominately paper-based and may also involve online/telephone meetings and discussions with regulated entities and duty holders. </w:t>
      </w:r>
    </w:p>
    <w:p w14:paraId="59526EAF" w14:textId="77777777" w:rsidR="001D00DC" w:rsidRDefault="001D00DC" w:rsidP="001D00DC">
      <w:pPr>
        <w:rPr>
          <w:rFonts w:cstheme="minorHAnsi"/>
        </w:rPr>
      </w:pPr>
      <w:r>
        <w:rPr>
          <w:rFonts w:cstheme="minorHAnsi"/>
        </w:rPr>
        <w:t>Desktop audits are used by the Regulatory Authority for checking certain aspects of compliance by an ECEC service where observation of practice and inspection of physical premises is unnecessary. For example, desktop audits may be used when:</w:t>
      </w:r>
    </w:p>
    <w:p w14:paraId="4A6D096A" w14:textId="77777777" w:rsidR="001D00DC" w:rsidRDefault="001D00DC" w:rsidP="001D00DC">
      <w:pPr>
        <w:pStyle w:val="ListParagraph"/>
        <w:numPr>
          <w:ilvl w:val="0"/>
          <w:numId w:val="35"/>
        </w:numPr>
        <w:ind w:left="284" w:hanging="284"/>
        <w:rPr>
          <w:rFonts w:cstheme="minorHAnsi"/>
        </w:rPr>
      </w:pPr>
      <w:r w:rsidRPr="00551657">
        <w:rPr>
          <w:rFonts w:cstheme="minorHAnsi"/>
        </w:rPr>
        <w:t>reviewing required policies</w:t>
      </w:r>
      <w:r>
        <w:rPr>
          <w:rFonts w:cstheme="minorHAnsi"/>
        </w:rPr>
        <w:t>, QIP or other documents,</w:t>
      </w:r>
    </w:p>
    <w:p w14:paraId="540EF92E" w14:textId="77777777" w:rsidR="001D00DC" w:rsidRDefault="001D00DC" w:rsidP="001D00DC">
      <w:pPr>
        <w:pStyle w:val="ListParagraph"/>
        <w:numPr>
          <w:ilvl w:val="0"/>
          <w:numId w:val="35"/>
        </w:numPr>
        <w:ind w:left="284" w:hanging="284"/>
        <w:rPr>
          <w:rFonts w:cstheme="minorHAnsi"/>
        </w:rPr>
      </w:pPr>
      <w:r w:rsidRPr="00551657">
        <w:rPr>
          <w:rFonts w:cstheme="minorHAnsi"/>
        </w:rPr>
        <w:t>inspecting evidence of rectification of certain non-compliance</w:t>
      </w:r>
      <w:r>
        <w:rPr>
          <w:rFonts w:cstheme="minorHAnsi"/>
        </w:rPr>
        <w:t>,</w:t>
      </w:r>
    </w:p>
    <w:p w14:paraId="5D7A3319" w14:textId="77777777" w:rsidR="001D00DC" w:rsidRDefault="001D00DC" w:rsidP="001D00DC">
      <w:pPr>
        <w:pStyle w:val="ListParagraph"/>
        <w:numPr>
          <w:ilvl w:val="0"/>
          <w:numId w:val="35"/>
        </w:numPr>
        <w:ind w:left="284" w:hanging="284"/>
        <w:rPr>
          <w:rFonts w:cstheme="minorHAnsi"/>
        </w:rPr>
      </w:pPr>
      <w:r w:rsidRPr="00551657">
        <w:rPr>
          <w:rFonts w:cstheme="minorHAnsi"/>
        </w:rPr>
        <w:t>assessing large volumes of information about a service, or many services, such as confirming that Emergency Management Plans are in place</w:t>
      </w:r>
      <w:r>
        <w:rPr>
          <w:rFonts w:cstheme="minorHAnsi"/>
        </w:rPr>
        <w:t xml:space="preserve">, </w:t>
      </w:r>
    </w:p>
    <w:p w14:paraId="34073AAC" w14:textId="77777777" w:rsidR="001D00DC" w:rsidRPr="00551657" w:rsidRDefault="001D00DC" w:rsidP="001D00DC">
      <w:pPr>
        <w:pStyle w:val="ListParagraph"/>
        <w:numPr>
          <w:ilvl w:val="0"/>
          <w:numId w:val="35"/>
        </w:numPr>
        <w:ind w:left="284" w:hanging="284"/>
        <w:rPr>
          <w:rFonts w:cstheme="minorHAnsi"/>
        </w:rPr>
      </w:pPr>
      <w:r>
        <w:rPr>
          <w:rFonts w:cstheme="minorHAnsi"/>
        </w:rPr>
        <w:t>undertaking p</w:t>
      </w:r>
      <w:r w:rsidRPr="00551657">
        <w:rPr>
          <w:rFonts w:cstheme="minorHAnsi"/>
        </w:rPr>
        <w:t>artial reassessments</w:t>
      </w:r>
      <w:r>
        <w:rPr>
          <w:rFonts w:cstheme="minorHAnsi"/>
        </w:rPr>
        <w:t xml:space="preserve"> where the required evidence includes documentation for sighting or discussions that can be conducted virtually</w:t>
      </w:r>
      <w:r w:rsidRPr="00551657">
        <w:rPr>
          <w:rFonts w:cstheme="minorHAnsi"/>
        </w:rPr>
        <w:t xml:space="preserve">. </w:t>
      </w:r>
    </w:p>
    <w:p w14:paraId="1462A43D" w14:textId="77777777" w:rsidR="001D00DC" w:rsidRDefault="001D00DC" w:rsidP="001D00DC">
      <w:r>
        <w:t>Desktop</w:t>
      </w:r>
      <w:r w:rsidRPr="52A4E76F">
        <w:t xml:space="preserve"> audit</w:t>
      </w:r>
      <w:r>
        <w:t xml:space="preserve">s </w:t>
      </w:r>
      <w:r w:rsidRPr="52A4E76F">
        <w:t>may involve</w:t>
      </w:r>
      <w:r>
        <w:t xml:space="preserve"> discussions with approved providers or staff members and/or reviewing any information available to the Regulatory Authority, such as</w:t>
      </w:r>
      <w:r w:rsidRPr="52A4E76F">
        <w:t xml:space="preserve">: </w:t>
      </w:r>
    </w:p>
    <w:p w14:paraId="27438424" w14:textId="77777777" w:rsidR="001D00DC" w:rsidRPr="0016365D" w:rsidRDefault="001D00DC" w:rsidP="001D00DC">
      <w:pPr>
        <w:pStyle w:val="ListParagraph"/>
        <w:numPr>
          <w:ilvl w:val="0"/>
          <w:numId w:val="34"/>
        </w:numPr>
        <w:ind w:left="284" w:hanging="284"/>
        <w:rPr>
          <w:rFonts w:cstheme="minorHAnsi"/>
        </w:rPr>
      </w:pPr>
      <w:r w:rsidRPr="0016365D">
        <w:rPr>
          <w:rFonts w:cstheme="minorHAnsi"/>
        </w:rPr>
        <w:t xml:space="preserve">Information held </w:t>
      </w:r>
      <w:r>
        <w:rPr>
          <w:rFonts w:cstheme="minorHAnsi"/>
        </w:rPr>
        <w:t>by the Regulatory Authority or other government bodies,</w:t>
      </w:r>
    </w:p>
    <w:p w14:paraId="64311398" w14:textId="77777777" w:rsidR="001D00DC" w:rsidRPr="0016365D" w:rsidRDefault="001D00DC" w:rsidP="001D00DC">
      <w:pPr>
        <w:pStyle w:val="ListParagraph"/>
        <w:numPr>
          <w:ilvl w:val="0"/>
          <w:numId w:val="34"/>
        </w:numPr>
        <w:ind w:left="284" w:hanging="284"/>
        <w:rPr>
          <w:rFonts w:cstheme="minorHAnsi"/>
        </w:rPr>
      </w:pPr>
      <w:r w:rsidRPr="0016365D">
        <w:rPr>
          <w:rFonts w:cstheme="minorHAnsi"/>
        </w:rPr>
        <w:t xml:space="preserve">Responses </w:t>
      </w:r>
      <w:r>
        <w:rPr>
          <w:rFonts w:cstheme="minorHAnsi"/>
        </w:rPr>
        <w:t xml:space="preserve">from the approved provider </w:t>
      </w:r>
      <w:r w:rsidRPr="0016365D">
        <w:rPr>
          <w:rFonts w:cstheme="minorHAnsi"/>
        </w:rPr>
        <w:t xml:space="preserve">to compliance </w:t>
      </w:r>
      <w:r>
        <w:rPr>
          <w:rFonts w:cstheme="minorHAnsi"/>
        </w:rPr>
        <w:t xml:space="preserve">findings or questionnaires, </w:t>
      </w:r>
      <w:r w:rsidRPr="0016365D">
        <w:rPr>
          <w:rFonts w:cstheme="minorHAnsi"/>
        </w:rPr>
        <w:t xml:space="preserve">  </w:t>
      </w:r>
    </w:p>
    <w:p w14:paraId="49C9A91A" w14:textId="77777777" w:rsidR="001D00DC" w:rsidRPr="0016365D" w:rsidRDefault="001D00DC" w:rsidP="001D00DC">
      <w:pPr>
        <w:pStyle w:val="ListParagraph"/>
        <w:numPr>
          <w:ilvl w:val="0"/>
          <w:numId w:val="34"/>
        </w:numPr>
        <w:ind w:left="284" w:hanging="284"/>
        <w:rPr>
          <w:rFonts w:cstheme="minorHAnsi"/>
        </w:rPr>
      </w:pPr>
      <w:r w:rsidRPr="0016365D">
        <w:rPr>
          <w:rFonts w:cstheme="minorHAnsi"/>
        </w:rPr>
        <w:t>Policies, procedures, records, assessments, logs, registers</w:t>
      </w:r>
      <w:r>
        <w:rPr>
          <w:rFonts w:cstheme="minorHAnsi"/>
        </w:rPr>
        <w:t>, QIP</w:t>
      </w:r>
      <w:r w:rsidRPr="0016365D">
        <w:rPr>
          <w:rFonts w:cstheme="minorHAnsi"/>
        </w:rPr>
        <w:t xml:space="preserve"> or other documents maintained by approved providers as part of a service’s operations</w:t>
      </w:r>
      <w:r>
        <w:rPr>
          <w:rFonts w:cstheme="minorHAnsi"/>
        </w:rPr>
        <w:t>.</w:t>
      </w:r>
      <w:r w:rsidRPr="0016365D">
        <w:rPr>
          <w:rFonts w:cstheme="minorHAnsi"/>
        </w:rPr>
        <w:t xml:space="preserve"> </w:t>
      </w:r>
    </w:p>
    <w:p w14:paraId="562E8B97" w14:textId="58284D68" w:rsidR="004E3A01" w:rsidRPr="004C2430" w:rsidRDefault="001D00DC" w:rsidP="00285402">
      <w:r w:rsidRPr="52A4E76F">
        <w:t>Depending on the scope</w:t>
      </w:r>
      <w:r>
        <w:t xml:space="preserve"> and findings</w:t>
      </w:r>
      <w:r w:rsidRPr="52A4E76F">
        <w:t xml:space="preserve"> of the </w:t>
      </w:r>
      <w:r>
        <w:t xml:space="preserve">desktop </w:t>
      </w:r>
      <w:r w:rsidRPr="52A4E76F">
        <w:t>audit, additional monitoring activities</w:t>
      </w:r>
      <w:r>
        <w:t xml:space="preserve"> may follow</w:t>
      </w:r>
      <w:r w:rsidRPr="52A4E76F">
        <w:t>.</w:t>
      </w:r>
      <w:r>
        <w:t xml:space="preserve"> The Regulatory Authority will inform the approved provider of the findings of a desktop audit and any applicable next steps.</w:t>
      </w:r>
    </w:p>
    <w:p w14:paraId="4E269B3D" w14:textId="7799891B" w:rsidR="004E3A01" w:rsidRPr="00141F23" w:rsidRDefault="001D00DC" w:rsidP="004E3A01">
      <w:pPr>
        <w:pStyle w:val="Heading2"/>
        <w:rPr>
          <w:lang w:val="en-AU"/>
        </w:rPr>
      </w:pPr>
      <w:bookmarkStart w:id="9" w:name="_Toc150338737"/>
      <w:r>
        <w:rPr>
          <w:lang w:val="en-AU"/>
        </w:rPr>
        <w:t>Targeted compliance campaigns</w:t>
      </w:r>
      <w:bookmarkEnd w:id="9"/>
    </w:p>
    <w:p w14:paraId="6877F6EF" w14:textId="77777777" w:rsidR="00C94B25" w:rsidRDefault="00C94B25" w:rsidP="00C94B25">
      <w:pPr>
        <w:rPr>
          <w:lang w:val="en-AU"/>
        </w:rPr>
      </w:pPr>
      <w:r w:rsidRPr="52A4E76F">
        <w:rPr>
          <w:lang w:val="en-AU"/>
        </w:rPr>
        <w:t>Targeted compliance campaigns are</w:t>
      </w:r>
      <w:r>
        <w:rPr>
          <w:lang w:val="en-AU"/>
        </w:rPr>
        <w:t xml:space="preserve"> </w:t>
      </w:r>
      <w:r w:rsidRPr="52A4E76F">
        <w:rPr>
          <w:lang w:val="en-AU"/>
        </w:rPr>
        <w:t xml:space="preserve">monitoring activities designed to control or treat identified harms, risks or issues. Targeted compliance campaigns involve a project approach, </w:t>
      </w:r>
      <w:r>
        <w:rPr>
          <w:lang w:val="en-AU"/>
        </w:rPr>
        <w:t xml:space="preserve">usually </w:t>
      </w:r>
      <w:r w:rsidRPr="52A4E76F">
        <w:rPr>
          <w:lang w:val="en-AU"/>
        </w:rPr>
        <w:t>combining multifunctional teams of specialist resources</w:t>
      </w:r>
      <w:r>
        <w:rPr>
          <w:lang w:val="en-AU"/>
        </w:rPr>
        <w:t>,</w:t>
      </w:r>
      <w:r w:rsidRPr="52A4E76F">
        <w:rPr>
          <w:lang w:val="en-AU"/>
        </w:rPr>
        <w:t xml:space="preserve"> to design a monitoring activity to achieve and deliver specific objectives and outcomes. </w:t>
      </w:r>
    </w:p>
    <w:p w14:paraId="5D4920DD" w14:textId="77777777" w:rsidR="00C94B25" w:rsidRDefault="00C94B25" w:rsidP="00C94B25">
      <w:pPr>
        <w:rPr>
          <w:lang w:val="en-AU"/>
        </w:rPr>
      </w:pPr>
      <w:r>
        <w:rPr>
          <w:lang w:val="en-AU"/>
        </w:rPr>
        <w:lastRenderedPageBreak/>
        <w:t>Targeted compliance campaigns may be used to address systemic and sector wide concerns or focus on services or duty holders who share risk factors or other similarities. A targeted compliance campaign may also be used to research and understand compliance behaviours and can lead to the Regulatory Authority taking enforcement action for non-compliance if necessary to ensure safety, health and wellbeing of children.</w:t>
      </w:r>
    </w:p>
    <w:p w14:paraId="597EA9A8" w14:textId="77777777" w:rsidR="00C94B25" w:rsidRDefault="00C94B25" w:rsidP="00C94B25">
      <w:pPr>
        <w:rPr>
          <w:lang w:val="en-AU"/>
        </w:rPr>
      </w:pPr>
      <w:r>
        <w:rPr>
          <w:lang w:val="en-AU"/>
        </w:rPr>
        <w:t>Targeted compliance campaigns are typically characterised by:</w:t>
      </w:r>
    </w:p>
    <w:p w14:paraId="6B3F7708" w14:textId="77777777" w:rsidR="00C94B25" w:rsidRPr="008375F4" w:rsidRDefault="00C94B25" w:rsidP="00C94B25">
      <w:pPr>
        <w:pStyle w:val="ListParagraph"/>
        <w:numPr>
          <w:ilvl w:val="0"/>
          <w:numId w:val="37"/>
        </w:numPr>
        <w:ind w:left="426" w:hanging="426"/>
      </w:pPr>
      <w:r w:rsidRPr="008375F4">
        <w:t xml:space="preserve">analysis and research that forms the evidence for the Regulatory Authority to determine this </w:t>
      </w:r>
      <w:proofErr w:type="gramStart"/>
      <w:r w:rsidRPr="008375F4">
        <w:t>particular monitoring</w:t>
      </w:r>
      <w:proofErr w:type="gramEnd"/>
      <w:r w:rsidRPr="008375F4">
        <w:t xml:space="preserve"> response is required</w:t>
      </w:r>
      <w:r>
        <w:t>,</w:t>
      </w:r>
    </w:p>
    <w:p w14:paraId="7CC66869" w14:textId="77777777" w:rsidR="00C94B25" w:rsidRPr="00F26D4F" w:rsidRDefault="00C94B25" w:rsidP="00C94B25">
      <w:pPr>
        <w:pStyle w:val="ListParagraph"/>
        <w:numPr>
          <w:ilvl w:val="0"/>
          <w:numId w:val="36"/>
        </w:numPr>
        <w:ind w:left="426" w:hanging="426"/>
      </w:pPr>
      <w:r>
        <w:t>s</w:t>
      </w:r>
      <w:r w:rsidRPr="00F26D4F">
        <w:t>takeholder engagement</w:t>
      </w:r>
      <w:r>
        <w:t>,</w:t>
      </w:r>
    </w:p>
    <w:p w14:paraId="62A083BF" w14:textId="77777777" w:rsidR="00C94B25" w:rsidRPr="00F26D4F" w:rsidRDefault="00C94B25" w:rsidP="00C94B25">
      <w:pPr>
        <w:pStyle w:val="ListParagraph"/>
        <w:numPr>
          <w:ilvl w:val="0"/>
          <w:numId w:val="36"/>
        </w:numPr>
        <w:ind w:left="426" w:hanging="426"/>
      </w:pPr>
      <w:r>
        <w:t>c</w:t>
      </w:r>
      <w:r w:rsidRPr="00F26D4F">
        <w:t>ommunications</w:t>
      </w:r>
      <w:r>
        <w:t xml:space="preserve"> material as well as development and circulation of information and resources,</w:t>
      </w:r>
    </w:p>
    <w:p w14:paraId="42EB1D1D" w14:textId="77777777" w:rsidR="00C94B25" w:rsidRPr="00F26D4F" w:rsidRDefault="00C94B25" w:rsidP="00C94B25">
      <w:pPr>
        <w:pStyle w:val="ListParagraph"/>
        <w:numPr>
          <w:ilvl w:val="0"/>
          <w:numId w:val="36"/>
        </w:numPr>
        <w:ind w:left="426" w:hanging="426"/>
      </w:pPr>
      <w:r>
        <w:t>compliance visits or desktop audits,</w:t>
      </w:r>
    </w:p>
    <w:p w14:paraId="50C8BC7F" w14:textId="77777777" w:rsidR="00C94B25" w:rsidRPr="0047091A" w:rsidRDefault="00C94B25" w:rsidP="00C94B25">
      <w:pPr>
        <w:pStyle w:val="ListParagraph"/>
        <w:numPr>
          <w:ilvl w:val="0"/>
          <w:numId w:val="36"/>
        </w:numPr>
        <w:spacing w:after="240"/>
        <w:ind w:left="426" w:hanging="426"/>
        <w:rPr>
          <w:rFonts w:cstheme="minorHAnsi"/>
        </w:rPr>
      </w:pPr>
      <w:r>
        <w:t>i</w:t>
      </w:r>
      <w:r w:rsidRPr="00F26D4F">
        <w:t>nvestigations</w:t>
      </w:r>
      <w:r>
        <w:t xml:space="preserve"> into concerns identified by visits or audits,</w:t>
      </w:r>
    </w:p>
    <w:p w14:paraId="6A01F53C" w14:textId="77777777" w:rsidR="00C94B25" w:rsidRPr="00C94B25" w:rsidRDefault="00C94B25" w:rsidP="00C94B25">
      <w:pPr>
        <w:pStyle w:val="ListParagraph"/>
        <w:numPr>
          <w:ilvl w:val="0"/>
          <w:numId w:val="36"/>
        </w:numPr>
        <w:spacing w:after="240"/>
        <w:ind w:left="426" w:hanging="426"/>
        <w:rPr>
          <w:rFonts w:cstheme="minorHAnsi"/>
        </w:rPr>
      </w:pPr>
      <w:r>
        <w:t>enforcement activity to ensure compliance and deterrence is achieved,</w:t>
      </w:r>
    </w:p>
    <w:p w14:paraId="3A1E4DE6" w14:textId="0DCC19AF" w:rsidR="004E3A01" w:rsidRPr="00C94B25" w:rsidRDefault="00C94B25" w:rsidP="00285402">
      <w:pPr>
        <w:pStyle w:val="ListParagraph"/>
        <w:numPr>
          <w:ilvl w:val="0"/>
          <w:numId w:val="36"/>
        </w:numPr>
        <w:spacing w:after="120"/>
        <w:ind w:left="426" w:hanging="426"/>
        <w:rPr>
          <w:rFonts w:cstheme="minorHAnsi"/>
        </w:rPr>
      </w:pPr>
      <w:r>
        <w:t>analysis and report on the achievement/s of the campaign against the objectives.</w:t>
      </w:r>
    </w:p>
    <w:p w14:paraId="281340B9" w14:textId="2F3825C2" w:rsidR="00896454" w:rsidRPr="00141F23" w:rsidRDefault="00896454" w:rsidP="00896454">
      <w:pPr>
        <w:pStyle w:val="Heading2"/>
        <w:rPr>
          <w:lang w:val="en-AU"/>
        </w:rPr>
      </w:pPr>
      <w:bookmarkStart w:id="10" w:name="_Toc150338738"/>
      <w:r>
        <w:rPr>
          <w:lang w:val="en-AU"/>
        </w:rPr>
        <w:t xml:space="preserve">Additional </w:t>
      </w:r>
      <w:r w:rsidR="00D02C11">
        <w:rPr>
          <w:lang w:val="en-AU"/>
        </w:rPr>
        <w:t>m</w:t>
      </w:r>
      <w:r>
        <w:rPr>
          <w:lang w:val="en-AU"/>
        </w:rPr>
        <w:t>onitoring</w:t>
      </w:r>
      <w:bookmarkEnd w:id="10"/>
    </w:p>
    <w:p w14:paraId="5935B572" w14:textId="77777777" w:rsidR="00FC3218" w:rsidRDefault="00FC3218" w:rsidP="00FC3218">
      <w:pPr>
        <w:pStyle w:val="ListParagraph"/>
        <w:spacing w:after="120"/>
        <w:ind w:left="0"/>
        <w:contextualSpacing w:val="0"/>
        <w:rPr>
          <w:rFonts w:cstheme="minorHAnsi"/>
        </w:rPr>
      </w:pPr>
      <w:r w:rsidRPr="007A21FF">
        <w:rPr>
          <w:rFonts w:cstheme="minorHAnsi"/>
        </w:rPr>
        <w:t>Where</w:t>
      </w:r>
      <w:r>
        <w:rPr>
          <w:rFonts w:cstheme="minorHAnsi"/>
        </w:rPr>
        <w:t xml:space="preserve"> any of the above-mentioned</w:t>
      </w:r>
      <w:r w:rsidRPr="007A21FF">
        <w:rPr>
          <w:rFonts w:cstheme="minorHAnsi"/>
        </w:rPr>
        <w:t xml:space="preserve"> </w:t>
      </w:r>
      <w:r>
        <w:rPr>
          <w:rFonts w:cstheme="minorHAnsi"/>
        </w:rPr>
        <w:t xml:space="preserve">monitoring and assessment activities reveal that </w:t>
      </w:r>
      <w:r w:rsidRPr="007A21FF">
        <w:rPr>
          <w:rFonts w:cstheme="minorHAnsi"/>
        </w:rPr>
        <w:t xml:space="preserve">a service </w:t>
      </w:r>
      <w:r>
        <w:rPr>
          <w:rFonts w:cstheme="minorHAnsi"/>
        </w:rPr>
        <w:t>is</w:t>
      </w:r>
      <w:r w:rsidRPr="007A21FF">
        <w:rPr>
          <w:rFonts w:cstheme="minorHAnsi"/>
        </w:rPr>
        <w:t xml:space="preserve"> not </w:t>
      </w:r>
      <w:r>
        <w:rPr>
          <w:rFonts w:cstheme="minorHAnsi"/>
        </w:rPr>
        <w:t>demonstrating</w:t>
      </w:r>
      <w:r w:rsidRPr="007A21FF">
        <w:rPr>
          <w:rFonts w:cstheme="minorHAnsi"/>
        </w:rPr>
        <w:t xml:space="preserve"> satisfactory compliance</w:t>
      </w:r>
      <w:r>
        <w:rPr>
          <w:rFonts w:cstheme="minorHAnsi"/>
        </w:rPr>
        <w:t>,</w:t>
      </w:r>
      <w:r w:rsidRPr="007A21FF">
        <w:rPr>
          <w:rFonts w:cstheme="minorHAnsi"/>
        </w:rPr>
        <w:t xml:space="preserve"> additional monitoring</w:t>
      </w:r>
      <w:r>
        <w:rPr>
          <w:rFonts w:cstheme="minorHAnsi"/>
        </w:rPr>
        <w:t xml:space="preserve"> and/or sanctions (including emergency actions) </w:t>
      </w:r>
      <w:r w:rsidRPr="007A21FF">
        <w:rPr>
          <w:rFonts w:cstheme="minorHAnsi"/>
        </w:rPr>
        <w:t xml:space="preserve">will be </w:t>
      </w:r>
      <w:r>
        <w:rPr>
          <w:rFonts w:cstheme="minorHAnsi"/>
        </w:rPr>
        <w:t>imposed</w:t>
      </w:r>
      <w:r w:rsidRPr="007A21FF">
        <w:rPr>
          <w:rFonts w:cstheme="minorHAnsi"/>
        </w:rPr>
        <w:t xml:space="preserve"> by the Regulatory </w:t>
      </w:r>
      <w:r w:rsidRPr="00162F88">
        <w:rPr>
          <w:rFonts w:cstheme="minorHAnsi"/>
        </w:rPr>
        <w:t>Authority</w:t>
      </w:r>
      <w:r>
        <w:rPr>
          <w:rFonts w:cstheme="minorHAnsi"/>
        </w:rPr>
        <w:t xml:space="preserve"> to ensure the safety, health and wellbeing of children</w:t>
      </w:r>
      <w:r w:rsidRPr="00162F88">
        <w:rPr>
          <w:rFonts w:cstheme="minorHAnsi"/>
        </w:rPr>
        <w:t>.</w:t>
      </w:r>
    </w:p>
    <w:p w14:paraId="7C7EB87E" w14:textId="77777777" w:rsidR="00FC3218" w:rsidRDefault="00FC3218" w:rsidP="00FC3218">
      <w:pPr>
        <w:ind w:hanging="6"/>
        <w:rPr>
          <w:rFonts w:cstheme="minorHAnsi"/>
        </w:rPr>
      </w:pPr>
      <w:bookmarkStart w:id="11" w:name="_Hlk40626483"/>
      <w:bookmarkStart w:id="12" w:name="_Hlk34582028"/>
      <w:r>
        <w:rPr>
          <w:rFonts w:cstheme="minorHAnsi"/>
        </w:rPr>
        <w:t>‘</w:t>
      </w:r>
      <w:r w:rsidRPr="00AC2507">
        <w:rPr>
          <w:rFonts w:cstheme="minorHAnsi"/>
        </w:rPr>
        <w:t>Additional monitoring</w:t>
      </w:r>
      <w:r>
        <w:rPr>
          <w:rFonts w:cstheme="minorHAnsi"/>
        </w:rPr>
        <w:t>’ means the service is subject to increased regulatory activities focused on addressing problematic non-compliance before it escalates or causes serious harm. The benefit of additional monitoring is that the Regulatory Authority can maintain visibility of the risks and provide tailored support to assist a service to reach satisfactory compliance.</w:t>
      </w:r>
    </w:p>
    <w:p w14:paraId="2478B110" w14:textId="77777777" w:rsidR="00FC3218" w:rsidRDefault="00FC3218" w:rsidP="00FC3218">
      <w:pPr>
        <w:pStyle w:val="ListParagraph"/>
        <w:spacing w:after="120"/>
        <w:ind w:left="0"/>
        <w:contextualSpacing w:val="0"/>
        <w:rPr>
          <w:rFonts w:cstheme="minorHAnsi"/>
        </w:rPr>
      </w:pPr>
      <w:r>
        <w:rPr>
          <w:rFonts w:cstheme="minorHAnsi"/>
        </w:rPr>
        <w:t xml:space="preserve">Determining whether </w:t>
      </w:r>
      <w:r w:rsidRPr="00947799">
        <w:rPr>
          <w:rFonts w:cstheme="minorHAnsi"/>
        </w:rPr>
        <w:t>compliance</w:t>
      </w:r>
      <w:r>
        <w:rPr>
          <w:rFonts w:cstheme="minorHAnsi"/>
        </w:rPr>
        <w:t xml:space="preserve"> is satisfactory</w:t>
      </w:r>
      <w:r w:rsidRPr="00947799">
        <w:rPr>
          <w:rFonts w:cstheme="minorHAnsi"/>
        </w:rPr>
        <w:t xml:space="preserve"> is an assessment based on the level of risk presented </w:t>
      </w:r>
      <w:r>
        <w:rPr>
          <w:rFonts w:cstheme="minorHAnsi"/>
        </w:rPr>
        <w:t>during the monitoring or assessment activities that identified the non-compliance. For example, following a compliance visit, the authorised officer reviews the determined non-compliance and assesses the risk posed to children at the service</w:t>
      </w:r>
      <w:r w:rsidRPr="00947799">
        <w:rPr>
          <w:rFonts w:cstheme="minorHAnsi"/>
        </w:rPr>
        <w:t>.</w:t>
      </w:r>
      <w:r>
        <w:rPr>
          <w:rFonts w:cstheme="minorHAnsi"/>
        </w:rPr>
        <w:t xml:space="preserve"> </w:t>
      </w:r>
      <w:r w:rsidRPr="00947799">
        <w:rPr>
          <w:rFonts w:cstheme="minorHAnsi"/>
        </w:rPr>
        <w:t xml:space="preserve">The </w:t>
      </w:r>
      <w:r>
        <w:rPr>
          <w:rFonts w:cstheme="minorHAnsi"/>
        </w:rPr>
        <w:t>Regulatory Authority then</w:t>
      </w:r>
      <w:r w:rsidRPr="00947799">
        <w:rPr>
          <w:rFonts w:cstheme="minorHAnsi"/>
        </w:rPr>
        <w:t xml:space="preserve"> implement</w:t>
      </w:r>
      <w:r>
        <w:rPr>
          <w:rFonts w:cstheme="minorHAnsi"/>
        </w:rPr>
        <w:t>s</w:t>
      </w:r>
      <w:r w:rsidRPr="00947799">
        <w:rPr>
          <w:rFonts w:cstheme="minorHAnsi"/>
        </w:rPr>
        <w:t xml:space="preserve"> measures that are proportionate to the </w:t>
      </w:r>
      <w:r>
        <w:rPr>
          <w:rFonts w:cstheme="minorHAnsi"/>
        </w:rPr>
        <w:t>risk. A</w:t>
      </w:r>
      <w:r w:rsidRPr="00351D65">
        <w:rPr>
          <w:rFonts w:cstheme="minorHAnsi"/>
        </w:rPr>
        <w:t>pproved provider</w:t>
      </w:r>
      <w:r>
        <w:rPr>
          <w:rFonts w:cstheme="minorHAnsi"/>
        </w:rPr>
        <w:t>s of services that are to be additionally monitored are informed of this in writing</w:t>
      </w:r>
      <w:r w:rsidRPr="00351D65">
        <w:rPr>
          <w:rFonts w:cstheme="minorHAnsi"/>
        </w:rPr>
        <w:t>.</w:t>
      </w:r>
      <w:bookmarkEnd w:id="11"/>
      <w:r w:rsidRPr="00A0065D">
        <w:rPr>
          <w:rFonts w:cstheme="minorHAnsi"/>
        </w:rPr>
        <w:t xml:space="preserve"> </w:t>
      </w:r>
    </w:p>
    <w:p w14:paraId="452D6CE2" w14:textId="77777777" w:rsidR="00FC3218" w:rsidRPr="00A0065D" w:rsidRDefault="00FC3218" w:rsidP="00FC3218">
      <w:pPr>
        <w:pStyle w:val="ListParagraph"/>
        <w:spacing w:after="120"/>
        <w:ind w:left="0"/>
        <w:contextualSpacing w:val="0"/>
        <w:rPr>
          <w:rFonts w:cstheme="minorHAnsi"/>
        </w:rPr>
      </w:pPr>
      <w:r w:rsidRPr="00A0065D">
        <w:rPr>
          <w:rFonts w:cstheme="minorHAnsi"/>
        </w:rPr>
        <w:t>Additional monitoring activities, including supports to achiev</w:t>
      </w:r>
      <w:r>
        <w:rPr>
          <w:rFonts w:cstheme="minorHAnsi"/>
        </w:rPr>
        <w:t>e</w:t>
      </w:r>
      <w:r w:rsidRPr="00A0065D">
        <w:rPr>
          <w:rFonts w:cstheme="minorHAnsi"/>
        </w:rPr>
        <w:t xml:space="preserve"> compliance, </w:t>
      </w:r>
      <w:bookmarkEnd w:id="12"/>
      <w:r w:rsidRPr="00A0065D">
        <w:rPr>
          <w:rFonts w:cstheme="minorHAnsi"/>
        </w:rPr>
        <w:t>may include:</w:t>
      </w:r>
    </w:p>
    <w:p w14:paraId="7AB6EB2C" w14:textId="77777777" w:rsidR="00FC3218" w:rsidRPr="00A0065D" w:rsidRDefault="00FC3218" w:rsidP="00FC3218">
      <w:pPr>
        <w:pStyle w:val="ListParagraph"/>
        <w:numPr>
          <w:ilvl w:val="0"/>
          <w:numId w:val="38"/>
        </w:numPr>
        <w:spacing w:after="0" w:line="240" w:lineRule="auto"/>
        <w:ind w:left="425" w:hanging="425"/>
        <w:contextualSpacing w:val="0"/>
        <w:rPr>
          <w:rFonts w:cstheme="minorHAnsi"/>
        </w:rPr>
      </w:pPr>
      <w:r>
        <w:rPr>
          <w:rFonts w:cstheme="minorHAnsi"/>
        </w:rPr>
        <w:t>additional</w:t>
      </w:r>
      <w:r w:rsidRPr="00A0065D">
        <w:rPr>
          <w:rFonts w:cstheme="minorHAnsi"/>
        </w:rPr>
        <w:t xml:space="preserve"> </w:t>
      </w:r>
      <w:r>
        <w:rPr>
          <w:rFonts w:cstheme="minorHAnsi"/>
        </w:rPr>
        <w:t>compliance</w:t>
      </w:r>
      <w:r w:rsidRPr="00A0065D">
        <w:rPr>
          <w:rFonts w:cstheme="minorHAnsi"/>
        </w:rPr>
        <w:t xml:space="preserve"> visits by the Regulatory Authority,  </w:t>
      </w:r>
    </w:p>
    <w:p w14:paraId="5668E55A" w14:textId="77777777" w:rsidR="00FC3218" w:rsidRPr="00A0065D" w:rsidRDefault="00FC3218" w:rsidP="00FC3218">
      <w:pPr>
        <w:pStyle w:val="ListParagraph"/>
        <w:numPr>
          <w:ilvl w:val="0"/>
          <w:numId w:val="38"/>
        </w:numPr>
        <w:spacing w:after="0" w:line="240" w:lineRule="auto"/>
        <w:ind w:left="425" w:hanging="425"/>
        <w:contextualSpacing w:val="0"/>
        <w:rPr>
          <w:rFonts w:cstheme="minorHAnsi"/>
        </w:rPr>
      </w:pPr>
      <w:r>
        <w:rPr>
          <w:rFonts w:cstheme="minorHAnsi"/>
        </w:rPr>
        <w:t xml:space="preserve">an approved provider </w:t>
      </w:r>
      <w:r w:rsidRPr="00A0065D">
        <w:rPr>
          <w:rFonts w:cstheme="minorHAnsi"/>
        </w:rPr>
        <w:t>meeting</w:t>
      </w:r>
      <w:r>
        <w:rPr>
          <w:rFonts w:cstheme="minorHAnsi"/>
        </w:rPr>
        <w:t xml:space="preserve"> with the Regulatory Authority</w:t>
      </w:r>
      <w:r w:rsidRPr="00A0065D">
        <w:rPr>
          <w:rFonts w:cstheme="minorHAnsi"/>
        </w:rPr>
        <w:t xml:space="preserve"> to discuss </w:t>
      </w:r>
      <w:r>
        <w:rPr>
          <w:rFonts w:cstheme="minorHAnsi"/>
        </w:rPr>
        <w:t xml:space="preserve">and determine </w:t>
      </w:r>
      <w:r w:rsidRPr="00A0065D">
        <w:rPr>
          <w:rFonts w:cstheme="minorHAnsi"/>
        </w:rPr>
        <w:t>strategies to support continuous improvement and service compliance,</w:t>
      </w:r>
    </w:p>
    <w:p w14:paraId="11339CF8" w14:textId="77777777" w:rsidR="00FC3218" w:rsidRPr="00A0065D" w:rsidRDefault="00FC3218" w:rsidP="00FC3218">
      <w:pPr>
        <w:pStyle w:val="ListParagraph"/>
        <w:numPr>
          <w:ilvl w:val="0"/>
          <w:numId w:val="38"/>
        </w:numPr>
        <w:spacing w:after="0" w:line="240" w:lineRule="auto"/>
        <w:ind w:left="425" w:hanging="425"/>
        <w:contextualSpacing w:val="0"/>
        <w:rPr>
          <w:rFonts w:cstheme="minorHAnsi"/>
        </w:rPr>
      </w:pPr>
      <w:r w:rsidRPr="00A0065D">
        <w:rPr>
          <w:rFonts w:cstheme="minorHAnsi"/>
        </w:rPr>
        <w:t>an approved provider conducting a</w:t>
      </w:r>
      <w:r>
        <w:rPr>
          <w:rFonts w:cstheme="minorHAnsi"/>
        </w:rPr>
        <w:t xml:space="preserve"> </w:t>
      </w:r>
      <w:r w:rsidRPr="00A0065D">
        <w:rPr>
          <w:rFonts w:cstheme="minorHAnsi"/>
        </w:rPr>
        <w:t>self-assessment</w:t>
      </w:r>
      <w:r>
        <w:rPr>
          <w:rFonts w:cstheme="minorHAnsi"/>
        </w:rPr>
        <w:t xml:space="preserve"> and improvement action plan (usually as a new or revised part of their Quality Improvement Plan)</w:t>
      </w:r>
      <w:r w:rsidRPr="00A0065D">
        <w:rPr>
          <w:rFonts w:cstheme="minorHAnsi"/>
        </w:rPr>
        <w:t>,</w:t>
      </w:r>
    </w:p>
    <w:p w14:paraId="04197F75" w14:textId="77777777" w:rsidR="00FC3218" w:rsidRPr="00A0065D" w:rsidRDefault="00FC3218" w:rsidP="00FC3218">
      <w:pPr>
        <w:pStyle w:val="ListParagraph"/>
        <w:numPr>
          <w:ilvl w:val="0"/>
          <w:numId w:val="38"/>
        </w:numPr>
        <w:spacing w:after="0" w:line="240" w:lineRule="auto"/>
        <w:ind w:left="425" w:hanging="425"/>
        <w:contextualSpacing w:val="0"/>
        <w:rPr>
          <w:rFonts w:cstheme="minorHAnsi"/>
        </w:rPr>
      </w:pPr>
      <w:r w:rsidRPr="00A0065D">
        <w:rPr>
          <w:rFonts w:cstheme="minorHAnsi"/>
        </w:rPr>
        <w:t xml:space="preserve">the Regulatory Authority </w:t>
      </w:r>
      <w:r>
        <w:rPr>
          <w:rFonts w:cstheme="minorHAnsi"/>
        </w:rPr>
        <w:t xml:space="preserve">providing advice on </w:t>
      </w:r>
      <w:proofErr w:type="gramStart"/>
      <w:r>
        <w:rPr>
          <w:rFonts w:cstheme="minorHAnsi"/>
        </w:rPr>
        <w:t>particular aspects</w:t>
      </w:r>
      <w:proofErr w:type="gramEnd"/>
      <w:r>
        <w:rPr>
          <w:rFonts w:cstheme="minorHAnsi"/>
        </w:rPr>
        <w:t xml:space="preserve"> or issues including relevant research or best practice guidance materials</w:t>
      </w:r>
      <w:r w:rsidRPr="00A0065D">
        <w:rPr>
          <w:rFonts w:cstheme="minorHAnsi"/>
        </w:rPr>
        <w:t xml:space="preserve">, </w:t>
      </w:r>
    </w:p>
    <w:p w14:paraId="613B692B" w14:textId="77777777" w:rsidR="00FC3218" w:rsidRPr="00072CA0" w:rsidRDefault="00FC3218" w:rsidP="00FC3218">
      <w:pPr>
        <w:pStyle w:val="ListParagraph"/>
        <w:numPr>
          <w:ilvl w:val="0"/>
          <w:numId w:val="38"/>
        </w:numPr>
        <w:spacing w:after="0" w:line="240" w:lineRule="auto"/>
        <w:ind w:left="425" w:hanging="425"/>
        <w:contextualSpacing w:val="0"/>
        <w:rPr>
          <w:rFonts w:cstheme="minorHAnsi"/>
        </w:rPr>
      </w:pPr>
      <w:r w:rsidRPr="00A0065D">
        <w:rPr>
          <w:rFonts w:cstheme="minorHAnsi"/>
        </w:rPr>
        <w:t xml:space="preserve">an approved provider (and/or their staff) </w:t>
      </w:r>
      <w:r>
        <w:rPr>
          <w:rFonts w:cstheme="minorHAnsi"/>
        </w:rPr>
        <w:t>attending educative</w:t>
      </w:r>
      <w:r w:rsidRPr="00A0065D">
        <w:rPr>
          <w:rFonts w:cstheme="minorHAnsi"/>
        </w:rPr>
        <w:t xml:space="preserve"> session</w:t>
      </w:r>
      <w:r>
        <w:rPr>
          <w:rFonts w:cstheme="minorHAnsi"/>
        </w:rPr>
        <w:t>s,</w:t>
      </w:r>
      <w:r w:rsidRPr="00A0065D">
        <w:rPr>
          <w:rFonts w:cstheme="minorHAnsi"/>
        </w:rPr>
        <w:t xml:space="preserve"> forum</w:t>
      </w:r>
      <w:r>
        <w:rPr>
          <w:rFonts w:cstheme="minorHAnsi"/>
        </w:rPr>
        <w:t>s or</w:t>
      </w:r>
      <w:r w:rsidRPr="00A0065D">
        <w:rPr>
          <w:rFonts w:cstheme="minorHAnsi"/>
        </w:rPr>
        <w:t xml:space="preserve"> training </w:t>
      </w:r>
      <w:r>
        <w:rPr>
          <w:rFonts w:cstheme="minorHAnsi"/>
        </w:rPr>
        <w:t xml:space="preserve">identified to build </w:t>
      </w:r>
      <w:proofErr w:type="gramStart"/>
      <w:r>
        <w:rPr>
          <w:rFonts w:cstheme="minorHAnsi"/>
        </w:rPr>
        <w:t>particular skills</w:t>
      </w:r>
      <w:proofErr w:type="gramEnd"/>
      <w:r>
        <w:rPr>
          <w:rFonts w:cstheme="minorHAnsi"/>
        </w:rPr>
        <w:t xml:space="preserve"> or capabilities,</w:t>
      </w:r>
    </w:p>
    <w:p w14:paraId="3F3E8344" w14:textId="77777777" w:rsidR="00FC3218" w:rsidRDefault="00FC3218" w:rsidP="00FC3218">
      <w:pPr>
        <w:pStyle w:val="ListParagraph"/>
        <w:numPr>
          <w:ilvl w:val="0"/>
          <w:numId w:val="38"/>
        </w:numPr>
        <w:spacing w:after="120" w:line="240" w:lineRule="auto"/>
        <w:ind w:left="426" w:hanging="426"/>
        <w:rPr>
          <w:rFonts w:cstheme="minorHAnsi"/>
        </w:rPr>
      </w:pPr>
      <w:r w:rsidRPr="00A0065D">
        <w:rPr>
          <w:rFonts w:cstheme="minorHAnsi"/>
        </w:rPr>
        <w:t>referral of an approved provider to relevant programs and services</w:t>
      </w:r>
      <w:r>
        <w:rPr>
          <w:rFonts w:cstheme="minorHAnsi"/>
        </w:rPr>
        <w:t>,</w:t>
      </w:r>
    </w:p>
    <w:p w14:paraId="5C3EB014" w14:textId="77777777" w:rsidR="00FC3218" w:rsidRDefault="00FC3218" w:rsidP="00FC3218">
      <w:pPr>
        <w:pStyle w:val="ListParagraph"/>
        <w:numPr>
          <w:ilvl w:val="0"/>
          <w:numId w:val="38"/>
        </w:numPr>
        <w:spacing w:after="120" w:line="240" w:lineRule="auto"/>
        <w:ind w:left="426" w:hanging="426"/>
        <w:rPr>
          <w:rFonts w:cstheme="minorHAnsi"/>
        </w:rPr>
      </w:pPr>
      <w:r>
        <w:rPr>
          <w:rFonts w:cstheme="minorHAnsi"/>
        </w:rPr>
        <w:t>initiation of a full or partial reassessment process,</w:t>
      </w:r>
    </w:p>
    <w:p w14:paraId="6BF5CA14" w14:textId="77777777" w:rsidR="00FC3218" w:rsidRPr="00A0065D" w:rsidRDefault="00FC3218" w:rsidP="00FC3218">
      <w:pPr>
        <w:pStyle w:val="ListParagraph"/>
        <w:numPr>
          <w:ilvl w:val="0"/>
          <w:numId w:val="38"/>
        </w:numPr>
        <w:spacing w:after="120" w:line="240" w:lineRule="auto"/>
        <w:ind w:left="426" w:hanging="426"/>
        <w:rPr>
          <w:rFonts w:cstheme="minorHAnsi"/>
        </w:rPr>
      </w:pPr>
      <w:r>
        <w:rPr>
          <w:rFonts w:cstheme="minorHAnsi"/>
        </w:rPr>
        <w:t>sanctions</w:t>
      </w:r>
      <w:r w:rsidRPr="00A0065D">
        <w:rPr>
          <w:rFonts w:cstheme="minorHAnsi"/>
        </w:rPr>
        <w:t>.</w:t>
      </w:r>
    </w:p>
    <w:p w14:paraId="4F5640CC" w14:textId="77777777" w:rsidR="00FC3218" w:rsidRPr="00A0065D" w:rsidRDefault="00FC3218" w:rsidP="00FC3218">
      <w:pPr>
        <w:rPr>
          <w:rFonts w:cstheme="minorHAnsi"/>
        </w:rPr>
      </w:pPr>
      <w:r w:rsidRPr="00A0065D">
        <w:rPr>
          <w:rFonts w:cstheme="minorHAnsi"/>
        </w:rPr>
        <w:t xml:space="preserve">In all cases of additional monitoring, the Regulatory Authority expects the approved provider to engage with the process by developing an action plan linked to their </w:t>
      </w:r>
      <w:r>
        <w:rPr>
          <w:rFonts w:cstheme="minorHAnsi"/>
        </w:rPr>
        <w:t>Quality Improvement Plan,</w:t>
      </w:r>
      <w:r w:rsidRPr="00A0065D">
        <w:rPr>
          <w:rFonts w:cstheme="minorHAnsi"/>
        </w:rPr>
        <w:t xml:space="preserve"> detailing how they are </w:t>
      </w:r>
      <w:r>
        <w:rPr>
          <w:rFonts w:cstheme="minorHAnsi"/>
        </w:rPr>
        <w:t>addressing</w:t>
      </w:r>
      <w:r w:rsidRPr="00A0065D">
        <w:rPr>
          <w:rFonts w:cstheme="minorHAnsi"/>
        </w:rPr>
        <w:t xml:space="preserve"> non-compliance and how they will maintain compliance.</w:t>
      </w:r>
    </w:p>
    <w:p w14:paraId="3B00C2BA" w14:textId="77777777" w:rsidR="00FC3218" w:rsidRDefault="00FC3218" w:rsidP="00285402">
      <w:pPr>
        <w:spacing w:after="180"/>
        <w:rPr>
          <w:rFonts w:cstheme="minorHAnsi"/>
        </w:rPr>
      </w:pPr>
      <w:r w:rsidRPr="00A0065D">
        <w:rPr>
          <w:rFonts w:cstheme="minorHAnsi"/>
        </w:rPr>
        <w:lastRenderedPageBreak/>
        <w:t xml:space="preserve">The imposition of sanctions in response to non-compliance may be part of the Regulatory Authority’s actions depending on the seriousness of the issues and the </w:t>
      </w:r>
      <w:r>
        <w:rPr>
          <w:rFonts w:cstheme="minorHAnsi"/>
        </w:rPr>
        <w:t>engagement</w:t>
      </w:r>
      <w:r w:rsidRPr="00A0065D">
        <w:rPr>
          <w:rFonts w:cstheme="minorHAnsi"/>
        </w:rPr>
        <w:t xml:space="preserve"> of the approved provider. </w:t>
      </w:r>
      <w:r>
        <w:rPr>
          <w:rFonts w:cstheme="minorHAnsi"/>
        </w:rPr>
        <w:t>In situations where</w:t>
      </w:r>
      <w:r w:rsidRPr="00A0065D">
        <w:rPr>
          <w:rFonts w:cstheme="minorHAnsi"/>
        </w:rPr>
        <w:t xml:space="preserve"> children are at immediate or serious risk, the Regulatory Authority will respond accordingly with sanction</w:t>
      </w:r>
      <w:r>
        <w:rPr>
          <w:rFonts w:cstheme="minorHAnsi"/>
        </w:rPr>
        <w:t>s</w:t>
      </w:r>
      <w:r w:rsidRPr="00A0065D">
        <w:rPr>
          <w:rFonts w:cstheme="minorHAnsi"/>
        </w:rPr>
        <w:t xml:space="preserve"> or prosecutio</w:t>
      </w:r>
      <w:r>
        <w:rPr>
          <w:rFonts w:cstheme="minorHAnsi"/>
        </w:rPr>
        <w:t>n</w:t>
      </w:r>
      <w:r w:rsidRPr="00A0065D">
        <w:rPr>
          <w:rFonts w:cstheme="minorHAnsi"/>
        </w:rPr>
        <w:t>.</w:t>
      </w:r>
    </w:p>
    <w:p w14:paraId="273B33A3" w14:textId="77777777" w:rsidR="00FC3218" w:rsidRPr="00963EAE" w:rsidRDefault="00FC3218" w:rsidP="00FC3218">
      <w:pPr>
        <w:rPr>
          <w:rFonts w:eastAsiaTheme="majorEastAsia" w:cstheme="minorHAnsi"/>
          <w:b/>
          <w:bCs/>
        </w:rPr>
      </w:pPr>
      <w:r w:rsidRPr="00963EAE">
        <w:rPr>
          <w:rFonts w:eastAsiaTheme="majorEastAsia" w:cstheme="minorHAnsi"/>
          <w:b/>
          <w:bCs/>
        </w:rPr>
        <w:t>Concluding additional monitoring</w:t>
      </w:r>
    </w:p>
    <w:p w14:paraId="2538B46E" w14:textId="77777777" w:rsidR="00FC3218" w:rsidRDefault="00FC3218" w:rsidP="00FC3218">
      <w:pPr>
        <w:rPr>
          <w:rFonts w:cstheme="minorHAnsi"/>
        </w:rPr>
      </w:pPr>
      <w:r>
        <w:rPr>
          <w:rFonts w:eastAsiaTheme="majorEastAsia" w:cstheme="minorHAnsi"/>
        </w:rPr>
        <w:t xml:space="preserve">The Regulatory Authority expects compliance to be achieved as quickly as possible. </w:t>
      </w:r>
      <w:r w:rsidRPr="007A21FF">
        <w:rPr>
          <w:rFonts w:cstheme="minorHAnsi"/>
        </w:rPr>
        <w:t>Where additional monitoring activities are being undertaken, the service will be provided opportunit</w:t>
      </w:r>
      <w:r>
        <w:rPr>
          <w:rFonts w:cstheme="minorHAnsi"/>
        </w:rPr>
        <w:t>y</w:t>
      </w:r>
      <w:r w:rsidRPr="007A21FF">
        <w:rPr>
          <w:rFonts w:cstheme="minorHAnsi"/>
        </w:rPr>
        <w:t xml:space="preserve"> to demonstrate their compliance. When the Regulatory Authority </w:t>
      </w:r>
      <w:r>
        <w:rPr>
          <w:rFonts w:cstheme="minorHAnsi"/>
        </w:rPr>
        <w:t>can determine, based on evidence,</w:t>
      </w:r>
      <w:r w:rsidRPr="007A21FF">
        <w:rPr>
          <w:rFonts w:cstheme="minorHAnsi"/>
        </w:rPr>
        <w:t xml:space="preserve"> that compliance has been achieved</w:t>
      </w:r>
      <w:r>
        <w:rPr>
          <w:rFonts w:cstheme="minorHAnsi"/>
        </w:rPr>
        <w:t xml:space="preserve"> to a satisfactory level</w:t>
      </w:r>
      <w:r w:rsidRPr="007A21FF">
        <w:rPr>
          <w:rFonts w:cstheme="minorHAnsi"/>
        </w:rPr>
        <w:t>, the approved provider will receive correspondence that additional monitoring activities have concluded.</w:t>
      </w:r>
    </w:p>
    <w:p w14:paraId="12325E10" w14:textId="31653298" w:rsidR="00896454" w:rsidRDefault="00FC3218" w:rsidP="00285402">
      <w:pPr>
        <w:rPr>
          <w:rFonts w:cstheme="minorHAnsi"/>
        </w:rPr>
      </w:pPr>
      <w:r>
        <w:rPr>
          <w:rFonts w:eastAsiaTheme="majorEastAsia" w:cstheme="minorHAnsi"/>
        </w:rPr>
        <w:t xml:space="preserve">Where satisfactory levels of compliance are not achieved within a reasonable timeframe the Regulatory Authority will determine whether sanctions, such as limiting, </w:t>
      </w:r>
      <w:proofErr w:type="gramStart"/>
      <w:r>
        <w:rPr>
          <w:rFonts w:eastAsiaTheme="majorEastAsia" w:cstheme="minorHAnsi"/>
        </w:rPr>
        <w:t>suspending</w:t>
      </w:r>
      <w:proofErr w:type="gramEnd"/>
      <w:r>
        <w:rPr>
          <w:rFonts w:eastAsiaTheme="majorEastAsia" w:cstheme="minorHAnsi"/>
        </w:rPr>
        <w:t xml:space="preserve"> or cancelling service approval, or prosecution are required. These decisions, including reasonableness of timeframes, will depend on the facts of each situation, the types of non-compliance that persist and the impact to the safety, </w:t>
      </w:r>
      <w:proofErr w:type="gramStart"/>
      <w:r>
        <w:rPr>
          <w:rFonts w:eastAsiaTheme="majorEastAsia" w:cstheme="minorHAnsi"/>
        </w:rPr>
        <w:t>health</w:t>
      </w:r>
      <w:proofErr w:type="gramEnd"/>
      <w:r>
        <w:rPr>
          <w:rFonts w:eastAsiaTheme="majorEastAsia" w:cstheme="minorHAnsi"/>
        </w:rPr>
        <w:t xml:space="preserve"> and wellbeing of children</w:t>
      </w:r>
      <w:r w:rsidR="00896454">
        <w:rPr>
          <w:rFonts w:cstheme="minorHAnsi"/>
        </w:rPr>
        <w:t>.</w:t>
      </w:r>
    </w:p>
    <w:p w14:paraId="3142329D" w14:textId="756BE8AF" w:rsidR="00896454" w:rsidRPr="00141F23" w:rsidRDefault="00FC3218" w:rsidP="00896454">
      <w:pPr>
        <w:pStyle w:val="Heading2"/>
        <w:rPr>
          <w:lang w:val="en-AU"/>
        </w:rPr>
      </w:pPr>
      <w:bookmarkStart w:id="13" w:name="_Toc150338739"/>
      <w:r>
        <w:rPr>
          <w:lang w:val="en-AU"/>
        </w:rPr>
        <w:t>Disclosure of information</w:t>
      </w:r>
      <w:bookmarkEnd w:id="13"/>
    </w:p>
    <w:p w14:paraId="1098732E" w14:textId="77777777" w:rsidR="00660B8A" w:rsidRPr="005A301D" w:rsidRDefault="00660B8A" w:rsidP="00660B8A">
      <w:pPr>
        <w:pStyle w:val="NormalWeb"/>
        <w:spacing w:before="0" w:beforeAutospacing="0" w:after="120" w:afterAutospacing="0"/>
        <w:rPr>
          <w:rFonts w:asciiTheme="minorHAnsi" w:hAnsiTheme="minorHAnsi" w:cstheme="minorHAnsi"/>
          <w:color w:val="000000"/>
          <w:sz w:val="22"/>
          <w:szCs w:val="22"/>
        </w:rPr>
      </w:pPr>
      <w:r w:rsidRPr="005A301D">
        <w:rPr>
          <w:rFonts w:asciiTheme="minorHAnsi" w:hAnsiTheme="minorHAnsi" w:cstheme="minorHAnsi"/>
          <w:color w:val="000000"/>
          <w:sz w:val="22"/>
          <w:szCs w:val="22"/>
        </w:rPr>
        <w:t xml:space="preserve">As set out in the departments Privacy Policy (National Law), the Regulatory Authority collects and handles personal information in accordance with the Commonwealth </w:t>
      </w:r>
      <w:r w:rsidRPr="005A301D">
        <w:rPr>
          <w:rFonts w:asciiTheme="minorHAnsi" w:hAnsiTheme="minorHAnsi" w:cstheme="minorHAnsi"/>
          <w:i/>
          <w:iCs/>
          <w:color w:val="000000"/>
          <w:sz w:val="22"/>
          <w:szCs w:val="22"/>
        </w:rPr>
        <w:t xml:space="preserve">Privacy Act 1988 </w:t>
      </w:r>
      <w:r w:rsidRPr="005A301D">
        <w:rPr>
          <w:rFonts w:asciiTheme="minorHAnsi" w:hAnsiTheme="minorHAnsi" w:cstheme="minorHAnsi"/>
          <w:color w:val="000000"/>
          <w:sz w:val="22"/>
          <w:szCs w:val="22"/>
        </w:rPr>
        <w:t xml:space="preserve">(Privacy Act) unless otherwise required by law. </w:t>
      </w:r>
    </w:p>
    <w:p w14:paraId="43875C0A" w14:textId="77777777" w:rsidR="00660B8A" w:rsidRPr="005A301D" w:rsidRDefault="00660B8A" w:rsidP="00660B8A">
      <w:pPr>
        <w:pStyle w:val="NormalWeb"/>
        <w:spacing w:before="0" w:beforeAutospacing="0" w:after="120" w:afterAutospacing="0"/>
        <w:rPr>
          <w:rFonts w:asciiTheme="minorHAnsi" w:hAnsiTheme="minorHAnsi" w:cstheme="minorHAnsi"/>
          <w:color w:val="000000"/>
          <w:sz w:val="22"/>
          <w:szCs w:val="22"/>
        </w:rPr>
      </w:pPr>
      <w:r w:rsidRPr="005A301D">
        <w:rPr>
          <w:rFonts w:asciiTheme="minorHAnsi" w:hAnsiTheme="minorHAnsi" w:cstheme="minorHAnsi"/>
          <w:color w:val="000000"/>
          <w:sz w:val="22"/>
          <w:szCs w:val="22"/>
        </w:rPr>
        <w:t xml:space="preserve">Under the National Law and Children’s Services Act, the Regulatory Authority may disclose information to State or Commonwealth Government </w:t>
      </w:r>
      <w:r w:rsidRPr="005A301D">
        <w:rPr>
          <w:rFonts w:asciiTheme="minorHAnsi" w:hAnsiTheme="minorHAnsi" w:cstheme="minorHAnsi"/>
          <w:sz w:val="22"/>
          <w:szCs w:val="22"/>
        </w:rPr>
        <w:t>Departments</w:t>
      </w:r>
      <w:r w:rsidRPr="005A301D">
        <w:rPr>
          <w:rStyle w:val="FootnoteReference"/>
          <w:rFonts w:asciiTheme="minorHAnsi" w:hAnsiTheme="minorHAnsi" w:cstheme="minorHAnsi"/>
          <w:color w:val="auto"/>
          <w:sz w:val="22"/>
          <w:szCs w:val="22"/>
        </w:rPr>
        <w:footnoteReference w:id="7"/>
      </w:r>
      <w:r w:rsidRPr="005A301D">
        <w:rPr>
          <w:rFonts w:asciiTheme="minorHAnsi" w:hAnsiTheme="minorHAnsi" w:cstheme="minorHAnsi"/>
          <w:sz w:val="22"/>
          <w:szCs w:val="22"/>
        </w:rPr>
        <w:t xml:space="preserve"> </w:t>
      </w:r>
      <w:r w:rsidRPr="005A301D">
        <w:rPr>
          <w:rFonts w:asciiTheme="minorHAnsi" w:hAnsiTheme="minorHAnsi" w:cstheme="minorHAnsi"/>
          <w:color w:val="000000"/>
          <w:sz w:val="22"/>
          <w:szCs w:val="22"/>
        </w:rPr>
        <w:t>where the information relates to:</w:t>
      </w:r>
    </w:p>
    <w:p w14:paraId="3AE2CB8B" w14:textId="77777777" w:rsidR="00660B8A" w:rsidRPr="005A301D" w:rsidRDefault="00660B8A" w:rsidP="00660B8A">
      <w:pPr>
        <w:pStyle w:val="NormalWeb"/>
        <w:numPr>
          <w:ilvl w:val="0"/>
          <w:numId w:val="39"/>
        </w:numPr>
        <w:spacing w:before="0" w:beforeAutospacing="0" w:after="0" w:afterAutospacing="0"/>
        <w:ind w:left="425" w:hanging="425"/>
        <w:rPr>
          <w:rFonts w:asciiTheme="minorHAnsi" w:hAnsiTheme="minorHAnsi" w:cstheme="minorHAnsi"/>
          <w:color w:val="000000"/>
          <w:sz w:val="22"/>
          <w:szCs w:val="22"/>
        </w:rPr>
      </w:pPr>
      <w:r w:rsidRPr="005A301D">
        <w:rPr>
          <w:rFonts w:asciiTheme="minorHAnsi" w:hAnsiTheme="minorHAnsi" w:cstheme="minorHAnsi"/>
          <w:color w:val="000000"/>
          <w:sz w:val="22"/>
          <w:szCs w:val="22"/>
        </w:rPr>
        <w:t>promoting the objectives of the National Law or Children’s Services Act,</w:t>
      </w:r>
    </w:p>
    <w:p w14:paraId="29A75A28" w14:textId="77777777" w:rsidR="00660B8A" w:rsidRPr="005A301D" w:rsidRDefault="00660B8A" w:rsidP="00660B8A">
      <w:pPr>
        <w:pStyle w:val="NormalWeb"/>
        <w:numPr>
          <w:ilvl w:val="0"/>
          <w:numId w:val="39"/>
        </w:numPr>
        <w:spacing w:before="0" w:beforeAutospacing="0" w:after="0" w:afterAutospacing="0"/>
        <w:ind w:left="425" w:hanging="425"/>
        <w:rPr>
          <w:rFonts w:asciiTheme="minorHAnsi" w:hAnsiTheme="minorHAnsi" w:cstheme="minorHAnsi"/>
          <w:color w:val="000000"/>
          <w:sz w:val="22"/>
          <w:szCs w:val="22"/>
        </w:rPr>
      </w:pPr>
      <w:r w:rsidRPr="005A301D">
        <w:rPr>
          <w:rFonts w:asciiTheme="minorHAnsi" w:hAnsiTheme="minorHAnsi" w:cstheme="minorHAnsi"/>
          <w:color w:val="000000"/>
          <w:sz w:val="22"/>
          <w:szCs w:val="22"/>
        </w:rPr>
        <w:t>assisting authorities and other government departments to perform or exercise their functions and powers under the National Law or Children’s Services Act,</w:t>
      </w:r>
    </w:p>
    <w:p w14:paraId="143A6F06" w14:textId="77777777" w:rsidR="00660B8A" w:rsidRPr="005A301D" w:rsidRDefault="00660B8A" w:rsidP="00660B8A">
      <w:pPr>
        <w:pStyle w:val="NormalWeb"/>
        <w:numPr>
          <w:ilvl w:val="0"/>
          <w:numId w:val="39"/>
        </w:numPr>
        <w:spacing w:before="0" w:beforeAutospacing="0" w:after="0" w:afterAutospacing="0"/>
        <w:ind w:left="425" w:hanging="425"/>
        <w:rPr>
          <w:rFonts w:asciiTheme="minorHAnsi" w:hAnsiTheme="minorHAnsi" w:cstheme="minorHAnsi"/>
          <w:color w:val="000000"/>
          <w:sz w:val="22"/>
          <w:szCs w:val="22"/>
        </w:rPr>
      </w:pPr>
      <w:r w:rsidRPr="005A301D">
        <w:rPr>
          <w:rFonts w:asciiTheme="minorHAnsi" w:hAnsiTheme="minorHAnsi" w:cstheme="minorHAnsi"/>
          <w:color w:val="000000"/>
          <w:sz w:val="22"/>
          <w:szCs w:val="22"/>
        </w:rPr>
        <w:t>research or the development of national, state/territory policy with respect to ECEC services,</w:t>
      </w:r>
    </w:p>
    <w:p w14:paraId="20C1FF64" w14:textId="77777777" w:rsidR="00660B8A" w:rsidRPr="005A301D" w:rsidRDefault="00660B8A" w:rsidP="00660B8A">
      <w:pPr>
        <w:pStyle w:val="NormalWeb"/>
        <w:numPr>
          <w:ilvl w:val="0"/>
          <w:numId w:val="39"/>
        </w:numPr>
        <w:spacing w:before="0" w:beforeAutospacing="0" w:after="0" w:afterAutospacing="0"/>
        <w:ind w:left="425" w:hanging="425"/>
        <w:rPr>
          <w:rFonts w:asciiTheme="minorHAnsi" w:hAnsiTheme="minorHAnsi" w:cstheme="minorHAnsi"/>
          <w:color w:val="000000"/>
          <w:sz w:val="22"/>
          <w:szCs w:val="22"/>
        </w:rPr>
      </w:pPr>
      <w:r w:rsidRPr="005A301D">
        <w:rPr>
          <w:rFonts w:asciiTheme="minorHAnsi" w:hAnsiTheme="minorHAnsi" w:cstheme="minorHAnsi"/>
          <w:color w:val="000000"/>
          <w:sz w:val="22"/>
          <w:szCs w:val="22"/>
        </w:rPr>
        <w:t>the funding of ECEC services,</w:t>
      </w:r>
    </w:p>
    <w:p w14:paraId="4D6F5A5F" w14:textId="77777777" w:rsidR="00660B8A" w:rsidRPr="005A301D" w:rsidRDefault="00660B8A" w:rsidP="00660B8A">
      <w:pPr>
        <w:pStyle w:val="NormalWeb"/>
        <w:numPr>
          <w:ilvl w:val="0"/>
          <w:numId w:val="39"/>
        </w:numPr>
        <w:spacing w:before="0" w:beforeAutospacing="0" w:after="0" w:afterAutospacing="0"/>
        <w:ind w:left="425" w:hanging="425"/>
        <w:rPr>
          <w:rFonts w:asciiTheme="minorHAnsi" w:hAnsiTheme="minorHAnsi" w:cstheme="minorHAnsi"/>
          <w:color w:val="000000"/>
          <w:sz w:val="22"/>
          <w:szCs w:val="22"/>
        </w:rPr>
      </w:pPr>
      <w:r w:rsidRPr="005A301D">
        <w:rPr>
          <w:rFonts w:asciiTheme="minorHAnsi" w:hAnsiTheme="minorHAnsi" w:cstheme="minorHAnsi"/>
          <w:color w:val="000000"/>
          <w:sz w:val="22"/>
          <w:szCs w:val="22"/>
        </w:rPr>
        <w:t>the payment of benefits or allowances to persons using education and care services,</w:t>
      </w:r>
    </w:p>
    <w:p w14:paraId="43EACD72" w14:textId="77777777" w:rsidR="00660B8A" w:rsidRPr="005A301D" w:rsidRDefault="00660B8A" w:rsidP="00660B8A">
      <w:pPr>
        <w:pStyle w:val="NormalWeb"/>
        <w:numPr>
          <w:ilvl w:val="0"/>
          <w:numId w:val="39"/>
        </w:numPr>
        <w:spacing w:before="0" w:beforeAutospacing="0" w:after="120" w:afterAutospacing="0"/>
        <w:ind w:left="426" w:hanging="426"/>
        <w:rPr>
          <w:rFonts w:asciiTheme="minorHAnsi" w:hAnsiTheme="minorHAnsi" w:cstheme="minorHAnsi"/>
          <w:color w:val="000000"/>
          <w:sz w:val="22"/>
          <w:szCs w:val="22"/>
        </w:rPr>
      </w:pPr>
      <w:r w:rsidRPr="005A301D">
        <w:rPr>
          <w:rFonts w:asciiTheme="minorHAnsi" w:hAnsiTheme="minorHAnsi" w:cstheme="minorHAnsi"/>
          <w:color w:val="000000"/>
          <w:sz w:val="22"/>
          <w:szCs w:val="22"/>
        </w:rPr>
        <w:t>compliance, monitoring and enforcement.</w:t>
      </w:r>
    </w:p>
    <w:p w14:paraId="21D86D93" w14:textId="77777777" w:rsidR="00660B8A" w:rsidRPr="005A301D" w:rsidRDefault="00660B8A" w:rsidP="00660B8A">
      <w:pPr>
        <w:pStyle w:val="NormalWeb"/>
        <w:spacing w:before="0" w:beforeAutospacing="0" w:after="120" w:afterAutospacing="0"/>
        <w:rPr>
          <w:rFonts w:asciiTheme="minorHAnsi" w:hAnsiTheme="minorHAnsi" w:cstheme="minorHAnsi"/>
          <w:color w:val="000000"/>
          <w:sz w:val="22"/>
          <w:szCs w:val="22"/>
        </w:rPr>
      </w:pPr>
      <w:r w:rsidRPr="005A301D">
        <w:rPr>
          <w:rFonts w:asciiTheme="minorHAnsi" w:hAnsiTheme="minorHAnsi" w:cstheme="minorHAnsi"/>
          <w:color w:val="000000"/>
          <w:sz w:val="22"/>
          <w:szCs w:val="22"/>
        </w:rPr>
        <w:t>In particular, in so far as is permitted by the National Law and/or Children’s Services Act, and in compliance with the Privacy Act, the Regulatory Authority shares information with:</w:t>
      </w:r>
    </w:p>
    <w:p w14:paraId="06F06E1B" w14:textId="77777777" w:rsidR="00660B8A" w:rsidRPr="005A301D" w:rsidRDefault="00660B8A" w:rsidP="00660B8A">
      <w:pPr>
        <w:pStyle w:val="NormalWeb"/>
        <w:numPr>
          <w:ilvl w:val="0"/>
          <w:numId w:val="40"/>
        </w:numPr>
        <w:spacing w:before="0" w:beforeAutospacing="0" w:after="0" w:afterAutospacing="0"/>
        <w:ind w:left="425" w:hanging="425"/>
        <w:rPr>
          <w:rFonts w:asciiTheme="minorHAnsi" w:hAnsiTheme="minorHAnsi" w:cstheme="minorHAnsi"/>
          <w:color w:val="000000"/>
          <w:sz w:val="22"/>
          <w:szCs w:val="22"/>
        </w:rPr>
      </w:pPr>
      <w:r w:rsidRPr="005A301D">
        <w:rPr>
          <w:rFonts w:asciiTheme="minorHAnsi" w:hAnsiTheme="minorHAnsi" w:cstheme="minorHAnsi"/>
          <w:color w:val="000000"/>
          <w:sz w:val="22"/>
          <w:szCs w:val="22"/>
        </w:rPr>
        <w:t xml:space="preserve">all areas of the Department of Education (Vic) </w:t>
      </w:r>
    </w:p>
    <w:p w14:paraId="50BCC325" w14:textId="77777777" w:rsidR="00660B8A" w:rsidRPr="005A301D" w:rsidRDefault="00660B8A" w:rsidP="00660B8A">
      <w:pPr>
        <w:pStyle w:val="NormalWeb"/>
        <w:numPr>
          <w:ilvl w:val="0"/>
          <w:numId w:val="40"/>
        </w:numPr>
        <w:spacing w:before="0" w:beforeAutospacing="0" w:after="0" w:afterAutospacing="0"/>
        <w:ind w:left="425" w:hanging="425"/>
        <w:rPr>
          <w:rFonts w:asciiTheme="minorHAnsi" w:hAnsiTheme="minorHAnsi" w:cstheme="minorHAnsi"/>
          <w:color w:val="000000"/>
          <w:sz w:val="22"/>
          <w:szCs w:val="22"/>
        </w:rPr>
      </w:pPr>
      <w:r w:rsidRPr="005A301D">
        <w:rPr>
          <w:rFonts w:asciiTheme="minorHAnsi" w:hAnsiTheme="minorHAnsi" w:cstheme="minorHAnsi"/>
          <w:color w:val="000000"/>
          <w:sz w:val="22"/>
          <w:szCs w:val="22"/>
        </w:rPr>
        <w:t>the equivalent early childhood Regulatory Authorities in other states/territories</w:t>
      </w:r>
    </w:p>
    <w:p w14:paraId="74974B43" w14:textId="77777777" w:rsidR="00660B8A" w:rsidRPr="005A301D" w:rsidRDefault="00660B8A" w:rsidP="00660B8A">
      <w:pPr>
        <w:pStyle w:val="NormalWeb"/>
        <w:numPr>
          <w:ilvl w:val="0"/>
          <w:numId w:val="40"/>
        </w:numPr>
        <w:spacing w:before="0" w:beforeAutospacing="0" w:after="0" w:afterAutospacing="0"/>
        <w:ind w:left="425" w:hanging="425"/>
        <w:rPr>
          <w:rFonts w:asciiTheme="minorHAnsi" w:hAnsiTheme="minorHAnsi" w:cstheme="minorHAnsi"/>
          <w:color w:val="000000"/>
          <w:sz w:val="22"/>
          <w:szCs w:val="22"/>
        </w:rPr>
      </w:pPr>
      <w:r w:rsidRPr="005A301D">
        <w:rPr>
          <w:rFonts w:asciiTheme="minorHAnsi" w:hAnsiTheme="minorHAnsi" w:cstheme="minorHAnsi"/>
          <w:color w:val="000000"/>
          <w:sz w:val="22"/>
          <w:szCs w:val="22"/>
        </w:rPr>
        <w:t>the Commission for Children and Young People (Vic)</w:t>
      </w:r>
    </w:p>
    <w:p w14:paraId="6B2F4DF6" w14:textId="77777777" w:rsidR="00660B8A" w:rsidRPr="005A301D" w:rsidRDefault="00660B8A" w:rsidP="00660B8A">
      <w:pPr>
        <w:pStyle w:val="NormalWeb"/>
        <w:numPr>
          <w:ilvl w:val="0"/>
          <w:numId w:val="40"/>
        </w:numPr>
        <w:spacing w:before="0" w:beforeAutospacing="0" w:after="0" w:afterAutospacing="0"/>
        <w:ind w:left="425" w:hanging="425"/>
        <w:rPr>
          <w:rFonts w:asciiTheme="minorHAnsi" w:hAnsiTheme="minorHAnsi" w:cstheme="minorHAnsi"/>
          <w:color w:val="000000"/>
          <w:sz w:val="22"/>
          <w:szCs w:val="22"/>
        </w:rPr>
      </w:pPr>
      <w:r w:rsidRPr="005A301D">
        <w:rPr>
          <w:rFonts w:asciiTheme="minorHAnsi" w:hAnsiTheme="minorHAnsi" w:cstheme="minorHAnsi"/>
          <w:color w:val="000000"/>
          <w:sz w:val="22"/>
          <w:szCs w:val="22"/>
        </w:rPr>
        <w:t>the Department of Education (</w:t>
      </w:r>
      <w:proofErr w:type="spellStart"/>
      <w:r w:rsidRPr="005A301D">
        <w:rPr>
          <w:rFonts w:asciiTheme="minorHAnsi" w:hAnsiTheme="minorHAnsi" w:cstheme="minorHAnsi"/>
          <w:color w:val="000000"/>
          <w:sz w:val="22"/>
          <w:szCs w:val="22"/>
        </w:rPr>
        <w:t>Cth</w:t>
      </w:r>
      <w:proofErr w:type="spellEnd"/>
      <w:r w:rsidRPr="005A301D">
        <w:rPr>
          <w:rFonts w:asciiTheme="minorHAnsi" w:hAnsiTheme="minorHAnsi" w:cstheme="minorHAnsi"/>
          <w:color w:val="000000"/>
          <w:sz w:val="22"/>
          <w:szCs w:val="22"/>
        </w:rPr>
        <w:t>)</w:t>
      </w:r>
    </w:p>
    <w:p w14:paraId="10CEC3B1" w14:textId="77777777" w:rsidR="00660B8A" w:rsidRPr="005A301D" w:rsidRDefault="00660B8A" w:rsidP="00660B8A">
      <w:pPr>
        <w:pStyle w:val="NormalWeb"/>
        <w:numPr>
          <w:ilvl w:val="0"/>
          <w:numId w:val="40"/>
        </w:numPr>
        <w:spacing w:before="0" w:beforeAutospacing="0" w:after="0" w:afterAutospacing="0"/>
        <w:ind w:left="425" w:hanging="425"/>
        <w:rPr>
          <w:rFonts w:asciiTheme="minorHAnsi" w:hAnsiTheme="minorHAnsi" w:cstheme="minorHAnsi"/>
          <w:color w:val="000000"/>
          <w:sz w:val="22"/>
          <w:szCs w:val="22"/>
        </w:rPr>
      </w:pPr>
      <w:r w:rsidRPr="005A301D">
        <w:rPr>
          <w:rFonts w:asciiTheme="minorHAnsi" w:hAnsiTheme="minorHAnsi" w:cstheme="minorHAnsi"/>
          <w:color w:val="000000"/>
          <w:sz w:val="22"/>
          <w:szCs w:val="22"/>
        </w:rPr>
        <w:t>the Department of Health (Vic)</w:t>
      </w:r>
    </w:p>
    <w:p w14:paraId="67361160" w14:textId="77777777" w:rsidR="00660B8A" w:rsidRPr="005A301D" w:rsidRDefault="00660B8A" w:rsidP="00660B8A">
      <w:pPr>
        <w:pStyle w:val="NormalWeb"/>
        <w:numPr>
          <w:ilvl w:val="0"/>
          <w:numId w:val="40"/>
        </w:numPr>
        <w:spacing w:before="0" w:beforeAutospacing="0" w:after="0" w:afterAutospacing="0"/>
        <w:ind w:left="425" w:hanging="425"/>
        <w:rPr>
          <w:rFonts w:asciiTheme="minorHAnsi" w:hAnsiTheme="minorHAnsi" w:cstheme="minorHAnsi"/>
          <w:color w:val="000000"/>
          <w:sz w:val="22"/>
          <w:szCs w:val="22"/>
        </w:rPr>
      </w:pPr>
      <w:r w:rsidRPr="005A301D">
        <w:rPr>
          <w:rFonts w:asciiTheme="minorHAnsi" w:hAnsiTheme="minorHAnsi" w:cstheme="minorHAnsi"/>
          <w:color w:val="000000"/>
          <w:sz w:val="22"/>
          <w:szCs w:val="22"/>
        </w:rPr>
        <w:t>the Department of Justice (Vic)</w:t>
      </w:r>
    </w:p>
    <w:p w14:paraId="204572EF" w14:textId="77777777" w:rsidR="00660B8A" w:rsidRPr="005A301D" w:rsidRDefault="00660B8A" w:rsidP="00660B8A">
      <w:pPr>
        <w:pStyle w:val="NormalWeb"/>
        <w:numPr>
          <w:ilvl w:val="0"/>
          <w:numId w:val="40"/>
        </w:numPr>
        <w:spacing w:before="0" w:beforeAutospacing="0" w:after="0" w:afterAutospacing="0"/>
        <w:ind w:left="425" w:hanging="425"/>
        <w:rPr>
          <w:rFonts w:asciiTheme="minorHAnsi" w:hAnsiTheme="minorHAnsi" w:cstheme="minorHAnsi"/>
          <w:color w:val="000000"/>
          <w:sz w:val="22"/>
          <w:szCs w:val="22"/>
        </w:rPr>
      </w:pPr>
      <w:r w:rsidRPr="005A301D">
        <w:rPr>
          <w:rFonts w:asciiTheme="minorHAnsi" w:hAnsiTheme="minorHAnsi" w:cstheme="minorHAnsi"/>
          <w:color w:val="000000"/>
          <w:sz w:val="22"/>
          <w:szCs w:val="22"/>
        </w:rPr>
        <w:t>the Department of Families, Fairness and Housing (Vic)</w:t>
      </w:r>
    </w:p>
    <w:p w14:paraId="2356F33F" w14:textId="77777777" w:rsidR="00660B8A" w:rsidRPr="005A301D" w:rsidRDefault="00660B8A" w:rsidP="00660B8A">
      <w:pPr>
        <w:pStyle w:val="NormalWeb"/>
        <w:numPr>
          <w:ilvl w:val="0"/>
          <w:numId w:val="40"/>
        </w:numPr>
        <w:spacing w:before="0" w:beforeAutospacing="0" w:after="0" w:afterAutospacing="0"/>
        <w:ind w:left="425" w:hanging="425"/>
        <w:rPr>
          <w:rFonts w:asciiTheme="minorHAnsi" w:hAnsiTheme="minorHAnsi" w:cstheme="minorHAnsi"/>
          <w:color w:val="000000"/>
          <w:sz w:val="22"/>
          <w:szCs w:val="22"/>
        </w:rPr>
      </w:pPr>
      <w:r w:rsidRPr="005A301D">
        <w:rPr>
          <w:rFonts w:asciiTheme="minorHAnsi" w:hAnsiTheme="minorHAnsi" w:cstheme="minorHAnsi"/>
          <w:color w:val="000000"/>
          <w:sz w:val="22"/>
          <w:szCs w:val="22"/>
        </w:rPr>
        <w:t>the Victorian Institute of Teaching</w:t>
      </w:r>
    </w:p>
    <w:p w14:paraId="28587BFA" w14:textId="77777777" w:rsidR="00660B8A" w:rsidRPr="005A301D" w:rsidRDefault="00660B8A" w:rsidP="00660B8A">
      <w:pPr>
        <w:pStyle w:val="NormalWeb"/>
        <w:numPr>
          <w:ilvl w:val="0"/>
          <w:numId w:val="40"/>
        </w:numPr>
        <w:spacing w:before="0" w:beforeAutospacing="0" w:after="0" w:afterAutospacing="0"/>
        <w:ind w:left="425" w:hanging="425"/>
        <w:rPr>
          <w:rFonts w:cstheme="minorHAnsi"/>
          <w:sz w:val="22"/>
          <w:szCs w:val="22"/>
        </w:rPr>
      </w:pPr>
      <w:proofErr w:type="spellStart"/>
      <w:r w:rsidRPr="005A301D">
        <w:rPr>
          <w:rFonts w:asciiTheme="minorHAnsi" w:hAnsiTheme="minorHAnsi" w:cstheme="minorHAnsi"/>
          <w:color w:val="000000"/>
          <w:sz w:val="22"/>
          <w:szCs w:val="22"/>
        </w:rPr>
        <w:t>Worksafe</w:t>
      </w:r>
      <w:proofErr w:type="spellEnd"/>
      <w:r w:rsidRPr="005A301D">
        <w:rPr>
          <w:rFonts w:asciiTheme="minorHAnsi" w:hAnsiTheme="minorHAnsi" w:cstheme="minorHAnsi"/>
          <w:color w:val="000000"/>
          <w:sz w:val="22"/>
          <w:szCs w:val="22"/>
        </w:rPr>
        <w:t xml:space="preserve"> Victoria</w:t>
      </w:r>
    </w:p>
    <w:p w14:paraId="4758B5C5" w14:textId="187AB9DE" w:rsidR="00896454" w:rsidRPr="00660B8A" w:rsidRDefault="00660B8A" w:rsidP="00660B8A">
      <w:pPr>
        <w:pStyle w:val="NormalWeb"/>
        <w:numPr>
          <w:ilvl w:val="0"/>
          <w:numId w:val="40"/>
        </w:numPr>
        <w:spacing w:before="0" w:beforeAutospacing="0" w:after="0" w:afterAutospacing="0"/>
        <w:ind w:left="425" w:hanging="425"/>
        <w:rPr>
          <w:rFonts w:cstheme="minorHAnsi"/>
        </w:rPr>
      </w:pPr>
      <w:r w:rsidRPr="005A301D">
        <w:rPr>
          <w:rFonts w:asciiTheme="minorHAnsi" w:hAnsiTheme="minorHAnsi" w:cstheme="minorHAnsi"/>
          <w:color w:val="000000"/>
          <w:sz w:val="22"/>
          <w:szCs w:val="22"/>
        </w:rPr>
        <w:t>Victoria Police</w:t>
      </w:r>
      <w:r>
        <w:rPr>
          <w:rFonts w:asciiTheme="minorHAnsi" w:hAnsiTheme="minorHAnsi" w:cstheme="minorHAnsi"/>
          <w:color w:val="000000"/>
          <w:sz w:val="22"/>
          <w:szCs w:val="22"/>
        </w:rPr>
        <w:t>.</w:t>
      </w:r>
    </w:p>
    <w:p w14:paraId="3E070A45" w14:textId="77777777" w:rsidR="00896454" w:rsidRDefault="00896454" w:rsidP="00896454">
      <w:pPr>
        <w:rPr>
          <w:rFonts w:cstheme="minorHAnsi"/>
        </w:rPr>
      </w:pPr>
    </w:p>
    <w:p w14:paraId="014AAF34" w14:textId="0A833252" w:rsidR="00DF7020" w:rsidRPr="00271F77" w:rsidRDefault="00DF7020" w:rsidP="00896454">
      <w:pPr>
        <w:pStyle w:val="FootnoteText"/>
        <w:rPr>
          <w:rStyle w:val="FootnoteReference"/>
          <w:sz w:val="24"/>
          <w:szCs w:val="24"/>
        </w:rPr>
      </w:pPr>
    </w:p>
    <w:sectPr w:rsidR="00DF7020" w:rsidRPr="00271F77" w:rsidSect="00DE4D93">
      <w:headerReference w:type="even" r:id="rId19"/>
      <w:headerReference w:type="default" r:id="rId20"/>
      <w:footerReference w:type="default" r:id="rId21"/>
      <w:headerReference w:type="first" r:id="rId22"/>
      <w:pgSz w:w="11900" w:h="16840" w:code="9"/>
      <w:pgMar w:top="1418" w:right="1134" w:bottom="1701" w:left="1134"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73FC2" w14:textId="77777777" w:rsidR="0081030E" w:rsidRDefault="0081030E" w:rsidP="003967DD">
      <w:pPr>
        <w:spacing w:after="0"/>
      </w:pPr>
      <w:r>
        <w:separator/>
      </w:r>
    </w:p>
  </w:endnote>
  <w:endnote w:type="continuationSeparator" w:id="0">
    <w:p w14:paraId="73DFBA6A" w14:textId="77777777" w:rsidR="0081030E" w:rsidRDefault="0081030E"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22E4C56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8A749" w14:textId="4699ACAA" w:rsidR="00714D72" w:rsidRDefault="00714D72" w:rsidP="00317EB5">
    <w:pPr>
      <w:pStyle w:val="Copyrighttext"/>
    </w:pPr>
    <w:r w:rsidRPr="001105FA">
      <w:t xml:space="preserve">© State of Victoria (Department of Education) </w:t>
    </w:r>
    <w:r w:rsidRPr="00E21433">
      <w:t>20</w:t>
    </w:r>
    <w:r w:rsidR="00144FD5" w:rsidRPr="00E21433">
      <w:t>2</w:t>
    </w:r>
    <w:r w:rsidR="00B1773A" w:rsidRPr="00E21433">
      <w:t>3</w:t>
    </w:r>
  </w:p>
  <w:p w14:paraId="2D4683BF" w14:textId="77777777" w:rsidR="00714D72" w:rsidRPr="001105FA" w:rsidRDefault="00714D72" w:rsidP="00317EB5">
    <w:pPr>
      <w:pStyle w:val="Copyrighttext"/>
    </w:pPr>
    <w:r>
      <w:rPr>
        <w:noProof/>
      </w:rPr>
      <w:drawing>
        <wp:inline distT="0" distB="0" distL="0" distR="0" wp14:anchorId="261808AF" wp14:editId="6C5A41E6">
          <wp:extent cx="485336" cy="173334"/>
          <wp:effectExtent l="0" t="0" r="0" b="5080"/>
          <wp:docPr id="460294526" name="Picture 4602945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05390358" w14:textId="3F043A34" w:rsidR="00714D72" w:rsidRPr="001105FA" w:rsidRDefault="00D723F7" w:rsidP="00317EB5">
    <w:pPr>
      <w:pStyle w:val="Copyrighttext"/>
    </w:pPr>
    <w:r>
      <w:t>This document is</w:t>
    </w:r>
    <w:r w:rsidR="00714D72" w:rsidRPr="001105FA">
      <w:t xml:space="preserve"> provided under a Creative Commons Attribution 4.0 International </w:t>
    </w:r>
    <w:proofErr w:type="spellStart"/>
    <w:r w:rsidR="00714D72" w:rsidRPr="001105FA">
      <w:t>licence</w:t>
    </w:r>
    <w:proofErr w:type="spellEnd"/>
    <w:r w:rsidR="00714D72" w:rsidRPr="001105FA">
      <w:t xml:space="preserve">. You are free to re-use the work under that </w:t>
    </w:r>
    <w:proofErr w:type="spellStart"/>
    <w:r w:rsidR="00714D72" w:rsidRPr="001105FA">
      <w:t>licence</w:t>
    </w:r>
    <w:proofErr w:type="spellEnd"/>
    <w:r w:rsidR="00714D72" w:rsidRPr="001105FA">
      <w:t>, on the condition that you credit the State of Victoria (Department of Education), indicate if changes were made and comply</w:t>
    </w:r>
    <w:r w:rsidR="00714D72">
      <w:t xml:space="preserve"> with the other </w:t>
    </w:r>
    <w:proofErr w:type="spellStart"/>
    <w:r w:rsidR="00714D72">
      <w:t>licence</w:t>
    </w:r>
    <w:proofErr w:type="spellEnd"/>
    <w:r w:rsidR="00714D72">
      <w:t xml:space="preserve"> terms, </w:t>
    </w:r>
    <w:r w:rsidR="00714D72" w:rsidRPr="001105FA">
      <w:t xml:space="preserve">see: </w:t>
    </w:r>
    <w:hyperlink r:id="rId2" w:history="1">
      <w:r w:rsidR="00714D72" w:rsidRPr="001105FA">
        <w:rPr>
          <w:rStyle w:val="Hyperlink"/>
        </w:rPr>
        <w:t>Creative Commons Attribution 4.0 International</w:t>
      </w:r>
    </w:hyperlink>
    <w:r w:rsidR="00714D72" w:rsidRPr="001105FA">
      <w:t xml:space="preserve"> </w:t>
    </w:r>
  </w:p>
  <w:p w14:paraId="7741E8FC" w14:textId="77777777" w:rsidR="00714D72" w:rsidRPr="001105FA" w:rsidRDefault="00714D72" w:rsidP="00317EB5">
    <w:pPr>
      <w:pStyle w:val="Copyrighttext"/>
    </w:pPr>
    <w:r w:rsidRPr="001105FA">
      <w:t xml:space="preserve">The </w:t>
    </w:r>
    <w:proofErr w:type="spellStart"/>
    <w:r w:rsidRPr="001105FA">
      <w:t>licence</w:t>
    </w:r>
    <w:proofErr w:type="spellEnd"/>
    <w:r w:rsidRPr="001105FA">
      <w:t xml:space="preserve"> does not apply to:</w:t>
    </w:r>
  </w:p>
  <w:p w14:paraId="3693F738" w14:textId="5DC9C07A" w:rsidR="00714D72" w:rsidRPr="001105FA" w:rsidRDefault="00714D72" w:rsidP="00317EB5">
    <w:pPr>
      <w:pStyle w:val="Copyrighttext"/>
      <w:numPr>
        <w:ilvl w:val="0"/>
        <w:numId w:val="19"/>
      </w:numPr>
      <w:ind w:left="284" w:hanging="284"/>
    </w:pPr>
    <w:r w:rsidRPr="001105FA">
      <w:t xml:space="preserve">any images, photographs, </w:t>
    </w:r>
    <w:proofErr w:type="gramStart"/>
    <w:r w:rsidRPr="001105FA">
      <w:t>trademarks</w:t>
    </w:r>
    <w:proofErr w:type="gramEnd"/>
    <w:r w:rsidRPr="001105FA">
      <w:t xml:space="preserve"> or branding, including the Victorian Government logo and the DE logo; and</w:t>
    </w:r>
  </w:p>
  <w:p w14:paraId="657FF9EE" w14:textId="14709D72" w:rsidR="00714D72" w:rsidRPr="001105FA" w:rsidRDefault="00714D72" w:rsidP="00317EB5">
    <w:pPr>
      <w:pStyle w:val="Copyrighttext"/>
      <w:numPr>
        <w:ilvl w:val="0"/>
        <w:numId w:val="19"/>
      </w:numPr>
      <w:ind w:left="284" w:hanging="284"/>
    </w:pPr>
    <w:r w:rsidRPr="001105FA">
      <w:t>content supplied by third parties.</w:t>
    </w:r>
  </w:p>
  <w:p w14:paraId="1ED30E75" w14:textId="5BC29D57" w:rsidR="00A63D55" w:rsidRPr="00714D72" w:rsidRDefault="00714D72" w:rsidP="00317EB5">
    <w:pPr>
      <w:pStyle w:val="Copyrighttext"/>
      <w:rPr>
        <w:color w:val="0090DE" w:themeColor="hyperlink"/>
        <w:u w:val="single"/>
      </w:rPr>
    </w:pPr>
    <w:r w:rsidRPr="001105FA">
      <w:t xml:space="preserve">Copyright queries may be directed to </w:t>
    </w:r>
    <w:hyperlink r:id="rId3" w:history="1">
      <w:r w:rsidRPr="00144FD5">
        <w:rPr>
          <w:rStyle w:val="Hyperlink"/>
        </w:rPr>
        <w:t>copyright@</w:t>
      </w:r>
      <w:r w:rsidR="00144FD5" w:rsidRPr="00144FD5">
        <w:rPr>
          <w:rStyle w:val="Hyperlink"/>
        </w:rPr>
        <w:t>education.vic.gov.au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5A6E" w14:textId="77777777" w:rsidR="00DA5F30" w:rsidRDefault="00DA5F30"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35C65">
      <w:rPr>
        <w:rStyle w:val="PageNumber"/>
        <w:noProof/>
      </w:rPr>
      <w:t>4</w:t>
    </w:r>
    <w:r>
      <w:rPr>
        <w:rStyle w:val="PageNumber"/>
      </w:rPr>
      <w:fldChar w:fldCharType="end"/>
    </w:r>
  </w:p>
  <w:p w14:paraId="16D61271" w14:textId="77777777" w:rsidR="00DA5F30" w:rsidRDefault="00DA5F3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76A8A" w14:textId="77777777" w:rsidR="0081030E" w:rsidRDefault="0081030E" w:rsidP="003967DD">
      <w:pPr>
        <w:spacing w:after="0"/>
      </w:pPr>
      <w:r>
        <w:separator/>
      </w:r>
    </w:p>
  </w:footnote>
  <w:footnote w:type="continuationSeparator" w:id="0">
    <w:p w14:paraId="350E4C79" w14:textId="77777777" w:rsidR="0081030E" w:rsidRDefault="0081030E" w:rsidP="003967DD">
      <w:pPr>
        <w:spacing w:after="0"/>
      </w:pPr>
      <w:r>
        <w:continuationSeparator/>
      </w:r>
    </w:p>
  </w:footnote>
  <w:footnote w:id="1">
    <w:p w14:paraId="0328453C" w14:textId="77777777" w:rsidR="00B26686" w:rsidRPr="00D92C5F" w:rsidRDefault="00B26686" w:rsidP="00B26686">
      <w:pPr>
        <w:pStyle w:val="FootnoteText"/>
        <w:rPr>
          <w:sz w:val="18"/>
          <w:szCs w:val="18"/>
        </w:rPr>
      </w:pPr>
      <w:r w:rsidRPr="00D92C5F">
        <w:rPr>
          <w:rStyle w:val="FootnoteReference"/>
          <w:color w:val="auto"/>
          <w:sz w:val="18"/>
          <w:szCs w:val="18"/>
        </w:rPr>
        <w:footnoteRef/>
      </w:r>
      <w:r w:rsidRPr="00D92C5F">
        <w:rPr>
          <w:sz w:val="18"/>
          <w:szCs w:val="18"/>
        </w:rPr>
        <w:t xml:space="preserve"> Section 260 of the National Law sets out the functions of the Regulatory Authority</w:t>
      </w:r>
      <w:r>
        <w:rPr>
          <w:sz w:val="18"/>
          <w:szCs w:val="18"/>
        </w:rPr>
        <w:t>.</w:t>
      </w:r>
    </w:p>
  </w:footnote>
  <w:footnote w:id="2">
    <w:p w14:paraId="78A16102" w14:textId="77777777" w:rsidR="002C09E0" w:rsidRPr="003C4B01" w:rsidRDefault="002C09E0" w:rsidP="002C09E0">
      <w:pPr>
        <w:pStyle w:val="FootnoteText"/>
        <w:rPr>
          <w:sz w:val="18"/>
          <w:szCs w:val="18"/>
          <w:lang w:val="en-AU"/>
        </w:rPr>
      </w:pPr>
      <w:r w:rsidRPr="003C4B01">
        <w:rPr>
          <w:rStyle w:val="FootnoteReference"/>
          <w:sz w:val="18"/>
          <w:szCs w:val="18"/>
        </w:rPr>
        <w:footnoteRef/>
      </w:r>
      <w:r w:rsidRPr="003C4B01">
        <w:rPr>
          <w:sz w:val="18"/>
          <w:szCs w:val="18"/>
        </w:rPr>
        <w:t xml:space="preserve"> </w:t>
      </w:r>
      <w:r w:rsidRPr="003C4B01">
        <w:rPr>
          <w:sz w:val="18"/>
          <w:szCs w:val="18"/>
          <w:lang w:val="en-AU"/>
        </w:rPr>
        <w:t>In the case of family day care, this includes visits to family day care residence/s and/or venues.</w:t>
      </w:r>
    </w:p>
  </w:footnote>
  <w:footnote w:id="3">
    <w:p w14:paraId="0CF53449" w14:textId="77777777" w:rsidR="00DD6C0C" w:rsidRPr="00DC21DD" w:rsidRDefault="00DD6C0C" w:rsidP="00DD6C0C">
      <w:pPr>
        <w:pStyle w:val="FootnoteText"/>
        <w:rPr>
          <w:sz w:val="18"/>
          <w:szCs w:val="18"/>
          <w:lang w:val="en-AU"/>
        </w:rPr>
      </w:pPr>
      <w:r w:rsidRPr="00DC21DD">
        <w:rPr>
          <w:rStyle w:val="FootnoteReference"/>
          <w:color w:val="auto"/>
          <w:sz w:val="18"/>
          <w:szCs w:val="18"/>
        </w:rPr>
        <w:footnoteRef/>
      </w:r>
      <w:r w:rsidRPr="00DC21DD">
        <w:rPr>
          <w:sz w:val="18"/>
          <w:szCs w:val="18"/>
        </w:rPr>
        <w:t xml:space="preserve"> </w:t>
      </w:r>
      <w:r>
        <w:rPr>
          <w:sz w:val="18"/>
          <w:szCs w:val="18"/>
        </w:rPr>
        <w:t>See</w:t>
      </w:r>
      <w:r w:rsidRPr="00DC21DD">
        <w:rPr>
          <w:sz w:val="18"/>
          <w:szCs w:val="18"/>
        </w:rPr>
        <w:t xml:space="preserve"> </w:t>
      </w:r>
      <w:r w:rsidRPr="00DC21DD">
        <w:rPr>
          <w:rFonts w:cstheme="minorHAnsi"/>
          <w:sz w:val="18"/>
          <w:szCs w:val="18"/>
        </w:rPr>
        <w:t xml:space="preserve">sections 197-201 of the National Law </w:t>
      </w:r>
      <w:r>
        <w:rPr>
          <w:rFonts w:cstheme="minorHAnsi"/>
          <w:sz w:val="18"/>
          <w:szCs w:val="18"/>
        </w:rPr>
        <w:t xml:space="preserve">(and </w:t>
      </w:r>
      <w:r w:rsidRPr="00DC21DD">
        <w:rPr>
          <w:rFonts w:cstheme="minorHAnsi"/>
          <w:sz w:val="18"/>
          <w:szCs w:val="18"/>
        </w:rPr>
        <w:t>sections 138-142 of the Children’s Services Act</w:t>
      </w:r>
      <w:r>
        <w:rPr>
          <w:rFonts w:cstheme="minorHAnsi"/>
          <w:sz w:val="18"/>
          <w:szCs w:val="18"/>
        </w:rPr>
        <w:t>)</w:t>
      </w:r>
      <w:r w:rsidRPr="00DC21DD">
        <w:rPr>
          <w:rFonts w:cstheme="minorHAnsi"/>
          <w:sz w:val="18"/>
          <w:szCs w:val="18"/>
        </w:rPr>
        <w:t>.</w:t>
      </w:r>
    </w:p>
  </w:footnote>
  <w:footnote w:id="4">
    <w:p w14:paraId="7E0F9CCB" w14:textId="77777777" w:rsidR="00574066" w:rsidRPr="003C4B01" w:rsidRDefault="00574066" w:rsidP="00574066">
      <w:pPr>
        <w:pStyle w:val="FootnoteText"/>
        <w:rPr>
          <w:sz w:val="18"/>
          <w:szCs w:val="18"/>
          <w:lang w:val="en-AU"/>
        </w:rPr>
      </w:pPr>
      <w:r w:rsidRPr="00E8230A">
        <w:rPr>
          <w:rStyle w:val="FootnoteReference"/>
          <w:color w:val="auto"/>
          <w:sz w:val="18"/>
          <w:szCs w:val="18"/>
        </w:rPr>
        <w:footnoteRef/>
      </w:r>
      <w:r w:rsidRPr="00E8230A">
        <w:rPr>
          <w:sz w:val="18"/>
          <w:szCs w:val="18"/>
        </w:rPr>
        <w:t xml:space="preserve"> Section 162 of the National Law makes it an offence to operate an education and care service without a responsible person present and sets out who a ‘responsible person’ can be.</w:t>
      </w:r>
    </w:p>
  </w:footnote>
  <w:footnote w:id="5">
    <w:p w14:paraId="7C6C5B68" w14:textId="77777777" w:rsidR="0085166B" w:rsidRPr="003C4B01" w:rsidRDefault="0085166B" w:rsidP="0085166B">
      <w:pPr>
        <w:pStyle w:val="FootnoteText"/>
        <w:rPr>
          <w:sz w:val="18"/>
          <w:szCs w:val="18"/>
          <w:lang w:val="en-AU"/>
        </w:rPr>
      </w:pPr>
      <w:r w:rsidRPr="003C4B01">
        <w:rPr>
          <w:rStyle w:val="FootnoteReference"/>
          <w:color w:val="auto"/>
          <w:sz w:val="18"/>
          <w:szCs w:val="18"/>
        </w:rPr>
        <w:footnoteRef/>
      </w:r>
      <w:r w:rsidRPr="003C4B01">
        <w:rPr>
          <w:sz w:val="18"/>
          <w:szCs w:val="18"/>
        </w:rPr>
        <w:t xml:space="preserve"> </w:t>
      </w:r>
      <w:r>
        <w:rPr>
          <w:sz w:val="18"/>
          <w:szCs w:val="18"/>
        </w:rPr>
        <w:t xml:space="preserve">Section </w:t>
      </w:r>
      <w:r w:rsidRPr="003C4B01">
        <w:rPr>
          <w:sz w:val="18"/>
          <w:szCs w:val="18"/>
        </w:rPr>
        <w:t>133 of the National Law and r</w:t>
      </w:r>
      <w:r>
        <w:rPr>
          <w:sz w:val="18"/>
          <w:szCs w:val="18"/>
        </w:rPr>
        <w:t xml:space="preserve">egulation </w:t>
      </w:r>
      <w:r w:rsidRPr="003C4B01">
        <w:rPr>
          <w:sz w:val="18"/>
          <w:szCs w:val="18"/>
        </w:rPr>
        <w:t>63 of the National Regulations</w:t>
      </w:r>
      <w:r>
        <w:rPr>
          <w:sz w:val="18"/>
          <w:szCs w:val="18"/>
        </w:rPr>
        <w:t>.</w:t>
      </w:r>
      <w:r w:rsidRPr="003C4B01">
        <w:rPr>
          <w:sz w:val="18"/>
          <w:szCs w:val="18"/>
          <w:shd w:val="clear" w:color="auto" w:fill="E6E6E6"/>
          <w:lang w:val="en-AU"/>
        </w:rPr>
        <w:t xml:space="preserve"> </w:t>
      </w:r>
    </w:p>
  </w:footnote>
  <w:footnote w:id="6">
    <w:p w14:paraId="63FBA222" w14:textId="77777777" w:rsidR="0085166B" w:rsidRPr="003C4B01" w:rsidRDefault="0085166B" w:rsidP="0085166B">
      <w:pPr>
        <w:pStyle w:val="FootnoteText"/>
        <w:rPr>
          <w:sz w:val="18"/>
          <w:szCs w:val="18"/>
          <w:lang w:val="en-AU"/>
        </w:rPr>
      </w:pPr>
      <w:r w:rsidRPr="003C4B01">
        <w:rPr>
          <w:rStyle w:val="FootnoteReference"/>
          <w:color w:val="auto"/>
          <w:sz w:val="18"/>
          <w:szCs w:val="18"/>
        </w:rPr>
        <w:footnoteRef/>
      </w:r>
      <w:r w:rsidRPr="003C4B01">
        <w:rPr>
          <w:sz w:val="18"/>
          <w:szCs w:val="18"/>
        </w:rPr>
        <w:t xml:space="preserve"> Re</w:t>
      </w:r>
      <w:r>
        <w:rPr>
          <w:sz w:val="18"/>
          <w:szCs w:val="18"/>
        </w:rPr>
        <w:t xml:space="preserve">gulation </w:t>
      </w:r>
      <w:r w:rsidRPr="00E962A8">
        <w:rPr>
          <w:sz w:val="18"/>
          <w:szCs w:val="18"/>
        </w:rPr>
        <w:t xml:space="preserve">63(2) of </w:t>
      </w:r>
      <w:r w:rsidRPr="003C4B01">
        <w:rPr>
          <w:sz w:val="18"/>
          <w:szCs w:val="18"/>
          <w:lang w:val="en-AU"/>
        </w:rPr>
        <w:t>the National Regulations</w:t>
      </w:r>
      <w:r>
        <w:rPr>
          <w:sz w:val="18"/>
          <w:szCs w:val="18"/>
          <w:lang w:val="en-AU"/>
        </w:rPr>
        <w:t>.</w:t>
      </w:r>
    </w:p>
  </w:footnote>
  <w:footnote w:id="7">
    <w:p w14:paraId="502FB87C" w14:textId="77777777" w:rsidR="00660B8A" w:rsidRPr="003C4B01" w:rsidRDefault="00660B8A" w:rsidP="00660B8A">
      <w:pPr>
        <w:pStyle w:val="FootnoteText"/>
        <w:rPr>
          <w:sz w:val="18"/>
          <w:szCs w:val="18"/>
          <w:lang w:val="en-AU"/>
        </w:rPr>
      </w:pPr>
      <w:r w:rsidRPr="003C4B01">
        <w:rPr>
          <w:rStyle w:val="FootnoteReference"/>
          <w:color w:val="auto"/>
          <w:sz w:val="18"/>
          <w:szCs w:val="18"/>
        </w:rPr>
        <w:footnoteRef/>
      </w:r>
      <w:r w:rsidRPr="003C4B01">
        <w:rPr>
          <w:sz w:val="18"/>
          <w:szCs w:val="18"/>
        </w:rPr>
        <w:t xml:space="preserve"> </w:t>
      </w:r>
      <w:r w:rsidRPr="003C4B01">
        <w:rPr>
          <w:rFonts w:asciiTheme="minorHAnsi" w:hAnsiTheme="minorHAnsi" w:cstheme="minorHAnsi"/>
          <w:sz w:val="18"/>
          <w:szCs w:val="18"/>
        </w:rPr>
        <w:t xml:space="preserve">Section 271 of the National Law </w:t>
      </w:r>
      <w:r>
        <w:rPr>
          <w:rFonts w:asciiTheme="minorHAnsi" w:hAnsiTheme="minorHAnsi" w:cstheme="minorHAnsi"/>
          <w:sz w:val="18"/>
          <w:szCs w:val="18"/>
        </w:rPr>
        <w:t>and</w:t>
      </w:r>
      <w:r w:rsidRPr="003C4B01">
        <w:rPr>
          <w:rFonts w:asciiTheme="minorHAnsi" w:hAnsiTheme="minorHAnsi" w:cstheme="minorHAnsi"/>
          <w:sz w:val="18"/>
          <w:szCs w:val="18"/>
        </w:rPr>
        <w:t xml:space="preserve"> 166 of the Children’s Services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0B5655D7" w:rsidR="00DA3218" w:rsidRDefault="007B3A5A" w:rsidP="00A63D55">
    <w:pPr>
      <w:pStyle w:val="Header"/>
      <w:tabs>
        <w:tab w:val="clear" w:pos="4513"/>
        <w:tab w:val="clear" w:pos="9026"/>
        <w:tab w:val="left" w:pos="1425"/>
      </w:tabs>
    </w:pPr>
    <w:r>
      <w:rPr>
        <w:noProof/>
      </w:rPr>
      <w:drawing>
        <wp:anchor distT="0" distB="0" distL="114300" distR="114300" simplePos="0" relativeHeight="251666432" behindDoc="1" locked="0" layoutInCell="1" allowOverlap="1" wp14:anchorId="2778C3F4" wp14:editId="67C10F8F">
          <wp:simplePos x="0" y="0"/>
          <wp:positionH relativeFrom="page">
            <wp:posOffset>9053</wp:posOffset>
          </wp:positionH>
          <wp:positionV relativeFrom="page">
            <wp:posOffset>6345</wp:posOffset>
          </wp:positionV>
          <wp:extent cx="7549626" cy="10670983"/>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6" cy="1067098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419D" w14:textId="37EBD09D" w:rsidR="004764D0" w:rsidRDefault="004764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383A8422" w:rsidR="00A63D55" w:rsidRDefault="00A63D55" w:rsidP="00A63D55">
    <w:pPr>
      <w:pStyle w:val="Header"/>
      <w:tabs>
        <w:tab w:val="clear" w:pos="4513"/>
        <w:tab w:val="clear" w:pos="9026"/>
        <w:tab w:val="left" w:pos="1425"/>
      </w:tabs>
    </w:pPr>
    <w:r>
      <w:rPr>
        <w:noProof/>
        <w:lang w:eastAsia="en-GB"/>
      </w:rPr>
      <w:drawing>
        <wp:anchor distT="0" distB="0" distL="114300" distR="114300" simplePos="0" relativeHeight="251660288" behindDoc="1" locked="0" layoutInCell="1" allowOverlap="1" wp14:anchorId="147FF493" wp14:editId="436099DA">
          <wp:simplePos x="0" y="0"/>
          <wp:positionH relativeFrom="page">
            <wp:align>left</wp:align>
          </wp:positionH>
          <wp:positionV relativeFrom="page">
            <wp:align>top</wp:align>
          </wp:positionV>
          <wp:extent cx="7560000" cy="10685647"/>
          <wp:effectExtent l="0" t="0" r="0" b="0"/>
          <wp:wrapNone/>
          <wp:docPr id="2142528977" name="Picture 21425289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4344" w14:textId="3F4E41AE" w:rsidR="004764D0" w:rsidRDefault="004764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7A75" w14:textId="411E37C4" w:rsidR="004764D0" w:rsidRDefault="004764D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D681" w14:textId="49AE5C78" w:rsidR="00DA5F30" w:rsidRDefault="00DA5F30" w:rsidP="00A63D55">
    <w:pPr>
      <w:pStyle w:val="Header"/>
      <w:tabs>
        <w:tab w:val="clear" w:pos="4513"/>
        <w:tab w:val="clear" w:pos="9026"/>
        <w:tab w:val="left" w:pos="1425"/>
      </w:tabs>
    </w:pPr>
    <w:r>
      <w:rPr>
        <w:noProof/>
        <w:lang w:eastAsia="en-GB"/>
      </w:rPr>
      <w:drawing>
        <wp:anchor distT="0" distB="0" distL="114300" distR="114300" simplePos="0" relativeHeight="251665408" behindDoc="1" locked="0" layoutInCell="1" allowOverlap="1" wp14:anchorId="7C13F132" wp14:editId="4D318147">
          <wp:simplePos x="0" y="0"/>
          <wp:positionH relativeFrom="page">
            <wp:align>left</wp:align>
          </wp:positionH>
          <wp:positionV relativeFrom="page">
            <wp:align>top</wp:align>
          </wp:positionV>
          <wp:extent cx="7560000" cy="10685647"/>
          <wp:effectExtent l="0" t="0" r="0" b="0"/>
          <wp:wrapNone/>
          <wp:docPr id="2100553646" name="Picture 21005536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647"/>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ABD5F" w14:textId="51912E69" w:rsidR="004764D0" w:rsidRDefault="00476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7E3BDA"/>
    <w:multiLevelType w:val="hybridMultilevel"/>
    <w:tmpl w:val="A7249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C3401B"/>
    <w:multiLevelType w:val="hybridMultilevel"/>
    <w:tmpl w:val="2932C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E272FD"/>
    <w:multiLevelType w:val="hybridMultilevel"/>
    <w:tmpl w:val="1FFED7E4"/>
    <w:lvl w:ilvl="0" w:tplc="7414ACC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CF4153"/>
    <w:multiLevelType w:val="hybridMultilevel"/>
    <w:tmpl w:val="BCC45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526C21"/>
    <w:multiLevelType w:val="hybridMultilevel"/>
    <w:tmpl w:val="F28EC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54224F"/>
    <w:multiLevelType w:val="hybridMultilevel"/>
    <w:tmpl w:val="DCB23DFE"/>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7" w15:restartNumberingAfterBreak="0">
    <w:nsid w:val="262050FD"/>
    <w:multiLevelType w:val="hybridMultilevel"/>
    <w:tmpl w:val="CAF494C0"/>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151026"/>
    <w:multiLevelType w:val="hybridMultilevel"/>
    <w:tmpl w:val="4ABED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C77542"/>
    <w:multiLevelType w:val="hybridMultilevel"/>
    <w:tmpl w:val="7AF0E46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45A57C64"/>
    <w:multiLevelType w:val="hybridMultilevel"/>
    <w:tmpl w:val="F8C2F54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62C3B55"/>
    <w:multiLevelType w:val="hybridMultilevel"/>
    <w:tmpl w:val="DE40C248"/>
    <w:lvl w:ilvl="0" w:tplc="0C090001">
      <w:start w:val="1"/>
      <w:numFmt w:val="bullet"/>
      <w:lvlText w:val=""/>
      <w:lvlJc w:val="left"/>
      <w:pPr>
        <w:ind w:left="1200" w:hanging="360"/>
      </w:pPr>
      <w:rPr>
        <w:rFonts w:ascii="Symbol" w:hAnsi="Symbol" w:hint="default"/>
      </w:rPr>
    </w:lvl>
    <w:lvl w:ilvl="1" w:tplc="0C090003">
      <w:start w:val="1"/>
      <w:numFmt w:val="bullet"/>
      <w:lvlText w:val="o"/>
      <w:lvlJc w:val="left"/>
      <w:pPr>
        <w:ind w:left="1778"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24" w15:restartNumberingAfterBreak="0">
    <w:nsid w:val="48633EEC"/>
    <w:multiLevelType w:val="hybridMultilevel"/>
    <w:tmpl w:val="7B501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76289F"/>
    <w:multiLevelType w:val="hybridMultilevel"/>
    <w:tmpl w:val="83302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511D16CE"/>
    <w:multiLevelType w:val="hybridMultilevel"/>
    <w:tmpl w:val="883A91A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EC6504"/>
    <w:multiLevelType w:val="hybridMultilevel"/>
    <w:tmpl w:val="45FC3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DF1680"/>
    <w:multiLevelType w:val="hybridMultilevel"/>
    <w:tmpl w:val="DDBAC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1B6B79"/>
    <w:multiLevelType w:val="hybridMultilevel"/>
    <w:tmpl w:val="C1580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1E58B8"/>
    <w:multiLevelType w:val="hybridMultilevel"/>
    <w:tmpl w:val="C492A68A"/>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3"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F43A07"/>
    <w:multiLevelType w:val="hybridMultilevel"/>
    <w:tmpl w:val="D76E17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835D41"/>
    <w:multiLevelType w:val="hybridMultilevel"/>
    <w:tmpl w:val="7DD26F2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F206412"/>
    <w:multiLevelType w:val="hybridMultilevel"/>
    <w:tmpl w:val="C6F65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0719B4"/>
    <w:multiLevelType w:val="hybridMultilevel"/>
    <w:tmpl w:val="AEDCDD0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DF0289B"/>
    <w:multiLevelType w:val="hybridMultilevel"/>
    <w:tmpl w:val="1C80A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5783262">
    <w:abstractNumId w:val="0"/>
  </w:num>
  <w:num w:numId="2" w16cid:durableId="1793749496">
    <w:abstractNumId w:val="1"/>
  </w:num>
  <w:num w:numId="3" w16cid:durableId="971708713">
    <w:abstractNumId w:val="2"/>
  </w:num>
  <w:num w:numId="4" w16cid:durableId="1017735178">
    <w:abstractNumId w:val="3"/>
  </w:num>
  <w:num w:numId="5" w16cid:durableId="654795375">
    <w:abstractNumId w:val="4"/>
  </w:num>
  <w:num w:numId="6" w16cid:durableId="2024745438">
    <w:abstractNumId w:val="9"/>
  </w:num>
  <w:num w:numId="7" w16cid:durableId="1391463361">
    <w:abstractNumId w:val="5"/>
  </w:num>
  <w:num w:numId="8" w16cid:durableId="1208570074">
    <w:abstractNumId w:val="6"/>
  </w:num>
  <w:num w:numId="9" w16cid:durableId="755244191">
    <w:abstractNumId w:val="7"/>
  </w:num>
  <w:num w:numId="10" w16cid:durableId="2110273516">
    <w:abstractNumId w:val="8"/>
  </w:num>
  <w:num w:numId="11" w16cid:durableId="775178310">
    <w:abstractNumId w:val="10"/>
  </w:num>
  <w:num w:numId="12" w16cid:durableId="1707095632">
    <w:abstractNumId w:val="19"/>
  </w:num>
  <w:num w:numId="13" w16cid:durableId="1012873681">
    <w:abstractNumId w:val="31"/>
  </w:num>
  <w:num w:numId="14" w16cid:durableId="2015642722">
    <w:abstractNumId w:val="33"/>
  </w:num>
  <w:num w:numId="15" w16cid:durableId="1936009175">
    <w:abstractNumId w:val="18"/>
  </w:num>
  <w:num w:numId="16" w16cid:durableId="304361843">
    <w:abstractNumId w:val="18"/>
    <w:lvlOverride w:ilvl="0">
      <w:startOverride w:val="1"/>
    </w:lvlOverride>
  </w:num>
  <w:num w:numId="17" w16cid:durableId="1959528920">
    <w:abstractNumId w:val="26"/>
  </w:num>
  <w:num w:numId="18" w16cid:durableId="872839639">
    <w:abstractNumId w:val="11"/>
  </w:num>
  <w:num w:numId="19" w16cid:durableId="440881297">
    <w:abstractNumId w:val="17"/>
  </w:num>
  <w:num w:numId="20" w16cid:durableId="224461673">
    <w:abstractNumId w:val="24"/>
  </w:num>
  <w:num w:numId="21" w16cid:durableId="1950232337">
    <w:abstractNumId w:val="35"/>
  </w:num>
  <w:num w:numId="22" w16cid:durableId="960576670">
    <w:abstractNumId w:val="23"/>
  </w:num>
  <w:num w:numId="23" w16cid:durableId="974480483">
    <w:abstractNumId w:val="13"/>
  </w:num>
  <w:num w:numId="24" w16cid:durableId="1934775140">
    <w:abstractNumId w:val="25"/>
  </w:num>
  <w:num w:numId="25" w16cid:durableId="1364476968">
    <w:abstractNumId w:val="12"/>
  </w:num>
  <w:num w:numId="26" w16cid:durableId="1875458802">
    <w:abstractNumId w:val="29"/>
  </w:num>
  <w:num w:numId="27" w16cid:durableId="1601062021">
    <w:abstractNumId w:val="28"/>
  </w:num>
  <w:num w:numId="28" w16cid:durableId="1754736111">
    <w:abstractNumId w:val="36"/>
  </w:num>
  <w:num w:numId="29" w16cid:durableId="98456114">
    <w:abstractNumId w:val="27"/>
  </w:num>
  <w:num w:numId="30" w16cid:durableId="380789618">
    <w:abstractNumId w:val="20"/>
  </w:num>
  <w:num w:numId="31" w16cid:durableId="1703704472">
    <w:abstractNumId w:val="37"/>
  </w:num>
  <w:num w:numId="32" w16cid:durableId="1736123012">
    <w:abstractNumId w:val="22"/>
  </w:num>
  <w:num w:numId="33" w16cid:durableId="15816326">
    <w:abstractNumId w:val="14"/>
  </w:num>
  <w:num w:numId="34" w16cid:durableId="423381555">
    <w:abstractNumId w:val="38"/>
  </w:num>
  <w:num w:numId="35" w16cid:durableId="1568761022">
    <w:abstractNumId w:val="30"/>
  </w:num>
  <w:num w:numId="36" w16cid:durableId="520582386">
    <w:abstractNumId w:val="15"/>
  </w:num>
  <w:num w:numId="37" w16cid:durableId="1258099080">
    <w:abstractNumId w:val="16"/>
  </w:num>
  <w:num w:numId="38" w16cid:durableId="1975402288">
    <w:abstractNumId w:val="21"/>
  </w:num>
  <w:num w:numId="39" w16cid:durableId="1147236060">
    <w:abstractNumId w:val="34"/>
  </w:num>
  <w:num w:numId="40" w16cid:durableId="101969402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A82"/>
    <w:rsid w:val="00036E01"/>
    <w:rsid w:val="00045151"/>
    <w:rsid w:val="00065195"/>
    <w:rsid w:val="0006773D"/>
    <w:rsid w:val="00086F67"/>
    <w:rsid w:val="0009592E"/>
    <w:rsid w:val="00097E8A"/>
    <w:rsid w:val="000A222F"/>
    <w:rsid w:val="000A47D4"/>
    <w:rsid w:val="000D31F6"/>
    <w:rsid w:val="00101DFD"/>
    <w:rsid w:val="00122369"/>
    <w:rsid w:val="00123CCB"/>
    <w:rsid w:val="00124D09"/>
    <w:rsid w:val="00141F23"/>
    <w:rsid w:val="00144FD5"/>
    <w:rsid w:val="00187469"/>
    <w:rsid w:val="00196FEF"/>
    <w:rsid w:val="001A1C4B"/>
    <w:rsid w:val="001D00DC"/>
    <w:rsid w:val="00207499"/>
    <w:rsid w:val="00231D20"/>
    <w:rsid w:val="00240749"/>
    <w:rsid w:val="00247035"/>
    <w:rsid w:val="002626EA"/>
    <w:rsid w:val="002737E8"/>
    <w:rsid w:val="00285402"/>
    <w:rsid w:val="002934D0"/>
    <w:rsid w:val="002970D9"/>
    <w:rsid w:val="002A386C"/>
    <w:rsid w:val="002A4A96"/>
    <w:rsid w:val="002A7261"/>
    <w:rsid w:val="002C09E0"/>
    <w:rsid w:val="002E3BED"/>
    <w:rsid w:val="00307D86"/>
    <w:rsid w:val="00312049"/>
    <w:rsid w:val="00312720"/>
    <w:rsid w:val="00317EB5"/>
    <w:rsid w:val="00323D89"/>
    <w:rsid w:val="00323DD1"/>
    <w:rsid w:val="00326E53"/>
    <w:rsid w:val="00343D7F"/>
    <w:rsid w:val="003662F9"/>
    <w:rsid w:val="00372E40"/>
    <w:rsid w:val="003812EB"/>
    <w:rsid w:val="0039329A"/>
    <w:rsid w:val="003967DD"/>
    <w:rsid w:val="003D04B9"/>
    <w:rsid w:val="003F67F1"/>
    <w:rsid w:val="00424E5E"/>
    <w:rsid w:val="00433CC8"/>
    <w:rsid w:val="00443220"/>
    <w:rsid w:val="0045446B"/>
    <w:rsid w:val="00462D8A"/>
    <w:rsid w:val="004764D0"/>
    <w:rsid w:val="00493B14"/>
    <w:rsid w:val="004B078F"/>
    <w:rsid w:val="004E3A01"/>
    <w:rsid w:val="00507148"/>
    <w:rsid w:val="00543EAA"/>
    <w:rsid w:val="0054481A"/>
    <w:rsid w:val="00574066"/>
    <w:rsid w:val="00584366"/>
    <w:rsid w:val="005A301D"/>
    <w:rsid w:val="005C62E8"/>
    <w:rsid w:val="006158AE"/>
    <w:rsid w:val="0062113E"/>
    <w:rsid w:val="00624A55"/>
    <w:rsid w:val="00635C65"/>
    <w:rsid w:val="006557F0"/>
    <w:rsid w:val="00660796"/>
    <w:rsid w:val="00660B8A"/>
    <w:rsid w:val="006621B2"/>
    <w:rsid w:val="00667A6B"/>
    <w:rsid w:val="006A25AC"/>
    <w:rsid w:val="006C68CF"/>
    <w:rsid w:val="006C6C68"/>
    <w:rsid w:val="006D480D"/>
    <w:rsid w:val="006F2D8B"/>
    <w:rsid w:val="00707C95"/>
    <w:rsid w:val="00714D72"/>
    <w:rsid w:val="00717494"/>
    <w:rsid w:val="00736FB0"/>
    <w:rsid w:val="00744E46"/>
    <w:rsid w:val="00760AE7"/>
    <w:rsid w:val="0079074F"/>
    <w:rsid w:val="007B3A5A"/>
    <w:rsid w:val="007B556E"/>
    <w:rsid w:val="007B5834"/>
    <w:rsid w:val="007D1FB1"/>
    <w:rsid w:val="007D3E38"/>
    <w:rsid w:val="007F2A9E"/>
    <w:rsid w:val="00803E69"/>
    <w:rsid w:val="0081030E"/>
    <w:rsid w:val="0085166B"/>
    <w:rsid w:val="00857DD9"/>
    <w:rsid w:val="00886574"/>
    <w:rsid w:val="00896454"/>
    <w:rsid w:val="008B56BA"/>
    <w:rsid w:val="008B5C45"/>
    <w:rsid w:val="008C6C2E"/>
    <w:rsid w:val="008C78AF"/>
    <w:rsid w:val="008D0A61"/>
    <w:rsid w:val="008F494F"/>
    <w:rsid w:val="00900E6E"/>
    <w:rsid w:val="00914B54"/>
    <w:rsid w:val="00936EC6"/>
    <w:rsid w:val="0094199E"/>
    <w:rsid w:val="00954F5C"/>
    <w:rsid w:val="00983236"/>
    <w:rsid w:val="009C5945"/>
    <w:rsid w:val="009D4957"/>
    <w:rsid w:val="009E13CC"/>
    <w:rsid w:val="009E476B"/>
    <w:rsid w:val="009F4D23"/>
    <w:rsid w:val="00A10B54"/>
    <w:rsid w:val="00A16324"/>
    <w:rsid w:val="00A20BE3"/>
    <w:rsid w:val="00A31926"/>
    <w:rsid w:val="00A40B99"/>
    <w:rsid w:val="00A63D55"/>
    <w:rsid w:val="00A71967"/>
    <w:rsid w:val="00A724F4"/>
    <w:rsid w:val="00AC2225"/>
    <w:rsid w:val="00AE4C76"/>
    <w:rsid w:val="00AE6D8A"/>
    <w:rsid w:val="00AF0ED2"/>
    <w:rsid w:val="00AF368F"/>
    <w:rsid w:val="00B04CD2"/>
    <w:rsid w:val="00B1773A"/>
    <w:rsid w:val="00B211E6"/>
    <w:rsid w:val="00B26686"/>
    <w:rsid w:val="00B271A1"/>
    <w:rsid w:val="00B55C73"/>
    <w:rsid w:val="00B605EC"/>
    <w:rsid w:val="00B860A5"/>
    <w:rsid w:val="00BB5707"/>
    <w:rsid w:val="00BB7E9F"/>
    <w:rsid w:val="00BC4314"/>
    <w:rsid w:val="00BE63CA"/>
    <w:rsid w:val="00BF2373"/>
    <w:rsid w:val="00C03FC5"/>
    <w:rsid w:val="00C36AD0"/>
    <w:rsid w:val="00C46F32"/>
    <w:rsid w:val="00C555B9"/>
    <w:rsid w:val="00C90612"/>
    <w:rsid w:val="00C94B25"/>
    <w:rsid w:val="00CB54B5"/>
    <w:rsid w:val="00CC5997"/>
    <w:rsid w:val="00D013E1"/>
    <w:rsid w:val="00D02C11"/>
    <w:rsid w:val="00D12966"/>
    <w:rsid w:val="00D713B2"/>
    <w:rsid w:val="00D723F7"/>
    <w:rsid w:val="00D84718"/>
    <w:rsid w:val="00DA1D8E"/>
    <w:rsid w:val="00DA2C68"/>
    <w:rsid w:val="00DA3218"/>
    <w:rsid w:val="00DA5F30"/>
    <w:rsid w:val="00DD6C0C"/>
    <w:rsid w:val="00DE156F"/>
    <w:rsid w:val="00DE4D93"/>
    <w:rsid w:val="00DF3442"/>
    <w:rsid w:val="00DF43D2"/>
    <w:rsid w:val="00DF4977"/>
    <w:rsid w:val="00DF7020"/>
    <w:rsid w:val="00E21433"/>
    <w:rsid w:val="00E76670"/>
    <w:rsid w:val="00EA1D4D"/>
    <w:rsid w:val="00EB027C"/>
    <w:rsid w:val="00EB0B20"/>
    <w:rsid w:val="00EC792D"/>
    <w:rsid w:val="00F11A5E"/>
    <w:rsid w:val="00F46981"/>
    <w:rsid w:val="00F63A34"/>
    <w:rsid w:val="00F94BD2"/>
    <w:rsid w:val="00FC3218"/>
    <w:rsid w:val="00FC6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027C"/>
    <w:pPr>
      <w:spacing w:after="120"/>
    </w:pPr>
    <w:rPr>
      <w:sz w:val="22"/>
    </w:rPr>
  </w:style>
  <w:style w:type="paragraph" w:styleId="Heading1">
    <w:name w:val="heading 1"/>
    <w:basedOn w:val="Normal"/>
    <w:next w:val="Normal"/>
    <w:link w:val="Heading1Char"/>
    <w:uiPriority w:val="9"/>
    <w:qFormat/>
    <w:rsid w:val="00144FD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144FD5"/>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unhideWhenUsed/>
    <w:qFormat/>
    <w:rsid w:val="00312049"/>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unhideWhenUsed/>
    <w:qFormat/>
    <w:rsid w:val="00187469"/>
    <w:pPr>
      <w:keepNext/>
      <w:keepLines/>
      <w:spacing w:before="40" w:after="0"/>
      <w:outlineLvl w:val="4"/>
    </w:pPr>
    <w:rPr>
      <w:rFonts w:asciiTheme="majorHAnsi" w:eastAsiaTheme="majorEastAsia" w:hAnsiTheme="majorHAnsi" w:cstheme="majorBidi"/>
      <w:color w:val="975B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144FD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DF4977"/>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144FD5"/>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312049"/>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2934D0"/>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44FD5"/>
    <w:pPr>
      <w:tabs>
        <w:tab w:val="right" w:leader="dot" w:pos="9639"/>
      </w:tabs>
      <w:spacing w:after="10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312049"/>
    <w:pPr>
      <w:spacing w:after="180"/>
    </w:pPr>
    <w:rPr>
      <w:rFonts w:cs="Times New Roman (Body CS)"/>
      <w:b/>
      <w:color w:val="000000" w:themeColor="text1"/>
      <w:sz w:val="56"/>
      <w:lang w:val="en-AU"/>
    </w:rPr>
  </w:style>
  <w:style w:type="paragraph" w:customStyle="1" w:styleId="Coversubtitle">
    <w:name w:val="Cover subtitle"/>
    <w:basedOn w:val="Covertitle"/>
    <w:qFormat/>
    <w:rsid w:val="007B3A5A"/>
    <w:rPr>
      <w:b w:val="0"/>
      <w:sz w:val="40"/>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2626EA"/>
    <w:rPr>
      <w:color w:val="0072CE"/>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DF7020"/>
    <w:rPr>
      <w:b/>
      <w:bCs/>
    </w:rPr>
  </w:style>
  <w:style w:type="character" w:styleId="IntenseEmphasis">
    <w:name w:val="Intense Emphasis"/>
    <w:basedOn w:val="DefaultParagraphFont"/>
    <w:uiPriority w:val="21"/>
    <w:qFormat/>
    <w:rsid w:val="00312049"/>
    <w:rPr>
      <w:i/>
      <w:iCs/>
      <w:color w:val="86189C" w:themeColor="accent2"/>
    </w:rPr>
  </w:style>
  <w:style w:type="paragraph" w:styleId="IntenseQuote">
    <w:name w:val="Intense Quote"/>
    <w:basedOn w:val="Normal"/>
    <w:next w:val="Normal"/>
    <w:link w:val="IntenseQuoteChar"/>
    <w:uiPriority w:val="30"/>
    <w:qFormat/>
    <w:rsid w:val="00EB0B20"/>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EB0B20"/>
    <w:rPr>
      <w:b/>
      <w:iCs/>
      <w:color w:val="86189C" w:themeColor="accent2"/>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317EB5"/>
    <w:pPr>
      <w:ind w:right="3396"/>
    </w:pPr>
    <w:rPr>
      <w:sz w:val="12"/>
      <w:szCs w:val="12"/>
    </w:rPr>
  </w:style>
  <w:style w:type="character" w:styleId="FollowedHyperlink">
    <w:name w:val="FollowedHyperlink"/>
    <w:basedOn w:val="DefaultParagraphFont"/>
    <w:uiPriority w:val="99"/>
    <w:semiHidden/>
    <w:unhideWhenUsed/>
    <w:rsid w:val="00BF2373"/>
    <w:rPr>
      <w:color w:val="86189C" w:themeColor="followedHyperlink"/>
      <w:u w:val="single"/>
    </w:rPr>
  </w:style>
  <w:style w:type="paragraph" w:styleId="ListParagraph">
    <w:name w:val="List Paragraph"/>
    <w:basedOn w:val="Normal"/>
    <w:link w:val="ListParagraphChar"/>
    <w:uiPriority w:val="34"/>
    <w:qFormat/>
    <w:rsid w:val="00B26686"/>
    <w:pPr>
      <w:spacing w:after="160" w:line="259" w:lineRule="auto"/>
      <w:ind w:left="720"/>
      <w:contextualSpacing/>
    </w:pPr>
    <w:rPr>
      <w:szCs w:val="22"/>
      <w:lang w:val="en-AU"/>
    </w:rPr>
  </w:style>
  <w:style w:type="character" w:customStyle="1" w:styleId="ListParagraphChar">
    <w:name w:val="List Paragraph Char"/>
    <w:basedOn w:val="DefaultParagraphFont"/>
    <w:link w:val="ListParagraph"/>
    <w:uiPriority w:val="34"/>
    <w:locked/>
    <w:rsid w:val="00B26686"/>
    <w:rPr>
      <w:sz w:val="22"/>
      <w:szCs w:val="22"/>
      <w:lang w:val="en-AU"/>
    </w:rPr>
  </w:style>
  <w:style w:type="character" w:customStyle="1" w:styleId="Heading5Char">
    <w:name w:val="Heading 5 Char"/>
    <w:basedOn w:val="DefaultParagraphFont"/>
    <w:link w:val="Heading5"/>
    <w:uiPriority w:val="9"/>
    <w:rsid w:val="00187469"/>
    <w:rPr>
      <w:rFonts w:asciiTheme="majorHAnsi" w:eastAsiaTheme="majorEastAsia" w:hAnsiTheme="majorHAnsi" w:cstheme="majorBidi"/>
      <w:color w:val="975BAA" w:themeColor="accent1" w:themeShade="BF"/>
      <w:sz w:val="22"/>
    </w:rPr>
  </w:style>
  <w:style w:type="paragraph" w:styleId="NormalWeb">
    <w:name w:val="Normal (Web)"/>
    <w:basedOn w:val="Normal"/>
    <w:uiPriority w:val="99"/>
    <w:unhideWhenUsed/>
    <w:rsid w:val="00660B8A"/>
    <w:pPr>
      <w:spacing w:before="100" w:beforeAutospacing="1" w:after="100" w:afterAutospacing="1"/>
    </w:pPr>
    <w:rPr>
      <w:rFonts w:ascii="Times New Roman" w:eastAsia="Times New Roman" w:hAnsi="Times New Roman" w:cs="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www.acecqa.gov.au"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education.vic.gov.au/Documents/childhood/providers/regulation/Regulatory_Framework_June_2023.docx?web=1"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s>
</file>

<file path=word/_rels/footer3.xml.rels><?xml version="1.0" encoding="UTF-8" standalone="yes"?>
<Relationships xmlns="http://schemas.openxmlformats.org/package/2006/relationships"><Relationship Id="rId3" Type="http://schemas.openxmlformats.org/officeDocument/2006/relationships/hyperlink" Target="mailto:copyright@education.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Monitoring and Assessing Compliance and Quality Policy</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987310-2A31-4BAD-B29C-E40383005D1F}"/>
</file>

<file path=customXml/itemProps2.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37a2b200-f654-4ad0-9a63-c032a64fd972"/>
    <ds:schemaRef ds:uri="b5426cb8-9245-4716-8b42-991f5d301053"/>
  </ds:schemaRefs>
</ds:datastoreItem>
</file>

<file path=customXml/itemProps3.xml><?xml version="1.0" encoding="utf-8"?>
<ds:datastoreItem xmlns:ds="http://schemas.openxmlformats.org/officeDocument/2006/customXml" ds:itemID="{1B5B590E-8181-484F-8E8B-020AF18D2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3924</Words>
  <Characters>18722</Characters>
  <Application>Microsoft Office Word</Application>
  <DocSecurity>4</DocSecurity>
  <Lines>891</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Azi Sheikh</cp:lastModifiedBy>
  <cp:revision>2</cp:revision>
  <dcterms:created xsi:type="dcterms:W3CDTF">2023-11-15T07:39:00Z</dcterms:created>
  <dcterms:modified xsi:type="dcterms:W3CDTF">2023-11-15T07:39:00Z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