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AE10" w14:textId="40103EE8" w:rsidR="00704DF8" w:rsidRDefault="00903CFD" w:rsidP="00EB3100">
      <w:pPr>
        <w:pStyle w:val="Heading2"/>
        <w:keepLines w:val="0"/>
        <w:pBdr>
          <w:top w:val="none" w:sz="0" w:space="0" w:color="auto"/>
        </w:pBdr>
        <w:spacing w:before="0" w:after="60" w:line="240" w:lineRule="auto"/>
        <w:ind w:left="-284"/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</w:pPr>
      <w:r w:rsidRPr="00704DF8"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  <w:t>Early C</w:t>
      </w:r>
      <w:r w:rsidR="006B1F9E"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  <w:t>hildhood Teacher Supplement 20</w:t>
      </w:r>
      <w:r w:rsidR="00EB3100"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  <w:t>20</w:t>
      </w:r>
      <w:r w:rsidRPr="00704DF8">
        <w:rPr>
          <w:rFonts w:asciiTheme="majorHAnsi" w:eastAsia="Times New Roman" w:hAnsiTheme="majorHAnsi" w:cs="Arial"/>
          <w:bCs/>
          <w:caps w:val="0"/>
          <w:color w:val="7030A0"/>
          <w:sz w:val="40"/>
          <w:szCs w:val="40"/>
          <w:lang w:val="en-AU"/>
        </w:rPr>
        <w:t xml:space="preserve"> </w:t>
      </w:r>
    </w:p>
    <w:p w14:paraId="71AF5DBF" w14:textId="77777777" w:rsidR="00751081" w:rsidRPr="001132D9" w:rsidRDefault="00704DF8" w:rsidP="007D63DB">
      <w:pPr>
        <w:pStyle w:val="Heading2"/>
        <w:keepLines w:val="0"/>
        <w:pBdr>
          <w:top w:val="none" w:sz="0" w:space="0" w:color="auto"/>
        </w:pBdr>
        <w:spacing w:before="0" w:after="60" w:line="240" w:lineRule="auto"/>
        <w:ind w:left="-284" w:right="-514"/>
        <w:rPr>
          <w:rFonts w:asciiTheme="majorHAnsi" w:eastAsia="Times New Roman" w:hAnsiTheme="majorHAnsi" w:cs="Arial"/>
          <w:bCs/>
          <w:iCs/>
          <w:caps w:val="0"/>
          <w:color w:val="808080"/>
          <w:sz w:val="28"/>
          <w:szCs w:val="28"/>
          <w:lang w:val="en-AU"/>
        </w:rPr>
      </w:pPr>
      <w:r w:rsidRPr="001132D9">
        <w:rPr>
          <w:rFonts w:asciiTheme="majorHAnsi" w:eastAsia="Times New Roman" w:hAnsiTheme="majorHAnsi" w:cs="Arial"/>
          <w:bCs/>
          <w:iCs/>
          <w:caps w:val="0"/>
          <w:color w:val="808080"/>
          <w:sz w:val="28"/>
          <w:szCs w:val="28"/>
          <w:lang w:val="en-AU"/>
        </w:rPr>
        <w:t>Question and Answers</w:t>
      </w:r>
    </w:p>
    <w:p w14:paraId="6FAC6298" w14:textId="77777777" w:rsidR="00751081" w:rsidRDefault="00751081" w:rsidP="00EB3100">
      <w:pPr>
        <w:pStyle w:val="Heading1"/>
        <w:ind w:left="-284"/>
      </w:pPr>
    </w:p>
    <w:p w14:paraId="5314EF20" w14:textId="7594F812" w:rsidR="00903CFD" w:rsidRPr="001B12CB" w:rsidRDefault="00903CFD" w:rsidP="00EB3100">
      <w:pPr>
        <w:spacing w:after="200" w:line="276" w:lineRule="auto"/>
        <w:ind w:left="-284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>The Early Childhood Teacher Supplement (</w:t>
      </w:r>
      <w:r w:rsidR="008E4E89" w:rsidRPr="001B12CB">
        <w:rPr>
          <w:rFonts w:ascii="Calibri" w:eastAsia="Calibri" w:hAnsi="Calibri" w:cs="Times New Roman"/>
          <w:sz w:val="21"/>
          <w:szCs w:val="21"/>
          <w:lang w:val="en-AU"/>
        </w:rPr>
        <w:t>ECTS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) is additional funding paid to kindergarten service providers to help offset the cost of employing more experienced teachers in funded kindergarten programs. The </w:t>
      </w:r>
      <w:r w:rsidR="008E4E89" w:rsidRPr="001B12CB">
        <w:rPr>
          <w:rFonts w:ascii="Calibri" w:eastAsia="Calibri" w:hAnsi="Calibri" w:cs="Times New Roman"/>
          <w:sz w:val="21"/>
          <w:szCs w:val="21"/>
          <w:lang w:val="en-AU"/>
        </w:rPr>
        <w:t>ECTS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is paid as a </w:t>
      </w:r>
      <w:proofErr w:type="gramStart"/>
      <w:r w:rsidRPr="001B12CB">
        <w:rPr>
          <w:rFonts w:ascii="Calibri" w:eastAsia="Calibri" w:hAnsi="Calibri" w:cs="Times New Roman"/>
          <w:sz w:val="21"/>
          <w:szCs w:val="21"/>
          <w:lang w:val="en-AU"/>
        </w:rPr>
        <w:t>one off</w:t>
      </w:r>
      <w:proofErr w:type="gramEnd"/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payment </w:t>
      </w:r>
      <w:r w:rsidR="00F14919">
        <w:rPr>
          <w:rFonts w:ascii="Calibri" w:eastAsia="Calibri" w:hAnsi="Calibri" w:cs="Times New Roman"/>
          <w:sz w:val="21"/>
          <w:szCs w:val="21"/>
          <w:lang w:val="en-AU"/>
        </w:rPr>
        <w:t xml:space="preserve">annually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in addition to per capita funding. </w:t>
      </w:r>
    </w:p>
    <w:p w14:paraId="65267816" w14:textId="77777777" w:rsidR="00903CFD" w:rsidRPr="001B12CB" w:rsidRDefault="00903CFD" w:rsidP="00EB3100">
      <w:pPr>
        <w:pStyle w:val="Heading2"/>
        <w:keepLines w:val="0"/>
        <w:pBdr>
          <w:top w:val="none" w:sz="0" w:space="0" w:color="auto"/>
        </w:pBdr>
        <w:spacing w:before="0" w:after="60" w:line="240" w:lineRule="auto"/>
        <w:ind w:left="-284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Which services are eligible to apply for the </w:t>
      </w:r>
      <w:r w:rsidR="008F315F"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ECTS</w:t>
      </w: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?</w:t>
      </w:r>
    </w:p>
    <w:p w14:paraId="0FD9DF8D" w14:textId="77178901" w:rsidR="00903CFD" w:rsidRDefault="00903CFD" w:rsidP="00EB3100">
      <w:pPr>
        <w:spacing w:after="200" w:line="276" w:lineRule="auto"/>
        <w:ind w:left="-284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The </w:t>
      </w:r>
      <w:r w:rsidR="008E4E89" w:rsidRPr="001B12CB">
        <w:rPr>
          <w:rFonts w:ascii="Calibri" w:eastAsia="Calibri" w:hAnsi="Calibri" w:cs="Times New Roman"/>
          <w:sz w:val="21"/>
          <w:szCs w:val="21"/>
          <w:lang w:val="en-AU"/>
        </w:rPr>
        <w:t>ECTS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is available to all services that receive standard or rural per capita funding and employ eligible teachers. It is not available for services operated by non-government schools. </w:t>
      </w:r>
    </w:p>
    <w:p w14:paraId="3461EBDB" w14:textId="77777777" w:rsidR="00903CFD" w:rsidRPr="001B12CB" w:rsidRDefault="00903CFD" w:rsidP="00EB3100">
      <w:pPr>
        <w:pStyle w:val="Heading2"/>
        <w:keepLines w:val="0"/>
        <w:pBdr>
          <w:top w:val="none" w:sz="0" w:space="0" w:color="auto"/>
        </w:pBdr>
        <w:spacing w:before="0" w:after="60" w:line="240" w:lineRule="auto"/>
        <w:ind w:left="-284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Which teachers are eligible?</w:t>
      </w:r>
    </w:p>
    <w:p w14:paraId="2BA1FCE9" w14:textId="497A5734" w:rsidR="00903CFD" w:rsidRPr="008248D7" w:rsidRDefault="00321193" w:rsidP="00AE4812">
      <w:pPr>
        <w:spacing w:after="200" w:line="276" w:lineRule="auto"/>
        <w:ind w:left="-284"/>
        <w:rPr>
          <w:rFonts w:ascii="Calibri" w:eastAsia="Calibri" w:hAnsi="Calibri" w:cs="Times New Roman"/>
          <w:sz w:val="21"/>
          <w:szCs w:val="21"/>
          <w:lang w:val="en-AU"/>
        </w:rPr>
      </w:pPr>
      <w:r>
        <w:rPr>
          <w:rFonts w:ascii="Calibri" w:eastAsia="Calibri" w:hAnsi="Calibri" w:cs="Times New Roman"/>
          <w:sz w:val="21"/>
          <w:szCs w:val="21"/>
          <w:lang w:val="en-AU"/>
        </w:rPr>
        <w:t xml:space="preserve">To be eligible for the </w:t>
      </w:r>
      <w:r w:rsidR="008E4E89" w:rsidRPr="008248D7">
        <w:rPr>
          <w:rFonts w:ascii="Calibri" w:eastAsia="Calibri" w:hAnsi="Calibri" w:cs="Times New Roman"/>
          <w:sz w:val="21"/>
          <w:szCs w:val="21"/>
          <w:lang w:val="en-AU"/>
        </w:rPr>
        <w:t>ECTS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, </w:t>
      </w:r>
      <w:proofErr w:type="gramStart"/>
      <w:r w:rsidR="001529F5" w:rsidRPr="008248D7">
        <w:rPr>
          <w:rFonts w:ascii="Calibri" w:eastAsia="Calibri" w:hAnsi="Calibri" w:cs="Times New Roman"/>
          <w:sz w:val="21"/>
          <w:szCs w:val="21"/>
          <w:lang w:val="en-AU"/>
        </w:rPr>
        <w:t>all of</w:t>
      </w:r>
      <w:proofErr w:type="gramEnd"/>
      <w:r w:rsidR="001529F5" w:rsidRPr="008248D7">
        <w:rPr>
          <w:rFonts w:ascii="Calibri" w:eastAsia="Calibri" w:hAnsi="Calibri" w:cs="Times New Roman"/>
          <w:sz w:val="21"/>
          <w:szCs w:val="21"/>
          <w:lang w:val="en-AU"/>
        </w:rPr>
        <w:t xml:space="preserve"> the following criteria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must be met</w:t>
      </w:r>
      <w:r w:rsidR="00903CFD" w:rsidRPr="008248D7">
        <w:rPr>
          <w:rFonts w:ascii="Calibri" w:eastAsia="Calibri" w:hAnsi="Calibri" w:cs="Times New Roman"/>
          <w:sz w:val="21"/>
          <w:szCs w:val="21"/>
          <w:lang w:val="en-AU"/>
        </w:rPr>
        <w:t>:</w:t>
      </w:r>
    </w:p>
    <w:p w14:paraId="346863A6" w14:textId="486A51F1" w:rsidR="00924FA4" w:rsidRDefault="00903CFD" w:rsidP="00EB3100">
      <w:pPr>
        <w:numPr>
          <w:ilvl w:val="0"/>
          <w:numId w:val="12"/>
        </w:numPr>
        <w:spacing w:after="200" w:line="276" w:lineRule="auto"/>
        <w:ind w:left="0" w:hanging="284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 w:rsidRPr="0081529B">
        <w:rPr>
          <w:rFonts w:ascii="Calibri" w:eastAsia="Calibri" w:hAnsi="Calibri" w:cs="Times New Roman"/>
          <w:sz w:val="21"/>
          <w:szCs w:val="21"/>
          <w:lang w:val="en-AU"/>
        </w:rPr>
        <w:t>be a</w:t>
      </w:r>
      <w:r w:rsidR="009D7A90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9D7A90" w:rsidRPr="0081529B">
        <w:rPr>
          <w:rFonts w:ascii="Calibri" w:eastAsia="Calibri" w:hAnsi="Calibri" w:cs="Times New Roman"/>
          <w:sz w:val="21"/>
          <w:szCs w:val="21"/>
          <w:lang w:val="en-AU"/>
        </w:rPr>
        <w:t>VIT registered early childhood teacher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employed to deliver a funded kindergarten program </w:t>
      </w:r>
    </w:p>
    <w:p w14:paraId="705390A3" w14:textId="217A4C6F" w:rsidR="00F15EE2" w:rsidRPr="0020481E" w:rsidRDefault="00924FA4" w:rsidP="00536C4D">
      <w:pPr>
        <w:numPr>
          <w:ilvl w:val="0"/>
          <w:numId w:val="12"/>
        </w:numPr>
        <w:spacing w:after="200" w:line="276" w:lineRule="auto"/>
        <w:ind w:left="0" w:hanging="284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>
        <w:rPr>
          <w:rFonts w:ascii="Calibri" w:eastAsia="Calibri" w:hAnsi="Calibri" w:cs="Times New Roman"/>
          <w:sz w:val="21"/>
          <w:szCs w:val="21"/>
          <w:lang w:val="en-AU"/>
        </w:rPr>
        <w:t xml:space="preserve">work </w:t>
      </w:r>
      <w:r w:rsidRPr="00924FA4">
        <w:rPr>
          <w:rFonts w:ascii="Calibri" w:eastAsia="Calibri" w:hAnsi="Calibri" w:cs="Times New Roman"/>
          <w:sz w:val="21"/>
          <w:szCs w:val="21"/>
          <w:lang w:val="en-AU"/>
        </w:rPr>
        <w:t>for three consecutive months or more in the calendar year for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which the ECTS is being sought</w:t>
      </w:r>
    </w:p>
    <w:p w14:paraId="58767317" w14:textId="428D47E3" w:rsidR="00201F5D" w:rsidRDefault="00F15EE2" w:rsidP="00201F5D">
      <w:pPr>
        <w:numPr>
          <w:ilvl w:val="0"/>
          <w:numId w:val="12"/>
        </w:numPr>
        <w:spacing w:after="200" w:line="276" w:lineRule="auto"/>
        <w:ind w:left="0" w:hanging="284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 w:rsidRPr="0081529B">
        <w:rPr>
          <w:rFonts w:ascii="Calibri" w:eastAsia="Calibri" w:hAnsi="Calibri" w:cs="Times New Roman"/>
          <w:sz w:val="21"/>
          <w:szCs w:val="21"/>
          <w:lang w:val="en-AU"/>
        </w:rPr>
        <w:t>be classified as a Level 2.3 or above as per the V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ictorian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E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arly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C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hildhood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T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eachers and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E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ducators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A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>greement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2016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(VECTEA)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or E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arly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E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ducation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E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mployees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A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>greement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2016</w:t>
      </w:r>
      <w:r w:rsidR="001A6856"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(EEEA)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(or equivalent</w:t>
      </w:r>
      <w:r w:rsidR="00D566C3" w:rsidRPr="0081529B">
        <w:rPr>
          <w:rStyle w:val="FootnoteReference"/>
          <w:rFonts w:ascii="Calibri" w:eastAsia="Calibri" w:hAnsi="Calibri" w:cs="Times New Roman"/>
          <w:sz w:val="21"/>
          <w:szCs w:val="21"/>
          <w:lang w:val="en-AU"/>
        </w:rPr>
        <w:footnoteReference w:id="2"/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) </w:t>
      </w:r>
    </w:p>
    <w:p w14:paraId="0A0F9B54" w14:textId="77777777" w:rsidR="00201F5D" w:rsidRDefault="00201F5D" w:rsidP="00201F5D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Which teachers are</w:t>
      </w:r>
      <w:r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 </w:t>
      </w:r>
      <w:r w:rsidRPr="00694C2D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u w:val="single"/>
          <w:lang w:val="en-AU"/>
        </w:rPr>
        <w:t xml:space="preserve">not </w:t>
      </w: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eligible?</w:t>
      </w:r>
    </w:p>
    <w:p w14:paraId="13C6ADAD" w14:textId="77777777" w:rsidR="00201F5D" w:rsidRPr="00694C2D" w:rsidRDefault="00201F5D" w:rsidP="00201F5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694C2D">
        <w:rPr>
          <w:rFonts w:ascii="Calibri" w:eastAsia="Calibri" w:hAnsi="Calibri" w:cs="Times New Roman"/>
          <w:sz w:val="21"/>
          <w:szCs w:val="21"/>
          <w:lang w:val="en-AU"/>
        </w:rPr>
        <w:t xml:space="preserve">The </w:t>
      </w:r>
      <w:r>
        <w:rPr>
          <w:rFonts w:ascii="Calibri" w:eastAsia="Calibri" w:hAnsi="Calibri" w:cs="Times New Roman"/>
          <w:sz w:val="21"/>
          <w:szCs w:val="21"/>
          <w:lang w:val="en-AU"/>
        </w:rPr>
        <w:t>following teachers are not eligible for the ECTS</w:t>
      </w:r>
      <w:r w:rsidRPr="00694C2D">
        <w:rPr>
          <w:rFonts w:ascii="Calibri" w:eastAsia="Calibri" w:hAnsi="Calibri" w:cs="Times New Roman"/>
          <w:sz w:val="21"/>
          <w:szCs w:val="21"/>
          <w:lang w:val="en-AU"/>
        </w:rPr>
        <w:t>:</w:t>
      </w:r>
    </w:p>
    <w:p w14:paraId="48017640" w14:textId="77777777" w:rsidR="00201F5D" w:rsidRDefault="00201F5D" w:rsidP="007D63DB">
      <w:pPr>
        <w:numPr>
          <w:ilvl w:val="0"/>
          <w:numId w:val="12"/>
        </w:numPr>
        <w:spacing w:after="200" w:line="276" w:lineRule="auto"/>
        <w:ind w:left="0" w:hanging="284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>employed at the service for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a period of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less than three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consecutive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months </w:t>
      </w:r>
    </w:p>
    <w:p w14:paraId="7B225C20" w14:textId="77777777" w:rsidR="00201F5D" w:rsidRPr="00917A4D" w:rsidRDefault="00201F5D" w:rsidP="007D63DB">
      <w:pPr>
        <w:numPr>
          <w:ilvl w:val="0"/>
          <w:numId w:val="12"/>
        </w:numPr>
        <w:spacing w:after="200" w:line="276" w:lineRule="auto"/>
        <w:ind w:left="0" w:hanging="284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 w:rsidRPr="00917A4D">
        <w:rPr>
          <w:rFonts w:ascii="Calibri" w:eastAsia="Calibri" w:hAnsi="Calibri" w:cs="Times New Roman"/>
          <w:sz w:val="21"/>
          <w:szCs w:val="21"/>
          <w:lang w:val="en-AU"/>
        </w:rPr>
        <w:t>employed to cover only lunch breaks</w:t>
      </w:r>
    </w:p>
    <w:p w14:paraId="70352086" w14:textId="77777777" w:rsidR="00201F5D" w:rsidRPr="00EE5E13" w:rsidRDefault="00201F5D" w:rsidP="007D63DB">
      <w:pPr>
        <w:numPr>
          <w:ilvl w:val="0"/>
          <w:numId w:val="12"/>
        </w:numPr>
        <w:spacing w:after="200" w:line="276" w:lineRule="auto"/>
        <w:ind w:left="0" w:hanging="284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 w:rsidRPr="00917A4D">
        <w:rPr>
          <w:rFonts w:ascii="Calibri" w:eastAsia="Calibri" w:hAnsi="Calibri" w:cs="Times New Roman"/>
          <w:sz w:val="21"/>
          <w:szCs w:val="21"/>
          <w:lang w:val="en-AU"/>
        </w:rPr>
        <w:t>employed under an Agreement or Award that is not equivalent</w:t>
      </w:r>
      <w:r w:rsidRPr="00917A4D">
        <w:rPr>
          <w:rStyle w:val="FootnoteReference"/>
          <w:rFonts w:ascii="Calibri" w:eastAsia="Calibri" w:hAnsi="Calibri" w:cs="Times New Roman"/>
          <w:sz w:val="21"/>
          <w:szCs w:val="21"/>
          <w:lang w:val="en-AU"/>
        </w:rPr>
        <w:t>1</w:t>
      </w:r>
      <w:r w:rsidRPr="00917A4D">
        <w:rPr>
          <w:rFonts w:ascii="Calibri" w:eastAsia="Calibri" w:hAnsi="Calibri" w:cs="Times New Roman"/>
          <w:sz w:val="21"/>
          <w:szCs w:val="21"/>
          <w:lang w:val="en-AU"/>
        </w:rPr>
        <w:t xml:space="preserve"> to the VECTEA or the EEEA</w:t>
      </w:r>
      <w:r>
        <w:rPr>
          <w:rFonts w:ascii="Calibri" w:eastAsia="Calibri" w:hAnsi="Calibri" w:cs="Times New Roman"/>
          <w:sz w:val="21"/>
          <w:szCs w:val="21"/>
          <w:lang w:val="en-AU"/>
        </w:rPr>
        <w:t>.</w:t>
      </w:r>
      <w:r w:rsidRPr="00917A4D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</w:p>
    <w:p w14:paraId="7C66AD34" w14:textId="412D99E8" w:rsidR="00201F5D" w:rsidRPr="00201F5D" w:rsidRDefault="00201F5D" w:rsidP="007D63DB">
      <w:pPr>
        <w:spacing w:after="200" w:line="276" w:lineRule="auto"/>
        <w:contextualSpacing/>
        <w:rPr>
          <w:rFonts w:ascii="Calibri" w:eastAsia="Calibri" w:hAnsi="Calibri" w:cs="Times New Roman"/>
          <w:sz w:val="21"/>
          <w:szCs w:val="21"/>
          <w:lang w:val="en-AU"/>
        </w:rPr>
      </w:pPr>
      <w:r w:rsidRPr="00C53E02">
        <w:rPr>
          <w:rFonts w:ascii="Calibri" w:eastAsia="Calibri" w:hAnsi="Calibri" w:cs="Times New Roman"/>
          <w:b/>
          <w:sz w:val="21"/>
          <w:szCs w:val="21"/>
          <w:lang w:val="en-AU"/>
        </w:rPr>
        <w:t>Note:</w:t>
      </w:r>
      <w:r w:rsidRPr="00C53E02">
        <w:rPr>
          <w:rFonts w:ascii="Calibri" w:eastAsia="Calibri" w:hAnsi="Calibri" w:cs="Times New Roman"/>
          <w:sz w:val="21"/>
          <w:szCs w:val="21"/>
          <w:lang w:val="en-AU"/>
        </w:rPr>
        <w:t xml:space="preserve"> The Education Services (Teachers) Award 2010 is not equivalent to the VECTEA or the EEEA.</w:t>
      </w:r>
    </w:p>
    <w:p w14:paraId="4F5CC2C2" w14:textId="77777777" w:rsidR="00D03409" w:rsidRPr="009901B0" w:rsidRDefault="00D03409" w:rsidP="007D63DB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9901B0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Which enrolments attract the ECTS?</w:t>
      </w:r>
    </w:p>
    <w:p w14:paraId="34A87B5F" w14:textId="37675601" w:rsidR="00D03409" w:rsidRPr="005E1FE6" w:rsidRDefault="00D03409" w:rsidP="007D63DB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9901B0">
        <w:rPr>
          <w:rFonts w:ascii="Calibri" w:eastAsia="Calibri" w:hAnsi="Calibri" w:cs="Times New Roman"/>
          <w:sz w:val="21"/>
          <w:szCs w:val="21"/>
          <w:lang w:val="en-AU"/>
        </w:rPr>
        <w:t>Service providers can apply for ECTS funding for all children enrolled in a funded Three or Four-Year-Old Kindergarten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program</w:t>
      </w:r>
      <w:r w:rsidRPr="005E1FE6">
        <w:rPr>
          <w:rFonts w:ascii="Calibri" w:eastAsia="Calibri" w:hAnsi="Calibri" w:cs="Times New Roman"/>
          <w:sz w:val="21"/>
          <w:szCs w:val="21"/>
          <w:lang w:val="en-AU"/>
        </w:rPr>
        <w:t xml:space="preserve"> delivered by an eligible teacher (as outlined above). </w:t>
      </w:r>
    </w:p>
    <w:p w14:paraId="7372B3EB" w14:textId="77777777" w:rsidR="00903CFD" w:rsidRPr="001B12CB" w:rsidRDefault="00C13E78" w:rsidP="004E0226">
      <w:pPr>
        <w:spacing w:before="240" w:after="60" w:line="276" w:lineRule="auto"/>
        <w:rPr>
          <w:rFonts w:asciiTheme="majorHAnsi" w:eastAsia="Times New Roman" w:hAnsiTheme="majorHAnsi"/>
          <w:bCs/>
          <w:iCs/>
          <w:color w:val="7030A0"/>
          <w:sz w:val="21"/>
          <w:szCs w:val="21"/>
          <w:lang w:val="en-AU"/>
        </w:rPr>
      </w:pPr>
      <w:r w:rsidRPr="00466D48"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  <w:t>What is the ECTS rate</w:t>
      </w:r>
      <w:r w:rsidR="00903CFD" w:rsidRPr="00466D48"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  <w:t>?</w:t>
      </w:r>
      <w:bookmarkStart w:id="0" w:name="_GoBack"/>
      <w:bookmarkEnd w:id="0"/>
    </w:p>
    <w:p w14:paraId="126D30CA" w14:textId="0196665F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The </w:t>
      </w:r>
      <w:r w:rsidR="008E4E89"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ECTS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is paid </w:t>
      </w:r>
      <w:r w:rsidR="000067EF">
        <w:rPr>
          <w:rFonts w:ascii="Calibri" w:eastAsia="Calibri" w:hAnsi="Calibri" w:cs="Times New Roman"/>
          <w:sz w:val="21"/>
          <w:szCs w:val="21"/>
          <w:lang w:val="en-AU"/>
        </w:rPr>
        <w:t>at a per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child</w:t>
      </w:r>
      <w:r w:rsidR="000067EF">
        <w:rPr>
          <w:rFonts w:ascii="Calibri" w:eastAsia="Calibri" w:hAnsi="Calibri" w:cs="Times New Roman"/>
          <w:sz w:val="21"/>
          <w:szCs w:val="21"/>
          <w:lang w:val="en-AU"/>
        </w:rPr>
        <w:t xml:space="preserve"> rate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that is determined by the salary level of the teacher and the funding ca</w:t>
      </w:r>
      <w:r w:rsidR="004D1B89">
        <w:rPr>
          <w:rFonts w:ascii="Calibri" w:eastAsia="Calibri" w:hAnsi="Calibri" w:cs="Times New Roman"/>
          <w:sz w:val="21"/>
          <w:szCs w:val="21"/>
          <w:lang w:val="en-AU"/>
        </w:rPr>
        <w:t>tegory of the service (standard or rural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>)</w:t>
      </w:r>
      <w:r w:rsidR="004D1B89">
        <w:rPr>
          <w:rFonts w:ascii="Calibri" w:eastAsia="Calibri" w:hAnsi="Calibri" w:cs="Times New Roman"/>
          <w:sz w:val="21"/>
          <w:szCs w:val="21"/>
          <w:lang w:val="en-AU"/>
        </w:rPr>
        <w:t xml:space="preserve">. </w:t>
      </w:r>
      <w:r w:rsidR="00C13E78">
        <w:rPr>
          <w:rFonts w:ascii="Calibri" w:eastAsia="Calibri" w:hAnsi="Calibri" w:cs="Times New Roman"/>
          <w:sz w:val="21"/>
          <w:szCs w:val="21"/>
          <w:lang w:val="en-AU"/>
        </w:rPr>
        <w:t xml:space="preserve">For </w:t>
      </w:r>
      <w:r w:rsidR="004D1B89">
        <w:rPr>
          <w:rFonts w:ascii="Calibri" w:eastAsia="Calibri" w:hAnsi="Calibri" w:cs="Times New Roman"/>
          <w:sz w:val="21"/>
          <w:szCs w:val="21"/>
          <w:lang w:val="en-AU"/>
        </w:rPr>
        <w:t>rural services with 18 or few</w:t>
      </w:r>
      <w:r w:rsidR="00C13E78">
        <w:rPr>
          <w:rFonts w:ascii="Calibri" w:eastAsia="Calibri" w:hAnsi="Calibri" w:cs="Times New Roman"/>
          <w:sz w:val="21"/>
          <w:szCs w:val="21"/>
          <w:lang w:val="en-AU"/>
        </w:rPr>
        <w:t>er enrolments a base funding rate is applied.</w:t>
      </w:r>
    </w:p>
    <w:tbl>
      <w:tblPr>
        <w:tblStyle w:val="GridTable4-Accent4"/>
        <w:tblW w:w="4962" w:type="dxa"/>
        <w:tblInd w:w="-147" w:type="dxa"/>
        <w:tblLook w:val="04A0" w:firstRow="1" w:lastRow="0" w:firstColumn="1" w:lastColumn="0" w:noHBand="0" w:noVBand="1"/>
      </w:tblPr>
      <w:tblGrid>
        <w:gridCol w:w="2977"/>
        <w:gridCol w:w="1985"/>
      </w:tblGrid>
      <w:tr w:rsidR="00903CFD" w:rsidRPr="00903CFD" w14:paraId="11C8110F" w14:textId="77777777" w:rsidTr="0051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</w:tcPr>
          <w:p w14:paraId="01F576F3" w14:textId="77777777" w:rsidR="00903CFD" w:rsidRPr="00903CFD" w:rsidRDefault="00903CFD" w:rsidP="00903CFD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Early Childhood Teacher Supplement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0E0F948" w14:textId="7A85D2BA" w:rsidR="00A47A14" w:rsidRPr="00903CFD" w:rsidRDefault="002C4D35" w:rsidP="008D4E7A">
            <w:pPr>
              <w:spacing w:before="20" w:after="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January – December 20</w:t>
            </w:r>
            <w:r w:rsidR="009901B0">
              <w:rPr>
                <w:rFonts w:ascii="Calibri" w:eastAsia="MS PMincho" w:hAnsi="Calibri" w:cs="Times New Roman"/>
                <w:lang w:val="en-AU"/>
              </w:rPr>
              <w:t>20</w:t>
            </w:r>
            <w:r w:rsidR="008D4E7A">
              <w:rPr>
                <w:rFonts w:ascii="Calibri" w:eastAsia="MS PMincho" w:hAnsi="Calibri" w:cs="Times New Roman"/>
                <w:lang w:val="en-AU"/>
              </w:rPr>
              <w:t xml:space="preserve"> </w:t>
            </w:r>
            <w:r w:rsidR="00A47A14">
              <w:rPr>
                <w:rFonts w:ascii="Calibri" w:eastAsia="MS PMincho" w:hAnsi="Calibri" w:cs="Times New Roman"/>
                <w:lang w:val="en-AU"/>
              </w:rPr>
              <w:t>Rates</w:t>
            </w:r>
          </w:p>
        </w:tc>
      </w:tr>
      <w:tr w:rsidR="00903CFD" w:rsidRPr="00903CFD" w14:paraId="01F00FFB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D9D9D9" w:themeFill="background1" w:themeFillShade="D9"/>
          </w:tcPr>
          <w:p w14:paraId="43432505" w14:textId="77777777" w:rsidR="00903CFD" w:rsidRPr="00903CFD" w:rsidRDefault="00903CFD" w:rsidP="00903CFD">
            <w:pPr>
              <w:spacing w:before="20" w:after="20" w:line="240" w:lineRule="auto"/>
              <w:jc w:val="center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Level 2</w:t>
            </w:r>
            <w:r w:rsidR="00C21EE1">
              <w:rPr>
                <w:rFonts w:ascii="Calibri" w:eastAsia="MS PMincho" w:hAnsi="Calibri" w:cs="Times New Roman"/>
                <w:lang w:val="en-AU"/>
              </w:rPr>
              <w:t>.3</w:t>
            </w:r>
          </w:p>
        </w:tc>
      </w:tr>
      <w:tr w:rsidR="00903CFD" w:rsidRPr="00903CFD" w14:paraId="7AD3065A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1A1B785" w14:textId="77777777" w:rsidR="00903CFD" w:rsidRPr="00903CFD" w:rsidRDefault="00903CFD" w:rsidP="00903CFD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Standard rate</w:t>
            </w:r>
          </w:p>
        </w:tc>
        <w:tc>
          <w:tcPr>
            <w:tcW w:w="1985" w:type="dxa"/>
          </w:tcPr>
          <w:p w14:paraId="640A5105" w14:textId="08559F85" w:rsidR="00903CFD" w:rsidRPr="00787CD8" w:rsidRDefault="006B1F9E" w:rsidP="00F76A2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$9</w:t>
            </w:r>
            <w:r w:rsidR="00E47E3B">
              <w:rPr>
                <w:rFonts w:ascii="Calibri" w:eastAsia="MS PMincho" w:hAnsi="Calibri" w:cs="Times New Roman"/>
                <w:b/>
                <w:bCs/>
                <w:lang w:val="en-AU"/>
              </w:rPr>
              <w:t>5</w:t>
            </w:r>
            <w:r w:rsidR="00F76A2D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903CFD" w:rsidRPr="00903CFD" w14:paraId="68CC1BCF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A7AD39" w14:textId="77777777" w:rsidR="00903CFD" w:rsidRPr="00903CFD" w:rsidRDefault="00903CFD" w:rsidP="00903CFD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Rural rate</w:t>
            </w:r>
            <w:r w:rsidR="00AD3146">
              <w:rPr>
                <w:rFonts w:ascii="Calibri" w:eastAsia="MS PMincho" w:hAnsi="Calibri" w:cs="Times New Roman"/>
                <w:lang w:val="en-AU"/>
              </w:rPr>
              <w:t xml:space="preserve"> – </w:t>
            </w:r>
            <w:r w:rsidR="00C21EE1">
              <w:rPr>
                <w:rFonts w:ascii="Calibri" w:eastAsia="MS PMincho" w:hAnsi="Calibri" w:cs="Times New Roman"/>
                <w:lang w:val="en-AU"/>
              </w:rPr>
              <w:t>19</w:t>
            </w:r>
            <w:r w:rsidR="00F76A2D" w:rsidRPr="00F76A2D">
              <w:rPr>
                <w:rFonts w:ascii="Calibri" w:eastAsia="MS PMincho" w:hAnsi="Calibri" w:cs="Times New Roman"/>
                <w:lang w:val="en-AU"/>
              </w:rPr>
              <w:t xml:space="preserve"> or more </w:t>
            </w:r>
            <w:r w:rsidR="00AD3146" w:rsidRPr="00F76A2D">
              <w:rPr>
                <w:rFonts w:ascii="Calibri" w:eastAsia="MS PMincho" w:hAnsi="Calibri" w:cs="Times New Roman"/>
                <w:lang w:val="en-AU"/>
              </w:rPr>
              <w:t>enrolments</w:t>
            </w:r>
            <w:r w:rsidR="00AD3146">
              <w:rPr>
                <w:rFonts w:ascii="Calibri" w:eastAsia="MS PMincho" w:hAnsi="Calibri" w:cs="Times New Roman"/>
                <w:lang w:val="en-AU"/>
              </w:rPr>
              <w:t xml:space="preserve"> </w:t>
            </w:r>
          </w:p>
        </w:tc>
        <w:tc>
          <w:tcPr>
            <w:tcW w:w="1985" w:type="dxa"/>
          </w:tcPr>
          <w:p w14:paraId="17AD275F" w14:textId="1314FB7A" w:rsidR="00903CFD" w:rsidRPr="00787CD8" w:rsidRDefault="006B1F9E" w:rsidP="00F76A2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$11</w:t>
            </w:r>
            <w:r w:rsidR="003E3F79">
              <w:rPr>
                <w:rFonts w:ascii="Calibri" w:eastAsia="MS PMincho" w:hAnsi="Calibri" w:cs="Times New Roman"/>
                <w:b/>
                <w:bCs/>
                <w:lang w:val="en-AU"/>
              </w:rPr>
              <w:t>9</w:t>
            </w:r>
            <w:r w:rsidR="00F76A2D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9327A6" w:rsidRPr="00903CFD" w14:paraId="160DDCC6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53CC28" w14:textId="77777777" w:rsidR="009327A6" w:rsidRPr="00903CFD" w:rsidRDefault="00C21EE1" w:rsidP="00C21EE1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Rural rate - 18</w:t>
            </w:r>
            <w:r w:rsidR="009327A6">
              <w:rPr>
                <w:rFonts w:ascii="Calibri" w:eastAsia="MS PMincho" w:hAnsi="Calibri" w:cs="Times New Roman"/>
                <w:lang w:val="en-AU"/>
              </w:rPr>
              <w:t xml:space="preserve"> or fewer enrolments</w:t>
            </w:r>
          </w:p>
        </w:tc>
        <w:tc>
          <w:tcPr>
            <w:tcW w:w="1985" w:type="dxa"/>
          </w:tcPr>
          <w:p w14:paraId="1ECC1351" w14:textId="778BF178" w:rsidR="009327A6" w:rsidRPr="009327A6" w:rsidRDefault="008321E4" w:rsidP="0068033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 w:rsidRPr="008321E4">
              <w:rPr>
                <w:rFonts w:ascii="Calibri" w:eastAsia="MS PMincho" w:hAnsi="Calibri" w:cs="Times New Roman"/>
                <w:b/>
                <w:bCs/>
                <w:lang w:val="en-AU"/>
              </w:rPr>
              <w:t>$2,142</w:t>
            </w:r>
            <w:r w:rsidR="00F76A2D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service</w:t>
            </w:r>
          </w:p>
        </w:tc>
      </w:tr>
      <w:tr w:rsidR="00C21EE1" w:rsidRPr="00903CFD" w14:paraId="29047CA7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D9D9D9" w:themeFill="background1" w:themeFillShade="D9"/>
          </w:tcPr>
          <w:p w14:paraId="2CDB634F" w14:textId="41F2047A" w:rsidR="00C21EE1" w:rsidRDefault="00C21EE1" w:rsidP="00C21EE1">
            <w:pPr>
              <w:spacing w:before="20" w:after="20" w:line="240" w:lineRule="auto"/>
              <w:jc w:val="center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Level 2.4</w:t>
            </w:r>
          </w:p>
          <w:p w14:paraId="777D9D32" w14:textId="77777777" w:rsidR="00C21EE1" w:rsidRDefault="00C21EE1" w:rsidP="00F76A2D">
            <w:pPr>
              <w:spacing w:before="20" w:after="20" w:line="240" w:lineRule="auto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</w:p>
        </w:tc>
      </w:tr>
      <w:tr w:rsidR="00C21EE1" w:rsidRPr="00903CFD" w14:paraId="4FDE8371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C2EE551" w14:textId="77777777" w:rsidR="00C21EE1" w:rsidRDefault="00C21EE1" w:rsidP="00C21EE1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Standard rate</w:t>
            </w:r>
          </w:p>
        </w:tc>
        <w:tc>
          <w:tcPr>
            <w:tcW w:w="1985" w:type="dxa"/>
          </w:tcPr>
          <w:p w14:paraId="1E201551" w14:textId="7A3D8A97" w:rsidR="00C21EE1" w:rsidRDefault="002C4D35" w:rsidP="00C21E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</w:t>
            </w:r>
            <w:r w:rsidR="008321E4">
              <w:rPr>
                <w:rFonts w:ascii="Calibri" w:eastAsia="MS PMincho" w:hAnsi="Calibri" w:cs="Times New Roman"/>
                <w:b/>
                <w:bCs/>
                <w:lang w:val="en-AU"/>
              </w:rPr>
              <w:t>163</w:t>
            </w:r>
            <w:r w:rsidR="00C21EE1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C21EE1" w:rsidRPr="00903CFD" w14:paraId="567F4A56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66556AD" w14:textId="77777777" w:rsidR="00C21EE1" w:rsidRDefault="00C21EE1" w:rsidP="00C21EE1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Rural rate</w:t>
            </w:r>
            <w:r>
              <w:rPr>
                <w:rFonts w:ascii="Calibri" w:eastAsia="MS PMincho" w:hAnsi="Calibri" w:cs="Times New Roman"/>
                <w:lang w:val="en-AU"/>
              </w:rPr>
              <w:t xml:space="preserve"> – 19</w:t>
            </w:r>
            <w:r w:rsidRPr="00F76A2D">
              <w:rPr>
                <w:rFonts w:ascii="Calibri" w:eastAsia="MS PMincho" w:hAnsi="Calibri" w:cs="Times New Roman"/>
                <w:lang w:val="en-AU"/>
              </w:rPr>
              <w:t xml:space="preserve"> or more enrolments</w:t>
            </w:r>
            <w:r>
              <w:rPr>
                <w:rFonts w:ascii="Calibri" w:eastAsia="MS PMincho" w:hAnsi="Calibri" w:cs="Times New Roman"/>
                <w:lang w:val="en-AU"/>
              </w:rPr>
              <w:t xml:space="preserve"> </w:t>
            </w:r>
          </w:p>
        </w:tc>
        <w:tc>
          <w:tcPr>
            <w:tcW w:w="1985" w:type="dxa"/>
          </w:tcPr>
          <w:p w14:paraId="18BAEF69" w14:textId="44469153" w:rsidR="00C21EE1" w:rsidRDefault="002C4D35" w:rsidP="00C21EE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</w:t>
            </w:r>
            <w:r w:rsidR="008321E4">
              <w:rPr>
                <w:rFonts w:ascii="Calibri" w:eastAsia="MS PMincho" w:hAnsi="Calibri" w:cs="Times New Roman"/>
                <w:b/>
                <w:bCs/>
                <w:lang w:val="en-AU"/>
              </w:rPr>
              <w:t>202</w:t>
            </w:r>
            <w:r w:rsidR="00C21EE1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C21EE1" w:rsidRPr="00903CFD" w14:paraId="23770598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C53B21C" w14:textId="77777777" w:rsidR="00C21EE1" w:rsidRDefault="00C21EE1" w:rsidP="00C21EE1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Rural rate - 18 or fewer enrolments</w:t>
            </w:r>
          </w:p>
        </w:tc>
        <w:tc>
          <w:tcPr>
            <w:tcW w:w="1985" w:type="dxa"/>
          </w:tcPr>
          <w:p w14:paraId="61E4D973" w14:textId="066C1FD2" w:rsidR="00C21EE1" w:rsidRDefault="008321E4" w:rsidP="0068033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 w:rsidRPr="008321E4">
              <w:rPr>
                <w:rFonts w:ascii="Calibri" w:eastAsia="MS PMincho" w:hAnsi="Calibri" w:cs="Times New Roman"/>
                <w:b/>
                <w:bCs/>
                <w:lang w:val="en-AU"/>
              </w:rPr>
              <w:t>$3,636</w:t>
            </w:r>
            <w:r w:rsidR="0068033A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</w:t>
            </w:r>
            <w:r w:rsidR="00C21EE1">
              <w:rPr>
                <w:rFonts w:ascii="Calibri" w:eastAsia="MS PMincho" w:hAnsi="Calibri" w:cs="Times New Roman"/>
                <w:b/>
                <w:bCs/>
                <w:lang w:val="en-AU"/>
              </w:rPr>
              <w:t>per service</w:t>
            </w:r>
          </w:p>
        </w:tc>
      </w:tr>
      <w:tr w:rsidR="006B1F9E" w:rsidRPr="00903CFD" w14:paraId="71E42DDA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D9D9D9" w:themeFill="background1" w:themeFillShade="D9"/>
          </w:tcPr>
          <w:p w14:paraId="755BD6A6" w14:textId="6E703216" w:rsidR="006B1F9E" w:rsidRDefault="006B1F9E" w:rsidP="006B1F9E">
            <w:pPr>
              <w:spacing w:before="20" w:after="20" w:line="240" w:lineRule="auto"/>
              <w:jc w:val="center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Level 2.5</w:t>
            </w:r>
          </w:p>
          <w:p w14:paraId="14A1F03A" w14:textId="77777777" w:rsidR="006B1F9E" w:rsidRDefault="006B1F9E" w:rsidP="006B1F9E">
            <w:pPr>
              <w:spacing w:before="20" w:after="20" w:line="240" w:lineRule="auto"/>
              <w:jc w:val="center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</w:p>
          <w:p w14:paraId="1C57DDC9" w14:textId="6493C964" w:rsidR="006B1F9E" w:rsidRDefault="006B1F9E" w:rsidP="006B1F9E">
            <w:pPr>
              <w:spacing w:before="20" w:after="20" w:line="240" w:lineRule="auto"/>
              <w:jc w:val="center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</w:p>
        </w:tc>
      </w:tr>
      <w:tr w:rsidR="006B1F9E" w:rsidRPr="00903CFD" w14:paraId="3817C3F1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D50EFBA" w14:textId="0919684C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Standard rate</w:t>
            </w:r>
          </w:p>
        </w:tc>
        <w:tc>
          <w:tcPr>
            <w:tcW w:w="1985" w:type="dxa"/>
          </w:tcPr>
          <w:p w14:paraId="65097D46" w14:textId="06B86E61" w:rsidR="006B1F9E" w:rsidRDefault="002C4D35" w:rsidP="006B1F9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$24</w:t>
            </w:r>
            <w:r w:rsidR="008321E4">
              <w:rPr>
                <w:rFonts w:ascii="Calibri" w:eastAsia="MS PMincho" w:hAnsi="Calibri" w:cs="Times New Roman"/>
                <w:b/>
                <w:bCs/>
                <w:lang w:val="en-AU"/>
              </w:rPr>
              <w:t>9</w:t>
            </w:r>
            <w:r w:rsidR="006B1F9E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6B1F9E" w:rsidRPr="00903CFD" w14:paraId="53543EE3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2C4C268" w14:textId="70A2AB46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Rural rate</w:t>
            </w:r>
            <w:r>
              <w:rPr>
                <w:rFonts w:ascii="Calibri" w:eastAsia="MS PMincho" w:hAnsi="Calibri" w:cs="Times New Roman"/>
                <w:lang w:val="en-AU"/>
              </w:rPr>
              <w:t xml:space="preserve"> – 19</w:t>
            </w:r>
            <w:r w:rsidRPr="00F76A2D">
              <w:rPr>
                <w:rFonts w:ascii="Calibri" w:eastAsia="MS PMincho" w:hAnsi="Calibri" w:cs="Times New Roman"/>
                <w:lang w:val="en-AU"/>
              </w:rPr>
              <w:t xml:space="preserve"> or more enrolments</w:t>
            </w:r>
            <w:r>
              <w:rPr>
                <w:rFonts w:ascii="Calibri" w:eastAsia="MS PMincho" w:hAnsi="Calibri" w:cs="Times New Roman"/>
                <w:lang w:val="en-AU"/>
              </w:rPr>
              <w:t xml:space="preserve"> </w:t>
            </w:r>
          </w:p>
        </w:tc>
        <w:tc>
          <w:tcPr>
            <w:tcW w:w="1985" w:type="dxa"/>
          </w:tcPr>
          <w:p w14:paraId="5162B8B1" w14:textId="023B59AC" w:rsidR="006B1F9E" w:rsidRDefault="002C4D35" w:rsidP="006B1F9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$30</w:t>
            </w:r>
            <w:r w:rsidR="008321E4">
              <w:rPr>
                <w:rFonts w:ascii="Calibri" w:eastAsia="MS PMincho" w:hAnsi="Calibri" w:cs="Times New Roman"/>
                <w:b/>
                <w:bCs/>
                <w:lang w:val="en-AU"/>
              </w:rPr>
              <w:t>9</w:t>
            </w:r>
            <w:r w:rsidR="006B1F9E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6B1F9E" w:rsidRPr="00903CFD" w14:paraId="1F9FA2FD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1FD5A1D" w14:textId="1F145AE0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Rural rate - 18 or fewer enrolments</w:t>
            </w:r>
          </w:p>
        </w:tc>
        <w:tc>
          <w:tcPr>
            <w:tcW w:w="1985" w:type="dxa"/>
          </w:tcPr>
          <w:p w14:paraId="4F76E798" w14:textId="58BEDDD6" w:rsidR="006B1F9E" w:rsidRDefault="008321E4" w:rsidP="006B1F9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 w:rsidRPr="008321E4">
              <w:rPr>
                <w:rFonts w:ascii="Calibri" w:eastAsia="MS PMincho" w:hAnsi="Calibri" w:cs="Times New Roman"/>
                <w:b/>
                <w:bCs/>
                <w:lang w:val="en-AU"/>
              </w:rPr>
              <w:t>$5,562</w:t>
            </w:r>
            <w:r w:rsidR="006B1F9E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service</w:t>
            </w:r>
          </w:p>
        </w:tc>
      </w:tr>
      <w:tr w:rsidR="006B1F9E" w:rsidRPr="00903CFD" w14:paraId="5A5609AE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D9D9D9" w:themeFill="background1" w:themeFillShade="D9"/>
          </w:tcPr>
          <w:p w14:paraId="281E5284" w14:textId="77777777" w:rsidR="006B1F9E" w:rsidRDefault="006B1F9E" w:rsidP="006B1F9E">
            <w:pPr>
              <w:spacing w:before="20" w:after="20" w:line="240" w:lineRule="auto"/>
              <w:jc w:val="center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Level 3</w:t>
            </w:r>
          </w:p>
          <w:p w14:paraId="2E505192" w14:textId="77777777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b w:val="0"/>
                <w:bCs w:val="0"/>
                <w:lang w:val="en-AU"/>
              </w:rPr>
            </w:pPr>
          </w:p>
        </w:tc>
      </w:tr>
      <w:tr w:rsidR="006B1F9E" w:rsidRPr="00903CFD" w14:paraId="22548948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1BE4888" w14:textId="77777777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Standard rate</w:t>
            </w:r>
          </w:p>
        </w:tc>
        <w:tc>
          <w:tcPr>
            <w:tcW w:w="1985" w:type="dxa"/>
          </w:tcPr>
          <w:p w14:paraId="6BF14798" w14:textId="01A869C7" w:rsidR="006B1F9E" w:rsidRDefault="002C4D35" w:rsidP="006B1F9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$6</w:t>
            </w:r>
            <w:r w:rsidR="008321E4">
              <w:rPr>
                <w:rFonts w:ascii="Calibri" w:eastAsia="MS PMincho" w:hAnsi="Calibri" w:cs="Times New Roman"/>
                <w:b/>
                <w:bCs/>
                <w:lang w:val="en-AU"/>
              </w:rPr>
              <w:t>23</w:t>
            </w:r>
            <w:r w:rsidR="006B1F9E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6B1F9E" w:rsidRPr="00903CFD" w14:paraId="2F24A8DD" w14:textId="77777777" w:rsidTr="00514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0235AC3" w14:textId="77777777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 w:rsidRPr="00903CFD">
              <w:rPr>
                <w:rFonts w:ascii="Calibri" w:eastAsia="MS PMincho" w:hAnsi="Calibri" w:cs="Times New Roman"/>
                <w:lang w:val="en-AU"/>
              </w:rPr>
              <w:t>Rural rate</w:t>
            </w:r>
            <w:r>
              <w:rPr>
                <w:rFonts w:ascii="Calibri" w:eastAsia="MS PMincho" w:hAnsi="Calibri" w:cs="Times New Roman"/>
                <w:lang w:val="en-AU"/>
              </w:rPr>
              <w:t xml:space="preserve"> – 19</w:t>
            </w:r>
            <w:r w:rsidRPr="00F76A2D">
              <w:rPr>
                <w:rFonts w:ascii="Calibri" w:eastAsia="MS PMincho" w:hAnsi="Calibri" w:cs="Times New Roman"/>
                <w:lang w:val="en-AU"/>
              </w:rPr>
              <w:t xml:space="preserve"> or more enrolments</w:t>
            </w:r>
            <w:r>
              <w:rPr>
                <w:rFonts w:ascii="Calibri" w:eastAsia="MS PMincho" w:hAnsi="Calibri" w:cs="Times New Roman"/>
                <w:lang w:val="en-AU"/>
              </w:rPr>
              <w:t xml:space="preserve"> </w:t>
            </w:r>
          </w:p>
        </w:tc>
        <w:tc>
          <w:tcPr>
            <w:tcW w:w="1985" w:type="dxa"/>
          </w:tcPr>
          <w:p w14:paraId="075DA8E2" w14:textId="452774D3" w:rsidR="006B1F9E" w:rsidRDefault="002C4D35" w:rsidP="006B1F9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>$7</w:t>
            </w:r>
            <w:r w:rsidR="008321E4">
              <w:rPr>
                <w:rFonts w:ascii="Calibri" w:eastAsia="MS PMincho" w:hAnsi="Calibri" w:cs="Times New Roman"/>
                <w:b/>
                <w:bCs/>
                <w:lang w:val="en-AU"/>
              </w:rPr>
              <w:t>73</w:t>
            </w:r>
            <w:r w:rsidR="006B1F9E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 enrolment</w:t>
            </w:r>
          </w:p>
        </w:tc>
      </w:tr>
      <w:tr w:rsidR="006B1F9E" w:rsidRPr="00903CFD" w14:paraId="7FABC4DA" w14:textId="77777777" w:rsidTr="0051456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C6EFA0E" w14:textId="77777777" w:rsidR="006B1F9E" w:rsidRDefault="006B1F9E" w:rsidP="006B1F9E">
            <w:pPr>
              <w:spacing w:before="20" w:after="20" w:line="240" w:lineRule="auto"/>
              <w:rPr>
                <w:rFonts w:ascii="Calibri" w:eastAsia="MS PMincho" w:hAnsi="Calibri" w:cs="Times New Roman"/>
                <w:lang w:val="en-AU"/>
              </w:rPr>
            </w:pPr>
            <w:r>
              <w:rPr>
                <w:rFonts w:ascii="Calibri" w:eastAsia="MS PMincho" w:hAnsi="Calibri" w:cs="Times New Roman"/>
                <w:lang w:val="en-AU"/>
              </w:rPr>
              <w:t>Rural rate - 18 or fewer enrolments</w:t>
            </w:r>
          </w:p>
        </w:tc>
        <w:tc>
          <w:tcPr>
            <w:tcW w:w="1985" w:type="dxa"/>
          </w:tcPr>
          <w:p w14:paraId="387BC7C6" w14:textId="09D06F43" w:rsidR="006B1F9E" w:rsidRDefault="008321E4" w:rsidP="006B1F9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PMincho" w:hAnsi="Calibri" w:cs="Times New Roman"/>
                <w:b/>
                <w:bCs/>
                <w:lang w:val="en-AU"/>
              </w:rPr>
            </w:pPr>
            <w:r w:rsidRPr="008321E4">
              <w:rPr>
                <w:rFonts w:ascii="Calibri" w:eastAsia="MS PMincho" w:hAnsi="Calibri" w:cs="Times New Roman"/>
                <w:b/>
                <w:bCs/>
                <w:lang w:val="en-AU"/>
              </w:rPr>
              <w:t>$13,914</w:t>
            </w:r>
            <w:r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per</w:t>
            </w:r>
            <w:r w:rsidR="006B1F9E">
              <w:rPr>
                <w:rFonts w:ascii="Calibri" w:eastAsia="MS PMincho" w:hAnsi="Calibri" w:cs="Times New Roman"/>
                <w:b/>
                <w:bCs/>
                <w:lang w:val="en-AU"/>
              </w:rPr>
              <w:t xml:space="preserve"> service</w:t>
            </w:r>
          </w:p>
        </w:tc>
      </w:tr>
    </w:tbl>
    <w:p w14:paraId="519E4727" w14:textId="77777777" w:rsidR="00903CFD" w:rsidRPr="00903CFD" w:rsidRDefault="00903CFD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</w:pPr>
      <w:r w:rsidRPr="00903CFD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lastRenderedPageBreak/>
        <w:t xml:space="preserve">The </w:t>
      </w:r>
      <w:r w:rsidR="008E4E89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>ECTS</w:t>
      </w:r>
      <w:r w:rsidRPr="00903CFD">
        <w:rPr>
          <w:rFonts w:asciiTheme="majorHAnsi" w:eastAsia="Times New Roman" w:hAnsiTheme="majorHAnsi" w:cs="Arial"/>
          <w:bCs/>
          <w:iCs/>
          <w:caps w:val="0"/>
          <w:color w:val="7030A0"/>
          <w:sz w:val="22"/>
          <w:szCs w:val="22"/>
          <w:lang w:val="en-AU"/>
        </w:rPr>
        <w:t xml:space="preserve"> is calculated as follows:</w:t>
      </w:r>
    </w:p>
    <w:tbl>
      <w:tblPr>
        <w:tblStyle w:val="ListTable4-Accent4"/>
        <w:tblW w:w="0" w:type="auto"/>
        <w:tblLook w:val="0480" w:firstRow="0" w:lastRow="0" w:firstColumn="1" w:lastColumn="0" w:noHBand="0" w:noVBand="1"/>
      </w:tblPr>
      <w:tblGrid>
        <w:gridCol w:w="4673"/>
      </w:tblGrid>
      <w:tr w:rsidR="00903CFD" w14:paraId="21B2135B" w14:textId="77777777" w:rsidTr="00704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01C889F" w14:textId="7BA95700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 w:cstheme="minorBidi"/>
                <w:sz w:val="22"/>
                <w:szCs w:val="22"/>
              </w:rPr>
            </w:pPr>
            <w:r w:rsidRPr="00903CFD">
              <w:rPr>
                <w:rFonts w:asciiTheme="majorHAnsi" w:hAnsiTheme="majorHAnsi"/>
              </w:rPr>
              <w:t>The number of confirmed per capita enrolments</w:t>
            </w:r>
            <w:r w:rsidRPr="00903CFD">
              <w:rPr>
                <w:rStyle w:val="FootnoteReference"/>
                <w:rFonts w:asciiTheme="majorHAnsi" w:hAnsiTheme="majorHAnsi"/>
              </w:rPr>
              <w:footnoteReference w:id="3"/>
            </w:r>
            <w:r w:rsidRPr="00903CFD">
              <w:rPr>
                <w:rFonts w:asciiTheme="majorHAnsi" w:hAnsiTheme="majorHAnsi"/>
              </w:rPr>
              <w:t xml:space="preserve"> plus E</w:t>
            </w:r>
            <w:r w:rsidR="0020481E">
              <w:rPr>
                <w:rFonts w:asciiTheme="majorHAnsi" w:hAnsiTheme="majorHAnsi"/>
              </w:rPr>
              <w:t xml:space="preserve">arly </w:t>
            </w:r>
            <w:r w:rsidRPr="00903CFD">
              <w:rPr>
                <w:rFonts w:asciiTheme="majorHAnsi" w:hAnsiTheme="majorHAnsi"/>
              </w:rPr>
              <w:t>S</w:t>
            </w:r>
            <w:r w:rsidR="0020481E">
              <w:rPr>
                <w:rFonts w:asciiTheme="majorHAnsi" w:hAnsiTheme="majorHAnsi"/>
              </w:rPr>
              <w:t xml:space="preserve">tart </w:t>
            </w:r>
            <w:r w:rsidRPr="00903CFD">
              <w:rPr>
                <w:rFonts w:asciiTheme="majorHAnsi" w:hAnsiTheme="majorHAnsi"/>
              </w:rPr>
              <w:t>K</w:t>
            </w:r>
            <w:r w:rsidR="0020481E">
              <w:rPr>
                <w:rFonts w:asciiTheme="majorHAnsi" w:hAnsiTheme="majorHAnsi"/>
              </w:rPr>
              <w:t>indergarten</w:t>
            </w:r>
            <w:r w:rsidRPr="00903CFD">
              <w:rPr>
                <w:rFonts w:asciiTheme="majorHAnsi" w:hAnsiTheme="majorHAnsi"/>
              </w:rPr>
              <w:t xml:space="preserve"> funded enrolments taught by the eligible teacher(s)</w:t>
            </w:r>
            <w:r w:rsidR="00C13E78">
              <w:rPr>
                <w:rFonts w:asciiTheme="majorHAnsi" w:hAnsiTheme="majorHAnsi"/>
              </w:rPr>
              <w:t xml:space="preserve"> in a funded kindergarten group</w:t>
            </w:r>
          </w:p>
        </w:tc>
      </w:tr>
      <w:tr w:rsidR="00903CFD" w14:paraId="783FCC11" w14:textId="77777777" w:rsidTr="00704DF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79D4A7F" w14:textId="77777777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>x</w:t>
            </w:r>
          </w:p>
        </w:tc>
      </w:tr>
      <w:tr w:rsidR="00903CFD" w14:paraId="72CFAA80" w14:textId="77777777" w:rsidTr="00704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2849186" w14:textId="16B9AF82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>The applicable annual rate per child</w:t>
            </w:r>
            <w:r w:rsidR="0002293C">
              <w:rPr>
                <w:rFonts w:asciiTheme="majorHAnsi" w:hAnsiTheme="majorHAnsi"/>
              </w:rPr>
              <w:t xml:space="preserve"> (prorated for funded Three-Year-Old Kindergarten groups receiving fewer than 15 hours per week)</w:t>
            </w:r>
          </w:p>
        </w:tc>
      </w:tr>
      <w:tr w:rsidR="00903CFD" w14:paraId="08E49396" w14:textId="77777777" w:rsidTr="00704D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23CCF520" w14:textId="77777777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>x</w:t>
            </w:r>
          </w:p>
        </w:tc>
      </w:tr>
      <w:tr w:rsidR="00903CFD" w14:paraId="2DA780D4" w14:textId="77777777" w:rsidTr="00704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43FE957E" w14:textId="77777777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>The proportion of contact hours delivered by the eligible teacher(s)</w:t>
            </w:r>
          </w:p>
          <w:p w14:paraId="18B9DEDD" w14:textId="77777777" w:rsidR="00903CFD" w:rsidRPr="001C6A30" w:rsidRDefault="00903C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>(capped at 15 hours per group)</w:t>
            </w:r>
          </w:p>
        </w:tc>
      </w:tr>
      <w:tr w:rsidR="00903CFD" w14:paraId="1A8198C1" w14:textId="77777777" w:rsidTr="00704DF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0E0615DE" w14:textId="77777777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>x</w:t>
            </w:r>
          </w:p>
        </w:tc>
      </w:tr>
      <w:tr w:rsidR="00903CFD" w14:paraId="3F38A836" w14:textId="77777777" w:rsidTr="00704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8CDD2F1" w14:textId="77777777" w:rsidR="00903CFD" w:rsidRPr="00903CFD" w:rsidRDefault="005D009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proportion of kindergarten t</w:t>
            </w:r>
            <w:r w:rsidR="00903CFD" w:rsidRPr="00903CFD">
              <w:rPr>
                <w:rFonts w:asciiTheme="majorHAnsi" w:hAnsiTheme="majorHAnsi"/>
              </w:rPr>
              <w:t>erms delivered by the eligible teacher(s)</w:t>
            </w:r>
          </w:p>
          <w:p w14:paraId="0B22558D" w14:textId="77777777" w:rsidR="00903CFD" w:rsidRPr="00903CFD" w:rsidRDefault="00903CFD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CFD">
              <w:rPr>
                <w:rFonts w:asciiTheme="majorHAnsi" w:hAnsiTheme="majorHAnsi"/>
              </w:rPr>
              <w:t>(a pro-rata amount is calculated if the teacher delivered the program for three terms or fewer during the year)</w:t>
            </w:r>
          </w:p>
        </w:tc>
      </w:tr>
      <w:tr w:rsidR="00903CFD" w14:paraId="5D8AE919" w14:textId="77777777" w:rsidTr="00704DF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hideMark/>
          </w:tcPr>
          <w:p w14:paraId="7B99FCF9" w14:textId="77777777" w:rsidR="00903CFD" w:rsidRPr="00903CFD" w:rsidRDefault="00903CFD" w:rsidP="00E40C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3CFD">
              <w:rPr>
                <w:rFonts w:asciiTheme="majorHAnsi" w:hAnsiTheme="majorHAnsi"/>
              </w:rPr>
              <w:t xml:space="preserve">= total </w:t>
            </w:r>
            <w:r w:rsidR="00E40C48">
              <w:rPr>
                <w:rFonts w:asciiTheme="majorHAnsi" w:hAnsiTheme="majorHAnsi"/>
              </w:rPr>
              <w:t>ECTS</w:t>
            </w:r>
            <w:r w:rsidRPr="00903CFD">
              <w:rPr>
                <w:rFonts w:asciiTheme="majorHAnsi" w:hAnsiTheme="majorHAnsi"/>
              </w:rPr>
              <w:t xml:space="preserve"> per group</w:t>
            </w:r>
          </w:p>
        </w:tc>
      </w:tr>
    </w:tbl>
    <w:p w14:paraId="351D3BAD" w14:textId="77777777" w:rsidR="00903CFD" w:rsidRPr="00903CFD" w:rsidRDefault="00903CFD" w:rsidP="00903CFD">
      <w:pPr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val="en-AU"/>
        </w:rPr>
      </w:pPr>
    </w:p>
    <w:p w14:paraId="3D871C49" w14:textId="7AEB8E75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The maximum </w:t>
      </w:r>
      <w:r w:rsidR="008E4E89" w:rsidRPr="001B12CB">
        <w:rPr>
          <w:rFonts w:ascii="Calibri" w:eastAsia="Calibri" w:hAnsi="Calibri" w:cs="Times New Roman"/>
          <w:sz w:val="21"/>
          <w:szCs w:val="21"/>
          <w:lang w:val="en-AU"/>
        </w:rPr>
        <w:t>ECTS grant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per group is equivalent to one teacher delivering the program across the whole year. This means</w:t>
      </w:r>
      <w:r w:rsidRPr="00464FAE">
        <w:rPr>
          <w:rFonts w:ascii="Calibri" w:eastAsia="Calibri" w:hAnsi="Calibri" w:cs="Times New Roman"/>
          <w:sz w:val="21"/>
          <w:szCs w:val="21"/>
          <w:lang w:val="en-AU"/>
        </w:rPr>
        <w:t xml:space="preserve"> the</w:t>
      </w:r>
      <w:r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</w:t>
      </w:r>
      <w:r w:rsidR="008E4E89"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>ECTS</w:t>
      </w:r>
      <w:r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am</w:t>
      </w:r>
      <w:r w:rsidR="005D009E"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>ount is capped at 15 hours</w:t>
      </w:r>
      <w:r w:rsidR="009C501B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per week</w:t>
      </w:r>
      <w:r w:rsidR="005D009E"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for four</w:t>
      </w:r>
      <w:r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terms for a group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irrespective of the number of teachers</w:t>
      </w:r>
      <w:r w:rsidR="009D235E">
        <w:rPr>
          <w:rFonts w:ascii="Calibri" w:eastAsia="Calibri" w:hAnsi="Calibri" w:cs="Times New Roman"/>
          <w:sz w:val="21"/>
          <w:szCs w:val="21"/>
          <w:lang w:val="en-AU"/>
        </w:rPr>
        <w:t xml:space="preserve"> delivering that program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. </w:t>
      </w:r>
    </w:p>
    <w:p w14:paraId="0354FE74" w14:textId="77777777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If an eligible teacher works less than four terms or delivers fewer than 15 hours, then the grant payment is proportionally reduced. </w:t>
      </w:r>
    </w:p>
    <w:p w14:paraId="6EB26B20" w14:textId="77777777" w:rsidR="00903CFD" w:rsidRPr="001B12CB" w:rsidRDefault="00903CFD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Does the calculation change if there are two or more eligible teachers per group?</w:t>
      </w:r>
    </w:p>
    <w:p w14:paraId="4DC4934D" w14:textId="77777777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Where there is more than one eligible teacher delivering the kindergarten program to a group, the grant amount is calculated using the proportion of hours </w:t>
      </w:r>
      <w:r w:rsidR="009C501B">
        <w:rPr>
          <w:rFonts w:ascii="Calibri" w:eastAsia="Calibri" w:hAnsi="Calibri" w:cs="Times New Roman"/>
          <w:sz w:val="21"/>
          <w:szCs w:val="21"/>
          <w:lang w:val="en-AU"/>
        </w:rPr>
        <w:t xml:space="preserve">per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>term delivered by each eligible teacher (up to the cap of 15 hours</w:t>
      </w:r>
      <w:r w:rsidR="009C501B">
        <w:rPr>
          <w:rFonts w:ascii="Calibri" w:eastAsia="Calibri" w:hAnsi="Calibri" w:cs="Times New Roman"/>
          <w:sz w:val="21"/>
          <w:szCs w:val="21"/>
          <w:lang w:val="en-AU"/>
        </w:rPr>
        <w:t xml:space="preserve"> per week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for 4 terms for the group).</w:t>
      </w:r>
    </w:p>
    <w:p w14:paraId="0953D84D" w14:textId="77777777" w:rsidR="009661FA" w:rsidRDefault="009661FA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</w:p>
    <w:p w14:paraId="709DC7F4" w14:textId="77777777" w:rsidR="009661FA" w:rsidRDefault="009661FA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</w:p>
    <w:p w14:paraId="03573C98" w14:textId="18983E31" w:rsidR="00EF383F" w:rsidRPr="00EF383F" w:rsidRDefault="00EF383F" w:rsidP="00EF383F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EF383F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How is the ECTS calcu</w:t>
      </w:r>
      <w:r w:rsidR="00654A5F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lated when two or more teachers are delivering </w:t>
      </w:r>
      <w:r w:rsidR="009901B0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a</w:t>
      </w:r>
      <w:r w:rsidR="00654A5F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 funded kindergarten program at the same time?</w:t>
      </w:r>
    </w:p>
    <w:p w14:paraId="700CCE81" w14:textId="0447069C" w:rsidR="009661FA" w:rsidRDefault="00903CFD" w:rsidP="009661FA">
      <w:pPr>
        <w:spacing w:after="200" w:line="276" w:lineRule="auto"/>
        <w:rPr>
          <w:rFonts w:asciiTheme="majorHAnsi" w:eastAsia="Times New Roman" w:hAnsiTheme="majorHAnsi"/>
          <w:bCs/>
          <w:iCs/>
          <w:caps/>
          <w:color w:val="7030A0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>The</w:t>
      </w:r>
      <w:r w:rsidR="00826898">
        <w:rPr>
          <w:rFonts w:ascii="Calibri" w:eastAsia="Calibri" w:hAnsi="Calibri" w:cs="Times New Roman"/>
          <w:sz w:val="21"/>
          <w:szCs w:val="21"/>
          <w:lang w:val="en-AU"/>
        </w:rPr>
        <w:t xml:space="preserve"> contact hours of the teacher at the highest ECTS rate are </w:t>
      </w:r>
      <w:proofErr w:type="gramStart"/>
      <w:r w:rsidR="00826898">
        <w:rPr>
          <w:rFonts w:ascii="Calibri" w:eastAsia="Calibri" w:hAnsi="Calibri" w:cs="Times New Roman"/>
          <w:sz w:val="21"/>
          <w:szCs w:val="21"/>
          <w:lang w:val="en-AU"/>
        </w:rPr>
        <w:t>taken into account</w:t>
      </w:r>
      <w:proofErr w:type="gramEnd"/>
      <w:r w:rsidR="00826898">
        <w:rPr>
          <w:rFonts w:ascii="Calibri" w:eastAsia="Calibri" w:hAnsi="Calibri" w:cs="Times New Roman"/>
          <w:sz w:val="21"/>
          <w:szCs w:val="21"/>
          <w:lang w:val="en-AU"/>
        </w:rPr>
        <w:t xml:space="preserve"> first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654A5F">
        <w:rPr>
          <w:rFonts w:ascii="Calibri" w:eastAsia="Calibri" w:hAnsi="Calibri" w:cs="Times New Roman"/>
          <w:sz w:val="21"/>
          <w:szCs w:val="21"/>
          <w:lang w:val="en-AU"/>
        </w:rPr>
        <w:t>followed by the teacher(s) at lower rates</w:t>
      </w:r>
      <w:r w:rsidR="00826898">
        <w:rPr>
          <w:rFonts w:ascii="Calibri" w:eastAsia="Calibri" w:hAnsi="Calibri" w:cs="Times New Roman"/>
          <w:sz w:val="21"/>
          <w:szCs w:val="21"/>
          <w:lang w:val="en-AU"/>
        </w:rPr>
        <w:t xml:space="preserve"> (up to a combined maximum of 15 hours)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. The </w:t>
      </w:r>
      <w:r w:rsidR="00826898">
        <w:rPr>
          <w:rFonts w:ascii="Calibri" w:eastAsia="Calibri" w:hAnsi="Calibri" w:cs="Times New Roman"/>
          <w:sz w:val="21"/>
          <w:szCs w:val="21"/>
          <w:lang w:val="en-AU"/>
        </w:rPr>
        <w:t>hours</w:t>
      </w:r>
      <w:r w:rsidR="00826898"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826898">
        <w:rPr>
          <w:rFonts w:ascii="Calibri" w:eastAsia="Calibri" w:hAnsi="Calibri" w:cs="Times New Roman"/>
          <w:sz w:val="21"/>
          <w:szCs w:val="21"/>
          <w:lang w:val="en-AU"/>
        </w:rPr>
        <w:t>at</w:t>
      </w:r>
      <w:r w:rsidR="00826898"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>each level</w:t>
      </w:r>
      <w:r w:rsidR="006939BA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826898">
        <w:rPr>
          <w:rFonts w:ascii="Calibri" w:eastAsia="Calibri" w:hAnsi="Calibri" w:cs="Times New Roman"/>
          <w:sz w:val="21"/>
          <w:szCs w:val="21"/>
          <w:lang w:val="en-AU"/>
        </w:rPr>
        <w:t>are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then multiplied by the number of children in th</w:t>
      </w:r>
      <w:r w:rsidR="009661FA">
        <w:rPr>
          <w:rFonts w:ascii="Calibri" w:eastAsia="Calibri" w:hAnsi="Calibri" w:cs="Times New Roman"/>
          <w:sz w:val="21"/>
          <w:szCs w:val="21"/>
          <w:lang w:val="en-AU"/>
        </w:rPr>
        <w:t>e group at the appropriate rate.</w:t>
      </w:r>
    </w:p>
    <w:p w14:paraId="365B163D" w14:textId="77777777" w:rsidR="00903CFD" w:rsidRPr="001B12CB" w:rsidRDefault="009F0899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How do I complete the application for rotational groups?</w:t>
      </w:r>
    </w:p>
    <w:p w14:paraId="39F3DC8A" w14:textId="77777777" w:rsidR="007D63DB" w:rsidRDefault="001A7490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>
        <w:rPr>
          <w:rFonts w:ascii="Calibri" w:eastAsia="Calibri" w:hAnsi="Calibri" w:cs="Times New Roman"/>
          <w:sz w:val="21"/>
          <w:szCs w:val="21"/>
          <w:lang w:val="en-AU"/>
        </w:rPr>
        <w:t xml:space="preserve">To streamline the </w:t>
      </w:r>
      <w:proofErr w:type="gramStart"/>
      <w:r>
        <w:rPr>
          <w:rFonts w:ascii="Calibri" w:eastAsia="Calibri" w:hAnsi="Calibri" w:cs="Times New Roman"/>
          <w:sz w:val="21"/>
          <w:szCs w:val="21"/>
          <w:lang w:val="en-AU"/>
        </w:rPr>
        <w:t>application</w:t>
      </w:r>
      <w:proofErr w:type="gramEnd"/>
      <w:r>
        <w:rPr>
          <w:rFonts w:ascii="Calibri" w:eastAsia="Calibri" w:hAnsi="Calibri" w:cs="Times New Roman"/>
          <w:sz w:val="21"/>
          <w:szCs w:val="21"/>
          <w:lang w:val="en-AU"/>
        </w:rPr>
        <w:t xml:space="preserve"> process this year, applications have been pre-populated with enrolment and group data entered in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the Kindergarten Information Management (KIM) </w:t>
      </w:r>
      <w:r>
        <w:rPr>
          <w:rFonts w:ascii="Calibri" w:eastAsia="Calibri" w:hAnsi="Calibri" w:cs="Times New Roman"/>
          <w:sz w:val="21"/>
          <w:szCs w:val="21"/>
          <w:lang w:val="en-AU"/>
        </w:rPr>
        <w:t>s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>ystem</w:t>
      </w:r>
      <w:r>
        <w:rPr>
          <w:rFonts w:ascii="Calibri" w:eastAsia="Calibri" w:hAnsi="Calibri" w:cs="Times New Roman"/>
          <w:sz w:val="21"/>
          <w:szCs w:val="21"/>
          <w:lang w:val="en-AU"/>
        </w:rPr>
        <w:t>.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</w:p>
    <w:p w14:paraId="086FCC7E" w14:textId="4D39B8EF" w:rsidR="00903CFD" w:rsidRPr="001B12CB" w:rsidRDefault="001A7490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>
        <w:rPr>
          <w:rFonts w:ascii="Calibri" w:eastAsia="Calibri" w:hAnsi="Calibri" w:cs="Times New Roman"/>
          <w:sz w:val="21"/>
          <w:szCs w:val="21"/>
          <w:lang w:val="en-AU"/>
        </w:rPr>
        <w:t xml:space="preserve">For rotational groups, </w:t>
      </w:r>
      <w:r w:rsidR="00921F54">
        <w:rPr>
          <w:rFonts w:ascii="Calibri" w:eastAsia="Calibri" w:hAnsi="Calibri" w:cs="Times New Roman"/>
          <w:sz w:val="21"/>
          <w:szCs w:val="21"/>
          <w:lang w:val="en-AU"/>
        </w:rPr>
        <w:t>enter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the proportion of hours deliver</w:t>
      </w:r>
      <w:r w:rsidR="00B90887">
        <w:rPr>
          <w:rFonts w:ascii="Calibri" w:eastAsia="Calibri" w:hAnsi="Calibri" w:cs="Times New Roman"/>
          <w:sz w:val="21"/>
          <w:szCs w:val="21"/>
          <w:lang w:val="en-AU"/>
        </w:rPr>
        <w:t>ed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by each eligible teacher to the enrolments in </w:t>
      </w:r>
      <w:r w:rsidR="00B90887">
        <w:rPr>
          <w:rFonts w:ascii="Calibri" w:eastAsia="Calibri" w:hAnsi="Calibri" w:cs="Times New Roman"/>
          <w:sz w:val="21"/>
          <w:szCs w:val="21"/>
          <w:lang w:val="en-AU"/>
        </w:rPr>
        <w:t xml:space="preserve">the </w:t>
      </w:r>
      <w:r>
        <w:rPr>
          <w:rFonts w:ascii="Calibri" w:eastAsia="Calibri" w:hAnsi="Calibri" w:cs="Times New Roman"/>
          <w:sz w:val="21"/>
          <w:szCs w:val="21"/>
          <w:lang w:val="en-AU"/>
        </w:rPr>
        <w:t>group</w:t>
      </w:r>
      <w:r w:rsidR="00B90887">
        <w:rPr>
          <w:rFonts w:ascii="Calibri" w:eastAsia="Calibri" w:hAnsi="Calibri" w:cs="Times New Roman"/>
          <w:sz w:val="21"/>
          <w:szCs w:val="21"/>
          <w:lang w:val="en-AU"/>
        </w:rPr>
        <w:t>. The ECTS will be calculated</w:t>
      </w:r>
      <w:r w:rsidR="001A6C98" w:rsidRPr="001A6C98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1A6C98">
        <w:rPr>
          <w:rFonts w:ascii="Calibri" w:eastAsia="Calibri" w:hAnsi="Calibri" w:cs="Times New Roman"/>
          <w:sz w:val="21"/>
          <w:szCs w:val="21"/>
          <w:lang w:val="en-AU"/>
        </w:rPr>
        <w:t>as outlined above</w:t>
      </w:r>
      <w:r w:rsidR="00B90887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1A6C98">
        <w:rPr>
          <w:rFonts w:ascii="Calibri" w:eastAsia="Calibri" w:hAnsi="Calibri" w:cs="Times New Roman"/>
          <w:sz w:val="21"/>
          <w:szCs w:val="21"/>
          <w:lang w:val="en-AU"/>
        </w:rPr>
        <w:t>for</w:t>
      </w:r>
      <w:r w:rsidR="00B90887">
        <w:rPr>
          <w:rFonts w:ascii="Calibri" w:eastAsia="Calibri" w:hAnsi="Calibri" w:cs="Times New Roman"/>
          <w:sz w:val="21"/>
          <w:szCs w:val="21"/>
          <w:lang w:val="en-AU"/>
        </w:rPr>
        <w:t xml:space="preserve"> services with two or more eligible teachers per group and when two or more teachers are delivering a funded kindergarten program at the same time.</w:t>
      </w:r>
      <w:r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</w:p>
    <w:p w14:paraId="4404AC74" w14:textId="77777777" w:rsidR="00903CFD" w:rsidRPr="001B12CB" w:rsidRDefault="00903CFD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How do I apply for the </w:t>
      </w:r>
      <w:r w:rsidR="00E40C48"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ECTS</w:t>
      </w: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?</w:t>
      </w:r>
    </w:p>
    <w:p w14:paraId="21857F20" w14:textId="3767AF23" w:rsidR="00903CFD" w:rsidRPr="001B12CB" w:rsidRDefault="00130F17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D566C3">
        <w:rPr>
          <w:rFonts w:ascii="Calibri" w:eastAsia="Calibri" w:hAnsi="Calibri" w:cs="Times New Roman"/>
          <w:sz w:val="21"/>
          <w:szCs w:val="21"/>
          <w:lang w:val="en-AU"/>
        </w:rPr>
        <w:t>The Department will send an invitation to all eligible services via email.</w:t>
      </w:r>
    </w:p>
    <w:p w14:paraId="196AA4E1" w14:textId="77777777" w:rsidR="00903CFD" w:rsidRPr="001B12CB" w:rsidRDefault="00903CFD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How is the </w:t>
      </w:r>
      <w:r w:rsidR="008E4E89"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ECTS </w:t>
      </w: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paid?</w:t>
      </w:r>
    </w:p>
    <w:p w14:paraId="2B440356" w14:textId="77777777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Once an application is approved by the Department, payments are made to the kindergarten service provider as a one-off annual grant for the calendar year. </w:t>
      </w:r>
    </w:p>
    <w:p w14:paraId="6B40CB89" w14:textId="77777777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Once the grant entitlement has been paid for the year, the Department does </w:t>
      </w:r>
      <w:r w:rsidRPr="001B12CB">
        <w:rPr>
          <w:rFonts w:ascii="Calibri" w:eastAsia="Calibri" w:hAnsi="Calibri" w:cs="Times New Roman"/>
          <w:b/>
          <w:sz w:val="21"/>
          <w:szCs w:val="21"/>
          <w:lang w:val="en-AU"/>
        </w:rPr>
        <w:t>not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adjust for changes in enrolment numbers or a change in the teacher’s level. </w:t>
      </w:r>
    </w:p>
    <w:p w14:paraId="41F6045F" w14:textId="6F1B6698" w:rsidR="007D63DB" w:rsidRDefault="00903CFD" w:rsidP="007C29FB">
      <w:pPr>
        <w:spacing w:after="240" w:line="240" w:lineRule="auto"/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Payments are </w:t>
      </w:r>
      <w:r w:rsidR="00AF4356">
        <w:rPr>
          <w:rFonts w:ascii="Calibri" w:eastAsia="Calibri" w:hAnsi="Calibri" w:cs="Times New Roman"/>
          <w:sz w:val="21"/>
          <w:szCs w:val="21"/>
          <w:lang w:val="en-AU"/>
        </w:rPr>
        <w:t xml:space="preserve">processed through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>KIM.</w:t>
      </w:r>
    </w:p>
    <w:p w14:paraId="657510E5" w14:textId="65D1F021" w:rsidR="00903CFD" w:rsidRDefault="00903CFD" w:rsidP="007D63DB">
      <w:pPr>
        <w:spacing w:after="60" w:line="240" w:lineRule="auto"/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</w:pPr>
      <w:r w:rsidRPr="009661FA"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  <w:t xml:space="preserve">Do </w:t>
      </w:r>
      <w:r w:rsidR="00321193"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  <w:t>we need</w:t>
      </w:r>
      <w:r w:rsidRPr="009661FA"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  <w:t xml:space="preserve"> to provide evidence of teacher validation?</w:t>
      </w:r>
    </w:p>
    <w:p w14:paraId="5715FEED" w14:textId="66E96DCB" w:rsidR="00903CFD" w:rsidRPr="009A3786" w:rsidRDefault="00AE4812" w:rsidP="004E567F">
      <w:pPr>
        <w:spacing w:after="0" w:line="240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9A3786">
        <w:rPr>
          <w:rFonts w:ascii="Calibri" w:eastAsia="Calibri" w:hAnsi="Calibri" w:cs="Times New Roman"/>
          <w:sz w:val="21"/>
          <w:szCs w:val="21"/>
          <w:lang w:val="en-AU"/>
        </w:rPr>
        <w:t>No. The Department has a record of all teachers validated at Level 3 from VETASSESS</w:t>
      </w:r>
      <w:r w:rsidR="00F14919">
        <w:rPr>
          <w:rFonts w:ascii="Calibri" w:eastAsia="Calibri" w:hAnsi="Calibri" w:cs="Times New Roman"/>
          <w:sz w:val="21"/>
          <w:szCs w:val="21"/>
          <w:lang w:val="en-AU"/>
        </w:rPr>
        <w:t xml:space="preserve"> and will </w:t>
      </w:r>
      <w:r w:rsidR="00D6755C">
        <w:rPr>
          <w:rFonts w:ascii="Calibri" w:eastAsia="Calibri" w:hAnsi="Calibri" w:cs="Times New Roman"/>
          <w:sz w:val="21"/>
          <w:szCs w:val="21"/>
          <w:lang w:val="en-AU"/>
        </w:rPr>
        <w:t>cross check against this list</w:t>
      </w:r>
      <w:r w:rsidRPr="009A3786">
        <w:rPr>
          <w:rFonts w:ascii="Calibri" w:eastAsia="Calibri" w:hAnsi="Calibri" w:cs="Times New Roman"/>
          <w:sz w:val="21"/>
          <w:szCs w:val="21"/>
          <w:lang w:val="en-AU"/>
        </w:rPr>
        <w:t xml:space="preserve">. </w:t>
      </w:r>
    </w:p>
    <w:p w14:paraId="49B11078" w14:textId="5E0C58D1" w:rsidR="009C490D" w:rsidRDefault="004E567F" w:rsidP="00FD2B53">
      <w:pPr>
        <w:spacing w:before="240" w:after="0" w:line="240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9A3786">
        <w:rPr>
          <w:rFonts w:ascii="Calibri" w:eastAsia="Calibri" w:hAnsi="Calibri" w:cs="Times New Roman"/>
          <w:sz w:val="21"/>
          <w:szCs w:val="21"/>
          <w:lang w:val="en-AU"/>
        </w:rPr>
        <w:t xml:space="preserve">Evidence is not required for </w:t>
      </w:r>
      <w:r w:rsidR="00D6755C">
        <w:rPr>
          <w:rFonts w:ascii="Calibri" w:eastAsia="Calibri" w:hAnsi="Calibri" w:cs="Times New Roman"/>
          <w:sz w:val="21"/>
          <w:szCs w:val="21"/>
          <w:lang w:val="en-AU"/>
        </w:rPr>
        <w:t xml:space="preserve">a </w:t>
      </w:r>
      <w:r w:rsidRPr="009A3786">
        <w:rPr>
          <w:rFonts w:ascii="Calibri" w:eastAsia="Calibri" w:hAnsi="Calibri" w:cs="Times New Roman"/>
          <w:sz w:val="21"/>
          <w:szCs w:val="21"/>
          <w:lang w:val="en-AU"/>
        </w:rPr>
        <w:t>Level 2.3-2.5 teacher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, however, these teachers must</w:t>
      </w:r>
      <w:r w:rsidR="009C490D" w:rsidRPr="0081529B">
        <w:rPr>
          <w:rFonts w:ascii="Calibri" w:eastAsia="Calibri" w:hAnsi="Calibri" w:cs="Times New Roman"/>
          <w:sz w:val="21"/>
          <w:szCs w:val="21"/>
          <w:lang w:val="en-AU"/>
        </w:rPr>
        <w:t>:</w:t>
      </w:r>
    </w:p>
    <w:p w14:paraId="197892EB" w14:textId="77777777" w:rsidR="00FD2B53" w:rsidRPr="0081529B" w:rsidRDefault="00FD2B53" w:rsidP="004E567F">
      <w:pPr>
        <w:spacing w:after="0" w:line="240" w:lineRule="auto"/>
        <w:rPr>
          <w:rFonts w:ascii="Calibri" w:eastAsia="Calibri" w:hAnsi="Calibri" w:cs="Times New Roman"/>
          <w:sz w:val="21"/>
          <w:szCs w:val="21"/>
          <w:lang w:val="en-AU"/>
        </w:rPr>
      </w:pPr>
    </w:p>
    <w:p w14:paraId="0EF24E6C" w14:textId="42C1D5B7" w:rsidR="009C490D" w:rsidRPr="00464FAE" w:rsidRDefault="0081529B" w:rsidP="00464FAE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81529B">
        <w:rPr>
          <w:rFonts w:ascii="Calibri" w:eastAsia="Calibri" w:hAnsi="Calibri" w:cs="Times New Roman"/>
          <w:sz w:val="21"/>
          <w:szCs w:val="21"/>
          <w:lang w:val="en-AU"/>
        </w:rPr>
        <w:t>have progressed through the salary scale in accordance with the rules of incremental progression</w:t>
      </w:r>
    </w:p>
    <w:p w14:paraId="00B74AD9" w14:textId="75ABFE5E" w:rsidR="004E567F" w:rsidRDefault="009C490D" w:rsidP="009C490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81529B">
        <w:rPr>
          <w:rFonts w:ascii="Calibri" w:eastAsia="Calibri" w:hAnsi="Calibri" w:cs="Times New Roman"/>
          <w:sz w:val="21"/>
          <w:szCs w:val="21"/>
          <w:lang w:val="en-AU"/>
        </w:rPr>
        <w:t>be classified at Level 2.3 or above as per the VECTEA 2016 or EEEA 2016 (or equivalent)</w:t>
      </w:r>
      <w:r w:rsidRPr="0081529B">
        <w:rPr>
          <w:rStyle w:val="FootnoteReference"/>
          <w:rFonts w:ascii="Calibri" w:eastAsia="Calibri" w:hAnsi="Calibri" w:cs="Times New Roman"/>
          <w:sz w:val="21"/>
          <w:szCs w:val="21"/>
          <w:lang w:val="en-AU"/>
        </w:rPr>
        <w:t>1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</w:p>
    <w:p w14:paraId="624A59F4" w14:textId="2FEEDD80" w:rsidR="00464FAE" w:rsidRPr="0081529B" w:rsidRDefault="00464FAE" w:rsidP="009C490D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81529B">
        <w:rPr>
          <w:rFonts w:ascii="Calibri" w:eastAsia="Calibri" w:hAnsi="Calibri" w:cs="Times New Roman"/>
          <w:sz w:val="21"/>
          <w:szCs w:val="21"/>
          <w:lang w:val="en-AU"/>
        </w:rPr>
        <w:t xml:space="preserve">have been listed as the corresponding level in KIM at the time of </w:t>
      </w:r>
      <w:r w:rsidR="00321193">
        <w:rPr>
          <w:rFonts w:ascii="Calibri" w:eastAsia="Calibri" w:hAnsi="Calibri" w:cs="Times New Roman"/>
          <w:sz w:val="21"/>
          <w:szCs w:val="21"/>
          <w:lang w:val="en-AU"/>
        </w:rPr>
        <w:t xml:space="preserve">annual </w:t>
      </w:r>
      <w:r w:rsidRPr="0081529B">
        <w:rPr>
          <w:rFonts w:ascii="Calibri" w:eastAsia="Calibri" w:hAnsi="Calibri" w:cs="Times New Roman"/>
          <w:sz w:val="21"/>
          <w:szCs w:val="21"/>
          <w:lang w:val="en-AU"/>
        </w:rPr>
        <w:t>confirmation</w:t>
      </w:r>
    </w:p>
    <w:p w14:paraId="623563B9" w14:textId="77777777" w:rsidR="004D640E" w:rsidRPr="004E567F" w:rsidRDefault="004D640E" w:rsidP="004E567F">
      <w:pPr>
        <w:spacing w:after="0" w:line="240" w:lineRule="auto"/>
        <w:rPr>
          <w:rFonts w:asciiTheme="majorHAnsi" w:eastAsia="Times New Roman" w:hAnsiTheme="majorHAnsi"/>
          <w:b/>
          <w:bCs/>
          <w:iCs/>
          <w:color w:val="7030A0"/>
          <w:sz w:val="21"/>
          <w:szCs w:val="21"/>
          <w:lang w:val="en-AU"/>
        </w:rPr>
      </w:pPr>
    </w:p>
    <w:p w14:paraId="353FA8B1" w14:textId="23528617" w:rsidR="00903CFD" w:rsidRPr="001B12CB" w:rsidRDefault="00903CFD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What </w:t>
      </w:r>
      <w:r w:rsidR="00321193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is </w:t>
      </w: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an ‘equivalent’ to the EEEA or VECTEA?</w:t>
      </w:r>
    </w:p>
    <w:p w14:paraId="66376B23" w14:textId="77777777" w:rsidR="00903CFD" w:rsidRPr="001B12CB" w:rsidRDefault="00903CFD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1B12CB">
        <w:rPr>
          <w:rFonts w:ascii="Calibri" w:eastAsia="Calibri" w:hAnsi="Calibri" w:cs="Times New Roman"/>
          <w:sz w:val="21"/>
          <w:szCs w:val="21"/>
          <w:lang w:val="en-AU"/>
        </w:rPr>
        <w:t>The salary structures used for calculation of the ECTS are specified in the EEEA 2016 and VECTEA 2016. A service provider employ</w:t>
      </w:r>
      <w:r w:rsidR="00802B37">
        <w:rPr>
          <w:rFonts w:ascii="Calibri" w:eastAsia="Calibri" w:hAnsi="Calibri" w:cs="Times New Roman"/>
          <w:sz w:val="21"/>
          <w:szCs w:val="21"/>
          <w:lang w:val="en-AU"/>
        </w:rPr>
        <w:t>ing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a teacher under an enterprise agreement that uses an equivalent salary structure </w:t>
      </w:r>
      <w:r w:rsidR="001B12CB"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and validation process 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>can apply for ECTS if the teacher has met the validation requirements</w:t>
      </w:r>
      <w:r w:rsidR="00802B37">
        <w:rPr>
          <w:rFonts w:ascii="Calibri" w:eastAsia="Calibri" w:hAnsi="Calibri" w:cs="Times New Roman"/>
          <w:sz w:val="21"/>
          <w:szCs w:val="21"/>
          <w:lang w:val="en-AU"/>
        </w:rPr>
        <w:t xml:space="preserve"> for Level 3, or the years of experience requirements for Levels 2.3 to 2.5</w:t>
      </w:r>
      <w:r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. </w:t>
      </w:r>
    </w:p>
    <w:p w14:paraId="7715F993" w14:textId="77777777" w:rsidR="00903CFD" w:rsidRPr="001B12CB" w:rsidRDefault="00903CFD" w:rsidP="00704DF8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1B12CB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When do applications close?</w:t>
      </w:r>
    </w:p>
    <w:p w14:paraId="4A220C79" w14:textId="05B2408E" w:rsidR="009A3786" w:rsidRPr="00EF632D" w:rsidRDefault="002C4D35" w:rsidP="00EF632D">
      <w:pPr>
        <w:spacing w:after="200" w:line="276" w:lineRule="auto"/>
        <w:rPr>
          <w:rFonts w:ascii="Calibri" w:eastAsia="Calibri" w:hAnsi="Calibri" w:cs="Times New Roman"/>
          <w:b/>
          <w:sz w:val="21"/>
          <w:szCs w:val="21"/>
          <w:lang w:val="en-AU"/>
        </w:rPr>
      </w:pPr>
      <w:r>
        <w:rPr>
          <w:rFonts w:ascii="Calibri" w:eastAsia="Calibri" w:hAnsi="Calibri" w:cs="Times New Roman"/>
          <w:sz w:val="21"/>
          <w:szCs w:val="21"/>
          <w:lang w:val="en-AU"/>
        </w:rPr>
        <w:t>Applications for 20</w:t>
      </w:r>
      <w:r w:rsidR="009901B0">
        <w:rPr>
          <w:rFonts w:ascii="Calibri" w:eastAsia="Calibri" w:hAnsi="Calibri" w:cs="Times New Roman"/>
          <w:sz w:val="21"/>
          <w:szCs w:val="21"/>
          <w:lang w:val="en-AU"/>
        </w:rPr>
        <w:t>20</w:t>
      </w:r>
      <w:r w:rsidR="00903CFD" w:rsidRPr="001B12CB">
        <w:rPr>
          <w:rFonts w:ascii="Calibri" w:eastAsia="Calibri" w:hAnsi="Calibri" w:cs="Times New Roman"/>
          <w:sz w:val="21"/>
          <w:szCs w:val="21"/>
          <w:lang w:val="en-AU"/>
        </w:rPr>
        <w:t xml:space="preserve"> will close </w:t>
      </w:r>
      <w:r w:rsidR="00903CFD" w:rsidRPr="009A3786">
        <w:rPr>
          <w:rFonts w:ascii="Calibri" w:eastAsia="Calibri" w:hAnsi="Calibri" w:cs="Times New Roman"/>
          <w:sz w:val="21"/>
          <w:szCs w:val="21"/>
          <w:lang w:val="en-AU"/>
        </w:rPr>
        <w:t xml:space="preserve">on </w:t>
      </w:r>
      <w:r w:rsidR="000E68A9" w:rsidRPr="000E68A9">
        <w:rPr>
          <w:rFonts w:ascii="Calibri" w:eastAsia="Calibri" w:hAnsi="Calibri" w:cs="Times New Roman"/>
          <w:b/>
          <w:sz w:val="21"/>
          <w:szCs w:val="21"/>
          <w:lang w:val="en-AU"/>
        </w:rPr>
        <w:t>8 December</w:t>
      </w:r>
      <w:r w:rsidR="0002293C" w:rsidRPr="000E68A9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</w:t>
      </w:r>
      <w:r w:rsidR="00903CFD" w:rsidRPr="000E68A9">
        <w:rPr>
          <w:rFonts w:ascii="Calibri" w:eastAsia="Calibri" w:hAnsi="Calibri" w:cs="Times New Roman"/>
          <w:b/>
          <w:sz w:val="21"/>
          <w:szCs w:val="21"/>
          <w:lang w:val="en-AU"/>
        </w:rPr>
        <w:t>20</w:t>
      </w:r>
      <w:r w:rsidR="009901B0" w:rsidRPr="000E68A9">
        <w:rPr>
          <w:rFonts w:ascii="Calibri" w:eastAsia="Calibri" w:hAnsi="Calibri" w:cs="Times New Roman"/>
          <w:b/>
          <w:sz w:val="21"/>
          <w:szCs w:val="21"/>
          <w:lang w:val="en-AU"/>
        </w:rPr>
        <w:t>20</w:t>
      </w:r>
      <w:r w:rsidR="00903CFD" w:rsidRPr="000E68A9">
        <w:rPr>
          <w:rFonts w:ascii="Calibri" w:eastAsia="Calibri" w:hAnsi="Calibri" w:cs="Times New Roman"/>
          <w:b/>
          <w:sz w:val="21"/>
          <w:szCs w:val="21"/>
          <w:lang w:val="en-AU"/>
        </w:rPr>
        <w:t>.</w:t>
      </w:r>
      <w:r w:rsidR="00903CFD" w:rsidRPr="00DB5E42">
        <w:rPr>
          <w:rFonts w:ascii="Calibri" w:eastAsia="Calibri" w:hAnsi="Calibri" w:cs="Times New Roman"/>
          <w:b/>
          <w:sz w:val="21"/>
          <w:szCs w:val="21"/>
          <w:lang w:val="en-AU"/>
        </w:rPr>
        <w:t xml:space="preserve"> </w:t>
      </w:r>
    </w:p>
    <w:p w14:paraId="5E1B56B8" w14:textId="77777777" w:rsidR="00F83796" w:rsidRPr="006356B1" w:rsidRDefault="000A1041" w:rsidP="00F83796">
      <w:pPr>
        <w:pStyle w:val="Heading2"/>
        <w:keepLines w:val="0"/>
        <w:pBdr>
          <w:top w:val="none" w:sz="0" w:space="0" w:color="auto"/>
        </w:pBdr>
        <w:spacing w:before="0" w:after="60" w:line="240" w:lineRule="auto"/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</w:pPr>
      <w:r w:rsidRPr="006356B1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 xml:space="preserve">Does </w:t>
      </w:r>
      <w:r w:rsidR="00F83796" w:rsidRPr="006356B1">
        <w:rPr>
          <w:rFonts w:asciiTheme="majorHAnsi" w:eastAsia="Times New Roman" w:hAnsiTheme="majorHAnsi" w:cs="Arial"/>
          <w:bCs/>
          <w:iCs/>
          <w:caps w:val="0"/>
          <w:color w:val="7030A0"/>
          <w:sz w:val="21"/>
          <w:szCs w:val="21"/>
          <w:lang w:val="en-AU"/>
        </w:rPr>
        <w:t>employing a teacher(s) eligible for the ECTS automatically mean that our service will receive ECTS funding?</w:t>
      </w:r>
    </w:p>
    <w:p w14:paraId="59DAAC7B" w14:textId="79B4335D" w:rsidR="00F83796" w:rsidRPr="001B12CB" w:rsidRDefault="000A1041" w:rsidP="00903CFD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en-AU"/>
        </w:rPr>
      </w:pPr>
      <w:r w:rsidRPr="006356B1">
        <w:rPr>
          <w:rFonts w:ascii="Calibri" w:eastAsia="Calibri" w:hAnsi="Calibri" w:cs="Times New Roman"/>
          <w:sz w:val="21"/>
          <w:szCs w:val="21"/>
          <w:lang w:val="en-AU"/>
        </w:rPr>
        <w:t>In the event applications exceed available funding</w:t>
      </w:r>
      <w:r w:rsidR="00402413">
        <w:rPr>
          <w:rFonts w:ascii="Calibri" w:eastAsia="Calibri" w:hAnsi="Calibri" w:cs="Times New Roman"/>
          <w:sz w:val="21"/>
          <w:szCs w:val="21"/>
          <w:lang w:val="en-AU"/>
        </w:rPr>
        <w:t>,</w:t>
      </w:r>
      <w:r w:rsidRPr="006356B1">
        <w:rPr>
          <w:rFonts w:ascii="Calibri" w:eastAsia="Calibri" w:hAnsi="Calibri" w:cs="Times New Roman"/>
          <w:sz w:val="21"/>
          <w:szCs w:val="21"/>
          <w:lang w:val="en-AU"/>
        </w:rPr>
        <w:t xml:space="preserve"> </w:t>
      </w:r>
      <w:r w:rsidR="00F83796" w:rsidRPr="006356B1">
        <w:rPr>
          <w:rFonts w:ascii="Calibri" w:eastAsia="Calibri" w:hAnsi="Calibri" w:cs="Times New Roman"/>
          <w:sz w:val="21"/>
          <w:szCs w:val="21"/>
          <w:lang w:val="en-AU"/>
        </w:rPr>
        <w:t xml:space="preserve">it is possible that some services may not receive ECTS funding. </w:t>
      </w:r>
    </w:p>
    <w:p w14:paraId="3517CA25" w14:textId="77777777" w:rsidR="00980015" w:rsidRDefault="00980015" w:rsidP="00903CFD">
      <w:pPr>
        <w:pStyle w:val="Heading1"/>
      </w:pPr>
    </w:p>
    <w:sectPr w:rsidR="00980015" w:rsidSect="008248D7">
      <w:headerReference w:type="default" r:id="rId11"/>
      <w:footerReference w:type="default" r:id="rId12"/>
      <w:pgSz w:w="11900" w:h="16840"/>
      <w:pgMar w:top="2977" w:right="737" w:bottom="568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0021" w14:textId="77777777" w:rsidR="00007F58" w:rsidRDefault="00007F58" w:rsidP="008766A4">
      <w:r>
        <w:separator/>
      </w:r>
    </w:p>
  </w:endnote>
  <w:endnote w:type="continuationSeparator" w:id="0">
    <w:p w14:paraId="45239B2D" w14:textId="77777777" w:rsidR="00007F58" w:rsidRDefault="00007F58" w:rsidP="008766A4">
      <w:r>
        <w:continuationSeparator/>
      </w:r>
    </w:p>
  </w:endnote>
  <w:endnote w:type="continuationNotice" w:id="1">
    <w:p w14:paraId="10F51050" w14:textId="77777777" w:rsidR="00007F58" w:rsidRDefault="00007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2A75" w14:textId="7D4EA4F9" w:rsidR="0081160F" w:rsidRPr="007B4808" w:rsidRDefault="0081160F" w:rsidP="007B4808">
    <w:pPr>
      <w:jc w:val="right"/>
      <w:rPr>
        <w:color w:val="808080" w:themeColor="background1" w:themeShade="8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7AFD2E4" wp14:editId="2F3A5CE8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  <w:r>
      <w:rPr>
        <w:color w:val="808080" w:themeColor="background1" w:themeShade="80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42F2" w14:textId="77777777" w:rsidR="00007F58" w:rsidRDefault="00007F58" w:rsidP="008766A4">
      <w:r>
        <w:separator/>
      </w:r>
    </w:p>
  </w:footnote>
  <w:footnote w:type="continuationSeparator" w:id="0">
    <w:p w14:paraId="7A9F59F6" w14:textId="77777777" w:rsidR="00007F58" w:rsidRDefault="00007F58" w:rsidP="008766A4">
      <w:r>
        <w:continuationSeparator/>
      </w:r>
    </w:p>
  </w:footnote>
  <w:footnote w:type="continuationNotice" w:id="1">
    <w:p w14:paraId="36A353FE" w14:textId="77777777" w:rsidR="00007F58" w:rsidRDefault="00007F58">
      <w:pPr>
        <w:spacing w:after="0" w:line="240" w:lineRule="auto"/>
      </w:pPr>
    </w:p>
  </w:footnote>
  <w:footnote w:id="2">
    <w:p w14:paraId="410BA93B" w14:textId="77777777" w:rsidR="0081160F" w:rsidRPr="003A17C0" w:rsidRDefault="0081160F" w:rsidP="00D566C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E1FE6">
        <w:rPr>
          <w:sz w:val="18"/>
          <w:szCs w:val="18"/>
        </w:rPr>
        <w:t>An Agreement with an</w:t>
      </w:r>
      <w:r w:rsidRPr="00C154A6">
        <w:rPr>
          <w:sz w:val="18"/>
          <w:szCs w:val="18"/>
        </w:rPr>
        <w:t xml:space="preserve"> equivalent salary structure and validation process to the VECTEA and EEEA</w:t>
      </w:r>
    </w:p>
    <w:p w14:paraId="77680722" w14:textId="77777777" w:rsidR="0081160F" w:rsidRDefault="0081160F" w:rsidP="00D566C3">
      <w:pPr>
        <w:pStyle w:val="FootnoteText"/>
      </w:pPr>
    </w:p>
  </w:footnote>
  <w:footnote w:id="3">
    <w:p w14:paraId="0BA14D5C" w14:textId="77777777" w:rsidR="0081160F" w:rsidRDefault="0081160F" w:rsidP="00903CFD">
      <w:pPr>
        <w:pStyle w:val="FootnoteText"/>
        <w:rPr>
          <w:rFonts w:asciiTheme="minorHAnsi" w:hAnsiTheme="minorHAnsi" w:cstheme="minorBidi"/>
        </w:rPr>
      </w:pPr>
      <w:r>
        <w:rPr>
          <w:rStyle w:val="FootnoteReference"/>
        </w:rPr>
        <w:footnoteRef/>
      </w:r>
      <w:r>
        <w:t xml:space="preserve"> </w:t>
      </w:r>
      <w:r w:rsidRPr="002C60F8">
        <w:rPr>
          <w:sz w:val="18"/>
          <w:szCs w:val="18"/>
        </w:rPr>
        <w:t>The number of enrolments confirmed by a service provider during the annual data confirmation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F101" w14:textId="2CDA1ABF" w:rsidR="0081160F" w:rsidRPr="003E29B5" w:rsidRDefault="003F11B6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3BC16C3B" wp14:editId="0661F9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F67AA"/>
    <w:multiLevelType w:val="hybridMultilevel"/>
    <w:tmpl w:val="5A503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B40F1"/>
    <w:multiLevelType w:val="hybridMultilevel"/>
    <w:tmpl w:val="6128C55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2B01CC"/>
    <w:multiLevelType w:val="hybridMultilevel"/>
    <w:tmpl w:val="5E2AD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21BC6"/>
    <w:multiLevelType w:val="hybridMultilevel"/>
    <w:tmpl w:val="D7A430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82DA3"/>
    <w:multiLevelType w:val="hybridMultilevel"/>
    <w:tmpl w:val="EDD6C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67EF"/>
    <w:rsid w:val="00007F58"/>
    <w:rsid w:val="0002293C"/>
    <w:rsid w:val="00026D09"/>
    <w:rsid w:val="00026E77"/>
    <w:rsid w:val="00027546"/>
    <w:rsid w:val="0004176F"/>
    <w:rsid w:val="000A1041"/>
    <w:rsid w:val="000B4C28"/>
    <w:rsid w:val="000C499D"/>
    <w:rsid w:val="000C6230"/>
    <w:rsid w:val="000E68A9"/>
    <w:rsid w:val="000F314E"/>
    <w:rsid w:val="001132D9"/>
    <w:rsid w:val="001142AE"/>
    <w:rsid w:val="0011538B"/>
    <w:rsid w:val="00130F17"/>
    <w:rsid w:val="0014310A"/>
    <w:rsid w:val="001529F5"/>
    <w:rsid w:val="00156125"/>
    <w:rsid w:val="00182207"/>
    <w:rsid w:val="001A6856"/>
    <w:rsid w:val="001A6C98"/>
    <w:rsid w:val="001A7490"/>
    <w:rsid w:val="001B12CB"/>
    <w:rsid w:val="001C6A30"/>
    <w:rsid w:val="00201F5D"/>
    <w:rsid w:val="0020481E"/>
    <w:rsid w:val="0022212D"/>
    <w:rsid w:val="0023675D"/>
    <w:rsid w:val="00243EB2"/>
    <w:rsid w:val="002C4D35"/>
    <w:rsid w:val="002C60F8"/>
    <w:rsid w:val="002F07AF"/>
    <w:rsid w:val="002F2309"/>
    <w:rsid w:val="00321193"/>
    <w:rsid w:val="00324A87"/>
    <w:rsid w:val="00326F48"/>
    <w:rsid w:val="00341FA0"/>
    <w:rsid w:val="003A17C0"/>
    <w:rsid w:val="003A4278"/>
    <w:rsid w:val="003B01B0"/>
    <w:rsid w:val="003D1929"/>
    <w:rsid w:val="003D314F"/>
    <w:rsid w:val="003E29B5"/>
    <w:rsid w:val="003E3F79"/>
    <w:rsid w:val="003F11B6"/>
    <w:rsid w:val="00402413"/>
    <w:rsid w:val="00427BB7"/>
    <w:rsid w:val="00464FAE"/>
    <w:rsid w:val="00465A31"/>
    <w:rsid w:val="00466D48"/>
    <w:rsid w:val="0048310B"/>
    <w:rsid w:val="00485D46"/>
    <w:rsid w:val="004A10EC"/>
    <w:rsid w:val="004C31B8"/>
    <w:rsid w:val="004D1B89"/>
    <w:rsid w:val="004D640E"/>
    <w:rsid w:val="004E0226"/>
    <w:rsid w:val="004E567F"/>
    <w:rsid w:val="00514567"/>
    <w:rsid w:val="00520CE0"/>
    <w:rsid w:val="00533BCC"/>
    <w:rsid w:val="00536C4D"/>
    <w:rsid w:val="005372B8"/>
    <w:rsid w:val="005542D4"/>
    <w:rsid w:val="00554766"/>
    <w:rsid w:val="00560C24"/>
    <w:rsid w:val="005809C5"/>
    <w:rsid w:val="00596923"/>
    <w:rsid w:val="005B5E17"/>
    <w:rsid w:val="005D009E"/>
    <w:rsid w:val="005D5934"/>
    <w:rsid w:val="005E1FE6"/>
    <w:rsid w:val="005F0828"/>
    <w:rsid w:val="00600EB1"/>
    <w:rsid w:val="00621BED"/>
    <w:rsid w:val="00630F30"/>
    <w:rsid w:val="006356B1"/>
    <w:rsid w:val="00651760"/>
    <w:rsid w:val="00654A5F"/>
    <w:rsid w:val="00670880"/>
    <w:rsid w:val="0068033A"/>
    <w:rsid w:val="006939BA"/>
    <w:rsid w:val="00694C2D"/>
    <w:rsid w:val="006A3F6D"/>
    <w:rsid w:val="006B1F9E"/>
    <w:rsid w:val="006E32CD"/>
    <w:rsid w:val="006E4A92"/>
    <w:rsid w:val="00704DF8"/>
    <w:rsid w:val="0074591A"/>
    <w:rsid w:val="00751081"/>
    <w:rsid w:val="00784798"/>
    <w:rsid w:val="00787CD8"/>
    <w:rsid w:val="00793754"/>
    <w:rsid w:val="00794CCD"/>
    <w:rsid w:val="007B4808"/>
    <w:rsid w:val="007C29FB"/>
    <w:rsid w:val="007D3FD1"/>
    <w:rsid w:val="007D63DB"/>
    <w:rsid w:val="00802B37"/>
    <w:rsid w:val="0081160F"/>
    <w:rsid w:val="0081529B"/>
    <w:rsid w:val="008157AD"/>
    <w:rsid w:val="00816ED5"/>
    <w:rsid w:val="008248D7"/>
    <w:rsid w:val="00826898"/>
    <w:rsid w:val="008321E4"/>
    <w:rsid w:val="00872B75"/>
    <w:rsid w:val="008766A4"/>
    <w:rsid w:val="008858EC"/>
    <w:rsid w:val="008A3516"/>
    <w:rsid w:val="008B7F73"/>
    <w:rsid w:val="008D4E7A"/>
    <w:rsid w:val="008D50D3"/>
    <w:rsid w:val="008E4E89"/>
    <w:rsid w:val="008F315F"/>
    <w:rsid w:val="008F76CB"/>
    <w:rsid w:val="00903CFD"/>
    <w:rsid w:val="00917A4D"/>
    <w:rsid w:val="00921F54"/>
    <w:rsid w:val="00924FA4"/>
    <w:rsid w:val="009327A6"/>
    <w:rsid w:val="00957878"/>
    <w:rsid w:val="009661FA"/>
    <w:rsid w:val="00977397"/>
    <w:rsid w:val="00980015"/>
    <w:rsid w:val="009901B0"/>
    <w:rsid w:val="009A3786"/>
    <w:rsid w:val="009C490D"/>
    <w:rsid w:val="009C501B"/>
    <w:rsid w:val="009D235E"/>
    <w:rsid w:val="009D7A90"/>
    <w:rsid w:val="009F0899"/>
    <w:rsid w:val="009F2302"/>
    <w:rsid w:val="009F336A"/>
    <w:rsid w:val="00A4093B"/>
    <w:rsid w:val="00A47A14"/>
    <w:rsid w:val="00A56CE3"/>
    <w:rsid w:val="00A60187"/>
    <w:rsid w:val="00A71A98"/>
    <w:rsid w:val="00AD3146"/>
    <w:rsid w:val="00AE4812"/>
    <w:rsid w:val="00AF0A05"/>
    <w:rsid w:val="00AF4356"/>
    <w:rsid w:val="00B34479"/>
    <w:rsid w:val="00B5018A"/>
    <w:rsid w:val="00B80FB5"/>
    <w:rsid w:val="00B87D06"/>
    <w:rsid w:val="00B90887"/>
    <w:rsid w:val="00BD0F8F"/>
    <w:rsid w:val="00BF7574"/>
    <w:rsid w:val="00C03821"/>
    <w:rsid w:val="00C052CB"/>
    <w:rsid w:val="00C13E78"/>
    <w:rsid w:val="00C154A6"/>
    <w:rsid w:val="00C21EE1"/>
    <w:rsid w:val="00C539AD"/>
    <w:rsid w:val="00C53E02"/>
    <w:rsid w:val="00C80FC0"/>
    <w:rsid w:val="00CC4880"/>
    <w:rsid w:val="00CD4BBD"/>
    <w:rsid w:val="00CE3728"/>
    <w:rsid w:val="00D01AB9"/>
    <w:rsid w:val="00D03409"/>
    <w:rsid w:val="00D31299"/>
    <w:rsid w:val="00D566C3"/>
    <w:rsid w:val="00D653C0"/>
    <w:rsid w:val="00D6755C"/>
    <w:rsid w:val="00D87A24"/>
    <w:rsid w:val="00DB423F"/>
    <w:rsid w:val="00DB5E42"/>
    <w:rsid w:val="00E328E6"/>
    <w:rsid w:val="00E40C48"/>
    <w:rsid w:val="00E47E3B"/>
    <w:rsid w:val="00EA5FB1"/>
    <w:rsid w:val="00EB3100"/>
    <w:rsid w:val="00EE088C"/>
    <w:rsid w:val="00EE5E13"/>
    <w:rsid w:val="00EF383F"/>
    <w:rsid w:val="00EF632D"/>
    <w:rsid w:val="00F065F7"/>
    <w:rsid w:val="00F14919"/>
    <w:rsid w:val="00F15EE2"/>
    <w:rsid w:val="00F21B21"/>
    <w:rsid w:val="00F455B7"/>
    <w:rsid w:val="00F72012"/>
    <w:rsid w:val="00F76A2D"/>
    <w:rsid w:val="00F83796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7096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CFD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CFD"/>
    <w:rPr>
      <w:rFonts w:ascii="Calibri" w:eastAsia="Calibri" w:hAnsi="Calibri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03CFD"/>
    <w:rPr>
      <w:vertAlign w:val="superscript"/>
    </w:rPr>
  </w:style>
  <w:style w:type="table" w:styleId="TableGrid">
    <w:name w:val="Table Grid"/>
    <w:basedOn w:val="TableNormal"/>
    <w:uiPriority w:val="59"/>
    <w:rsid w:val="00903CFD"/>
    <w:rPr>
      <w:rFonts w:eastAsia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03C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903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903C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60C24"/>
    <w:rPr>
      <w:color w:val="0000FF" w:themeColor="hyperlink"/>
      <w:u w:val="single"/>
    </w:rPr>
  </w:style>
  <w:style w:type="table" w:styleId="GridTable4-Accent4">
    <w:name w:val="Grid Table 4 Accent 4"/>
    <w:basedOn w:val="TableNormal"/>
    <w:uiPriority w:val="49"/>
    <w:rsid w:val="00704D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704DF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F15E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8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187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E7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3786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A3786"/>
    <w:rPr>
      <w:rFonts w:ascii="Calibri" w:eastAsiaTheme="minorHAnsi" w:hAnsi="Calibri"/>
      <w:sz w:val="22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Early childhood teacher supplement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9B8F0-4208-4E1C-A813-AB960022372F}"/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36043-3490-430C-97E1-26F41FD3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5608</Characters>
  <Application>Microsoft Office Word</Application>
  <DocSecurity>0</DocSecurity>
  <Lines>186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teacher supplement 2019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teacher supplement 2020</dc:title>
  <dc:subject/>
  <dc:creator>Lawson, Kelly A</dc:creator>
  <cp:keywords/>
  <dc:description/>
  <cp:lastModifiedBy>Hart, Linsey A</cp:lastModifiedBy>
  <cp:revision>3</cp:revision>
  <cp:lastPrinted>2017-09-20T04:45:00Z</cp:lastPrinted>
  <dcterms:created xsi:type="dcterms:W3CDTF">2020-11-12T02:18:00Z</dcterms:created>
  <dcterms:modified xsi:type="dcterms:W3CDTF">2020-11-12T02:59:00Z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{eee29465-5a4c-4907-9d1b-ab597f2657bf}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{b3746f3c-647e-4411-a695-e1aa36d18f98}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DEECD_Author">
    <vt:lpwstr/>
  </property>
  <property fmtid="{D5CDD505-2E9C-101B-9397-08002B2CF9AE}" pid="14" name="DEECD_SubjectCategory">
    <vt:lpwstr/>
  </property>
  <property fmtid="{D5CDD505-2E9C-101B-9397-08002B2CF9AE}" pid="15" name="DEECD_ItemType">
    <vt:lpwstr/>
  </property>
  <property fmtid="{D5CDD505-2E9C-101B-9397-08002B2CF9AE}" pid="16" name="DEECD_Audience">
    <vt:lpwstr/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_docset_NoMedatataSyncRequired">
    <vt:lpwstr>False</vt:lpwstr>
  </property>
  <property fmtid="{D5CDD505-2E9C-101B-9397-08002B2CF9AE}" pid="21" name="Order">
    <vt:r8>460000</vt:r8>
  </property>
  <property fmtid="{D5CDD505-2E9C-101B-9397-08002B2CF9AE}" pid="22" name="Cc">
    <vt:lpwstr/>
  </property>
  <property fmtid="{D5CDD505-2E9C-101B-9397-08002B2CF9AE}" pid="23" name="From1">
    <vt:lpwstr/>
  </property>
  <property fmtid="{D5CDD505-2E9C-101B-9397-08002B2CF9AE}" pid="24" name="DocumentSetDescription">
    <vt:lpwstr/>
  </property>
  <property fmtid="{D5CDD505-2E9C-101B-9397-08002B2CF9AE}" pid="25" name="xd_ProgID">
    <vt:lpwstr/>
  </property>
  <property fmtid="{D5CDD505-2E9C-101B-9397-08002B2CF9AE}" pid="26" name="Attachment">
    <vt:bool>false</vt:bool>
  </property>
  <property fmtid="{D5CDD505-2E9C-101B-9397-08002B2CF9AE}" pid="27" name="TemplateUrl">
    <vt:lpwstr/>
  </property>
  <property fmtid="{D5CDD505-2E9C-101B-9397-08002B2CF9AE}" pid="28" name="To">
    <vt:lpwstr/>
  </property>
  <property fmtid="{D5CDD505-2E9C-101B-9397-08002B2CF9AE}" pid="29" name="IconOverlay">
    <vt:lpwstr/>
  </property>
  <property fmtid="{D5CDD505-2E9C-101B-9397-08002B2CF9AE}" pid="30" name="Email Categories">
    <vt:lpwstr/>
  </property>
  <property fmtid="{D5CDD505-2E9C-101B-9397-08002B2CF9AE}" pid="31" name="Bcc">
    <vt:lpwstr/>
  </property>
  <property fmtid="{D5CDD505-2E9C-101B-9397-08002B2CF9AE}" pid="32" name="Email Subject">
    <vt:lpwstr/>
  </property>
  <property fmtid="{D5CDD505-2E9C-101B-9397-08002B2CF9AE}" pid="33" name="Conversation">
    <vt:lpwstr/>
  </property>
  <property fmtid="{D5CDD505-2E9C-101B-9397-08002B2CF9AE}" pid="34" name="URL">
    <vt:lpwstr/>
  </property>
</Properties>
</file>