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A8B73B5" w:rsidR="00DA3218" w:rsidRPr="008F2B26" w:rsidRDefault="008F2B26" w:rsidP="009E2673">
      <w:pPr>
        <w:pStyle w:val="Coversubtitle"/>
        <w:sectPr w:rsidR="00DA3218" w:rsidRPr="008F2B26"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8F2B26">
        <w:t>City of Wodonga</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6802B7E7" w14:textId="20EA12D8" w:rsidR="00460340"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460340" w:rsidRPr="00AD4EE5">
        <w:rPr>
          <w:noProof/>
          <w:lang w:val="en-AU"/>
        </w:rPr>
        <w:t>1.</w:t>
      </w:r>
      <w:r w:rsidR="00460340">
        <w:rPr>
          <w:rFonts w:asciiTheme="minorHAnsi" w:hAnsiTheme="minorHAnsi" w:cstheme="minorBidi"/>
          <w:b w:val="0"/>
          <w:noProof/>
          <w:color w:val="auto"/>
          <w:szCs w:val="22"/>
          <w:lang w:val="en-AU" w:eastAsia="en-AU"/>
        </w:rPr>
        <w:tab/>
      </w:r>
      <w:r w:rsidR="00460340" w:rsidRPr="00AD4EE5">
        <w:rPr>
          <w:noProof/>
          <w:lang w:val="en-AU"/>
        </w:rPr>
        <w:t>Introduction</w:t>
      </w:r>
      <w:r w:rsidR="00460340">
        <w:rPr>
          <w:noProof/>
        </w:rPr>
        <w:tab/>
      </w:r>
      <w:r w:rsidR="00460340">
        <w:rPr>
          <w:noProof/>
        </w:rPr>
        <w:fldChar w:fldCharType="begin"/>
      </w:r>
      <w:r w:rsidR="00460340">
        <w:rPr>
          <w:noProof/>
        </w:rPr>
        <w:instrText xml:space="preserve"> PAGEREF _Toc103000724 \h </w:instrText>
      </w:r>
      <w:r w:rsidR="00460340">
        <w:rPr>
          <w:noProof/>
        </w:rPr>
      </w:r>
      <w:r w:rsidR="00460340">
        <w:rPr>
          <w:noProof/>
        </w:rPr>
        <w:fldChar w:fldCharType="separate"/>
      </w:r>
      <w:r w:rsidR="00460340">
        <w:rPr>
          <w:noProof/>
        </w:rPr>
        <w:t>3</w:t>
      </w:r>
      <w:r w:rsidR="00460340">
        <w:rPr>
          <w:noProof/>
        </w:rPr>
        <w:fldChar w:fldCharType="end"/>
      </w:r>
    </w:p>
    <w:p w14:paraId="4B55F71A" w14:textId="2183153C"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1.1.</w:t>
      </w:r>
      <w:r>
        <w:rPr>
          <w:rFonts w:asciiTheme="minorHAnsi" w:hAnsiTheme="minorHAnsi" w:cstheme="minorBidi"/>
          <w:noProof/>
          <w:color w:val="auto"/>
          <w:szCs w:val="22"/>
          <w:lang w:val="en-AU" w:eastAsia="en-AU"/>
        </w:rPr>
        <w:tab/>
      </w:r>
      <w:r w:rsidRPr="00AD4EE5">
        <w:rPr>
          <w:noProof/>
          <w:lang w:val="en-AU"/>
        </w:rPr>
        <w:t>Reform context</w:t>
      </w:r>
      <w:r>
        <w:rPr>
          <w:noProof/>
        </w:rPr>
        <w:tab/>
      </w:r>
      <w:r>
        <w:rPr>
          <w:noProof/>
        </w:rPr>
        <w:fldChar w:fldCharType="begin"/>
      </w:r>
      <w:r>
        <w:rPr>
          <w:noProof/>
        </w:rPr>
        <w:instrText xml:space="preserve"> PAGEREF _Toc103000725 \h </w:instrText>
      </w:r>
      <w:r>
        <w:rPr>
          <w:noProof/>
        </w:rPr>
      </w:r>
      <w:r>
        <w:rPr>
          <w:noProof/>
        </w:rPr>
        <w:fldChar w:fldCharType="separate"/>
      </w:r>
      <w:r>
        <w:rPr>
          <w:noProof/>
        </w:rPr>
        <w:t>3</w:t>
      </w:r>
      <w:r>
        <w:rPr>
          <w:noProof/>
        </w:rPr>
        <w:fldChar w:fldCharType="end"/>
      </w:r>
    </w:p>
    <w:p w14:paraId="3BF586A6" w14:textId="68C21181"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1.2.</w:t>
      </w:r>
      <w:r>
        <w:rPr>
          <w:rFonts w:asciiTheme="minorHAnsi" w:hAnsiTheme="minorHAnsi" w:cstheme="minorBidi"/>
          <w:noProof/>
          <w:color w:val="auto"/>
          <w:szCs w:val="22"/>
          <w:lang w:val="en-AU" w:eastAsia="en-AU"/>
        </w:rPr>
        <w:tab/>
      </w:r>
      <w:r w:rsidRPr="00AD4EE5">
        <w:rPr>
          <w:noProof/>
          <w:lang w:val="en-AU"/>
        </w:rPr>
        <w:t>Purpose of KISPs</w:t>
      </w:r>
      <w:r>
        <w:rPr>
          <w:noProof/>
        </w:rPr>
        <w:tab/>
      </w:r>
      <w:r>
        <w:rPr>
          <w:noProof/>
        </w:rPr>
        <w:fldChar w:fldCharType="begin"/>
      </w:r>
      <w:r>
        <w:rPr>
          <w:noProof/>
        </w:rPr>
        <w:instrText xml:space="preserve"> PAGEREF _Toc103000726 \h </w:instrText>
      </w:r>
      <w:r>
        <w:rPr>
          <w:noProof/>
        </w:rPr>
      </w:r>
      <w:r>
        <w:rPr>
          <w:noProof/>
        </w:rPr>
        <w:fldChar w:fldCharType="separate"/>
      </w:r>
      <w:r>
        <w:rPr>
          <w:noProof/>
        </w:rPr>
        <w:t>3</w:t>
      </w:r>
      <w:r>
        <w:rPr>
          <w:noProof/>
        </w:rPr>
        <w:fldChar w:fldCharType="end"/>
      </w:r>
    </w:p>
    <w:p w14:paraId="553B5EDA" w14:textId="2B4450AE"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1.3.</w:t>
      </w:r>
      <w:r>
        <w:rPr>
          <w:rFonts w:asciiTheme="minorHAnsi" w:hAnsiTheme="minorHAnsi" w:cstheme="minorBidi"/>
          <w:noProof/>
          <w:color w:val="auto"/>
          <w:szCs w:val="22"/>
          <w:lang w:val="en-AU" w:eastAsia="en-AU"/>
        </w:rPr>
        <w:tab/>
      </w:r>
      <w:r w:rsidRPr="00AD4EE5">
        <w:rPr>
          <w:noProof/>
          <w:lang w:val="en-AU"/>
        </w:rPr>
        <w:t>How to use the KISP</w:t>
      </w:r>
      <w:r>
        <w:rPr>
          <w:noProof/>
        </w:rPr>
        <w:tab/>
      </w:r>
      <w:r>
        <w:rPr>
          <w:noProof/>
        </w:rPr>
        <w:fldChar w:fldCharType="begin"/>
      </w:r>
      <w:r>
        <w:rPr>
          <w:noProof/>
        </w:rPr>
        <w:instrText xml:space="preserve"> PAGEREF _Toc103000727 \h </w:instrText>
      </w:r>
      <w:r>
        <w:rPr>
          <w:noProof/>
        </w:rPr>
      </w:r>
      <w:r>
        <w:rPr>
          <w:noProof/>
        </w:rPr>
        <w:fldChar w:fldCharType="separate"/>
      </w:r>
      <w:r>
        <w:rPr>
          <w:noProof/>
        </w:rPr>
        <w:t>3</w:t>
      </w:r>
      <w:r>
        <w:rPr>
          <w:noProof/>
        </w:rPr>
        <w:fldChar w:fldCharType="end"/>
      </w:r>
    </w:p>
    <w:p w14:paraId="61B2B526" w14:textId="76074E49"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1.4.</w:t>
      </w:r>
      <w:r>
        <w:rPr>
          <w:rFonts w:asciiTheme="minorHAnsi" w:hAnsiTheme="minorHAnsi" w:cstheme="minorBidi"/>
          <w:noProof/>
          <w:color w:val="auto"/>
          <w:szCs w:val="22"/>
          <w:lang w:val="en-AU" w:eastAsia="en-AU"/>
        </w:rPr>
        <w:tab/>
      </w:r>
      <w:r w:rsidRPr="00AD4EE5">
        <w:rPr>
          <w:noProof/>
          <w:lang w:val="en-AU"/>
        </w:rPr>
        <w:t>Structure of the KISP</w:t>
      </w:r>
      <w:r>
        <w:rPr>
          <w:noProof/>
        </w:rPr>
        <w:tab/>
      </w:r>
      <w:r>
        <w:rPr>
          <w:noProof/>
        </w:rPr>
        <w:fldChar w:fldCharType="begin"/>
      </w:r>
      <w:r>
        <w:rPr>
          <w:noProof/>
        </w:rPr>
        <w:instrText xml:space="preserve"> PAGEREF _Toc103000728 \h </w:instrText>
      </w:r>
      <w:r>
        <w:rPr>
          <w:noProof/>
        </w:rPr>
      </w:r>
      <w:r>
        <w:rPr>
          <w:noProof/>
        </w:rPr>
        <w:fldChar w:fldCharType="separate"/>
      </w:r>
      <w:r>
        <w:rPr>
          <w:noProof/>
        </w:rPr>
        <w:t>3</w:t>
      </w:r>
      <w:r>
        <w:rPr>
          <w:noProof/>
        </w:rPr>
        <w:fldChar w:fldCharType="end"/>
      </w:r>
    </w:p>
    <w:p w14:paraId="1FDC587C" w14:textId="354A60C8"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1.5.</w:t>
      </w:r>
      <w:r>
        <w:rPr>
          <w:rFonts w:asciiTheme="minorHAnsi" w:hAnsiTheme="minorHAnsi" w:cstheme="minorBidi"/>
          <w:noProof/>
          <w:color w:val="auto"/>
          <w:szCs w:val="22"/>
          <w:lang w:val="en-AU" w:eastAsia="en-AU"/>
        </w:rPr>
        <w:tab/>
      </w:r>
      <w:r w:rsidRPr="00AD4EE5">
        <w:rPr>
          <w:noProof/>
          <w:lang w:val="en-AU"/>
        </w:rPr>
        <w:t>Disclaimer</w:t>
      </w:r>
      <w:r>
        <w:rPr>
          <w:noProof/>
        </w:rPr>
        <w:tab/>
      </w:r>
      <w:r>
        <w:rPr>
          <w:noProof/>
        </w:rPr>
        <w:fldChar w:fldCharType="begin"/>
      </w:r>
      <w:r>
        <w:rPr>
          <w:noProof/>
        </w:rPr>
        <w:instrText xml:space="preserve"> PAGEREF _Toc103000729 \h </w:instrText>
      </w:r>
      <w:r>
        <w:rPr>
          <w:noProof/>
        </w:rPr>
      </w:r>
      <w:r>
        <w:rPr>
          <w:noProof/>
        </w:rPr>
        <w:fldChar w:fldCharType="separate"/>
      </w:r>
      <w:r>
        <w:rPr>
          <w:noProof/>
        </w:rPr>
        <w:t>4</w:t>
      </w:r>
      <w:r>
        <w:rPr>
          <w:noProof/>
        </w:rPr>
        <w:fldChar w:fldCharType="end"/>
      </w:r>
    </w:p>
    <w:p w14:paraId="633B532E" w14:textId="20B80830" w:rsidR="00460340" w:rsidRDefault="00460340">
      <w:pPr>
        <w:pStyle w:val="TOC1"/>
        <w:rPr>
          <w:rFonts w:asciiTheme="minorHAnsi" w:hAnsiTheme="minorHAnsi" w:cstheme="minorBidi"/>
          <w:b w:val="0"/>
          <w:noProof/>
          <w:color w:val="auto"/>
          <w:szCs w:val="22"/>
          <w:lang w:val="en-AU" w:eastAsia="en-AU"/>
        </w:rPr>
      </w:pPr>
      <w:r w:rsidRPr="00AD4EE5">
        <w:rPr>
          <w:noProof/>
          <w:lang w:val="en-AU"/>
        </w:rPr>
        <w:t>2.</w:t>
      </w:r>
      <w:r>
        <w:rPr>
          <w:rFonts w:asciiTheme="minorHAnsi" w:hAnsiTheme="minorHAnsi" w:cstheme="minorBidi"/>
          <w:b w:val="0"/>
          <w:noProof/>
          <w:color w:val="auto"/>
          <w:szCs w:val="22"/>
          <w:lang w:val="en-AU" w:eastAsia="en-AU"/>
        </w:rPr>
        <w:tab/>
      </w:r>
      <w:r w:rsidRPr="00AD4EE5">
        <w:rPr>
          <w:noProof/>
          <w:lang w:val="en-AU"/>
        </w:rPr>
        <w:t>Map of Early Childhood Education services in the City of Wodonga</w:t>
      </w:r>
      <w:r>
        <w:rPr>
          <w:noProof/>
        </w:rPr>
        <w:tab/>
      </w:r>
      <w:r>
        <w:rPr>
          <w:noProof/>
        </w:rPr>
        <w:fldChar w:fldCharType="begin"/>
      </w:r>
      <w:r>
        <w:rPr>
          <w:noProof/>
        </w:rPr>
        <w:instrText xml:space="preserve"> PAGEREF _Toc103000730 \h </w:instrText>
      </w:r>
      <w:r>
        <w:rPr>
          <w:noProof/>
        </w:rPr>
      </w:r>
      <w:r>
        <w:rPr>
          <w:noProof/>
        </w:rPr>
        <w:fldChar w:fldCharType="separate"/>
      </w:r>
      <w:r>
        <w:rPr>
          <w:noProof/>
        </w:rPr>
        <w:t>5</w:t>
      </w:r>
      <w:r>
        <w:rPr>
          <w:noProof/>
        </w:rPr>
        <w:fldChar w:fldCharType="end"/>
      </w:r>
    </w:p>
    <w:p w14:paraId="75F2E625" w14:textId="049B3BCF" w:rsidR="00460340" w:rsidRDefault="00460340">
      <w:pPr>
        <w:pStyle w:val="TOC1"/>
        <w:rPr>
          <w:rFonts w:asciiTheme="minorHAnsi" w:hAnsiTheme="minorHAnsi" w:cstheme="minorBidi"/>
          <w:b w:val="0"/>
          <w:noProof/>
          <w:color w:val="auto"/>
          <w:szCs w:val="22"/>
          <w:lang w:val="en-AU" w:eastAsia="en-AU"/>
        </w:rPr>
      </w:pPr>
      <w:r w:rsidRPr="00AD4EE5">
        <w:rPr>
          <w:noProof/>
          <w:lang w:val="en-AU"/>
        </w:rPr>
        <w:t>3.</w:t>
      </w:r>
      <w:r>
        <w:rPr>
          <w:rFonts w:asciiTheme="minorHAnsi" w:hAnsiTheme="minorHAnsi" w:cstheme="minorBidi"/>
          <w:b w:val="0"/>
          <w:noProof/>
          <w:color w:val="auto"/>
          <w:szCs w:val="22"/>
          <w:lang w:val="en-AU" w:eastAsia="en-AU"/>
        </w:rPr>
        <w:tab/>
      </w:r>
      <w:r w:rsidRPr="00AD4EE5">
        <w:rPr>
          <w:noProof/>
          <w:lang w:val="en-AU"/>
        </w:rPr>
        <w:t>Local context</w:t>
      </w:r>
      <w:r>
        <w:rPr>
          <w:noProof/>
        </w:rPr>
        <w:tab/>
      </w:r>
      <w:r>
        <w:rPr>
          <w:noProof/>
        </w:rPr>
        <w:fldChar w:fldCharType="begin"/>
      </w:r>
      <w:r>
        <w:rPr>
          <w:noProof/>
        </w:rPr>
        <w:instrText xml:space="preserve"> PAGEREF _Toc103000731 \h </w:instrText>
      </w:r>
      <w:r>
        <w:rPr>
          <w:noProof/>
        </w:rPr>
      </w:r>
      <w:r>
        <w:rPr>
          <w:noProof/>
        </w:rPr>
        <w:fldChar w:fldCharType="separate"/>
      </w:r>
      <w:r>
        <w:rPr>
          <w:noProof/>
        </w:rPr>
        <w:t>6</w:t>
      </w:r>
      <w:r>
        <w:rPr>
          <w:noProof/>
        </w:rPr>
        <w:fldChar w:fldCharType="end"/>
      </w:r>
    </w:p>
    <w:p w14:paraId="027422DD" w14:textId="65A5C77C" w:rsidR="00460340" w:rsidRDefault="00460340">
      <w:pPr>
        <w:pStyle w:val="TOC2"/>
        <w:tabs>
          <w:tab w:val="right" w:leader="dot" w:pos="9622"/>
        </w:tabs>
        <w:rPr>
          <w:rFonts w:asciiTheme="minorHAnsi" w:hAnsiTheme="minorHAnsi" w:cstheme="minorBidi"/>
          <w:noProof/>
          <w:color w:val="auto"/>
          <w:szCs w:val="22"/>
          <w:lang w:val="en-AU" w:eastAsia="en-AU"/>
        </w:rPr>
      </w:pPr>
      <w:r w:rsidRPr="00AD4EE5">
        <w:rPr>
          <w:noProof/>
          <w:lang w:val="en-AU"/>
        </w:rPr>
        <w:t>3.1 Purpose</w:t>
      </w:r>
      <w:r>
        <w:rPr>
          <w:noProof/>
        </w:rPr>
        <w:tab/>
      </w:r>
      <w:r>
        <w:rPr>
          <w:noProof/>
        </w:rPr>
        <w:fldChar w:fldCharType="begin"/>
      </w:r>
      <w:r>
        <w:rPr>
          <w:noProof/>
        </w:rPr>
        <w:instrText xml:space="preserve"> PAGEREF _Toc103000732 \h </w:instrText>
      </w:r>
      <w:r>
        <w:rPr>
          <w:noProof/>
        </w:rPr>
      </w:r>
      <w:r>
        <w:rPr>
          <w:noProof/>
        </w:rPr>
        <w:fldChar w:fldCharType="separate"/>
      </w:r>
      <w:r>
        <w:rPr>
          <w:noProof/>
        </w:rPr>
        <w:t>6</w:t>
      </w:r>
      <w:r>
        <w:rPr>
          <w:noProof/>
        </w:rPr>
        <w:fldChar w:fldCharType="end"/>
      </w:r>
    </w:p>
    <w:p w14:paraId="3C6A30DB" w14:textId="445F87F7" w:rsidR="00460340" w:rsidRDefault="00460340">
      <w:pPr>
        <w:pStyle w:val="TOC2"/>
        <w:tabs>
          <w:tab w:val="right" w:leader="dot" w:pos="9622"/>
        </w:tabs>
        <w:rPr>
          <w:rFonts w:asciiTheme="minorHAnsi" w:hAnsiTheme="minorHAnsi" w:cstheme="minorBidi"/>
          <w:noProof/>
          <w:color w:val="auto"/>
          <w:szCs w:val="22"/>
          <w:lang w:val="en-AU" w:eastAsia="en-AU"/>
        </w:rPr>
      </w:pPr>
      <w:r w:rsidRPr="00AD4EE5">
        <w:rPr>
          <w:noProof/>
          <w:lang w:val="en-AU"/>
        </w:rPr>
        <w:t>3.2 Key considerations</w:t>
      </w:r>
      <w:r>
        <w:rPr>
          <w:noProof/>
        </w:rPr>
        <w:tab/>
      </w:r>
      <w:r>
        <w:rPr>
          <w:noProof/>
        </w:rPr>
        <w:fldChar w:fldCharType="begin"/>
      </w:r>
      <w:r>
        <w:rPr>
          <w:noProof/>
        </w:rPr>
        <w:instrText xml:space="preserve"> PAGEREF _Toc103000733 \h </w:instrText>
      </w:r>
      <w:r>
        <w:rPr>
          <w:noProof/>
        </w:rPr>
      </w:r>
      <w:r>
        <w:rPr>
          <w:noProof/>
        </w:rPr>
        <w:fldChar w:fldCharType="separate"/>
      </w:r>
      <w:r>
        <w:rPr>
          <w:noProof/>
        </w:rPr>
        <w:t>6</w:t>
      </w:r>
      <w:r>
        <w:rPr>
          <w:noProof/>
        </w:rPr>
        <w:fldChar w:fldCharType="end"/>
      </w:r>
    </w:p>
    <w:p w14:paraId="50E120B8" w14:textId="5CD508C2" w:rsidR="00460340" w:rsidRDefault="00460340">
      <w:pPr>
        <w:pStyle w:val="TOC1"/>
        <w:rPr>
          <w:rFonts w:asciiTheme="minorHAnsi" w:hAnsiTheme="minorHAnsi" w:cstheme="minorBidi"/>
          <w:b w:val="0"/>
          <w:noProof/>
          <w:color w:val="auto"/>
          <w:szCs w:val="22"/>
          <w:lang w:val="en-AU" w:eastAsia="en-AU"/>
        </w:rPr>
      </w:pPr>
      <w:r w:rsidRPr="00AD4EE5">
        <w:rPr>
          <w:noProof/>
          <w:lang w:val="en-AU"/>
        </w:rPr>
        <w:t>4.</w:t>
      </w:r>
      <w:r>
        <w:rPr>
          <w:rFonts w:asciiTheme="minorHAnsi" w:hAnsiTheme="minorHAnsi" w:cstheme="minorBidi"/>
          <w:b w:val="0"/>
          <w:noProof/>
          <w:color w:val="auto"/>
          <w:szCs w:val="22"/>
          <w:lang w:val="en-AU" w:eastAsia="en-AU"/>
        </w:rPr>
        <w:tab/>
      </w:r>
      <w:r w:rsidRPr="00AD4EE5">
        <w:rPr>
          <w:noProof/>
          <w:lang w:val="en-AU"/>
        </w:rPr>
        <w:t>Funded kindergarten enrolment estimates between 2021-29 for the City of Wodonga</w:t>
      </w:r>
      <w:r>
        <w:rPr>
          <w:noProof/>
        </w:rPr>
        <w:tab/>
      </w:r>
      <w:r>
        <w:rPr>
          <w:noProof/>
        </w:rPr>
        <w:fldChar w:fldCharType="begin"/>
      </w:r>
      <w:r>
        <w:rPr>
          <w:noProof/>
        </w:rPr>
        <w:instrText xml:space="preserve"> PAGEREF _Toc103000734 \h </w:instrText>
      </w:r>
      <w:r>
        <w:rPr>
          <w:noProof/>
        </w:rPr>
      </w:r>
      <w:r>
        <w:rPr>
          <w:noProof/>
        </w:rPr>
        <w:fldChar w:fldCharType="separate"/>
      </w:r>
      <w:r>
        <w:rPr>
          <w:noProof/>
        </w:rPr>
        <w:t>9</w:t>
      </w:r>
      <w:r>
        <w:rPr>
          <w:noProof/>
        </w:rPr>
        <w:fldChar w:fldCharType="end"/>
      </w:r>
    </w:p>
    <w:p w14:paraId="67B1178C" w14:textId="627264C2"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4.1</w:t>
      </w:r>
      <w:r>
        <w:rPr>
          <w:rFonts w:asciiTheme="minorHAnsi" w:hAnsiTheme="minorHAnsi" w:cstheme="minorBidi"/>
          <w:noProof/>
          <w:color w:val="auto"/>
          <w:szCs w:val="22"/>
          <w:lang w:val="en-AU" w:eastAsia="en-AU"/>
        </w:rPr>
        <w:tab/>
      </w:r>
      <w:r w:rsidRPr="00AD4EE5">
        <w:rPr>
          <w:noProof/>
          <w:lang w:val="en-AU"/>
        </w:rPr>
        <w:t>Purpose</w:t>
      </w:r>
      <w:r>
        <w:rPr>
          <w:noProof/>
        </w:rPr>
        <w:tab/>
      </w:r>
      <w:r>
        <w:rPr>
          <w:noProof/>
        </w:rPr>
        <w:fldChar w:fldCharType="begin"/>
      </w:r>
      <w:r>
        <w:rPr>
          <w:noProof/>
        </w:rPr>
        <w:instrText xml:space="preserve"> PAGEREF _Toc103000735 \h </w:instrText>
      </w:r>
      <w:r>
        <w:rPr>
          <w:noProof/>
        </w:rPr>
      </w:r>
      <w:r>
        <w:rPr>
          <w:noProof/>
        </w:rPr>
        <w:fldChar w:fldCharType="separate"/>
      </w:r>
      <w:r>
        <w:rPr>
          <w:noProof/>
        </w:rPr>
        <w:t>9</w:t>
      </w:r>
      <w:r>
        <w:rPr>
          <w:noProof/>
        </w:rPr>
        <w:fldChar w:fldCharType="end"/>
      </w:r>
    </w:p>
    <w:p w14:paraId="0FE1347F" w14:textId="193D5847"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 xml:space="preserve">4.2 </w:t>
      </w:r>
      <w:r>
        <w:rPr>
          <w:rFonts w:asciiTheme="minorHAnsi" w:hAnsiTheme="minorHAnsi" w:cstheme="minorBidi"/>
          <w:noProof/>
          <w:color w:val="auto"/>
          <w:szCs w:val="22"/>
          <w:lang w:val="en-AU" w:eastAsia="en-AU"/>
        </w:rPr>
        <w:tab/>
      </w:r>
      <w:r w:rsidRPr="00AD4EE5">
        <w:rPr>
          <w:noProof/>
          <w:lang w:val="en-AU"/>
        </w:rPr>
        <w:t>Methodology</w:t>
      </w:r>
      <w:r>
        <w:rPr>
          <w:noProof/>
        </w:rPr>
        <w:tab/>
      </w:r>
      <w:r>
        <w:rPr>
          <w:noProof/>
        </w:rPr>
        <w:fldChar w:fldCharType="begin"/>
      </w:r>
      <w:r>
        <w:rPr>
          <w:noProof/>
        </w:rPr>
        <w:instrText xml:space="preserve"> PAGEREF _Toc103000736 \h </w:instrText>
      </w:r>
      <w:r>
        <w:rPr>
          <w:noProof/>
        </w:rPr>
      </w:r>
      <w:r>
        <w:rPr>
          <w:noProof/>
        </w:rPr>
        <w:fldChar w:fldCharType="separate"/>
      </w:r>
      <w:r>
        <w:rPr>
          <w:noProof/>
        </w:rPr>
        <w:t>9</w:t>
      </w:r>
      <w:r>
        <w:rPr>
          <w:noProof/>
        </w:rPr>
        <w:fldChar w:fldCharType="end"/>
      </w:r>
    </w:p>
    <w:p w14:paraId="4DA7AF6C" w14:textId="4EB74FFD"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4.3</w:t>
      </w:r>
      <w:r>
        <w:rPr>
          <w:rFonts w:asciiTheme="minorHAnsi" w:hAnsiTheme="minorHAnsi" w:cstheme="minorBidi"/>
          <w:noProof/>
          <w:color w:val="auto"/>
          <w:szCs w:val="22"/>
          <w:lang w:val="en-AU" w:eastAsia="en-AU"/>
        </w:rPr>
        <w:tab/>
      </w:r>
      <w:r w:rsidRPr="00AD4EE5">
        <w:rPr>
          <w:noProof/>
          <w:lang w:val="en-AU"/>
        </w:rPr>
        <w:t>Summary of current kindergarten provision</w:t>
      </w:r>
      <w:r>
        <w:rPr>
          <w:noProof/>
        </w:rPr>
        <w:tab/>
      </w:r>
      <w:r>
        <w:rPr>
          <w:noProof/>
        </w:rPr>
        <w:fldChar w:fldCharType="begin"/>
      </w:r>
      <w:r>
        <w:rPr>
          <w:noProof/>
        </w:rPr>
        <w:instrText xml:space="preserve"> PAGEREF _Toc103000737 \h </w:instrText>
      </w:r>
      <w:r>
        <w:rPr>
          <w:noProof/>
        </w:rPr>
      </w:r>
      <w:r>
        <w:rPr>
          <w:noProof/>
        </w:rPr>
        <w:fldChar w:fldCharType="separate"/>
      </w:r>
      <w:r>
        <w:rPr>
          <w:noProof/>
        </w:rPr>
        <w:t>10</w:t>
      </w:r>
      <w:r>
        <w:rPr>
          <w:noProof/>
        </w:rPr>
        <w:fldChar w:fldCharType="end"/>
      </w:r>
    </w:p>
    <w:p w14:paraId="3501A06C" w14:textId="5DA15543"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4.4</w:t>
      </w:r>
      <w:r>
        <w:rPr>
          <w:rFonts w:asciiTheme="minorHAnsi" w:hAnsiTheme="minorHAnsi" w:cstheme="minorBidi"/>
          <w:noProof/>
          <w:color w:val="auto"/>
          <w:szCs w:val="22"/>
          <w:lang w:val="en-AU" w:eastAsia="en-AU"/>
        </w:rPr>
        <w:tab/>
      </w:r>
      <w:r w:rsidRPr="00AD4EE5">
        <w:rPr>
          <w:noProof/>
          <w:lang w:val="en-AU"/>
        </w:rPr>
        <w:t>Approach to optimising the use of existing services and infrastructure</w:t>
      </w:r>
      <w:r>
        <w:rPr>
          <w:noProof/>
        </w:rPr>
        <w:tab/>
      </w:r>
      <w:r>
        <w:rPr>
          <w:noProof/>
        </w:rPr>
        <w:fldChar w:fldCharType="begin"/>
      </w:r>
      <w:r>
        <w:rPr>
          <w:noProof/>
        </w:rPr>
        <w:instrText xml:space="preserve"> PAGEREF _Toc103000738 \h </w:instrText>
      </w:r>
      <w:r>
        <w:rPr>
          <w:noProof/>
        </w:rPr>
      </w:r>
      <w:r>
        <w:rPr>
          <w:noProof/>
        </w:rPr>
        <w:fldChar w:fldCharType="separate"/>
      </w:r>
      <w:r>
        <w:rPr>
          <w:noProof/>
        </w:rPr>
        <w:t>11</w:t>
      </w:r>
      <w:r>
        <w:rPr>
          <w:noProof/>
        </w:rPr>
        <w:fldChar w:fldCharType="end"/>
      </w:r>
    </w:p>
    <w:p w14:paraId="1A740F13" w14:textId="0CB4F929" w:rsidR="00460340" w:rsidRDefault="00460340">
      <w:pPr>
        <w:pStyle w:val="TOC2"/>
        <w:tabs>
          <w:tab w:val="left" w:pos="880"/>
          <w:tab w:val="right" w:leader="dot" w:pos="9622"/>
        </w:tabs>
        <w:rPr>
          <w:rFonts w:asciiTheme="minorHAnsi" w:hAnsiTheme="minorHAnsi" w:cstheme="minorBidi"/>
          <w:noProof/>
          <w:color w:val="auto"/>
          <w:szCs w:val="22"/>
          <w:lang w:val="en-AU" w:eastAsia="en-AU"/>
        </w:rPr>
      </w:pPr>
      <w:r w:rsidRPr="00AD4EE5">
        <w:rPr>
          <w:noProof/>
          <w:lang w:val="en-AU"/>
        </w:rPr>
        <w:t>4.5</w:t>
      </w:r>
      <w:r>
        <w:rPr>
          <w:rFonts w:asciiTheme="minorHAnsi" w:hAnsiTheme="minorHAnsi" w:cstheme="minorBidi"/>
          <w:noProof/>
          <w:color w:val="auto"/>
          <w:szCs w:val="22"/>
          <w:lang w:val="en-AU" w:eastAsia="en-AU"/>
        </w:rPr>
        <w:tab/>
      </w:r>
      <w:r w:rsidRPr="00AD4EE5">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_Toc103000739 \h </w:instrText>
      </w:r>
      <w:r>
        <w:rPr>
          <w:noProof/>
        </w:rPr>
      </w:r>
      <w:r>
        <w:rPr>
          <w:noProof/>
        </w:rPr>
        <w:fldChar w:fldCharType="separate"/>
      </w:r>
      <w:r>
        <w:rPr>
          <w:noProof/>
        </w:rPr>
        <w:t>12</w:t>
      </w:r>
      <w:r>
        <w:rPr>
          <w:noProof/>
        </w:rPr>
        <w:fldChar w:fldCharType="end"/>
      </w:r>
    </w:p>
    <w:p w14:paraId="71731C73" w14:textId="29D9FC35" w:rsidR="00460340" w:rsidRDefault="00460340">
      <w:pPr>
        <w:pStyle w:val="TOC1"/>
        <w:rPr>
          <w:rFonts w:asciiTheme="minorHAnsi" w:hAnsiTheme="minorHAnsi" w:cstheme="minorBidi"/>
          <w:b w:val="0"/>
          <w:noProof/>
          <w:color w:val="auto"/>
          <w:szCs w:val="22"/>
          <w:lang w:val="en-AU" w:eastAsia="en-AU"/>
        </w:rPr>
      </w:pPr>
      <w:r w:rsidRPr="00AD4EE5">
        <w:rPr>
          <w:noProof/>
          <w:lang w:val="en-AU"/>
        </w:rPr>
        <w:t>5.</w:t>
      </w:r>
      <w:r>
        <w:rPr>
          <w:rFonts w:asciiTheme="minorHAnsi" w:hAnsiTheme="minorHAnsi" w:cstheme="minorBidi"/>
          <w:b w:val="0"/>
          <w:noProof/>
          <w:color w:val="auto"/>
          <w:szCs w:val="22"/>
          <w:lang w:val="en-AU" w:eastAsia="en-AU"/>
        </w:rPr>
        <w:tab/>
      </w:r>
      <w:r w:rsidRPr="00AD4EE5">
        <w:rPr>
          <w:noProof/>
          <w:lang w:val="en-AU"/>
        </w:rPr>
        <w:t>Authorisation</w:t>
      </w:r>
      <w:r>
        <w:rPr>
          <w:noProof/>
        </w:rPr>
        <w:tab/>
      </w:r>
      <w:r>
        <w:rPr>
          <w:noProof/>
        </w:rPr>
        <w:fldChar w:fldCharType="begin"/>
      </w:r>
      <w:r>
        <w:rPr>
          <w:noProof/>
        </w:rPr>
        <w:instrText xml:space="preserve"> PAGEREF _Toc103000740 \h </w:instrText>
      </w:r>
      <w:r>
        <w:rPr>
          <w:noProof/>
        </w:rPr>
      </w:r>
      <w:r>
        <w:rPr>
          <w:noProof/>
        </w:rPr>
        <w:fldChar w:fldCharType="separate"/>
      </w:r>
      <w:r>
        <w:rPr>
          <w:noProof/>
        </w:rPr>
        <w:t>15</w:t>
      </w:r>
      <w:r>
        <w:rPr>
          <w:noProof/>
        </w:rPr>
        <w:fldChar w:fldCharType="end"/>
      </w:r>
    </w:p>
    <w:p w14:paraId="3BCDC09F" w14:textId="68174BBB"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07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0725"/>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0726"/>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0727"/>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0728"/>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0729"/>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37197CE1" w:rsidR="009D1E31" w:rsidRDefault="0032285F">
      <w:pPr>
        <w:pStyle w:val="Heading1"/>
        <w:numPr>
          <w:ilvl w:val="0"/>
          <w:numId w:val="6"/>
        </w:numPr>
        <w:rPr>
          <w:lang w:val="en-AU"/>
        </w:rPr>
      </w:pPr>
      <w:bookmarkStart w:id="34" w:name="_Toc103000730"/>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8F2B26">
        <w:rPr>
          <w:lang w:val="en-AU"/>
        </w:rPr>
        <w:t>the City of Wodonga</w:t>
      </w:r>
      <w:bookmarkEnd w:id="34"/>
      <w:r w:rsidR="009D1E31">
        <w:rPr>
          <w:lang w:val="en-AU"/>
        </w:rPr>
        <w:t xml:space="preserve"> </w:t>
      </w:r>
    </w:p>
    <w:p w14:paraId="237CFF1F" w14:textId="617A2FB6"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7376A682"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8F2B26">
        <w:rPr>
          <w:lang w:val="en-AU"/>
        </w:rPr>
        <w:t>Wodonga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00"/>
        <w:gridCol w:w="2040"/>
        <w:gridCol w:w="5260"/>
      </w:tblGrid>
      <w:tr w:rsidR="000570AE" w:rsidRPr="000570AE" w14:paraId="317367D9" w14:textId="77777777" w:rsidTr="000570AE">
        <w:trPr>
          <w:trHeight w:val="345"/>
        </w:trPr>
        <w:tc>
          <w:tcPr>
            <w:tcW w:w="2620" w:type="dxa"/>
            <w:shd w:val="clear" w:color="auto" w:fill="auto"/>
            <w:noWrap/>
            <w:vAlign w:val="bottom"/>
            <w:hideMark/>
          </w:tcPr>
          <w:p w14:paraId="036F189F" w14:textId="77777777" w:rsidR="000570AE" w:rsidRPr="000570AE" w:rsidRDefault="000570AE" w:rsidP="000570AE">
            <w:pPr>
              <w:spacing w:after="0"/>
              <w:rPr>
                <w:b/>
                <w:bCs/>
                <w:lang w:val="en-AU"/>
              </w:rPr>
            </w:pPr>
            <w:r w:rsidRPr="000570AE">
              <w:rPr>
                <w:b/>
                <w:bCs/>
                <w:lang w:val="en-AU"/>
              </w:rPr>
              <w:t>Service Name</w:t>
            </w:r>
          </w:p>
        </w:tc>
        <w:tc>
          <w:tcPr>
            <w:tcW w:w="2600" w:type="dxa"/>
            <w:shd w:val="clear" w:color="auto" w:fill="auto"/>
            <w:vAlign w:val="bottom"/>
            <w:hideMark/>
          </w:tcPr>
          <w:p w14:paraId="5810307A" w14:textId="77777777" w:rsidR="000570AE" w:rsidRPr="000570AE" w:rsidRDefault="000570AE" w:rsidP="000570AE">
            <w:pPr>
              <w:spacing w:after="0"/>
              <w:rPr>
                <w:b/>
                <w:bCs/>
                <w:lang w:val="en-AU"/>
              </w:rPr>
            </w:pPr>
            <w:r w:rsidRPr="000570AE">
              <w:rPr>
                <w:b/>
                <w:bCs/>
                <w:lang w:val="en-AU"/>
              </w:rPr>
              <w:t>Project Type</w:t>
            </w:r>
          </w:p>
        </w:tc>
        <w:tc>
          <w:tcPr>
            <w:tcW w:w="2040" w:type="dxa"/>
            <w:shd w:val="clear" w:color="auto" w:fill="auto"/>
            <w:noWrap/>
            <w:vAlign w:val="bottom"/>
            <w:hideMark/>
          </w:tcPr>
          <w:p w14:paraId="00209250" w14:textId="77777777" w:rsidR="000570AE" w:rsidRPr="000570AE" w:rsidRDefault="000570AE" w:rsidP="000570AE">
            <w:pPr>
              <w:spacing w:after="0"/>
              <w:rPr>
                <w:b/>
                <w:bCs/>
                <w:lang w:val="en-AU"/>
              </w:rPr>
            </w:pPr>
            <w:r w:rsidRPr="000570AE">
              <w:rPr>
                <w:b/>
                <w:bCs/>
                <w:lang w:val="en-AU"/>
              </w:rPr>
              <w:t>Suburb</w:t>
            </w:r>
          </w:p>
        </w:tc>
        <w:tc>
          <w:tcPr>
            <w:tcW w:w="5260" w:type="dxa"/>
            <w:shd w:val="clear" w:color="auto" w:fill="auto"/>
            <w:noWrap/>
            <w:vAlign w:val="bottom"/>
            <w:hideMark/>
          </w:tcPr>
          <w:p w14:paraId="7C99C04E" w14:textId="68374A93" w:rsidR="000570AE" w:rsidRPr="000570AE" w:rsidRDefault="000570AE" w:rsidP="000570AE">
            <w:pPr>
              <w:spacing w:after="0"/>
              <w:rPr>
                <w:b/>
                <w:bCs/>
                <w:lang w:val="en-AU"/>
              </w:rPr>
            </w:pPr>
            <w:r w:rsidRPr="000570AE">
              <w:rPr>
                <w:b/>
                <w:bCs/>
                <w:lang w:val="en-AU"/>
              </w:rPr>
              <w:t>Total Licensed Capacity Proposed by project</w:t>
            </w:r>
          </w:p>
        </w:tc>
      </w:tr>
      <w:tr w:rsidR="000570AE" w:rsidRPr="000570AE" w14:paraId="249889D5" w14:textId="77777777" w:rsidTr="000570AE">
        <w:trPr>
          <w:trHeight w:val="427"/>
        </w:trPr>
        <w:tc>
          <w:tcPr>
            <w:tcW w:w="2620" w:type="dxa"/>
            <w:shd w:val="clear" w:color="auto" w:fill="auto"/>
            <w:hideMark/>
          </w:tcPr>
          <w:p w14:paraId="3363CD45" w14:textId="77777777" w:rsidR="000570AE" w:rsidRPr="000570AE" w:rsidRDefault="000570AE" w:rsidP="000570AE">
            <w:pPr>
              <w:spacing w:after="0"/>
              <w:rPr>
                <w:lang w:val="en-AU"/>
              </w:rPr>
            </w:pPr>
            <w:r w:rsidRPr="000570AE">
              <w:rPr>
                <w:lang w:val="en-AU"/>
              </w:rPr>
              <w:t>Belgrade Ave Preschool</w:t>
            </w:r>
          </w:p>
        </w:tc>
        <w:tc>
          <w:tcPr>
            <w:tcW w:w="2600" w:type="dxa"/>
            <w:shd w:val="clear" w:color="auto" w:fill="auto"/>
            <w:hideMark/>
          </w:tcPr>
          <w:p w14:paraId="16C696F4" w14:textId="77777777" w:rsidR="000570AE" w:rsidRPr="000570AE" w:rsidRDefault="000570AE" w:rsidP="000570AE">
            <w:pPr>
              <w:spacing w:after="0"/>
              <w:rPr>
                <w:lang w:val="en-AU"/>
              </w:rPr>
            </w:pPr>
            <w:r w:rsidRPr="000570AE">
              <w:rPr>
                <w:lang w:val="en-AU"/>
              </w:rPr>
              <w:t>Expansion</w:t>
            </w:r>
          </w:p>
        </w:tc>
        <w:tc>
          <w:tcPr>
            <w:tcW w:w="2040" w:type="dxa"/>
            <w:shd w:val="clear" w:color="auto" w:fill="auto"/>
            <w:hideMark/>
          </w:tcPr>
          <w:p w14:paraId="5B99BBAC" w14:textId="77777777" w:rsidR="000570AE" w:rsidRPr="000570AE" w:rsidRDefault="000570AE" w:rsidP="000570AE">
            <w:pPr>
              <w:spacing w:after="0"/>
              <w:rPr>
                <w:lang w:val="en-AU"/>
              </w:rPr>
            </w:pPr>
            <w:r w:rsidRPr="000570AE">
              <w:rPr>
                <w:lang w:val="en-AU"/>
              </w:rPr>
              <w:t>Wodonga</w:t>
            </w:r>
          </w:p>
        </w:tc>
        <w:tc>
          <w:tcPr>
            <w:tcW w:w="5260" w:type="dxa"/>
            <w:shd w:val="clear" w:color="auto" w:fill="auto"/>
            <w:hideMark/>
          </w:tcPr>
          <w:p w14:paraId="33C195B2" w14:textId="0A78BAD5" w:rsidR="000570AE" w:rsidRPr="000570AE" w:rsidRDefault="000570AE" w:rsidP="000570AE">
            <w:pPr>
              <w:spacing w:after="0"/>
              <w:rPr>
                <w:lang w:val="en-AU"/>
              </w:rPr>
            </w:pPr>
            <w:r w:rsidRPr="000570AE">
              <w:rPr>
                <w:lang w:val="en-AU"/>
              </w:rPr>
              <w:t>66</w:t>
            </w:r>
          </w:p>
        </w:tc>
      </w:tr>
    </w:tbl>
    <w:p w14:paraId="27602577" w14:textId="26E88DAC" w:rsidR="009D1E31" w:rsidRDefault="000570AE" w:rsidP="001951A6">
      <w:pPr>
        <w:rPr>
          <w:lang w:val="en-US"/>
        </w:rPr>
      </w:pPr>
      <w:r w:rsidRPr="00177232">
        <w:rPr>
          <w:noProof/>
          <w:lang w:val="en-AU" w:eastAsia="en-AU"/>
        </w:rPr>
        <w:drawing>
          <wp:anchor distT="0" distB="0" distL="114300" distR="114300" simplePos="0" relativeHeight="251656192" behindDoc="0" locked="0" layoutInCell="1" allowOverlap="1" wp14:anchorId="462BD212" wp14:editId="4B325F22">
            <wp:simplePos x="0" y="0"/>
            <wp:positionH relativeFrom="margin">
              <wp:align>left</wp:align>
            </wp:positionH>
            <wp:positionV relativeFrom="paragraph">
              <wp:posOffset>222640</wp:posOffset>
            </wp:positionV>
            <wp:extent cx="6054725" cy="334645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100761" cy="3371758"/>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7216" behindDoc="1" locked="0" layoutInCell="1" allowOverlap="1" wp14:anchorId="43FA92FB" wp14:editId="075D64BE">
            <wp:simplePos x="0" y="0"/>
            <wp:positionH relativeFrom="column">
              <wp:posOffset>6267889</wp:posOffset>
            </wp:positionH>
            <wp:positionV relativeFrom="paragraph">
              <wp:posOffset>355209</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3B82D037" w14:textId="6EF3269A" w:rsidR="009D1E31" w:rsidRDefault="009D1E31" w:rsidP="009D1E31">
      <w:pPr>
        <w:rPr>
          <w:lang w:val="en-US"/>
        </w:rPr>
        <w:sectPr w:rsidR="009D1E31" w:rsidSect="00177232">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3000731"/>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0732"/>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3000733"/>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tbl>
      <w:tblPr>
        <w:tblStyle w:val="TableGrid"/>
        <w:tblW w:w="0" w:type="auto"/>
        <w:tblLook w:val="04A0" w:firstRow="1" w:lastRow="0" w:firstColumn="1" w:lastColumn="0" w:noHBand="0" w:noVBand="1"/>
      </w:tblPr>
      <w:tblGrid>
        <w:gridCol w:w="3539"/>
        <w:gridCol w:w="1701"/>
        <w:gridCol w:w="1276"/>
        <w:gridCol w:w="2500"/>
      </w:tblGrid>
      <w:tr w:rsidR="006B752A" w14:paraId="76F6C3B9" w14:textId="77777777" w:rsidTr="006B7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8F26922" w14:textId="77777777" w:rsidR="006B752A" w:rsidRPr="006B752A" w:rsidRDefault="006B752A" w:rsidP="006E51E2">
            <w:pPr>
              <w:rPr>
                <w:b w:val="0"/>
                <w:sz w:val="20"/>
                <w:szCs w:val="22"/>
              </w:rPr>
            </w:pPr>
            <w:r w:rsidRPr="006B752A">
              <w:rPr>
                <w:sz w:val="20"/>
                <w:szCs w:val="22"/>
              </w:rPr>
              <w:t>Indicator</w:t>
            </w:r>
          </w:p>
        </w:tc>
        <w:tc>
          <w:tcPr>
            <w:tcW w:w="1701" w:type="dxa"/>
          </w:tcPr>
          <w:p w14:paraId="56B80402" w14:textId="77777777" w:rsidR="006B752A" w:rsidRPr="006B752A" w:rsidRDefault="006B752A" w:rsidP="006E51E2">
            <w:pPr>
              <w:cnfStyle w:val="100000000000" w:firstRow="1" w:lastRow="0" w:firstColumn="0" w:lastColumn="0" w:oddVBand="0" w:evenVBand="0" w:oddHBand="0" w:evenHBand="0" w:firstRowFirstColumn="0" w:firstRowLastColumn="0" w:lastRowFirstColumn="0" w:lastRowLastColumn="0"/>
              <w:rPr>
                <w:b w:val="0"/>
                <w:sz w:val="20"/>
                <w:szCs w:val="22"/>
              </w:rPr>
            </w:pPr>
            <w:r w:rsidRPr="006B752A">
              <w:rPr>
                <w:sz w:val="20"/>
                <w:szCs w:val="22"/>
              </w:rPr>
              <w:t xml:space="preserve">Wodonga </w:t>
            </w:r>
          </w:p>
        </w:tc>
        <w:tc>
          <w:tcPr>
            <w:tcW w:w="1276" w:type="dxa"/>
          </w:tcPr>
          <w:p w14:paraId="6C7EA594" w14:textId="77777777" w:rsidR="006B752A" w:rsidRPr="006B752A" w:rsidRDefault="006B752A" w:rsidP="006E51E2">
            <w:pPr>
              <w:cnfStyle w:val="100000000000" w:firstRow="1" w:lastRow="0" w:firstColumn="0" w:lastColumn="0" w:oddVBand="0" w:evenVBand="0" w:oddHBand="0" w:evenHBand="0" w:firstRowFirstColumn="0" w:firstRowLastColumn="0" w:lastRowFirstColumn="0" w:lastRowLastColumn="0"/>
              <w:rPr>
                <w:b w:val="0"/>
                <w:sz w:val="20"/>
                <w:szCs w:val="22"/>
              </w:rPr>
            </w:pPr>
            <w:r w:rsidRPr="006B752A">
              <w:rPr>
                <w:sz w:val="20"/>
                <w:szCs w:val="22"/>
              </w:rPr>
              <w:t>Victoria</w:t>
            </w:r>
          </w:p>
        </w:tc>
        <w:tc>
          <w:tcPr>
            <w:tcW w:w="2500" w:type="dxa"/>
          </w:tcPr>
          <w:p w14:paraId="51A30B56" w14:textId="77777777" w:rsidR="006B752A" w:rsidRPr="006B752A" w:rsidRDefault="006B752A" w:rsidP="006E51E2">
            <w:pPr>
              <w:cnfStyle w:val="100000000000" w:firstRow="1" w:lastRow="0" w:firstColumn="0" w:lastColumn="0" w:oddVBand="0" w:evenVBand="0" w:oddHBand="0" w:evenHBand="0" w:firstRowFirstColumn="0" w:firstRowLastColumn="0" w:lastRowFirstColumn="0" w:lastRowLastColumn="0"/>
              <w:rPr>
                <w:b w:val="0"/>
                <w:sz w:val="20"/>
                <w:szCs w:val="22"/>
              </w:rPr>
            </w:pPr>
            <w:r w:rsidRPr="006B752A">
              <w:rPr>
                <w:sz w:val="20"/>
                <w:szCs w:val="22"/>
              </w:rPr>
              <w:t>Source</w:t>
            </w:r>
          </w:p>
        </w:tc>
      </w:tr>
      <w:tr w:rsidR="006B752A" w14:paraId="243292CC" w14:textId="77777777" w:rsidTr="006B752A">
        <w:tc>
          <w:tcPr>
            <w:cnfStyle w:val="001000000000" w:firstRow="0" w:lastRow="0" w:firstColumn="1" w:lastColumn="0" w:oddVBand="0" w:evenVBand="0" w:oddHBand="0" w:evenHBand="0" w:firstRowFirstColumn="0" w:firstRowLastColumn="0" w:lastRowFirstColumn="0" w:lastRowLastColumn="0"/>
            <w:tcW w:w="3539" w:type="dxa"/>
            <w:shd w:val="clear" w:color="auto" w:fill="D9D9D6" w:themeFill="background2"/>
          </w:tcPr>
          <w:p w14:paraId="73BF761B" w14:textId="7533AA2C" w:rsidR="006B752A" w:rsidRPr="006B752A" w:rsidRDefault="006B752A" w:rsidP="006E51E2">
            <w:pPr>
              <w:rPr>
                <w:b/>
                <w:sz w:val="20"/>
                <w:szCs w:val="22"/>
              </w:rPr>
            </w:pPr>
            <w:r w:rsidRPr="006B752A">
              <w:rPr>
                <w:b/>
                <w:sz w:val="20"/>
                <w:szCs w:val="22"/>
              </w:rPr>
              <w:t>Population 2020</w:t>
            </w:r>
          </w:p>
        </w:tc>
        <w:tc>
          <w:tcPr>
            <w:tcW w:w="1701" w:type="dxa"/>
            <w:shd w:val="clear" w:color="auto" w:fill="D9D9D6" w:themeFill="background2"/>
          </w:tcPr>
          <w:p w14:paraId="1322EB36"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1276" w:type="dxa"/>
            <w:shd w:val="clear" w:color="auto" w:fill="D9D9D6" w:themeFill="background2"/>
          </w:tcPr>
          <w:p w14:paraId="3DA644C5"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2500" w:type="dxa"/>
            <w:shd w:val="clear" w:color="auto" w:fill="D9D9D6" w:themeFill="background2"/>
          </w:tcPr>
          <w:p w14:paraId="2EA8FE5A"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r>
      <w:tr w:rsidR="006B752A" w14:paraId="755B81FF" w14:textId="77777777" w:rsidTr="006B752A">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3365641" w14:textId="77777777" w:rsidR="006B752A" w:rsidRPr="006B752A" w:rsidRDefault="006B752A" w:rsidP="006E51E2">
            <w:pPr>
              <w:rPr>
                <w:b/>
                <w:sz w:val="20"/>
                <w:szCs w:val="22"/>
              </w:rPr>
            </w:pPr>
            <w:r w:rsidRPr="006B752A">
              <w:rPr>
                <w:b/>
                <w:sz w:val="20"/>
                <w:szCs w:val="22"/>
              </w:rPr>
              <w:t>Total</w:t>
            </w:r>
          </w:p>
        </w:tc>
        <w:tc>
          <w:tcPr>
            <w:tcW w:w="1701" w:type="dxa"/>
            <w:shd w:val="clear" w:color="auto" w:fill="auto"/>
          </w:tcPr>
          <w:p w14:paraId="1697D3A8"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43,414</w:t>
            </w:r>
          </w:p>
        </w:tc>
        <w:tc>
          <w:tcPr>
            <w:tcW w:w="1276" w:type="dxa"/>
            <w:shd w:val="clear" w:color="auto" w:fill="auto"/>
          </w:tcPr>
          <w:p w14:paraId="599F97EA"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2500" w:type="dxa"/>
            <w:shd w:val="clear" w:color="auto" w:fill="auto"/>
          </w:tcPr>
          <w:p w14:paraId="5A93DB93"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Wodonga Profile ID</w:t>
            </w:r>
          </w:p>
        </w:tc>
      </w:tr>
      <w:tr w:rsidR="006B752A" w14:paraId="3B8CA76F" w14:textId="77777777" w:rsidTr="006B752A">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2970D8B" w14:textId="77777777" w:rsidR="006B752A" w:rsidRPr="006B752A" w:rsidRDefault="006B752A" w:rsidP="006E51E2">
            <w:pPr>
              <w:rPr>
                <w:b/>
                <w:sz w:val="20"/>
                <w:szCs w:val="22"/>
              </w:rPr>
            </w:pPr>
            <w:r w:rsidRPr="006B752A">
              <w:rPr>
                <w:b/>
                <w:sz w:val="20"/>
                <w:szCs w:val="22"/>
              </w:rPr>
              <w:t>0-4 years</w:t>
            </w:r>
          </w:p>
        </w:tc>
        <w:tc>
          <w:tcPr>
            <w:tcW w:w="1701" w:type="dxa"/>
            <w:shd w:val="clear" w:color="auto" w:fill="auto"/>
          </w:tcPr>
          <w:p w14:paraId="07EF7BB8"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3000</w:t>
            </w:r>
          </w:p>
        </w:tc>
        <w:tc>
          <w:tcPr>
            <w:tcW w:w="1276" w:type="dxa"/>
            <w:shd w:val="clear" w:color="auto" w:fill="auto"/>
          </w:tcPr>
          <w:p w14:paraId="0969FCBE"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2500" w:type="dxa"/>
            <w:shd w:val="clear" w:color="auto" w:fill="auto"/>
          </w:tcPr>
          <w:p w14:paraId="4211AFA8"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Wodonga Profile ID</w:t>
            </w:r>
          </w:p>
        </w:tc>
      </w:tr>
      <w:tr w:rsidR="006B752A" w14:paraId="24657A86" w14:textId="77777777" w:rsidTr="006B752A">
        <w:tc>
          <w:tcPr>
            <w:cnfStyle w:val="001000000000" w:firstRow="0" w:lastRow="0" w:firstColumn="1" w:lastColumn="0" w:oddVBand="0" w:evenVBand="0" w:oddHBand="0" w:evenHBand="0" w:firstRowFirstColumn="0" w:firstRowLastColumn="0" w:lastRowFirstColumn="0" w:lastRowLastColumn="0"/>
            <w:tcW w:w="3539" w:type="dxa"/>
            <w:shd w:val="clear" w:color="auto" w:fill="D9D9D6" w:themeFill="background2"/>
          </w:tcPr>
          <w:p w14:paraId="1E001A47" w14:textId="77777777" w:rsidR="006B752A" w:rsidRPr="006B752A" w:rsidRDefault="006B752A" w:rsidP="006E51E2">
            <w:pPr>
              <w:rPr>
                <w:b/>
                <w:sz w:val="20"/>
                <w:szCs w:val="22"/>
              </w:rPr>
            </w:pPr>
            <w:r w:rsidRPr="006B752A">
              <w:rPr>
                <w:b/>
                <w:sz w:val="20"/>
                <w:szCs w:val="22"/>
              </w:rPr>
              <w:t>Households</w:t>
            </w:r>
          </w:p>
        </w:tc>
        <w:tc>
          <w:tcPr>
            <w:tcW w:w="1701" w:type="dxa"/>
            <w:shd w:val="clear" w:color="auto" w:fill="D9D9D6" w:themeFill="background2"/>
          </w:tcPr>
          <w:p w14:paraId="04FCDE2D"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1276" w:type="dxa"/>
            <w:shd w:val="clear" w:color="auto" w:fill="D9D9D6" w:themeFill="background2"/>
          </w:tcPr>
          <w:p w14:paraId="73E429A7"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2500" w:type="dxa"/>
            <w:shd w:val="clear" w:color="auto" w:fill="D9D9D6" w:themeFill="background2"/>
          </w:tcPr>
          <w:p w14:paraId="131EEC8C"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r>
      <w:tr w:rsidR="006B752A" w14:paraId="3C13026A" w14:textId="77777777" w:rsidTr="006B752A">
        <w:tc>
          <w:tcPr>
            <w:cnfStyle w:val="001000000000" w:firstRow="0" w:lastRow="0" w:firstColumn="1" w:lastColumn="0" w:oddVBand="0" w:evenVBand="0" w:oddHBand="0" w:evenHBand="0" w:firstRowFirstColumn="0" w:firstRowLastColumn="0" w:lastRowFirstColumn="0" w:lastRowLastColumn="0"/>
            <w:tcW w:w="3539" w:type="dxa"/>
          </w:tcPr>
          <w:p w14:paraId="641A1AFA" w14:textId="77777777" w:rsidR="006B752A" w:rsidRPr="006B752A" w:rsidRDefault="006B752A" w:rsidP="006E51E2">
            <w:pPr>
              <w:rPr>
                <w:sz w:val="20"/>
                <w:szCs w:val="22"/>
              </w:rPr>
            </w:pPr>
            <w:r w:rsidRPr="006B752A">
              <w:rPr>
                <w:sz w:val="20"/>
                <w:szCs w:val="22"/>
              </w:rPr>
              <w:t>Percentage of households with children under 15 years</w:t>
            </w:r>
          </w:p>
        </w:tc>
        <w:tc>
          <w:tcPr>
            <w:tcW w:w="1701" w:type="dxa"/>
          </w:tcPr>
          <w:p w14:paraId="5889E0C8"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34.9%</w:t>
            </w:r>
          </w:p>
        </w:tc>
        <w:tc>
          <w:tcPr>
            <w:tcW w:w="1276" w:type="dxa"/>
          </w:tcPr>
          <w:p w14:paraId="3C812B14"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34.6%</w:t>
            </w:r>
          </w:p>
        </w:tc>
        <w:tc>
          <w:tcPr>
            <w:tcW w:w="2500" w:type="dxa"/>
          </w:tcPr>
          <w:p w14:paraId="425E709D"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ABS 2016</w:t>
            </w:r>
          </w:p>
        </w:tc>
      </w:tr>
      <w:tr w:rsidR="006B752A" w14:paraId="3E8EA370" w14:textId="77777777" w:rsidTr="006B752A">
        <w:tc>
          <w:tcPr>
            <w:cnfStyle w:val="001000000000" w:firstRow="0" w:lastRow="0" w:firstColumn="1" w:lastColumn="0" w:oddVBand="0" w:evenVBand="0" w:oddHBand="0" w:evenHBand="0" w:firstRowFirstColumn="0" w:firstRowLastColumn="0" w:lastRowFirstColumn="0" w:lastRowLastColumn="0"/>
            <w:tcW w:w="3539" w:type="dxa"/>
          </w:tcPr>
          <w:p w14:paraId="40506C02" w14:textId="77777777" w:rsidR="006B752A" w:rsidRPr="006B752A" w:rsidRDefault="006B752A" w:rsidP="006E51E2">
            <w:pPr>
              <w:rPr>
                <w:sz w:val="20"/>
                <w:szCs w:val="22"/>
              </w:rPr>
            </w:pPr>
            <w:r w:rsidRPr="006B752A">
              <w:rPr>
                <w:sz w:val="20"/>
                <w:szCs w:val="22"/>
              </w:rPr>
              <w:t>Children who live with one parent</w:t>
            </w:r>
          </w:p>
        </w:tc>
        <w:tc>
          <w:tcPr>
            <w:tcW w:w="1701" w:type="dxa"/>
          </w:tcPr>
          <w:p w14:paraId="684C57D9"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18.3%</w:t>
            </w:r>
          </w:p>
        </w:tc>
        <w:tc>
          <w:tcPr>
            <w:tcW w:w="1276" w:type="dxa"/>
          </w:tcPr>
          <w:p w14:paraId="53D318D7"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10.9%</w:t>
            </w:r>
          </w:p>
        </w:tc>
        <w:tc>
          <w:tcPr>
            <w:tcW w:w="2500" w:type="dxa"/>
          </w:tcPr>
          <w:p w14:paraId="646CD75B"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Wodonga SEHQ 2019</w:t>
            </w:r>
          </w:p>
        </w:tc>
      </w:tr>
      <w:tr w:rsidR="006B752A" w14:paraId="327B88E4" w14:textId="77777777" w:rsidTr="006B752A">
        <w:tc>
          <w:tcPr>
            <w:cnfStyle w:val="001000000000" w:firstRow="0" w:lastRow="0" w:firstColumn="1" w:lastColumn="0" w:oddVBand="0" w:evenVBand="0" w:oddHBand="0" w:evenHBand="0" w:firstRowFirstColumn="0" w:firstRowLastColumn="0" w:lastRowFirstColumn="0" w:lastRowLastColumn="0"/>
            <w:tcW w:w="3539" w:type="dxa"/>
            <w:shd w:val="clear" w:color="auto" w:fill="D9D9D6" w:themeFill="background2"/>
          </w:tcPr>
          <w:p w14:paraId="0120D051" w14:textId="77777777" w:rsidR="006B752A" w:rsidRPr="006B752A" w:rsidRDefault="006B752A" w:rsidP="006E51E2">
            <w:pPr>
              <w:rPr>
                <w:b/>
                <w:sz w:val="20"/>
                <w:szCs w:val="22"/>
              </w:rPr>
            </w:pPr>
            <w:r w:rsidRPr="006B752A">
              <w:rPr>
                <w:b/>
                <w:sz w:val="20"/>
                <w:szCs w:val="22"/>
              </w:rPr>
              <w:t>Income</w:t>
            </w:r>
          </w:p>
        </w:tc>
        <w:tc>
          <w:tcPr>
            <w:tcW w:w="1701" w:type="dxa"/>
            <w:shd w:val="clear" w:color="auto" w:fill="D9D9D6" w:themeFill="background2"/>
          </w:tcPr>
          <w:p w14:paraId="62E4519F"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1276" w:type="dxa"/>
            <w:shd w:val="clear" w:color="auto" w:fill="D9D9D6" w:themeFill="background2"/>
          </w:tcPr>
          <w:p w14:paraId="6C1C2251"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2500" w:type="dxa"/>
            <w:shd w:val="clear" w:color="auto" w:fill="D9D9D6" w:themeFill="background2"/>
          </w:tcPr>
          <w:p w14:paraId="0E5D75C4"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r>
      <w:tr w:rsidR="006B752A" w14:paraId="2EF5D291" w14:textId="77777777" w:rsidTr="006B752A">
        <w:tc>
          <w:tcPr>
            <w:cnfStyle w:val="001000000000" w:firstRow="0" w:lastRow="0" w:firstColumn="1" w:lastColumn="0" w:oddVBand="0" w:evenVBand="0" w:oddHBand="0" w:evenHBand="0" w:firstRowFirstColumn="0" w:firstRowLastColumn="0" w:lastRowFirstColumn="0" w:lastRowLastColumn="0"/>
            <w:tcW w:w="3539" w:type="dxa"/>
          </w:tcPr>
          <w:p w14:paraId="483F5E81" w14:textId="77777777" w:rsidR="006B752A" w:rsidRPr="006B752A" w:rsidRDefault="006B752A" w:rsidP="006E51E2">
            <w:pPr>
              <w:rPr>
                <w:sz w:val="20"/>
                <w:szCs w:val="22"/>
              </w:rPr>
            </w:pPr>
            <w:r w:rsidRPr="006B752A">
              <w:rPr>
                <w:sz w:val="20"/>
                <w:szCs w:val="22"/>
              </w:rPr>
              <w:t>SEIFA index</w:t>
            </w:r>
          </w:p>
        </w:tc>
        <w:tc>
          <w:tcPr>
            <w:tcW w:w="1701" w:type="dxa"/>
          </w:tcPr>
          <w:p w14:paraId="4219663C"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977</w:t>
            </w:r>
          </w:p>
        </w:tc>
        <w:tc>
          <w:tcPr>
            <w:tcW w:w="1276" w:type="dxa"/>
          </w:tcPr>
          <w:p w14:paraId="6373F0CC"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p>
        </w:tc>
        <w:tc>
          <w:tcPr>
            <w:tcW w:w="2500" w:type="dxa"/>
          </w:tcPr>
          <w:p w14:paraId="71E9BC9D"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Profile id 2018</w:t>
            </w:r>
          </w:p>
        </w:tc>
      </w:tr>
      <w:tr w:rsidR="006B752A" w14:paraId="7030A50E" w14:textId="77777777" w:rsidTr="006B752A">
        <w:tc>
          <w:tcPr>
            <w:cnfStyle w:val="001000000000" w:firstRow="0" w:lastRow="0" w:firstColumn="1" w:lastColumn="0" w:oddVBand="0" w:evenVBand="0" w:oddHBand="0" w:evenHBand="0" w:firstRowFirstColumn="0" w:firstRowLastColumn="0" w:lastRowFirstColumn="0" w:lastRowLastColumn="0"/>
            <w:tcW w:w="3539" w:type="dxa"/>
          </w:tcPr>
          <w:p w14:paraId="279BBE26" w14:textId="77777777" w:rsidR="006B752A" w:rsidRPr="006B752A" w:rsidRDefault="006B752A" w:rsidP="006E51E2">
            <w:pPr>
              <w:rPr>
                <w:sz w:val="20"/>
                <w:szCs w:val="22"/>
              </w:rPr>
            </w:pPr>
            <w:r w:rsidRPr="006B752A">
              <w:rPr>
                <w:sz w:val="20"/>
                <w:szCs w:val="22"/>
              </w:rPr>
              <w:t xml:space="preserve">Median total household income </w:t>
            </w:r>
          </w:p>
        </w:tc>
        <w:tc>
          <w:tcPr>
            <w:tcW w:w="1701" w:type="dxa"/>
          </w:tcPr>
          <w:p w14:paraId="1CDA777F"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$877</w:t>
            </w:r>
          </w:p>
        </w:tc>
        <w:tc>
          <w:tcPr>
            <w:tcW w:w="1276" w:type="dxa"/>
          </w:tcPr>
          <w:p w14:paraId="042705C0"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$864</w:t>
            </w:r>
          </w:p>
        </w:tc>
        <w:tc>
          <w:tcPr>
            <w:tcW w:w="2500" w:type="dxa"/>
          </w:tcPr>
          <w:p w14:paraId="68145C95"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ABS 2016</w:t>
            </w:r>
          </w:p>
        </w:tc>
      </w:tr>
      <w:tr w:rsidR="006B752A" w14:paraId="6BB3EE3B" w14:textId="77777777" w:rsidTr="006B752A">
        <w:tc>
          <w:tcPr>
            <w:cnfStyle w:val="001000000000" w:firstRow="0" w:lastRow="0" w:firstColumn="1" w:lastColumn="0" w:oddVBand="0" w:evenVBand="0" w:oddHBand="0" w:evenHBand="0" w:firstRowFirstColumn="0" w:firstRowLastColumn="0" w:lastRowFirstColumn="0" w:lastRowLastColumn="0"/>
            <w:tcW w:w="3539" w:type="dxa"/>
          </w:tcPr>
          <w:p w14:paraId="1538FDA1" w14:textId="77777777" w:rsidR="006B752A" w:rsidRPr="006B752A" w:rsidRDefault="006B752A" w:rsidP="006E51E2">
            <w:pPr>
              <w:rPr>
                <w:sz w:val="20"/>
                <w:szCs w:val="22"/>
              </w:rPr>
            </w:pPr>
            <w:r w:rsidRPr="006B752A">
              <w:rPr>
                <w:sz w:val="20"/>
                <w:szCs w:val="22"/>
              </w:rPr>
              <w:t>Percentage of children attending kindergarten under Kindergarten Fee Subsidy (KFS)</w:t>
            </w:r>
          </w:p>
        </w:tc>
        <w:tc>
          <w:tcPr>
            <w:tcW w:w="1701" w:type="dxa"/>
          </w:tcPr>
          <w:p w14:paraId="4666C08F"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32.7%</w:t>
            </w:r>
          </w:p>
        </w:tc>
        <w:tc>
          <w:tcPr>
            <w:tcW w:w="1276" w:type="dxa"/>
          </w:tcPr>
          <w:p w14:paraId="6EF61B31"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26.8%</w:t>
            </w:r>
          </w:p>
        </w:tc>
        <w:tc>
          <w:tcPr>
            <w:tcW w:w="2500" w:type="dxa"/>
          </w:tcPr>
          <w:p w14:paraId="727E208E"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VCAMS 2015</w:t>
            </w:r>
          </w:p>
        </w:tc>
      </w:tr>
      <w:tr w:rsidR="006B752A" w14:paraId="50FBEE6E" w14:textId="77777777" w:rsidTr="006B752A">
        <w:tc>
          <w:tcPr>
            <w:cnfStyle w:val="001000000000" w:firstRow="0" w:lastRow="0" w:firstColumn="1" w:lastColumn="0" w:oddVBand="0" w:evenVBand="0" w:oddHBand="0" w:evenHBand="0" w:firstRowFirstColumn="0" w:firstRowLastColumn="0" w:lastRowFirstColumn="0" w:lastRowLastColumn="0"/>
            <w:tcW w:w="3539" w:type="dxa"/>
          </w:tcPr>
          <w:p w14:paraId="70C73701" w14:textId="77777777" w:rsidR="006B752A" w:rsidRPr="006B752A" w:rsidRDefault="006B752A" w:rsidP="006E51E2">
            <w:pPr>
              <w:rPr>
                <w:sz w:val="20"/>
                <w:szCs w:val="22"/>
              </w:rPr>
            </w:pPr>
            <w:r w:rsidRPr="006B752A">
              <w:rPr>
                <w:sz w:val="20"/>
                <w:szCs w:val="22"/>
              </w:rPr>
              <w:t>Renting social housing (2016)</w:t>
            </w:r>
          </w:p>
        </w:tc>
        <w:tc>
          <w:tcPr>
            <w:tcW w:w="1701" w:type="dxa"/>
          </w:tcPr>
          <w:p w14:paraId="25961F05"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6.2%</w:t>
            </w:r>
          </w:p>
        </w:tc>
        <w:tc>
          <w:tcPr>
            <w:tcW w:w="1276" w:type="dxa"/>
          </w:tcPr>
          <w:p w14:paraId="0B30CDD3"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2.9%</w:t>
            </w:r>
          </w:p>
        </w:tc>
        <w:tc>
          <w:tcPr>
            <w:tcW w:w="2500" w:type="dxa"/>
          </w:tcPr>
          <w:p w14:paraId="6A54C44F" w14:textId="77777777" w:rsidR="006B752A" w:rsidRPr="006B752A" w:rsidRDefault="006B752A" w:rsidP="006E51E2">
            <w:pPr>
              <w:cnfStyle w:val="000000000000" w:firstRow="0" w:lastRow="0" w:firstColumn="0" w:lastColumn="0" w:oddVBand="0" w:evenVBand="0" w:oddHBand="0" w:evenHBand="0" w:firstRowFirstColumn="0" w:firstRowLastColumn="0" w:lastRowFirstColumn="0" w:lastRowLastColumn="0"/>
              <w:rPr>
                <w:sz w:val="20"/>
                <w:szCs w:val="22"/>
              </w:rPr>
            </w:pPr>
            <w:r w:rsidRPr="006B752A">
              <w:rPr>
                <w:sz w:val="20"/>
                <w:szCs w:val="22"/>
              </w:rPr>
              <w:t>Wodonga housing strategy 2019; Profile id.</w:t>
            </w:r>
          </w:p>
        </w:tc>
      </w:tr>
    </w:tbl>
    <w:p w14:paraId="6BF6C2BB" w14:textId="77777777" w:rsidR="006B752A" w:rsidRDefault="006B752A" w:rsidP="006B752A"/>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6CA524A4" w14:textId="78976654" w:rsidR="00293A41" w:rsidRPr="00293A41" w:rsidRDefault="00293A41" w:rsidP="00293A41">
      <w:pPr>
        <w:rPr>
          <w:i/>
          <w:iCs/>
          <w:lang w:val="en-US"/>
        </w:rPr>
      </w:pPr>
      <w:r w:rsidRPr="00293A41">
        <w:rPr>
          <w:i/>
          <w:iCs/>
          <w:lang w:val="en-US"/>
        </w:rPr>
        <w:t xml:space="preserve">Cultural expectations regarding choice of preschool: </w:t>
      </w:r>
    </w:p>
    <w:p w14:paraId="167B91AE" w14:textId="633DA77D" w:rsidR="00293A41" w:rsidRPr="00293A41" w:rsidRDefault="00293A41" w:rsidP="00293A41">
      <w:pPr>
        <w:pStyle w:val="ListParagraph"/>
        <w:numPr>
          <w:ilvl w:val="0"/>
          <w:numId w:val="33"/>
        </w:numPr>
        <w:rPr>
          <w:lang w:val="en-US"/>
        </w:rPr>
      </w:pPr>
      <w:r w:rsidRPr="00293A41">
        <w:rPr>
          <w:lang w:val="en-US"/>
        </w:rPr>
        <w:t>KCAP data reveals a very low vacancy rate in standalone preschools and whilst they equate to 27% of managed services they provide 58% of current 4 year old places</w:t>
      </w:r>
    </w:p>
    <w:p w14:paraId="4ADDEB29" w14:textId="1EF2068C" w:rsidR="00293A41" w:rsidRDefault="00293A41" w:rsidP="00293A41">
      <w:pPr>
        <w:pStyle w:val="ListParagraph"/>
        <w:numPr>
          <w:ilvl w:val="0"/>
          <w:numId w:val="33"/>
        </w:numPr>
        <w:rPr>
          <w:lang w:val="en-US"/>
        </w:rPr>
      </w:pPr>
      <w:r w:rsidRPr="00293A41">
        <w:rPr>
          <w:lang w:val="en-US"/>
        </w:rPr>
        <w:t xml:space="preserve">Current parental expectation of children attending sessional preschool in the year before school will change with promotion of preschool programs being available in various settings. The provision of universal three-year-old preschool will rely on expansion of kindergarten places primarily in Long Day Care </w:t>
      </w:r>
      <w:proofErr w:type="spellStart"/>
      <w:r w:rsidRPr="00293A41">
        <w:rPr>
          <w:lang w:val="en-US"/>
        </w:rPr>
        <w:t>centres</w:t>
      </w:r>
      <w:proofErr w:type="spellEnd"/>
      <w:r w:rsidRPr="00293A41">
        <w:rPr>
          <w:lang w:val="en-US"/>
        </w:rPr>
        <w:t>.</w:t>
      </w:r>
    </w:p>
    <w:p w14:paraId="45F1F210" w14:textId="6DE03B68" w:rsidR="00293A41" w:rsidRDefault="00293A41" w:rsidP="00293A41">
      <w:pPr>
        <w:pStyle w:val="ListParagraph"/>
        <w:ind w:left="360"/>
        <w:rPr>
          <w:lang w:val="en-US"/>
        </w:rPr>
      </w:pPr>
    </w:p>
    <w:p w14:paraId="4E53FEB0" w14:textId="77777777" w:rsidR="00293A41" w:rsidRPr="00293A41" w:rsidRDefault="00293A41" w:rsidP="00293A41">
      <w:pPr>
        <w:pStyle w:val="ListParagraph"/>
        <w:ind w:left="360"/>
        <w:rPr>
          <w:lang w:val="en-US"/>
        </w:rPr>
      </w:pPr>
    </w:p>
    <w:p w14:paraId="3E9356B1" w14:textId="1C50E23B" w:rsidR="00293A41" w:rsidRPr="00293A41" w:rsidRDefault="00293A41" w:rsidP="00293A41">
      <w:pPr>
        <w:rPr>
          <w:i/>
          <w:iCs/>
          <w:lang w:val="en-US"/>
        </w:rPr>
      </w:pPr>
      <w:r w:rsidRPr="00293A41">
        <w:rPr>
          <w:i/>
          <w:iCs/>
          <w:lang w:val="en-US"/>
        </w:rPr>
        <w:lastRenderedPageBreak/>
        <w:t>Free kindergarten to eligible families</w:t>
      </w:r>
    </w:p>
    <w:p w14:paraId="35719320" w14:textId="0A5A875A" w:rsidR="00293A41" w:rsidRPr="00293A41" w:rsidRDefault="00293A41" w:rsidP="00293A41">
      <w:pPr>
        <w:rPr>
          <w:lang w:val="en-US"/>
        </w:rPr>
      </w:pPr>
      <w:r w:rsidRPr="00293A41">
        <w:rPr>
          <w:lang w:val="en-US"/>
        </w:rPr>
        <w:t xml:space="preserve">Vulnerable families are entitled to have their children attend kindergarten free of charge due to additional funding from the Victorian </w:t>
      </w:r>
      <w:r>
        <w:rPr>
          <w:lang w:val="en-US"/>
        </w:rPr>
        <w:t>G</w:t>
      </w:r>
      <w:r w:rsidRPr="00293A41">
        <w:rPr>
          <w:lang w:val="en-US"/>
        </w:rPr>
        <w:t xml:space="preserve">overnment. Access to this entitlement </w:t>
      </w:r>
      <w:r>
        <w:rPr>
          <w:lang w:val="en-US"/>
        </w:rPr>
        <w:t>will</w:t>
      </w:r>
      <w:r w:rsidRPr="00293A41">
        <w:rPr>
          <w:lang w:val="en-US"/>
        </w:rPr>
        <w:t xml:space="preserve"> be available to all eligible children and their families regardless of which type of kindergarten provider they choose.</w:t>
      </w:r>
    </w:p>
    <w:p w14:paraId="61260FC2" w14:textId="70758BDA" w:rsidR="00293A41" w:rsidRPr="00293A41" w:rsidRDefault="00293A41" w:rsidP="00293A41">
      <w:pPr>
        <w:rPr>
          <w:i/>
          <w:iCs/>
          <w:lang w:val="en-US"/>
        </w:rPr>
      </w:pPr>
      <w:r w:rsidRPr="00293A41">
        <w:rPr>
          <w:i/>
          <w:iCs/>
          <w:lang w:val="en-US"/>
        </w:rPr>
        <w:t>Priority of access</w:t>
      </w:r>
    </w:p>
    <w:p w14:paraId="0C377D37" w14:textId="093BD8B7" w:rsidR="00293A41" w:rsidRPr="00293A41" w:rsidRDefault="00293A41" w:rsidP="00293A41">
      <w:pPr>
        <w:rPr>
          <w:lang w:val="en-US"/>
        </w:rPr>
      </w:pPr>
      <w:r w:rsidRPr="00293A41">
        <w:rPr>
          <w:lang w:val="en-US"/>
        </w:rPr>
        <w:t xml:space="preserve">Enrolment of children under Priority of Access guidelines enables the participation and engagement of children experiencing disadvantage or requiring additional needs. The introduction of three-year-old preschool funding will see the expansion of preschool programs across a variety of settings. To support these families all </w:t>
      </w:r>
      <w:r>
        <w:rPr>
          <w:lang w:val="en-US"/>
        </w:rPr>
        <w:t>k</w:t>
      </w:r>
      <w:r w:rsidRPr="00293A41">
        <w:rPr>
          <w:lang w:val="en-US"/>
        </w:rPr>
        <w:t xml:space="preserve">indergarten providers in Wodonga will need follow equitable and inclusive practices. </w:t>
      </w:r>
    </w:p>
    <w:p w14:paraId="47CB647F" w14:textId="77777777" w:rsidR="00293A41" w:rsidRPr="00293A41" w:rsidRDefault="00293A41" w:rsidP="00293A41">
      <w:pPr>
        <w:rPr>
          <w:i/>
          <w:iCs/>
          <w:lang w:val="en-US"/>
        </w:rPr>
      </w:pPr>
      <w:r w:rsidRPr="00293A41">
        <w:rPr>
          <w:i/>
          <w:iCs/>
          <w:lang w:val="en-US"/>
        </w:rPr>
        <w:t>Growth corridors</w:t>
      </w:r>
    </w:p>
    <w:p w14:paraId="60DB3AD8" w14:textId="0527560E" w:rsidR="00293A41" w:rsidRPr="00293A41" w:rsidRDefault="00293A41" w:rsidP="00293A41">
      <w:pPr>
        <w:rPr>
          <w:lang w:val="en-US"/>
        </w:rPr>
      </w:pPr>
      <w:r w:rsidRPr="00293A41">
        <w:rPr>
          <w:lang w:val="en-US"/>
        </w:rPr>
        <w:t xml:space="preserve">Wodonga has two major growth corridors where population is expected to increase substantially in future.  The population of </w:t>
      </w:r>
      <w:r>
        <w:rPr>
          <w:lang w:val="en-US"/>
        </w:rPr>
        <w:t xml:space="preserve">three </w:t>
      </w:r>
      <w:r w:rsidRPr="00293A41">
        <w:rPr>
          <w:lang w:val="en-US"/>
        </w:rPr>
        <w:t xml:space="preserve">and </w:t>
      </w:r>
      <w:r>
        <w:rPr>
          <w:lang w:val="en-US"/>
        </w:rPr>
        <w:t>four</w:t>
      </w:r>
      <w:r w:rsidRPr="00293A41">
        <w:rPr>
          <w:lang w:val="en-US"/>
        </w:rPr>
        <w:t>-year-old children in Leneva/Baranduda is forecast to increase by 136% over the next 9 years, and Killara/Bandiana by 59.4%. There will be a significant need for more community infrastructure and services in these areas. An educational facility is proposed for the Leneva area in 2025.</w:t>
      </w:r>
    </w:p>
    <w:p w14:paraId="6032630E" w14:textId="77777777" w:rsidR="00293A41" w:rsidRPr="00293A41" w:rsidRDefault="00293A41" w:rsidP="00293A41">
      <w:pPr>
        <w:rPr>
          <w:i/>
          <w:iCs/>
          <w:lang w:val="en-US"/>
        </w:rPr>
      </w:pPr>
      <w:r w:rsidRPr="00293A41">
        <w:rPr>
          <w:i/>
          <w:iCs/>
          <w:lang w:val="en-US"/>
        </w:rPr>
        <w:t>Housing</w:t>
      </w:r>
    </w:p>
    <w:p w14:paraId="080EF6AB" w14:textId="783E136E" w:rsidR="00293A41" w:rsidRPr="00293A41" w:rsidRDefault="00293A41" w:rsidP="00293A41">
      <w:pPr>
        <w:rPr>
          <w:lang w:val="en-US"/>
        </w:rPr>
      </w:pPr>
      <w:r w:rsidRPr="00293A41">
        <w:rPr>
          <w:lang w:val="en-US"/>
        </w:rPr>
        <w:t>The median rent in Wodonga is $300 per week when compared to the median household income of $807 per week it equates to 37% of income which can create financial stress.</w:t>
      </w:r>
    </w:p>
    <w:p w14:paraId="56293A56" w14:textId="2C16A83B" w:rsidR="00D7126F" w:rsidRPr="00476B31" w:rsidRDefault="00293A41" w:rsidP="00293A41">
      <w:pPr>
        <w:rPr>
          <w:lang w:val="en-US"/>
        </w:rPr>
      </w:pPr>
      <w:r w:rsidRPr="00293A41">
        <w:rPr>
          <w:lang w:val="en-US"/>
        </w:rPr>
        <w:t xml:space="preserve">Social housing stocks in 2016 were estimated to be 932 dwellings according to the Wodonga Housing Strategy, 2019. The Victorian </w:t>
      </w:r>
      <w:r>
        <w:rPr>
          <w:lang w:val="en-US"/>
        </w:rPr>
        <w:t>G</w:t>
      </w:r>
      <w:r w:rsidRPr="00293A41">
        <w:rPr>
          <w:lang w:val="en-US"/>
        </w:rPr>
        <w:t xml:space="preserve">overnment has just announced it will provide a minimum spend of $40 million for the construction of affordable housing in Wodonga over the next </w:t>
      </w:r>
      <w:r>
        <w:rPr>
          <w:lang w:val="en-US"/>
        </w:rPr>
        <w:t>four</w:t>
      </w:r>
      <w:r w:rsidRPr="00293A41">
        <w:rPr>
          <w:lang w:val="en-US"/>
        </w:rPr>
        <w:t xml:space="preserve"> years.</w:t>
      </w: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03999930" w14:textId="77777777" w:rsidR="00C87E6F" w:rsidRPr="00C87E6F" w:rsidRDefault="00C87E6F" w:rsidP="00C87E6F">
      <w:pPr>
        <w:rPr>
          <w:i/>
          <w:iCs/>
          <w:lang w:val="en-US"/>
        </w:rPr>
      </w:pPr>
      <w:r w:rsidRPr="00C87E6F">
        <w:rPr>
          <w:i/>
          <w:iCs/>
          <w:lang w:val="en-US"/>
        </w:rPr>
        <w:t>Workforce</w:t>
      </w:r>
    </w:p>
    <w:p w14:paraId="6D4A8674" w14:textId="41D35FCB" w:rsidR="00C87E6F" w:rsidRPr="00C87E6F" w:rsidRDefault="00C87E6F" w:rsidP="00C87E6F">
      <w:pPr>
        <w:rPr>
          <w:lang w:val="en-US"/>
        </w:rPr>
      </w:pPr>
      <w:r w:rsidRPr="00C87E6F">
        <w:rPr>
          <w:lang w:val="en-US"/>
        </w:rPr>
        <w:t xml:space="preserve">Anecdotally there are currently services in Wodonga unable to </w:t>
      </w:r>
      <w:proofErr w:type="spellStart"/>
      <w:r w:rsidRPr="00C87E6F">
        <w:rPr>
          <w:lang w:val="en-US"/>
        </w:rPr>
        <w:t>utilise</w:t>
      </w:r>
      <w:proofErr w:type="spellEnd"/>
      <w:r w:rsidRPr="00C87E6F">
        <w:rPr>
          <w:lang w:val="en-US"/>
        </w:rPr>
        <w:t xml:space="preserve"> their current rooms due to lack of qualified staff and this will be increased to accommodate another age cohort of children.</w:t>
      </w:r>
      <w:r>
        <w:rPr>
          <w:lang w:val="en-US"/>
        </w:rPr>
        <w:t xml:space="preserve"> </w:t>
      </w:r>
      <w:r w:rsidRPr="00C87E6F">
        <w:rPr>
          <w:lang w:val="en-US"/>
        </w:rPr>
        <w:t>Workforce planning and initiatives will need a municipal wide response and be inclusive of providers, educational facilities and local and state governments.</w:t>
      </w:r>
    </w:p>
    <w:p w14:paraId="4596D7EC" w14:textId="77777777" w:rsidR="00C87E6F" w:rsidRPr="00C87E6F" w:rsidRDefault="00C87E6F" w:rsidP="00C87E6F">
      <w:pPr>
        <w:rPr>
          <w:i/>
          <w:iCs/>
          <w:lang w:val="en-US"/>
        </w:rPr>
      </w:pPr>
      <w:r w:rsidRPr="00C87E6F">
        <w:rPr>
          <w:i/>
          <w:iCs/>
          <w:lang w:val="en-US"/>
        </w:rPr>
        <w:t>Employment and Education Hub</w:t>
      </w:r>
    </w:p>
    <w:p w14:paraId="46E65F16" w14:textId="176BC392" w:rsidR="00C87E6F" w:rsidRDefault="00C87E6F" w:rsidP="00C87E6F">
      <w:pPr>
        <w:rPr>
          <w:lang w:val="en-US"/>
        </w:rPr>
      </w:pPr>
      <w:r w:rsidRPr="00C87E6F">
        <w:rPr>
          <w:lang w:val="en-US"/>
        </w:rPr>
        <w:t xml:space="preserve">Wodonga is a major provider of education and employment with a university, TAFE, and several major employers. As such we draw people from outlying municipalities to </w:t>
      </w:r>
      <w:proofErr w:type="spellStart"/>
      <w:r w:rsidRPr="00C87E6F">
        <w:rPr>
          <w:lang w:val="en-US"/>
        </w:rPr>
        <w:t>utilise</w:t>
      </w:r>
      <w:proofErr w:type="spellEnd"/>
      <w:r w:rsidRPr="00C87E6F">
        <w:rPr>
          <w:lang w:val="en-US"/>
        </w:rPr>
        <w:t xml:space="preserve"> our services and amenities. This role has intensified in recent years with the transformation of the Wodonga CBD, shopping and business precincts and the LOGIC </w:t>
      </w:r>
      <w:proofErr w:type="spellStart"/>
      <w:r w:rsidRPr="00C87E6F">
        <w:rPr>
          <w:lang w:val="en-US"/>
        </w:rPr>
        <w:t>centre</w:t>
      </w:r>
      <w:proofErr w:type="spellEnd"/>
      <w:r w:rsidRPr="00C87E6F">
        <w:rPr>
          <w:lang w:val="en-US"/>
        </w:rPr>
        <w:t>. This growth is forecast to continue into the future which may increase our current predictions, particularly in regard</w:t>
      </w:r>
      <w:r>
        <w:rPr>
          <w:lang w:val="en-US"/>
        </w:rPr>
        <w:t xml:space="preserve"> to</w:t>
      </w:r>
      <w:r w:rsidRPr="00C87E6F">
        <w:rPr>
          <w:lang w:val="en-US"/>
        </w:rPr>
        <w:t xml:space="preserve"> families </w:t>
      </w:r>
      <w:proofErr w:type="spellStart"/>
      <w:r w:rsidRPr="00C87E6F">
        <w:rPr>
          <w:lang w:val="en-US"/>
        </w:rPr>
        <w:t>utilising</w:t>
      </w:r>
      <w:proofErr w:type="spellEnd"/>
      <w:r w:rsidRPr="00C87E6F">
        <w:rPr>
          <w:lang w:val="en-US"/>
        </w:rPr>
        <w:t xml:space="preserve"> our early year’s services.</w:t>
      </w:r>
    </w:p>
    <w:p w14:paraId="763DFD08" w14:textId="0C0DB593" w:rsidR="00C87E6F" w:rsidRPr="00C87E6F" w:rsidRDefault="00C87E6F" w:rsidP="00C87E6F">
      <w:pPr>
        <w:rPr>
          <w:i/>
          <w:iCs/>
          <w:lang w:val="en-US"/>
        </w:rPr>
      </w:pPr>
      <w:r w:rsidRPr="00C87E6F">
        <w:rPr>
          <w:i/>
          <w:iCs/>
          <w:lang w:val="en-US"/>
        </w:rPr>
        <w:t>Staged three-year-old preschool introduction</w:t>
      </w:r>
    </w:p>
    <w:p w14:paraId="0980C077" w14:textId="50D8DE81" w:rsidR="00C87E6F" w:rsidRDefault="00C87E6F" w:rsidP="00C87E6F">
      <w:pPr>
        <w:rPr>
          <w:lang w:val="en-US"/>
        </w:rPr>
      </w:pPr>
      <w:bookmarkStart w:id="38" w:name="_Hlk61517086"/>
      <w:r w:rsidRPr="00C87E6F">
        <w:rPr>
          <w:lang w:val="en-US"/>
        </w:rPr>
        <w:t xml:space="preserve">Wodonga is in the third </w:t>
      </w:r>
      <w:r w:rsidR="000C7813">
        <w:rPr>
          <w:lang w:val="en-US"/>
        </w:rPr>
        <w:t xml:space="preserve">and final </w:t>
      </w:r>
      <w:r w:rsidRPr="00C87E6F">
        <w:rPr>
          <w:lang w:val="en-US"/>
        </w:rPr>
        <w:t>stage to introduce three-year-old funded preschool and in 2022 will be able to provide 5 hours of preschool to eligible children, which increases to 15 hours from 2023. Surrounding municipalities in stage two of the rollout will be able to provide 15 hours of three-year-old preschool from 2021 and will be supported by Victorian Government incentives to attract staff to kindergarten programs.</w:t>
      </w:r>
      <w:r>
        <w:rPr>
          <w:lang w:val="en-US"/>
        </w:rPr>
        <w:t xml:space="preserve">  These workforce attraction initiatives would be welcomed for 2022 rollout areas also. </w:t>
      </w:r>
    </w:p>
    <w:bookmarkEnd w:id="38"/>
    <w:p w14:paraId="5CDC7C1D" w14:textId="77777777" w:rsidR="00C87E6F" w:rsidRDefault="00C87E6F" w:rsidP="00C87E6F">
      <w:pPr>
        <w:rPr>
          <w:b/>
          <w:bCs/>
          <w:lang w:val="en-US"/>
        </w:rPr>
      </w:pPr>
      <w:r>
        <w:rPr>
          <w:b/>
          <w:bCs/>
          <w:lang w:val="en-US"/>
        </w:rPr>
        <w:lastRenderedPageBreak/>
        <w:t>O</w:t>
      </w:r>
      <w:r w:rsidRPr="00024A38">
        <w:rPr>
          <w:b/>
          <w:bCs/>
          <w:lang w:val="en-US"/>
        </w:rPr>
        <w:t xml:space="preserve">ther information </w:t>
      </w:r>
      <w:r>
        <w:rPr>
          <w:b/>
          <w:bCs/>
          <w:lang w:val="en-US"/>
        </w:rPr>
        <w:t>about the expansion of early childhood services</w:t>
      </w:r>
    </w:p>
    <w:p w14:paraId="39F314C5" w14:textId="5B94DA3F" w:rsidR="000C7813" w:rsidRDefault="00C87E6F" w:rsidP="00C87E6F">
      <w:pPr>
        <w:rPr>
          <w:lang w:val="en-US"/>
        </w:rPr>
      </w:pPr>
      <w:r w:rsidRPr="00C87E6F">
        <w:rPr>
          <w:lang w:val="en-US"/>
        </w:rPr>
        <w:t>The Early Years Education Reforms will impact the local context in several ways such as</w:t>
      </w:r>
      <w:r w:rsidR="000C7813">
        <w:rPr>
          <w:lang w:val="en-US"/>
        </w:rPr>
        <w:t>:</w:t>
      </w:r>
    </w:p>
    <w:p w14:paraId="3A83F634" w14:textId="3E7094D2" w:rsidR="000C7813" w:rsidRPr="000C7813" w:rsidRDefault="000C7813" w:rsidP="000C7813">
      <w:pPr>
        <w:pStyle w:val="ListParagraph"/>
        <w:numPr>
          <w:ilvl w:val="0"/>
          <w:numId w:val="36"/>
        </w:numPr>
        <w:rPr>
          <w:lang w:val="en-US"/>
        </w:rPr>
      </w:pPr>
      <w:r w:rsidRPr="000C7813">
        <w:rPr>
          <w:lang w:val="en-US"/>
        </w:rPr>
        <w:t>A rapid increase in service provision with the introduction of three-year-old preschool in 2022.</w:t>
      </w:r>
    </w:p>
    <w:p w14:paraId="7388F5FD" w14:textId="308F247B" w:rsidR="000C7813" w:rsidRPr="000C7813" w:rsidRDefault="000C7813" w:rsidP="000C7813">
      <w:pPr>
        <w:pStyle w:val="ListParagraph"/>
        <w:numPr>
          <w:ilvl w:val="0"/>
          <w:numId w:val="36"/>
        </w:numPr>
        <w:rPr>
          <w:lang w:val="en-US"/>
        </w:rPr>
      </w:pPr>
      <w:r w:rsidRPr="000C7813">
        <w:rPr>
          <w:lang w:val="en-US"/>
        </w:rPr>
        <w:t xml:space="preserve">The relationship between workforce availability and the supply of kindergarten </w:t>
      </w:r>
      <w:r w:rsidR="00825DBE">
        <w:rPr>
          <w:lang w:val="en-US"/>
        </w:rPr>
        <w:t xml:space="preserve">places </w:t>
      </w:r>
      <w:r w:rsidRPr="000C7813">
        <w:rPr>
          <w:lang w:val="en-US"/>
        </w:rPr>
        <w:t>will determine the ability to meet enrolment demands.</w:t>
      </w:r>
    </w:p>
    <w:p w14:paraId="15F8BB0F" w14:textId="12FDEAC8" w:rsidR="00C87E6F" w:rsidRPr="000C7813" w:rsidRDefault="000C7813" w:rsidP="000C7813">
      <w:pPr>
        <w:pStyle w:val="ListParagraph"/>
        <w:numPr>
          <w:ilvl w:val="0"/>
          <w:numId w:val="36"/>
        </w:numPr>
        <w:rPr>
          <w:lang w:val="en-US"/>
        </w:rPr>
      </w:pPr>
      <w:r w:rsidRPr="000C7813">
        <w:rPr>
          <w:lang w:val="en-US"/>
        </w:rPr>
        <w:t>The development of collaborative relationships between our local providers in the context of a municipal wide response to three-year-old preschool and central registration.</w:t>
      </w:r>
    </w:p>
    <w:p w14:paraId="07E77205" w14:textId="44D5A987" w:rsidR="00BF24B2" w:rsidRPr="00624A55" w:rsidRDefault="00BF24B2">
      <w:pPr>
        <w:pStyle w:val="Heading1"/>
        <w:numPr>
          <w:ilvl w:val="0"/>
          <w:numId w:val="6"/>
        </w:numPr>
        <w:rPr>
          <w:lang w:val="en-AU"/>
        </w:rPr>
      </w:pPr>
      <w:r>
        <w:rPr>
          <w:lang w:val="en-AU"/>
        </w:rPr>
        <w:br w:type="page"/>
      </w:r>
      <w:bookmarkStart w:id="39" w:name="_Toc103000734"/>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8F2B26">
        <w:rPr>
          <w:lang w:val="en-AU"/>
        </w:rPr>
        <w:t>the City of Wodonga</w:t>
      </w:r>
      <w:bookmarkEnd w:id="39"/>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0" w:name="_Toc103000735"/>
      <w:r>
        <w:rPr>
          <w:lang w:val="en-AU"/>
        </w:rPr>
        <w:t>4</w:t>
      </w:r>
      <w:r w:rsidR="00BF24B2">
        <w:rPr>
          <w:lang w:val="en-AU"/>
        </w:rPr>
        <w:t>.1</w:t>
      </w:r>
      <w:r w:rsidR="00BF24B2">
        <w:rPr>
          <w:lang w:val="en-AU"/>
        </w:rPr>
        <w:tab/>
        <w:t>Purpose</w:t>
      </w:r>
      <w:bookmarkEnd w:id="4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3813BDFF"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8C51B9">
        <w:t>the City of Wodonga, Wodonga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1AD6E11"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8C51B9">
        <w:rPr>
          <w:lang w:val="en-AU"/>
        </w:rPr>
        <w:t>Wodonga City Council</w:t>
      </w:r>
      <w:r w:rsidR="008C51B9"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1" w:name="_Toc103000736"/>
      <w:r w:rsidR="007C2F97">
        <w:rPr>
          <w:lang w:val="en-AU"/>
        </w:rPr>
        <w:t>4</w:t>
      </w:r>
      <w:r>
        <w:rPr>
          <w:lang w:val="en-AU"/>
        </w:rPr>
        <w:t xml:space="preserve">.2 </w:t>
      </w:r>
      <w:r>
        <w:rPr>
          <w:lang w:val="en-AU"/>
        </w:rPr>
        <w:tab/>
        <w:t>Methodology</w:t>
      </w:r>
      <w:bookmarkEnd w:id="41"/>
    </w:p>
    <w:p w14:paraId="649EE9EA" w14:textId="08B059AA"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AA34DF">
        <w:rPr>
          <w:lang w:val="en-AU"/>
        </w:rPr>
        <w:t>Wodonga Council</w:t>
      </w:r>
      <w:r w:rsidR="00AA34DF"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2" w:name="_Toc103000737"/>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2"/>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43E81CE8" w:rsidR="004A2921" w:rsidRPr="004A2921" w:rsidRDefault="00925755" w:rsidP="004A2921">
            <w:pPr>
              <w:spacing w:after="0"/>
              <w:jc w:val="right"/>
              <w:rPr>
                <w:rFonts w:ascii="Arial" w:eastAsia="Calibri" w:hAnsi="Arial" w:cs="Arial"/>
              </w:rPr>
            </w:pPr>
            <w:r>
              <w:rPr>
                <w:rFonts w:ascii="Arial" w:eastAsia="Calibri" w:hAnsi="Arial" w:cs="Arial"/>
              </w:rPr>
              <w:t>8</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3EDB4895" w:rsidR="004A2921" w:rsidRPr="004A2921" w:rsidRDefault="00925755" w:rsidP="004A2921">
            <w:pPr>
              <w:spacing w:after="0"/>
              <w:jc w:val="right"/>
              <w:rPr>
                <w:rFonts w:ascii="Arial" w:eastAsia="Calibri" w:hAnsi="Arial" w:cs="Arial"/>
              </w:rPr>
            </w:pPr>
            <w:r>
              <w:rPr>
                <w:rFonts w:ascii="Arial" w:eastAsia="Calibri" w:hAnsi="Arial" w:cs="Arial"/>
              </w:rPr>
              <w:t>1</w:t>
            </w:r>
            <w:r w:rsidR="005D6EDC">
              <w:rPr>
                <w:rFonts w:ascii="Arial" w:eastAsia="Calibri" w:hAnsi="Arial" w:cs="Arial"/>
              </w:rPr>
              <w:t>3</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3E01DD1F" w:rsidR="004A2921" w:rsidRPr="004A2921" w:rsidRDefault="00392E2C" w:rsidP="004A2921">
            <w:pPr>
              <w:spacing w:after="0"/>
              <w:jc w:val="right"/>
              <w:rPr>
                <w:rFonts w:ascii="Arial" w:eastAsia="Calibri" w:hAnsi="Arial" w:cs="Arial"/>
              </w:rPr>
            </w:pPr>
            <w:r>
              <w:rPr>
                <w:rFonts w:ascii="Arial" w:eastAsia="Calibri" w:hAnsi="Arial" w:cs="Arial"/>
              </w:rPr>
              <w:t>2</w:t>
            </w:r>
            <w:r w:rsidR="004F202E">
              <w:rPr>
                <w:rFonts w:ascii="Arial" w:eastAsia="Calibri" w:hAnsi="Arial" w:cs="Arial"/>
              </w:rPr>
              <w:t>9</w:t>
            </w:r>
            <w:r>
              <w:rPr>
                <w:rFonts w:ascii="Arial" w:eastAsia="Calibri" w:hAnsi="Arial" w:cs="Arial"/>
              </w:rPr>
              <w:t>%</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275F4CBB" w:rsidR="004A2921" w:rsidRPr="004A2921" w:rsidRDefault="00392E2C" w:rsidP="004A2921">
            <w:pPr>
              <w:spacing w:after="0"/>
              <w:jc w:val="right"/>
              <w:rPr>
                <w:rFonts w:ascii="Arial" w:eastAsia="Calibri" w:hAnsi="Arial" w:cs="Arial"/>
              </w:rPr>
            </w:pPr>
            <w:r>
              <w:rPr>
                <w:rFonts w:ascii="Arial" w:eastAsia="Calibri" w:hAnsi="Arial" w:cs="Arial"/>
              </w:rPr>
              <w:t>1</w:t>
            </w:r>
            <w:r w:rsidR="005D6EDC">
              <w:rPr>
                <w:rFonts w:ascii="Arial" w:eastAsia="Calibri" w:hAnsi="Arial" w:cs="Arial"/>
              </w:rPr>
              <w:t>4</w:t>
            </w:r>
            <w:r>
              <w:rPr>
                <w:rFonts w:ascii="Arial" w:eastAsia="Calibri" w:hAnsi="Arial" w:cs="Arial"/>
              </w:rPr>
              <w:t>%</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01294255" w:rsidR="004A2921" w:rsidRPr="004A2921" w:rsidRDefault="00392E2C" w:rsidP="004A2921">
            <w:pPr>
              <w:spacing w:after="0"/>
              <w:jc w:val="right"/>
              <w:rPr>
                <w:rFonts w:ascii="Arial" w:eastAsia="Calibri" w:hAnsi="Arial" w:cs="Arial"/>
              </w:rPr>
            </w:pPr>
            <w:r>
              <w:rPr>
                <w:rFonts w:ascii="Arial" w:eastAsia="Calibri" w:hAnsi="Arial" w:cs="Arial"/>
              </w:rPr>
              <w:t>5</w:t>
            </w:r>
            <w:r w:rsidR="005D6EDC">
              <w:rPr>
                <w:rFonts w:ascii="Arial" w:eastAsia="Calibri" w:hAnsi="Arial" w:cs="Arial"/>
              </w:rPr>
              <w:t>2</w:t>
            </w:r>
            <w:r>
              <w:rPr>
                <w:rFonts w:ascii="Arial" w:eastAsia="Calibri" w:hAnsi="Arial" w:cs="Arial"/>
              </w:rPr>
              <w:t>%</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5BAAF231" w:rsidR="004A2921" w:rsidRPr="004A2921" w:rsidRDefault="00392E2C" w:rsidP="004A2921">
            <w:pPr>
              <w:spacing w:after="0"/>
              <w:jc w:val="right"/>
              <w:rPr>
                <w:rFonts w:ascii="Arial" w:eastAsia="Calibri" w:hAnsi="Arial" w:cs="Arial"/>
              </w:rPr>
            </w:pPr>
            <w:r>
              <w:rPr>
                <w:rFonts w:ascii="Arial" w:eastAsia="Calibri" w:hAnsi="Arial" w:cs="Arial"/>
              </w:rPr>
              <w:t>5%</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424FF67" w:rsidR="004A2921" w:rsidRPr="004A2921" w:rsidRDefault="003E1488" w:rsidP="004A2921">
            <w:pPr>
              <w:spacing w:afterLines="60" w:after="144"/>
              <w:jc w:val="right"/>
              <w:rPr>
                <w:rFonts w:ascii="Arial" w:eastAsia="Calibri" w:hAnsi="Arial" w:cs="Arial"/>
                <w:bCs/>
                <w:sz w:val="24"/>
                <w:szCs w:val="24"/>
              </w:rPr>
            </w:pPr>
            <w:r>
              <w:rPr>
                <w:rFonts w:ascii="Arial" w:eastAsia="Calibri" w:hAnsi="Arial" w:cs="Arial"/>
                <w:bCs/>
                <w:sz w:val="24"/>
                <w:szCs w:val="24"/>
              </w:rPr>
              <w:t>88.9</w:t>
            </w:r>
            <w:r w:rsidR="00392E2C">
              <w:rPr>
                <w:rFonts w:ascii="Arial" w:eastAsia="Calibri" w:hAnsi="Arial" w:cs="Arial"/>
                <w:bCs/>
                <w:sz w:val="24"/>
                <w:szCs w:val="24"/>
              </w:rPr>
              <w:t>%</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C6B540A" w:rsidR="004A2921" w:rsidRPr="004A2921" w:rsidRDefault="00392E2C" w:rsidP="004A2921">
            <w:pPr>
              <w:spacing w:afterLines="60" w:after="144"/>
              <w:jc w:val="right"/>
              <w:rPr>
                <w:rFonts w:ascii="Arial" w:eastAsia="Calibri" w:hAnsi="Arial" w:cs="Arial"/>
                <w:bCs/>
                <w:sz w:val="24"/>
                <w:szCs w:val="24"/>
              </w:rPr>
            </w:pPr>
            <w:r>
              <w:rPr>
                <w:rFonts w:ascii="Arial" w:eastAsia="Calibri" w:hAnsi="Arial" w:cs="Arial"/>
                <w:bCs/>
                <w:sz w:val="24"/>
                <w:szCs w:val="24"/>
              </w:rPr>
              <w:t>20</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25F9281" w:rsidR="004A2921" w:rsidRPr="004A2921" w:rsidRDefault="00392E2C" w:rsidP="004A2921">
            <w:pPr>
              <w:spacing w:afterLines="60" w:after="144"/>
              <w:jc w:val="right"/>
              <w:rPr>
                <w:rFonts w:ascii="Arial" w:eastAsia="Calibri" w:hAnsi="Arial" w:cs="Arial"/>
                <w:bCs/>
                <w:sz w:val="24"/>
                <w:szCs w:val="24"/>
              </w:rPr>
            </w:pPr>
            <w:r>
              <w:rPr>
                <w:rFonts w:ascii="Arial" w:eastAsia="Calibri" w:hAnsi="Arial" w:cs="Arial"/>
                <w:bCs/>
                <w:sz w:val="24"/>
                <w:szCs w:val="24"/>
              </w:rPr>
              <w:t>10</w:t>
            </w:r>
          </w:p>
        </w:tc>
      </w:tr>
    </w:tbl>
    <w:p w14:paraId="00B8364D" w14:textId="4243CB5A" w:rsidR="00BF24B2" w:rsidRDefault="004A2921" w:rsidP="00B948EA">
      <w:pPr>
        <w:rPr>
          <w:lang w:val="en-AU" w:eastAsia="en-AU"/>
        </w:rPr>
      </w:pPr>
      <w:r>
        <w:rPr>
          <w:noProof/>
          <w:lang w:val="en-AU" w:eastAsia="en-AU"/>
        </w:rPr>
        <w:drawing>
          <wp:anchor distT="0" distB="0" distL="114300" distR="114300" simplePos="0" relativeHeight="251655168" behindDoc="1" locked="0" layoutInCell="1" allowOverlap="1" wp14:anchorId="3DDD25B8" wp14:editId="33B73798">
            <wp:simplePos x="0" y="0"/>
            <wp:positionH relativeFrom="margin">
              <wp:posOffset>146685</wp:posOffset>
            </wp:positionH>
            <wp:positionV relativeFrom="paragraph">
              <wp:posOffset>270510</wp:posOffset>
            </wp:positionV>
            <wp:extent cx="5822950" cy="1519555"/>
            <wp:effectExtent l="19050" t="19050" r="25400" b="23495"/>
            <wp:wrapTight wrapText="bothSides">
              <wp:wrapPolygon edited="0">
                <wp:start x="-71" y="-271"/>
                <wp:lineTo x="-71" y="21663"/>
                <wp:lineTo x="21624" y="21663"/>
                <wp:lineTo x="21624" y="-271"/>
                <wp:lineTo x="-71" y="-27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1955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3" w:name="_Toc103000738"/>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3"/>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4" w:name="_Hlk41057943"/>
      <w:bookmarkStart w:id="4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5"/>
    <w:p w14:paraId="40C9196D" w14:textId="102E6E0E" w:rsidR="001261DF" w:rsidRDefault="00AA34DF" w:rsidP="0018584B">
      <w:pPr>
        <w:tabs>
          <w:tab w:val="left" w:pos="5536"/>
        </w:tabs>
        <w:spacing w:before="240" w:line="276" w:lineRule="auto"/>
        <w:jc w:val="both"/>
        <w:rPr>
          <w:lang w:val="en-AU"/>
        </w:rPr>
      </w:pPr>
      <w:r>
        <w:rPr>
          <w:lang w:val="en-AU"/>
        </w:rPr>
        <w:t>Wodonga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30B6D180" w:rsidR="002C34B0" w:rsidRDefault="00AA34DF" w:rsidP="00D57638">
      <w:pPr>
        <w:spacing w:line="276" w:lineRule="auto"/>
        <w:jc w:val="both"/>
        <w:rPr>
          <w:lang w:val="en-AU"/>
        </w:rPr>
      </w:pPr>
      <w:r>
        <w:rPr>
          <w:lang w:val="en-AU"/>
        </w:rPr>
        <w:t>Wodonga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417E3710" w:rsidR="00BF24B2" w:rsidRPr="0004400F" w:rsidRDefault="00BF24B2" w:rsidP="00BF24B2">
      <w:pPr>
        <w:rPr>
          <w:b/>
          <w:bCs/>
          <w:lang w:val="en-AU"/>
        </w:rPr>
      </w:pPr>
      <w:bookmarkStart w:id="47" w:name="_Hlk43199401"/>
      <w:r w:rsidRPr="0004400F">
        <w:rPr>
          <w:b/>
          <w:bCs/>
          <w:lang w:val="en-AU"/>
        </w:rPr>
        <w:t xml:space="preserve">Table 1: </w:t>
      </w:r>
      <w:r w:rsidR="00F55388">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5A6E03">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D6EDC" w:rsidRPr="003210CB" w14:paraId="0B147693" w14:textId="77777777" w:rsidTr="005A6E03">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5D6EDC" w:rsidRPr="0018584B" w:rsidRDefault="005D6EDC" w:rsidP="005D6EDC">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CA34143"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E0BACF0"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0F647EF"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3326002"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7E9A11CD"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77A9E6F2"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C0DCD52"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88AA2EC"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999134D" w:rsidR="005D6EDC" w:rsidRPr="005D6EDC" w:rsidRDefault="005D6EDC" w:rsidP="005D6EDC">
            <w:pPr>
              <w:spacing w:after="0"/>
              <w:jc w:val="right"/>
              <w:rPr>
                <w:rFonts w:eastAsia="Times New Roman" w:cstheme="minorHAnsi"/>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794</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7"/>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8" w:name="_Toc103000739"/>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8"/>
      <w:r w:rsidR="00BF24B2">
        <w:rPr>
          <w:lang w:val="en-AU"/>
        </w:rPr>
        <w:t xml:space="preserve"> </w:t>
      </w:r>
    </w:p>
    <w:p w14:paraId="17EB2FD8" w14:textId="02CF19D8"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AA34DF">
        <w:rPr>
          <w:lang w:val="en-AU"/>
        </w:rPr>
        <w:t>Wodonga Council</w:t>
      </w:r>
      <w:r w:rsidR="00AA34DF"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D849F1F"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AA34DF">
        <w:rPr>
          <w:lang w:val="en-AU"/>
        </w:rPr>
        <w:t>Wodonga Council</w:t>
      </w:r>
      <w:r w:rsidR="00AA34DF"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 xml:space="preserve">taken into </w:t>
      </w:r>
      <w:r w:rsidR="00B01ED6">
        <w:rPr>
          <w:rFonts w:ascii="Arial" w:hAnsi="Arial" w:cs="Arial"/>
        </w:rPr>
        <w:lastRenderedPageBreak/>
        <w:t>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0" w:name="_Toc35852261"/>
      <w:bookmarkStart w:id="51"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2" w:name="_Hlk40444456"/>
      <w:bookmarkEnd w:id="50"/>
    </w:p>
    <w:p w14:paraId="474F98E5" w14:textId="38307E86"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5D6EDC">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D6EDC" w:rsidRPr="00590B34" w14:paraId="166D5656" w14:textId="77777777" w:rsidTr="00182291">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5D6EDC" w:rsidRPr="00BB1F3D" w:rsidRDefault="005D6EDC" w:rsidP="005D6EDC">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B71B911"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667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6268679"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838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69441DAC"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922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40F78C1"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001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098593C"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066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0FA41377"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171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48B6658"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229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2E1F498"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289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1712EA9" w:rsidR="005D6EDC" w:rsidRPr="005D6EDC" w:rsidRDefault="005D6EDC" w:rsidP="005D6EDC">
            <w:pPr>
              <w:spacing w:after="0"/>
              <w:jc w:val="right"/>
              <w:rPr>
                <w:rFonts w:eastAsia="Times New Roman" w:cstheme="minorHAnsi"/>
                <w:b/>
                <w:bCs/>
                <w:color w:val="000000"/>
                <w:sz w:val="18"/>
                <w:szCs w:val="18"/>
                <w:lang w:eastAsia="en-AU"/>
              </w:rPr>
            </w:pPr>
            <w:r w:rsidRPr="005D6EDC">
              <w:rPr>
                <w:rFonts w:cstheme="minorHAnsi"/>
                <w:color w:val="000000"/>
                <w:sz w:val="18"/>
                <w:szCs w:val="18"/>
              </w:rPr>
              <w:t>1</w:t>
            </w:r>
            <w:r>
              <w:rPr>
                <w:rFonts w:cstheme="minorHAnsi"/>
                <w:color w:val="000000"/>
                <w:sz w:val="18"/>
                <w:szCs w:val="18"/>
              </w:rPr>
              <w:t>,</w:t>
            </w:r>
            <w:r w:rsidRPr="005D6EDC">
              <w:rPr>
                <w:rFonts w:cstheme="minorHAnsi"/>
                <w:color w:val="000000"/>
                <w:sz w:val="18"/>
                <w:szCs w:val="18"/>
              </w:rPr>
              <w:t>366</w:t>
            </w:r>
          </w:p>
        </w:tc>
      </w:tr>
      <w:tr w:rsidR="007552BB" w:rsidRPr="00590B34" w14:paraId="414F1697" w14:textId="77777777" w:rsidTr="00182291">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9F0EA11"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A506B33"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A2D5D98"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796C506E"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B567F5A"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0606F0B"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E90E08D"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70335C0"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1131C6E4" w:rsidR="007552BB" w:rsidRPr="00182291" w:rsidRDefault="00182291" w:rsidP="00182291">
            <w:pPr>
              <w:spacing w:after="0"/>
              <w:jc w:val="right"/>
              <w:rPr>
                <w:rFonts w:eastAsia="Times New Roman" w:cstheme="minorHAnsi"/>
                <w:color w:val="000000"/>
                <w:sz w:val="18"/>
                <w:szCs w:val="20"/>
                <w:lang w:eastAsia="en-AU"/>
              </w:rPr>
            </w:pPr>
            <w:r w:rsidRPr="00182291">
              <w:rPr>
                <w:rFonts w:eastAsia="Times New Roman" w:cstheme="minorHAnsi"/>
                <w:color w:val="000000"/>
                <w:sz w:val="18"/>
                <w:szCs w:val="20"/>
                <w:lang w:eastAsia="en-AU"/>
              </w:rPr>
              <w:t>0</w:t>
            </w:r>
          </w:p>
        </w:tc>
      </w:tr>
    </w:tbl>
    <w:p w14:paraId="0F2EF3B9" w14:textId="601EB53E" w:rsidR="003F5280" w:rsidRDefault="003F5280" w:rsidP="0018584B">
      <w:pPr>
        <w:jc w:val="both"/>
        <w:rPr>
          <w:i/>
          <w:iCs/>
          <w:sz w:val="18"/>
          <w:szCs w:val="18"/>
        </w:rPr>
      </w:pPr>
      <w:bookmarkStart w:id="53" w:name="_Hlk41296438"/>
    </w:p>
    <w:p w14:paraId="4C891859" w14:textId="210B438D" w:rsidR="00BF24B2" w:rsidRPr="000E293B" w:rsidRDefault="00CD6D5E" w:rsidP="000E293B">
      <w:pPr>
        <w:rPr>
          <w:b/>
          <w:bCs/>
          <w:lang w:val="en-AU"/>
        </w:rPr>
      </w:pPr>
      <w:bookmarkStart w:id="54" w:name="_Toc35852262"/>
      <w:bookmarkEnd w:id="51"/>
      <w:bookmarkEnd w:id="52"/>
      <w:bookmarkEnd w:id="53"/>
      <w:r>
        <w:rPr>
          <w:b/>
          <w:bCs/>
          <w:lang w:val="en-AU"/>
        </w:rPr>
        <w:t>Community</w:t>
      </w:r>
      <w:r w:rsidR="00F31EFE">
        <w:rPr>
          <w:b/>
          <w:bCs/>
          <w:lang w:val="en-AU"/>
        </w:rPr>
        <w:t xml:space="preserve"> </w:t>
      </w:r>
      <w:bookmarkEnd w:id="54"/>
      <w:r w:rsidR="00965BD9">
        <w:rPr>
          <w:b/>
          <w:bCs/>
          <w:lang w:val="en-AU"/>
        </w:rPr>
        <w:t>e</w:t>
      </w:r>
      <w:r w:rsidR="009C5A82">
        <w:rPr>
          <w:b/>
          <w:bCs/>
          <w:lang w:val="en-AU"/>
        </w:rPr>
        <w:t>stimates</w:t>
      </w:r>
      <w:r w:rsidR="00BF24B2" w:rsidRPr="000E293B">
        <w:rPr>
          <w:b/>
          <w:bCs/>
          <w:lang w:val="en-AU"/>
        </w:rPr>
        <w:t xml:space="preserve"> </w:t>
      </w:r>
    </w:p>
    <w:p w14:paraId="4277F163" w14:textId="251F8804"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5D6EDC">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599"/>
        <w:gridCol w:w="90"/>
        <w:gridCol w:w="690"/>
        <w:gridCol w:w="81"/>
        <w:gridCol w:w="699"/>
        <w:gridCol w:w="73"/>
        <w:gridCol w:w="708"/>
        <w:gridCol w:w="64"/>
        <w:gridCol w:w="716"/>
        <w:gridCol w:w="55"/>
        <w:gridCol w:w="725"/>
        <w:gridCol w:w="47"/>
        <w:gridCol w:w="734"/>
        <w:gridCol w:w="38"/>
        <w:gridCol w:w="742"/>
        <w:gridCol w:w="29"/>
        <w:gridCol w:w="751"/>
        <w:gridCol w:w="21"/>
        <w:gridCol w:w="760"/>
        <w:gridCol w:w="12"/>
      </w:tblGrid>
      <w:tr w:rsidR="00CD6D5E" w:rsidRPr="00590B34" w14:paraId="194DF3EC" w14:textId="77777777" w:rsidTr="00726003">
        <w:trPr>
          <w:trHeight w:val="300"/>
        </w:trPr>
        <w:tc>
          <w:tcPr>
            <w:tcW w:w="2689" w:type="dxa"/>
            <w:gridSpan w:val="2"/>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7C126768" w:rsidR="00BF24B2" w:rsidRPr="00590B34" w:rsidRDefault="00CC483D" w:rsidP="00B72F96">
            <w:pPr>
              <w:spacing w:after="0"/>
              <w:jc w:val="center"/>
              <w:rPr>
                <w:rFonts w:ascii="Arial" w:eastAsia="Times New Roman" w:hAnsi="Arial" w:cs="Arial"/>
                <w:b/>
                <w:bCs/>
                <w:color w:val="FFFFFF" w:themeColor="background1"/>
                <w:sz w:val="20"/>
                <w:szCs w:val="22"/>
                <w:lang w:val="en-AU" w:eastAsia="en-AU"/>
              </w:rPr>
            </w:pPr>
            <w:r w:rsidRPr="00CC483D">
              <w:rPr>
                <w:rFonts w:ascii="Arial" w:eastAsia="Times New Roman" w:hAnsi="Arial" w:cs="Arial"/>
                <w:b/>
                <w:bCs/>
                <w:color w:val="FFFFFF" w:themeColor="background1"/>
                <w:sz w:val="20"/>
                <w:szCs w:val="22"/>
                <w:lang w:val="en-AU" w:eastAsia="en-AU"/>
              </w:rPr>
              <w:t>West Wodonga</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D6EDC" w:rsidRPr="00590B34" w14:paraId="7138156F" w14:textId="77777777" w:rsidTr="00726003">
        <w:trPr>
          <w:trHeight w:val="555"/>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5D6EDC" w:rsidRPr="00590B34" w:rsidRDefault="005D6EDC" w:rsidP="005D6EDC">
            <w:pPr>
              <w:spacing w:after="0"/>
              <w:rPr>
                <w:rFonts w:ascii="Arial" w:eastAsia="Times New Roman" w:hAnsi="Arial" w:cs="Arial"/>
                <w:color w:val="000000"/>
                <w:sz w:val="20"/>
                <w:szCs w:val="22"/>
                <w:lang w:val="en-AU" w:eastAsia="en-AU"/>
              </w:rPr>
            </w:pPr>
            <w:bookmarkStart w:id="55" w:name="_Hlk43197923"/>
            <w:r w:rsidRPr="003C6010">
              <w:rPr>
                <w:sz w:val="20"/>
                <w:lang w:val="en-AU"/>
              </w:rPr>
              <w:t>Total estimated demand for kindergarten places (three and four-year-old children)</w:t>
            </w:r>
            <w:bookmarkEnd w:id="55"/>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7B4D630A"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195</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63FCAEBC"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254</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00578E4"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277</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01FA15B5"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298</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D0B1DFA"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315</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398CB8C6"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344</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2430A5EE"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360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1CAF2F87"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376</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4986F080"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397</w:t>
            </w:r>
          </w:p>
        </w:tc>
      </w:tr>
      <w:tr w:rsidR="00182291" w:rsidRPr="00590B34" w14:paraId="5C1C2819" w14:textId="77777777" w:rsidTr="00726003">
        <w:trPr>
          <w:trHeight w:val="555"/>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182291" w:rsidRPr="00590B34" w:rsidRDefault="00182291" w:rsidP="00182291">
            <w:pPr>
              <w:spacing w:after="0"/>
              <w:rPr>
                <w:rFonts w:ascii="Arial" w:eastAsia="Times New Roman" w:hAnsi="Arial" w:cs="Arial"/>
                <w:b/>
                <w:color w:val="000000"/>
                <w:sz w:val="20"/>
                <w:szCs w:val="22"/>
                <w:lang w:val="en-AU" w:eastAsia="en-AU"/>
              </w:rPr>
            </w:pPr>
            <w:bookmarkStart w:id="56"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6"/>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4F999A9" w:rsidR="00182291" w:rsidRPr="00CC483D" w:rsidRDefault="00182291" w:rsidP="00182291">
            <w:pPr>
              <w:spacing w:after="0"/>
              <w:jc w:val="right"/>
              <w:rPr>
                <w:rFonts w:ascii="Arial" w:eastAsia="Times New Roman" w:hAnsi="Arial" w:cs="Arial"/>
                <w:b/>
                <w:color w:val="000000"/>
                <w:sz w:val="18"/>
                <w:szCs w:val="18"/>
                <w:lang w:val="en-AU" w:eastAsia="en-AU"/>
              </w:rPr>
            </w:pPr>
            <w:r w:rsidRPr="00CC483D">
              <w:rPr>
                <w:rFonts w:eastAsia="Times New Roman" w:cstheme="minorHAnsi"/>
                <w:color w:val="000000"/>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5688C947" w:rsidR="00182291" w:rsidRPr="00CC483D" w:rsidRDefault="00182291" w:rsidP="00182291">
            <w:pPr>
              <w:spacing w:after="0"/>
              <w:jc w:val="right"/>
              <w:rPr>
                <w:rFonts w:ascii="Arial" w:eastAsia="Times New Roman" w:hAnsi="Arial" w:cs="Arial"/>
                <w:b/>
                <w:color w:val="000000"/>
                <w:sz w:val="18"/>
                <w:szCs w:val="18"/>
                <w:lang w:val="en-AU" w:eastAsia="en-AU"/>
              </w:rPr>
            </w:pPr>
            <w:r w:rsidRPr="00CC483D">
              <w:rPr>
                <w:rFonts w:eastAsia="Times New Roman" w:cstheme="minorHAnsi"/>
                <w:color w:val="000000"/>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589E7D50" w:rsidR="00182291" w:rsidRPr="00CC483D" w:rsidRDefault="00182291" w:rsidP="00182291">
            <w:pPr>
              <w:spacing w:after="0"/>
              <w:jc w:val="right"/>
              <w:rPr>
                <w:rFonts w:ascii="Arial" w:eastAsia="Times New Roman" w:hAnsi="Arial" w:cs="Arial"/>
                <w:b/>
                <w:color w:val="000000"/>
                <w:sz w:val="18"/>
                <w:szCs w:val="18"/>
                <w:lang w:val="en-AU" w:eastAsia="en-AU"/>
              </w:rPr>
            </w:pPr>
            <w:r w:rsidRPr="00CC483D">
              <w:rPr>
                <w:rFonts w:eastAsia="Times New Roman" w:cstheme="minorHAnsi"/>
                <w:color w:val="000000"/>
                <w:sz w:val="18"/>
                <w:szCs w:val="18"/>
                <w:lang w:eastAsia="en-AU"/>
              </w:rPr>
              <w:t>0</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533A3BB4" w:rsidR="00182291" w:rsidRPr="00CC483D" w:rsidRDefault="00182291" w:rsidP="00182291">
            <w:pPr>
              <w:spacing w:after="0"/>
              <w:jc w:val="right"/>
              <w:rPr>
                <w:rFonts w:ascii="Arial" w:eastAsia="Times New Roman" w:hAnsi="Arial" w:cs="Arial"/>
                <w:b/>
                <w:color w:val="000000"/>
                <w:sz w:val="18"/>
                <w:szCs w:val="18"/>
                <w:lang w:val="en-AU" w:eastAsia="en-AU"/>
              </w:rPr>
            </w:pPr>
            <w:r w:rsidRPr="00CC483D">
              <w:rPr>
                <w:rFonts w:eastAsia="Times New Roman" w:cstheme="minorHAnsi"/>
                <w:color w:val="000000"/>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7C1159D4" w:rsidR="00182291" w:rsidRPr="00CC483D" w:rsidRDefault="00182291" w:rsidP="00182291">
            <w:pPr>
              <w:spacing w:after="0"/>
              <w:jc w:val="right"/>
              <w:rPr>
                <w:rFonts w:ascii="Arial" w:eastAsia="Times New Roman" w:hAnsi="Arial" w:cs="Arial"/>
                <w:b/>
                <w:color w:val="000000"/>
                <w:sz w:val="18"/>
                <w:szCs w:val="18"/>
                <w:lang w:val="en-AU" w:eastAsia="en-AU"/>
              </w:rPr>
            </w:pPr>
            <w:r w:rsidRPr="00CC483D">
              <w:rPr>
                <w:rFonts w:eastAsia="Times New Roman" w:cstheme="minorHAnsi"/>
                <w:color w:val="000000"/>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40B01A5E" w:rsidR="00182291" w:rsidRPr="00CC483D" w:rsidRDefault="00182291" w:rsidP="00182291">
            <w:pPr>
              <w:spacing w:after="0"/>
              <w:jc w:val="right"/>
              <w:rPr>
                <w:rFonts w:ascii="Arial" w:eastAsia="Times New Roman" w:hAnsi="Arial" w:cs="Arial"/>
                <w:b/>
                <w:color w:val="FF0000"/>
                <w:sz w:val="18"/>
                <w:szCs w:val="18"/>
                <w:lang w:val="en-AU" w:eastAsia="en-AU"/>
              </w:rPr>
            </w:pPr>
            <w:r w:rsidRPr="00CC483D">
              <w:rPr>
                <w:rFonts w:eastAsia="Times New Roman" w:cstheme="minorHAnsi"/>
                <w:color w:val="000000"/>
                <w:sz w:val="18"/>
                <w:szCs w:val="18"/>
                <w:lang w:eastAsia="en-AU"/>
              </w:rPr>
              <w:t>0</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3EF067D5" w:rsidR="00182291" w:rsidRPr="00CC483D" w:rsidRDefault="00182291" w:rsidP="00182291">
            <w:pPr>
              <w:spacing w:after="0"/>
              <w:jc w:val="right"/>
              <w:rPr>
                <w:rFonts w:ascii="Arial" w:eastAsia="Times New Roman" w:hAnsi="Arial" w:cs="Arial"/>
                <w:b/>
                <w:color w:val="FF0000"/>
                <w:sz w:val="18"/>
                <w:szCs w:val="18"/>
                <w:lang w:val="en-AU" w:eastAsia="en-AU"/>
              </w:rPr>
            </w:pPr>
            <w:r w:rsidRPr="00CC483D">
              <w:rPr>
                <w:rFonts w:eastAsia="Times New Roman" w:cstheme="minorHAnsi"/>
                <w:color w:val="000000"/>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27CC2E7F" w:rsidR="00182291" w:rsidRPr="00CC483D" w:rsidRDefault="00182291" w:rsidP="00182291">
            <w:pPr>
              <w:spacing w:after="0"/>
              <w:jc w:val="right"/>
              <w:rPr>
                <w:rFonts w:ascii="Arial" w:eastAsia="Times New Roman" w:hAnsi="Arial" w:cs="Arial"/>
                <w:b/>
                <w:color w:val="FF0000"/>
                <w:sz w:val="18"/>
                <w:szCs w:val="18"/>
                <w:lang w:val="en-AU" w:eastAsia="en-AU"/>
              </w:rPr>
            </w:pPr>
            <w:r w:rsidRPr="00CC483D">
              <w:rPr>
                <w:rFonts w:eastAsia="Times New Roman" w:cstheme="minorHAnsi"/>
                <w:color w:val="000000"/>
                <w:sz w:val="18"/>
                <w:szCs w:val="18"/>
                <w:lang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F2088FD" w:rsidR="00182291" w:rsidRPr="00CC483D" w:rsidRDefault="00182291" w:rsidP="00182291">
            <w:pPr>
              <w:spacing w:after="0"/>
              <w:jc w:val="right"/>
              <w:rPr>
                <w:rFonts w:ascii="Arial" w:eastAsia="Times New Roman" w:hAnsi="Arial" w:cs="Arial"/>
                <w:b/>
                <w:color w:val="FF0000"/>
                <w:sz w:val="18"/>
                <w:szCs w:val="18"/>
                <w:lang w:val="en-AU" w:eastAsia="en-AU"/>
              </w:rPr>
            </w:pPr>
            <w:r w:rsidRPr="00CC483D">
              <w:rPr>
                <w:rFonts w:eastAsia="Times New Roman" w:cstheme="minorHAnsi"/>
                <w:color w:val="000000"/>
                <w:sz w:val="18"/>
                <w:szCs w:val="18"/>
                <w:lang w:eastAsia="en-AU"/>
              </w:rPr>
              <w:t>0</w:t>
            </w:r>
          </w:p>
        </w:tc>
      </w:tr>
      <w:tr w:rsidR="00BF24B2" w:rsidRPr="00590B34" w14:paraId="76A686A6" w14:textId="77777777" w:rsidTr="00726003">
        <w:trPr>
          <w:gridAfter w:val="1"/>
          <w:wAfter w:w="12" w:type="dxa"/>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5C52C115" w:rsidR="00BF24B2" w:rsidRPr="00590B34" w:rsidRDefault="00CC483D" w:rsidP="00B72F96">
            <w:pPr>
              <w:spacing w:after="0"/>
              <w:jc w:val="center"/>
              <w:rPr>
                <w:rFonts w:ascii="Arial" w:eastAsia="Times New Roman" w:hAnsi="Arial" w:cs="Arial"/>
                <w:color w:val="000000"/>
                <w:sz w:val="20"/>
                <w:szCs w:val="22"/>
                <w:lang w:val="en-AU" w:eastAsia="en-AU"/>
              </w:rPr>
            </w:pPr>
            <w:r w:rsidRPr="00CC483D">
              <w:rPr>
                <w:rFonts w:ascii="Arial" w:eastAsia="Times New Roman" w:hAnsi="Arial" w:cs="Arial"/>
                <w:b/>
                <w:bCs/>
                <w:color w:val="FFFFFF" w:themeColor="background1"/>
                <w:sz w:val="20"/>
                <w:szCs w:val="22"/>
                <w:lang w:val="en-AU" w:eastAsia="en-AU"/>
              </w:rPr>
              <w:lastRenderedPageBreak/>
              <w:t>Wodonga</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D6EDC" w:rsidRPr="00590B34" w14:paraId="35052B4A" w14:textId="77777777" w:rsidTr="00726003">
        <w:trPr>
          <w:gridAfter w:val="1"/>
          <w:wAfter w:w="12" w:type="dxa"/>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5D6EDC" w:rsidRPr="00590B34" w:rsidRDefault="005D6EDC" w:rsidP="005D6EDC">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7361890E"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472</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EA1A797"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584</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1BED51ED"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645</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38D7E033"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703</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1C7BE0B4"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751</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19F45D5"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826</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46C8B1B0"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869</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870CE59"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913</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7B821B29" w:rsidR="005D6EDC" w:rsidRPr="005D6EDC" w:rsidRDefault="005D6EDC" w:rsidP="005D6EDC">
            <w:pPr>
              <w:spacing w:after="0"/>
              <w:jc w:val="right"/>
              <w:rPr>
                <w:rFonts w:eastAsia="Times New Roman" w:cstheme="minorHAnsi"/>
                <w:color w:val="000000"/>
                <w:sz w:val="18"/>
                <w:szCs w:val="18"/>
                <w:lang w:val="en-AU" w:eastAsia="en-AU"/>
              </w:rPr>
            </w:pPr>
            <w:r w:rsidRPr="005D6EDC">
              <w:rPr>
                <w:rFonts w:cstheme="minorHAnsi"/>
                <w:color w:val="000000"/>
                <w:sz w:val="18"/>
                <w:szCs w:val="18"/>
              </w:rPr>
              <w:t>969</w:t>
            </w:r>
          </w:p>
        </w:tc>
      </w:tr>
      <w:tr w:rsidR="00182291" w:rsidRPr="00590B34" w14:paraId="422AAD1F" w14:textId="77777777" w:rsidTr="00726003">
        <w:trPr>
          <w:gridAfter w:val="1"/>
          <w:wAfter w:w="12" w:type="dxa"/>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182291" w:rsidRPr="00590B34" w:rsidRDefault="00182291" w:rsidP="00182291">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53473106"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D308DB1"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7AB8A952"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944AFE5"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B1C9677"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12C54EDE"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366F4309"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656B866F"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69114C2E" w:rsidR="00182291" w:rsidRPr="00BB1F3D" w:rsidRDefault="00182291" w:rsidP="00182291">
            <w:pPr>
              <w:spacing w:after="0"/>
              <w:jc w:val="right"/>
              <w:rPr>
                <w:rFonts w:ascii="Arial" w:eastAsia="Times New Roman" w:hAnsi="Arial" w:cs="Arial"/>
                <w:color w:val="000000"/>
                <w:sz w:val="18"/>
                <w:szCs w:val="18"/>
                <w:lang w:eastAsia="en-AU"/>
              </w:rPr>
            </w:pPr>
            <w:r w:rsidRPr="00182291">
              <w:rPr>
                <w:rFonts w:eastAsia="Times New Roman" w:cstheme="minorHAnsi"/>
                <w:color w:val="000000"/>
                <w:sz w:val="18"/>
                <w:szCs w:val="20"/>
                <w:lang w:eastAsia="en-AU"/>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7"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8" w:name="_Toc103000740"/>
      <w:r w:rsidRPr="008C6439">
        <w:rPr>
          <w:lang w:val="en-AU"/>
        </w:rPr>
        <w:lastRenderedPageBreak/>
        <w:t>Authorisation</w:t>
      </w:r>
      <w:bookmarkEnd w:id="57"/>
      <w:bookmarkEnd w:id="58"/>
    </w:p>
    <w:p w14:paraId="21CB06DE" w14:textId="14FEA5BB" w:rsidR="00A46096" w:rsidRPr="002F4B82" w:rsidRDefault="00A46096" w:rsidP="00CF2510">
      <w:pPr>
        <w:spacing w:line="276" w:lineRule="auto"/>
        <w:jc w:val="both"/>
        <w:rPr>
          <w:sz w:val="20"/>
          <w:szCs w:val="20"/>
        </w:rPr>
      </w:pPr>
      <w:r w:rsidRPr="00B86A61">
        <w:t xml:space="preserve">The </w:t>
      </w:r>
      <w:r w:rsidR="00BB2B25">
        <w:rPr>
          <w:szCs w:val="22"/>
        </w:rPr>
        <w:t xml:space="preserve">Area Executive Director (Ovens Murray) </w:t>
      </w:r>
      <w:r w:rsidRPr="00B86A61">
        <w:t xml:space="preserve">of the Department of Education and Training and the Chief Executive of </w:t>
      </w:r>
      <w:r w:rsidR="00AA34DF">
        <w:rPr>
          <w:lang w:val="en-AU"/>
        </w:rPr>
        <w:t>Wodonga Council</w:t>
      </w:r>
      <w:r w:rsidR="00AA34DF"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AA34DF">
        <w:t xml:space="preserve">the City of Wodonga </w:t>
      </w:r>
      <w:r w:rsidRPr="00B86A61">
        <w:t>by signing on</w:t>
      </w:r>
      <w:r w:rsidRPr="002F4B82">
        <w:rPr>
          <w:sz w:val="20"/>
          <w:szCs w:val="20"/>
        </w:rPr>
        <w:t xml:space="preserve"> </w:t>
      </w:r>
      <w:r w:rsidR="00266551">
        <w:rPr>
          <w:szCs w:val="22"/>
        </w:rPr>
        <w:t>15/04/2021</w:t>
      </w:r>
    </w:p>
    <w:p w14:paraId="084F43DD" w14:textId="31CAED3D"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BB2B25">
        <w:t xml:space="preserve"> 2023</w:t>
      </w:r>
      <w:r w:rsidR="006A1B5D" w:rsidRPr="00721DA8">
        <w:t xml:space="preserve"> to publish a new version that will replace the previous version.</w:t>
      </w:r>
    </w:p>
    <w:p w14:paraId="718CB25C" w14:textId="77777777" w:rsidR="00E566F2" w:rsidRDefault="00E566F2" w:rsidP="00E566F2">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50FC13B4" w14:textId="440A4CC4" w:rsidR="00E566F2" w:rsidRDefault="00E566F2" w:rsidP="00CF2510">
      <w:pPr>
        <w:spacing w:line="276" w:lineRule="auto"/>
        <w:jc w:val="both"/>
      </w:pPr>
    </w:p>
    <w:p w14:paraId="37753CBE" w14:textId="36C4D2EF" w:rsidR="00A46096" w:rsidRPr="00E566F2" w:rsidRDefault="00A46096" w:rsidP="00A46096">
      <w:pPr>
        <w:spacing w:after="0" w:line="276" w:lineRule="auto"/>
        <w:jc w:val="both"/>
        <w:rPr>
          <w:b/>
          <w:bCs/>
          <w:sz w:val="20"/>
          <w:szCs w:val="20"/>
        </w:rPr>
      </w:pPr>
      <w:r w:rsidRPr="00E566F2">
        <w:rPr>
          <w:b/>
          <w:bCs/>
        </w:rPr>
        <w:t xml:space="preserve">Signed for and on behalf and with the authority of </w:t>
      </w:r>
      <w:r w:rsidR="00AA34DF" w:rsidRPr="00E566F2">
        <w:rPr>
          <w:b/>
          <w:bCs/>
          <w:lang w:val="en-AU"/>
        </w:rPr>
        <w:t>Wodonga Council</w:t>
      </w:r>
    </w:p>
    <w:p w14:paraId="0A8C780F" w14:textId="091B8FEE" w:rsidR="00A46096" w:rsidRDefault="006723A7" w:rsidP="00A46096">
      <w:pPr>
        <w:spacing w:after="0" w:line="276" w:lineRule="auto"/>
        <w:jc w:val="both"/>
        <w:rPr>
          <w:szCs w:val="22"/>
        </w:rPr>
      </w:pPr>
      <w:r>
        <w:rPr>
          <w:noProof/>
        </w:rPr>
        <w:pict w14:anchorId="50FD5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2pt;margin-top:3.75pt;width:115.65pt;height:74.25pt;z-index:-251656192;mso-position-horizontal-relative:text;mso-position-vertical-relative:text;mso-width-relative:page;mso-height-relative:page" wrapcoords="-140 0 -140 21382 21600 21382 21600 0 -140 0">
            <v:imagedata r:id="rId21" o:title="stacey signature"/>
            <w10:wrap type="tight"/>
          </v:shape>
        </w:pict>
      </w:r>
    </w:p>
    <w:p w14:paraId="73C6C338" w14:textId="7656C45E" w:rsidR="00A46096" w:rsidRDefault="006723A7" w:rsidP="00A46096">
      <w:pPr>
        <w:spacing w:after="0" w:line="276" w:lineRule="auto"/>
        <w:jc w:val="both"/>
        <w:rPr>
          <w:szCs w:val="22"/>
        </w:rPr>
      </w:pPr>
      <w:r>
        <w:rPr>
          <w:szCs w:val="22"/>
        </w:rPr>
        <w:pict w14:anchorId="7028C31B">
          <v:shape id="_x0000_i1025" type="#_x0000_t75" style="width:128.55pt;height:50.55pt">
            <v:imagedata r:id="rId22" o:title="CEO signature"/>
          </v:shape>
        </w:pict>
      </w:r>
    </w:p>
    <w:p w14:paraId="2B3C2BAA" w14:textId="3360B52E" w:rsidR="00A46096" w:rsidRPr="00EC015E" w:rsidRDefault="00A46096" w:rsidP="00A46096">
      <w:pPr>
        <w:spacing w:after="0" w:line="276" w:lineRule="auto"/>
        <w:jc w:val="both"/>
        <w:rPr>
          <w:szCs w:val="22"/>
        </w:rPr>
      </w:pPr>
      <w:r w:rsidRPr="00EC015E">
        <w:rPr>
          <w:szCs w:val="22"/>
        </w:rPr>
        <w:t xml:space="preserve">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55207DC8" w14:textId="0B50AF7C" w:rsidR="00BB2B25" w:rsidRPr="00BB2B25" w:rsidRDefault="00BB2B25" w:rsidP="00BB2B25">
      <w:pPr>
        <w:spacing w:after="0" w:line="276" w:lineRule="auto"/>
        <w:rPr>
          <w:szCs w:val="22"/>
        </w:rPr>
      </w:pPr>
      <w:r w:rsidRPr="00BB2B25">
        <w:rPr>
          <w:szCs w:val="22"/>
        </w:rPr>
        <w:t xml:space="preserve">Name: Mark Dixon </w:t>
      </w:r>
      <w:r w:rsidRPr="00BB2B25">
        <w:rPr>
          <w:szCs w:val="22"/>
        </w:rPr>
        <w:br/>
      </w:r>
    </w:p>
    <w:p w14:paraId="5A8634AD" w14:textId="77777777" w:rsidR="00BB2B25" w:rsidRPr="00B86A61" w:rsidRDefault="00BB2B25" w:rsidP="00BB2B25">
      <w:pPr>
        <w:spacing w:after="0" w:line="276" w:lineRule="auto"/>
        <w:rPr>
          <w:szCs w:val="22"/>
        </w:rPr>
      </w:pPr>
      <w:r w:rsidRPr="00BB2B25">
        <w:rPr>
          <w:szCs w:val="22"/>
        </w:rPr>
        <w:t>Title: Chief Executive Officer</w:t>
      </w:r>
      <w:r w:rsidRPr="00BB2B25">
        <w:rPr>
          <w:szCs w:val="22"/>
        </w:rPr>
        <w:br/>
      </w:r>
      <w:r w:rsidRPr="00BB2B25">
        <w:rPr>
          <w:szCs w:val="22"/>
        </w:rPr>
        <w:br/>
        <w:t xml:space="preserve">Address: 104 </w:t>
      </w:r>
      <w:proofErr w:type="spellStart"/>
      <w:r w:rsidRPr="00BB2B25">
        <w:rPr>
          <w:szCs w:val="22"/>
        </w:rPr>
        <w:t>Hovell</w:t>
      </w:r>
      <w:proofErr w:type="spellEnd"/>
      <w:r w:rsidRPr="00BB2B25">
        <w:rPr>
          <w:szCs w:val="22"/>
        </w:rPr>
        <w:t xml:space="preserve"> Street, Wodonga, VIC, 3869</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265B353D" w14:textId="0275D32A" w:rsidR="00BB2B25" w:rsidRPr="00027737" w:rsidRDefault="00BB2B25" w:rsidP="00BB2B25">
      <w:pPr>
        <w:spacing w:after="0" w:line="276" w:lineRule="auto"/>
        <w:jc w:val="both"/>
        <w:rPr>
          <w:b/>
          <w:bCs/>
          <w:szCs w:val="22"/>
        </w:rPr>
      </w:pPr>
      <w:r w:rsidRPr="00E76FD9">
        <w:rPr>
          <w:b/>
          <w:bCs/>
          <w:szCs w:val="22"/>
        </w:rPr>
        <w:t>Signed by Area Executive Director (Ovens Murray), Department of Education and Training</w:t>
      </w:r>
    </w:p>
    <w:p w14:paraId="14162501" w14:textId="7CB13C4F" w:rsidR="00BB2B25" w:rsidRPr="00B86A61" w:rsidRDefault="00027737" w:rsidP="00BB2B25">
      <w:pPr>
        <w:spacing w:after="0" w:line="276" w:lineRule="auto"/>
        <w:jc w:val="both"/>
        <w:rPr>
          <w:szCs w:val="22"/>
        </w:rPr>
      </w:pPr>
      <w:r>
        <w:rPr>
          <w:noProof/>
          <w:szCs w:val="22"/>
        </w:rPr>
        <w:drawing>
          <wp:anchor distT="0" distB="0" distL="114300" distR="114300" simplePos="0" relativeHeight="251658240" behindDoc="1" locked="0" layoutInCell="1" allowOverlap="1" wp14:anchorId="375D5825" wp14:editId="47045BFD">
            <wp:simplePos x="0" y="0"/>
            <wp:positionH relativeFrom="column">
              <wp:posOffset>4232910</wp:posOffset>
            </wp:positionH>
            <wp:positionV relativeFrom="paragraph">
              <wp:posOffset>36830</wp:posOffset>
            </wp:positionV>
            <wp:extent cx="993140" cy="542290"/>
            <wp:effectExtent l="0" t="0" r="0" b="0"/>
            <wp:wrapTight wrapText="bothSides">
              <wp:wrapPolygon edited="0">
                <wp:start x="0" y="0"/>
                <wp:lineTo x="0" y="20487"/>
                <wp:lineTo x="21130" y="20487"/>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993140" cy="542290"/>
                    </a:xfrm>
                    <a:prstGeom prst="rect">
                      <a:avLst/>
                    </a:prstGeom>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9264" behindDoc="1" locked="0" layoutInCell="1" allowOverlap="1" wp14:anchorId="1D18F4CF" wp14:editId="00536803">
            <wp:simplePos x="0" y="0"/>
            <wp:positionH relativeFrom="margin">
              <wp:align>left</wp:align>
            </wp:positionH>
            <wp:positionV relativeFrom="paragraph">
              <wp:posOffset>34925</wp:posOffset>
            </wp:positionV>
            <wp:extent cx="1275127" cy="465912"/>
            <wp:effectExtent l="0" t="0" r="1270" b="0"/>
            <wp:wrapThrough wrapText="bothSides">
              <wp:wrapPolygon edited="0">
                <wp:start x="0" y="0"/>
                <wp:lineTo x="0" y="20333"/>
                <wp:lineTo x="21299" y="20333"/>
                <wp:lineTo x="212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extLst>
                        <a:ext uri="{28A0092B-C50C-407E-A947-70E740481C1C}">
                          <a14:useLocalDpi xmlns:a14="http://schemas.microsoft.com/office/drawing/2010/main" val="0"/>
                        </a:ext>
                      </a:extLst>
                    </a:blip>
                    <a:stretch>
                      <a:fillRect/>
                    </a:stretch>
                  </pic:blipFill>
                  <pic:spPr>
                    <a:xfrm>
                      <a:off x="0" y="0"/>
                      <a:ext cx="1275127" cy="465912"/>
                    </a:xfrm>
                    <a:prstGeom prst="rect">
                      <a:avLst/>
                    </a:prstGeom>
                  </pic:spPr>
                </pic:pic>
              </a:graphicData>
            </a:graphic>
            <wp14:sizeRelH relativeFrom="page">
              <wp14:pctWidth>0</wp14:pctWidth>
            </wp14:sizeRelH>
            <wp14:sizeRelV relativeFrom="page">
              <wp14:pctHeight>0</wp14:pctHeight>
            </wp14:sizeRelV>
          </wp:anchor>
        </w:drawing>
      </w:r>
    </w:p>
    <w:p w14:paraId="3096418D" w14:textId="10252962" w:rsidR="00BB2B25" w:rsidRPr="00B86A61" w:rsidRDefault="00BB2B25" w:rsidP="00BB2B25">
      <w:pPr>
        <w:spacing w:after="0" w:line="276" w:lineRule="auto"/>
        <w:jc w:val="both"/>
        <w:rPr>
          <w:szCs w:val="22"/>
        </w:rPr>
      </w:pPr>
    </w:p>
    <w:p w14:paraId="0F5D7BD1" w14:textId="5BFEEF70" w:rsidR="00BB2B25" w:rsidRPr="00B86A61" w:rsidRDefault="00BB2B25" w:rsidP="00BB2B25">
      <w:pPr>
        <w:spacing w:after="0" w:line="276" w:lineRule="auto"/>
        <w:jc w:val="both"/>
        <w:rPr>
          <w:szCs w:val="22"/>
        </w:rPr>
      </w:pPr>
      <w:r w:rsidRPr="00B86A61">
        <w:rPr>
          <w:szCs w:val="22"/>
        </w:rPr>
        <w:t xml:space="preserve">                                                        </w:t>
      </w:r>
    </w:p>
    <w:p w14:paraId="1063C03E" w14:textId="77777777" w:rsidR="00BB2B25" w:rsidRPr="00B86A61" w:rsidRDefault="00BB2B25" w:rsidP="00BB2B25">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B9B9777" w14:textId="3663AD3E" w:rsidR="00BB2B25" w:rsidRDefault="00BB2B25" w:rsidP="00BB2B25">
      <w:pPr>
        <w:spacing w:after="0" w:line="276" w:lineRule="auto"/>
        <w:jc w:val="both"/>
        <w:rPr>
          <w:szCs w:val="22"/>
        </w:rPr>
      </w:pPr>
      <w:r w:rsidRPr="00B86A61">
        <w:rPr>
          <w:szCs w:val="22"/>
        </w:rPr>
        <w:br/>
        <w:t>Name</w:t>
      </w:r>
      <w:r>
        <w:rPr>
          <w:szCs w:val="22"/>
        </w:rPr>
        <w:t>: Bernie Boulton</w:t>
      </w:r>
    </w:p>
    <w:p w14:paraId="1B0EB9A7" w14:textId="77777777" w:rsidR="00BB2B25" w:rsidRPr="00B86A61" w:rsidRDefault="00BB2B25" w:rsidP="00BB2B25">
      <w:pPr>
        <w:spacing w:after="0" w:line="276" w:lineRule="auto"/>
        <w:jc w:val="both"/>
        <w:rPr>
          <w:szCs w:val="22"/>
        </w:rPr>
      </w:pPr>
    </w:p>
    <w:p w14:paraId="1EF4F43E" w14:textId="77777777" w:rsidR="00BB2B25" w:rsidRPr="00B86A61" w:rsidRDefault="00BB2B25" w:rsidP="00BB2B25">
      <w:pPr>
        <w:spacing w:after="0" w:line="276" w:lineRule="auto"/>
        <w:rPr>
          <w:szCs w:val="22"/>
          <w:lang w:val="en-US"/>
        </w:rPr>
      </w:pPr>
      <w:r w:rsidRPr="00B86A61">
        <w:rPr>
          <w:szCs w:val="22"/>
        </w:rPr>
        <w:t>Title:</w:t>
      </w:r>
      <w:r>
        <w:rPr>
          <w:szCs w:val="22"/>
        </w:rPr>
        <w:t xml:space="preserve"> </w:t>
      </w:r>
      <w:r w:rsidRPr="00B86A61">
        <w:rPr>
          <w:szCs w:val="22"/>
        </w:rPr>
        <w:t xml:space="preserve"> </w:t>
      </w:r>
      <w:r>
        <w:rPr>
          <w:szCs w:val="22"/>
        </w:rPr>
        <w:t xml:space="preserve">Area Executive Director (Ovens Murray), Department of Education and Training </w:t>
      </w:r>
      <w:r w:rsidRPr="00B86A61">
        <w:rPr>
          <w:szCs w:val="22"/>
        </w:rPr>
        <w:br/>
      </w:r>
    </w:p>
    <w:p w14:paraId="364AA752" w14:textId="77777777" w:rsidR="00BB2B25" w:rsidRPr="00F47B50" w:rsidRDefault="00BB2B25" w:rsidP="00BB2B25">
      <w:pPr>
        <w:spacing w:after="0" w:line="276" w:lineRule="auto"/>
        <w:jc w:val="both"/>
        <w:rPr>
          <w:szCs w:val="22"/>
        </w:rPr>
      </w:pPr>
      <w:r w:rsidRPr="00B86A61">
        <w:rPr>
          <w:szCs w:val="22"/>
        </w:rPr>
        <w:t xml:space="preserve">Address: </w:t>
      </w:r>
      <w:r>
        <w:rPr>
          <w:szCs w:val="22"/>
        </w:rPr>
        <w:t>150 Bridge Street East, Benalla, VIC, 3672</w:t>
      </w:r>
    </w:p>
    <w:p w14:paraId="6901C27D" w14:textId="77777777" w:rsidR="00BB2B25" w:rsidRPr="00D448A5" w:rsidRDefault="00BB2B25" w:rsidP="00BB2B25">
      <w:pPr>
        <w:spacing w:after="0" w:line="276" w:lineRule="auto"/>
        <w:jc w:val="both"/>
        <w:rPr>
          <w:lang w:val="en-US"/>
        </w:rPr>
      </w:pPr>
    </w:p>
    <w:p w14:paraId="68F25774" w14:textId="276E46EA" w:rsidR="002673FB" w:rsidRPr="00D448A5" w:rsidRDefault="002673FB" w:rsidP="00BB2B25">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A3E4" w14:textId="77777777" w:rsidR="00CA73E3" w:rsidRDefault="00CA73E3" w:rsidP="003967DD">
      <w:pPr>
        <w:spacing w:after="0"/>
      </w:pPr>
      <w:r>
        <w:separator/>
      </w:r>
    </w:p>
  </w:endnote>
  <w:endnote w:type="continuationSeparator" w:id="0">
    <w:p w14:paraId="55850C3F" w14:textId="77777777" w:rsidR="00CA73E3" w:rsidRDefault="00CA73E3" w:rsidP="003967DD">
      <w:pPr>
        <w:spacing w:after="0"/>
      </w:pPr>
      <w:r>
        <w:continuationSeparator/>
      </w:r>
    </w:p>
  </w:endnote>
  <w:endnote w:type="continuationNotice" w:id="1">
    <w:p w14:paraId="150E798E" w14:textId="77777777" w:rsidR="00CA73E3" w:rsidRDefault="00CA7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7BB97D60"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363B4">
      <w:rPr>
        <w:rStyle w:val="PageNumber"/>
        <w:noProof/>
      </w:rPr>
      <w:t>16</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CBBA" w14:textId="77777777" w:rsidR="00CA73E3" w:rsidRDefault="00CA73E3" w:rsidP="003967DD">
      <w:pPr>
        <w:spacing w:after="0"/>
      </w:pPr>
      <w:r>
        <w:separator/>
      </w:r>
    </w:p>
  </w:footnote>
  <w:footnote w:type="continuationSeparator" w:id="0">
    <w:p w14:paraId="72D5E257" w14:textId="77777777" w:rsidR="00CA73E3" w:rsidRDefault="00CA73E3" w:rsidP="003967DD">
      <w:pPr>
        <w:spacing w:after="0"/>
      </w:pPr>
      <w:r>
        <w:continuationSeparator/>
      </w:r>
    </w:p>
  </w:footnote>
  <w:footnote w:type="continuationNotice" w:id="1">
    <w:p w14:paraId="7C80FED4" w14:textId="77777777" w:rsidR="00CA73E3" w:rsidRDefault="00CA7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44858ED"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9836C4"/>
    <w:multiLevelType w:val="hybridMultilevel"/>
    <w:tmpl w:val="562C5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326CA8"/>
    <w:multiLevelType w:val="hybridMultilevel"/>
    <w:tmpl w:val="55A87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6579CD"/>
    <w:multiLevelType w:val="hybridMultilevel"/>
    <w:tmpl w:val="04C4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080C07"/>
    <w:multiLevelType w:val="hybridMultilevel"/>
    <w:tmpl w:val="13DA16EC"/>
    <w:lvl w:ilvl="0" w:tplc="A2865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CC01B2C"/>
    <w:multiLevelType w:val="hybridMultilevel"/>
    <w:tmpl w:val="4C76E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10"/>
  </w:num>
  <w:num w:numId="4">
    <w:abstractNumId w:val="19"/>
  </w:num>
  <w:num w:numId="5">
    <w:abstractNumId w:val="22"/>
  </w:num>
  <w:num w:numId="6">
    <w:abstractNumId w:val="16"/>
  </w:num>
  <w:num w:numId="7">
    <w:abstractNumId w:val="7"/>
  </w:num>
  <w:num w:numId="8">
    <w:abstractNumId w:val="27"/>
  </w:num>
  <w:num w:numId="9">
    <w:abstractNumId w:val="24"/>
  </w:num>
  <w:num w:numId="10">
    <w:abstractNumId w:val="12"/>
  </w:num>
  <w:num w:numId="11">
    <w:abstractNumId w:val="26"/>
  </w:num>
  <w:num w:numId="12">
    <w:abstractNumId w:val="29"/>
  </w:num>
  <w:num w:numId="13">
    <w:abstractNumId w:val="21"/>
  </w:num>
  <w:num w:numId="14">
    <w:abstractNumId w:val="8"/>
  </w:num>
  <w:num w:numId="15">
    <w:abstractNumId w:val="35"/>
  </w:num>
  <w:num w:numId="16">
    <w:abstractNumId w:val="11"/>
  </w:num>
  <w:num w:numId="17">
    <w:abstractNumId w:val="5"/>
  </w:num>
  <w:num w:numId="18">
    <w:abstractNumId w:val="0"/>
  </w:num>
  <w:num w:numId="19">
    <w:abstractNumId w:val="23"/>
  </w:num>
  <w:num w:numId="20">
    <w:abstractNumId w:val="4"/>
  </w:num>
  <w:num w:numId="21">
    <w:abstractNumId w:val="32"/>
  </w:num>
  <w:num w:numId="22">
    <w:abstractNumId w:val="34"/>
  </w:num>
  <w:num w:numId="23">
    <w:abstractNumId w:val="25"/>
  </w:num>
  <w:num w:numId="24">
    <w:abstractNumId w:val="18"/>
  </w:num>
  <w:num w:numId="25">
    <w:abstractNumId w:val="2"/>
  </w:num>
  <w:num w:numId="26">
    <w:abstractNumId w:val="31"/>
  </w:num>
  <w:num w:numId="27">
    <w:abstractNumId w:val="6"/>
  </w:num>
  <w:num w:numId="28">
    <w:abstractNumId w:val="9"/>
  </w:num>
  <w:num w:numId="29">
    <w:abstractNumId w:val="36"/>
  </w:num>
  <w:num w:numId="30">
    <w:abstractNumId w:val="33"/>
  </w:num>
  <w:num w:numId="31">
    <w:abstractNumId w:val="15"/>
  </w:num>
  <w:num w:numId="32">
    <w:abstractNumId w:val="30"/>
  </w:num>
  <w:num w:numId="33">
    <w:abstractNumId w:val="20"/>
  </w:num>
  <w:num w:numId="34">
    <w:abstractNumId w:val="3"/>
  </w:num>
  <w:num w:numId="35">
    <w:abstractNumId w:val="1"/>
  </w:num>
  <w:num w:numId="36">
    <w:abstractNumId w:val="13"/>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27737"/>
    <w:rsid w:val="0003031C"/>
    <w:rsid w:val="00031FA6"/>
    <w:rsid w:val="00035195"/>
    <w:rsid w:val="000401A0"/>
    <w:rsid w:val="00040693"/>
    <w:rsid w:val="000410F4"/>
    <w:rsid w:val="00041676"/>
    <w:rsid w:val="0004400F"/>
    <w:rsid w:val="0004421E"/>
    <w:rsid w:val="00047712"/>
    <w:rsid w:val="00047A3E"/>
    <w:rsid w:val="00050817"/>
    <w:rsid w:val="00051005"/>
    <w:rsid w:val="000535CA"/>
    <w:rsid w:val="000570AE"/>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C7813"/>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77232"/>
    <w:rsid w:val="00180424"/>
    <w:rsid w:val="00181033"/>
    <w:rsid w:val="00182291"/>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190"/>
    <w:rsid w:val="00221CDF"/>
    <w:rsid w:val="00223652"/>
    <w:rsid w:val="00227195"/>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551"/>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A41"/>
    <w:rsid w:val="00293B73"/>
    <w:rsid w:val="00294039"/>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2E2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1488"/>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0340"/>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2E"/>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A6E03"/>
    <w:rsid w:val="005B00C5"/>
    <w:rsid w:val="005B1A39"/>
    <w:rsid w:val="005B226B"/>
    <w:rsid w:val="005B2FC4"/>
    <w:rsid w:val="005B47E1"/>
    <w:rsid w:val="005B7592"/>
    <w:rsid w:val="005C059E"/>
    <w:rsid w:val="005C1E2B"/>
    <w:rsid w:val="005C6E7F"/>
    <w:rsid w:val="005C7A5F"/>
    <w:rsid w:val="005D0AA8"/>
    <w:rsid w:val="005D1C7C"/>
    <w:rsid w:val="005D5651"/>
    <w:rsid w:val="005D6EDC"/>
    <w:rsid w:val="005D77B2"/>
    <w:rsid w:val="005E5C7E"/>
    <w:rsid w:val="005F17D5"/>
    <w:rsid w:val="005F2FC3"/>
    <w:rsid w:val="005F373F"/>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23A7"/>
    <w:rsid w:val="00673D83"/>
    <w:rsid w:val="00676EF0"/>
    <w:rsid w:val="00677C14"/>
    <w:rsid w:val="00682E65"/>
    <w:rsid w:val="006840DE"/>
    <w:rsid w:val="00687BDD"/>
    <w:rsid w:val="006962E7"/>
    <w:rsid w:val="00696EE3"/>
    <w:rsid w:val="006A1B5D"/>
    <w:rsid w:val="006A25AC"/>
    <w:rsid w:val="006A6B01"/>
    <w:rsid w:val="006B6C5F"/>
    <w:rsid w:val="006B752A"/>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6003"/>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76F27"/>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25DBE"/>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4CF3"/>
    <w:rsid w:val="00896364"/>
    <w:rsid w:val="008975B6"/>
    <w:rsid w:val="008A18F5"/>
    <w:rsid w:val="008A20FF"/>
    <w:rsid w:val="008A62A8"/>
    <w:rsid w:val="008B4EA1"/>
    <w:rsid w:val="008B4F8F"/>
    <w:rsid w:val="008B70C3"/>
    <w:rsid w:val="008C0E7C"/>
    <w:rsid w:val="008C4A50"/>
    <w:rsid w:val="008C51B9"/>
    <w:rsid w:val="008C5DAE"/>
    <w:rsid w:val="008C6439"/>
    <w:rsid w:val="008C6A1F"/>
    <w:rsid w:val="008C72C1"/>
    <w:rsid w:val="008D2FD3"/>
    <w:rsid w:val="008D3295"/>
    <w:rsid w:val="008D33E9"/>
    <w:rsid w:val="008E1D63"/>
    <w:rsid w:val="008E446D"/>
    <w:rsid w:val="008E5ECA"/>
    <w:rsid w:val="008E6F6C"/>
    <w:rsid w:val="008F2B26"/>
    <w:rsid w:val="008F3B60"/>
    <w:rsid w:val="008F5C31"/>
    <w:rsid w:val="008F766C"/>
    <w:rsid w:val="009010C6"/>
    <w:rsid w:val="00903964"/>
    <w:rsid w:val="0090409B"/>
    <w:rsid w:val="009134F3"/>
    <w:rsid w:val="009145FA"/>
    <w:rsid w:val="00916F1E"/>
    <w:rsid w:val="00921291"/>
    <w:rsid w:val="00922510"/>
    <w:rsid w:val="00922BB3"/>
    <w:rsid w:val="00924DCC"/>
    <w:rsid w:val="00925755"/>
    <w:rsid w:val="00925F9E"/>
    <w:rsid w:val="00930921"/>
    <w:rsid w:val="00935483"/>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34DF"/>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2B25"/>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63B4"/>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87E6F"/>
    <w:rsid w:val="00C93BAD"/>
    <w:rsid w:val="00C9598A"/>
    <w:rsid w:val="00CA3FC9"/>
    <w:rsid w:val="00CA73E3"/>
    <w:rsid w:val="00CA7C06"/>
    <w:rsid w:val="00CB1AAC"/>
    <w:rsid w:val="00CB260E"/>
    <w:rsid w:val="00CB3ABD"/>
    <w:rsid w:val="00CB4654"/>
    <w:rsid w:val="00CC0914"/>
    <w:rsid w:val="00CC3523"/>
    <w:rsid w:val="00CC43D0"/>
    <w:rsid w:val="00CC483D"/>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48FB"/>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66F2"/>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07532"/>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5388"/>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397632410">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Wodonga_KISP_Signed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C7F1840-C917-4104-9569-CF330A613A50}"/>
</file>

<file path=customXml/itemProps2.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 ds:uri="92143452-79c2-4c19-b4ab-3bf92b289002"/>
    <ds:schemaRef ds:uri="http://schemas.microsoft.com/Sharepoint/v3"/>
    <ds:schemaRef ds:uri="31668d71-c2e5-4aea-b4c9-de8c85bbb4e2"/>
    <ds:schemaRef ds:uri="http://schemas.microsoft.com/sharepoint/v4"/>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1F9D75-5A0C-4808-876E-9CEE411F8016}">
  <ds:schemaRefs>
    <ds:schemaRef ds:uri="http://schemas.openxmlformats.org/officeDocument/2006/bibliography"/>
  </ds:schemaRefs>
</ds:datastoreItem>
</file>

<file path=customXml/itemProps5.xml><?xml version="1.0" encoding="utf-8"?>
<ds:datastoreItem xmlns:ds="http://schemas.openxmlformats.org/officeDocument/2006/customXml" ds:itemID="{177AD14F-0DC5-467E-98F3-FEE79A034B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dcterms:created xsi:type="dcterms:W3CDTF">2021-04-15T04:36:00Z</dcterms:created>
  <dcterms:modified xsi:type="dcterms:W3CDTF">2022-05-09T04:58:00Z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{f34001c4-6909-4152-8cb3-13be3af40606}</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R20211640007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2021-06-12T04:42:38.1610348+10:00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