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CAE2DFC" w:rsidR="00DA3218" w:rsidRPr="0072506E" w:rsidRDefault="0072506E" w:rsidP="009E2673">
      <w:pPr>
        <w:pStyle w:val="Coversubtitle"/>
        <w:sectPr w:rsidR="00DA3218" w:rsidRPr="0072506E"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72506E">
        <w:t>City of Kingston</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69E5243B" w14:textId="3B253773" w:rsidR="003F4016"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3F4016" w:rsidRPr="00F55DEA">
        <w:rPr>
          <w:noProof/>
          <w:lang w:val="en-AU"/>
        </w:rPr>
        <w:t>1.</w:t>
      </w:r>
      <w:r w:rsidR="003F4016">
        <w:rPr>
          <w:rFonts w:asciiTheme="minorHAnsi" w:hAnsiTheme="minorHAnsi" w:cstheme="minorBidi"/>
          <w:b w:val="0"/>
          <w:noProof/>
          <w:color w:val="auto"/>
          <w:szCs w:val="22"/>
          <w:lang w:val="en-AU" w:eastAsia="en-AU"/>
        </w:rPr>
        <w:tab/>
      </w:r>
      <w:r w:rsidR="003F4016" w:rsidRPr="00F55DEA">
        <w:rPr>
          <w:noProof/>
          <w:lang w:val="en-AU"/>
        </w:rPr>
        <w:t>Introduction</w:t>
      </w:r>
      <w:r w:rsidR="003F4016">
        <w:rPr>
          <w:noProof/>
        </w:rPr>
        <w:tab/>
      </w:r>
      <w:r w:rsidR="003F4016">
        <w:rPr>
          <w:noProof/>
        </w:rPr>
        <w:fldChar w:fldCharType="begin"/>
      </w:r>
      <w:r w:rsidR="003F4016">
        <w:rPr>
          <w:noProof/>
        </w:rPr>
        <w:instrText xml:space="preserve"> PAGEREF _Toc45207623 \h </w:instrText>
      </w:r>
      <w:r w:rsidR="003F4016">
        <w:rPr>
          <w:noProof/>
        </w:rPr>
      </w:r>
      <w:r w:rsidR="003F4016">
        <w:rPr>
          <w:noProof/>
        </w:rPr>
        <w:fldChar w:fldCharType="separate"/>
      </w:r>
      <w:r w:rsidR="003F4016">
        <w:rPr>
          <w:noProof/>
        </w:rPr>
        <w:t>3</w:t>
      </w:r>
      <w:r w:rsidR="003F4016">
        <w:rPr>
          <w:noProof/>
        </w:rPr>
        <w:fldChar w:fldCharType="end"/>
      </w:r>
    </w:p>
    <w:p w14:paraId="16ABD1F0" w14:textId="0D2A8CE3"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1.1.</w:t>
      </w:r>
      <w:r>
        <w:rPr>
          <w:rFonts w:asciiTheme="minorHAnsi" w:hAnsiTheme="minorHAnsi" w:cstheme="minorBidi"/>
          <w:noProof/>
          <w:color w:val="auto"/>
          <w:szCs w:val="22"/>
          <w:lang w:val="en-AU" w:eastAsia="en-AU"/>
        </w:rPr>
        <w:tab/>
      </w:r>
      <w:r w:rsidRPr="00F55DEA">
        <w:rPr>
          <w:noProof/>
          <w:lang w:val="en-AU"/>
        </w:rPr>
        <w:t>Reform context</w:t>
      </w:r>
      <w:r>
        <w:rPr>
          <w:noProof/>
        </w:rPr>
        <w:tab/>
      </w:r>
      <w:r>
        <w:rPr>
          <w:noProof/>
        </w:rPr>
        <w:fldChar w:fldCharType="begin"/>
      </w:r>
      <w:r>
        <w:rPr>
          <w:noProof/>
        </w:rPr>
        <w:instrText xml:space="preserve"> PAGEREF _Toc45207624 \h </w:instrText>
      </w:r>
      <w:r>
        <w:rPr>
          <w:noProof/>
        </w:rPr>
      </w:r>
      <w:r>
        <w:rPr>
          <w:noProof/>
        </w:rPr>
        <w:fldChar w:fldCharType="separate"/>
      </w:r>
      <w:r>
        <w:rPr>
          <w:noProof/>
        </w:rPr>
        <w:t>3</w:t>
      </w:r>
      <w:r>
        <w:rPr>
          <w:noProof/>
        </w:rPr>
        <w:fldChar w:fldCharType="end"/>
      </w:r>
    </w:p>
    <w:p w14:paraId="58A1AA3F" w14:textId="6C940AD0"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1.2.</w:t>
      </w:r>
      <w:r>
        <w:rPr>
          <w:rFonts w:asciiTheme="minorHAnsi" w:hAnsiTheme="minorHAnsi" w:cstheme="minorBidi"/>
          <w:noProof/>
          <w:color w:val="auto"/>
          <w:szCs w:val="22"/>
          <w:lang w:val="en-AU" w:eastAsia="en-AU"/>
        </w:rPr>
        <w:tab/>
      </w:r>
      <w:r w:rsidRPr="00F55DEA">
        <w:rPr>
          <w:noProof/>
          <w:lang w:val="en-AU"/>
        </w:rPr>
        <w:t>Purpose of KISPs</w:t>
      </w:r>
      <w:r>
        <w:rPr>
          <w:noProof/>
        </w:rPr>
        <w:tab/>
      </w:r>
      <w:r>
        <w:rPr>
          <w:noProof/>
        </w:rPr>
        <w:fldChar w:fldCharType="begin"/>
      </w:r>
      <w:r>
        <w:rPr>
          <w:noProof/>
        </w:rPr>
        <w:instrText xml:space="preserve"> PAGEREF _Toc45207625 \h </w:instrText>
      </w:r>
      <w:r>
        <w:rPr>
          <w:noProof/>
        </w:rPr>
      </w:r>
      <w:r>
        <w:rPr>
          <w:noProof/>
        </w:rPr>
        <w:fldChar w:fldCharType="separate"/>
      </w:r>
      <w:r>
        <w:rPr>
          <w:noProof/>
        </w:rPr>
        <w:t>3</w:t>
      </w:r>
      <w:r>
        <w:rPr>
          <w:noProof/>
        </w:rPr>
        <w:fldChar w:fldCharType="end"/>
      </w:r>
    </w:p>
    <w:p w14:paraId="4D0D065B" w14:textId="20687E0E"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1.3.</w:t>
      </w:r>
      <w:r>
        <w:rPr>
          <w:rFonts w:asciiTheme="minorHAnsi" w:hAnsiTheme="minorHAnsi" w:cstheme="minorBidi"/>
          <w:noProof/>
          <w:color w:val="auto"/>
          <w:szCs w:val="22"/>
          <w:lang w:val="en-AU" w:eastAsia="en-AU"/>
        </w:rPr>
        <w:tab/>
      </w:r>
      <w:r w:rsidRPr="00F55DEA">
        <w:rPr>
          <w:noProof/>
          <w:lang w:val="en-AU"/>
        </w:rPr>
        <w:t>How to use the KISP</w:t>
      </w:r>
      <w:r>
        <w:rPr>
          <w:noProof/>
        </w:rPr>
        <w:tab/>
      </w:r>
      <w:r>
        <w:rPr>
          <w:noProof/>
        </w:rPr>
        <w:fldChar w:fldCharType="begin"/>
      </w:r>
      <w:r>
        <w:rPr>
          <w:noProof/>
        </w:rPr>
        <w:instrText xml:space="preserve"> PAGEREF _Toc45207626 \h </w:instrText>
      </w:r>
      <w:r>
        <w:rPr>
          <w:noProof/>
        </w:rPr>
      </w:r>
      <w:r>
        <w:rPr>
          <w:noProof/>
        </w:rPr>
        <w:fldChar w:fldCharType="separate"/>
      </w:r>
      <w:r>
        <w:rPr>
          <w:noProof/>
        </w:rPr>
        <w:t>3</w:t>
      </w:r>
      <w:r>
        <w:rPr>
          <w:noProof/>
        </w:rPr>
        <w:fldChar w:fldCharType="end"/>
      </w:r>
    </w:p>
    <w:p w14:paraId="07B9B83D" w14:textId="3073C3AA"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1.4.</w:t>
      </w:r>
      <w:r>
        <w:rPr>
          <w:rFonts w:asciiTheme="minorHAnsi" w:hAnsiTheme="minorHAnsi" w:cstheme="minorBidi"/>
          <w:noProof/>
          <w:color w:val="auto"/>
          <w:szCs w:val="22"/>
          <w:lang w:val="en-AU" w:eastAsia="en-AU"/>
        </w:rPr>
        <w:tab/>
      </w:r>
      <w:r w:rsidRPr="00F55DEA">
        <w:rPr>
          <w:noProof/>
          <w:lang w:val="en-AU"/>
        </w:rPr>
        <w:t>Structure of the KISP</w:t>
      </w:r>
      <w:r>
        <w:rPr>
          <w:noProof/>
        </w:rPr>
        <w:tab/>
      </w:r>
      <w:r>
        <w:rPr>
          <w:noProof/>
        </w:rPr>
        <w:fldChar w:fldCharType="begin"/>
      </w:r>
      <w:r>
        <w:rPr>
          <w:noProof/>
        </w:rPr>
        <w:instrText xml:space="preserve"> PAGEREF _Toc45207627 \h </w:instrText>
      </w:r>
      <w:r>
        <w:rPr>
          <w:noProof/>
        </w:rPr>
      </w:r>
      <w:r>
        <w:rPr>
          <w:noProof/>
        </w:rPr>
        <w:fldChar w:fldCharType="separate"/>
      </w:r>
      <w:r>
        <w:rPr>
          <w:noProof/>
        </w:rPr>
        <w:t>3</w:t>
      </w:r>
      <w:r>
        <w:rPr>
          <w:noProof/>
        </w:rPr>
        <w:fldChar w:fldCharType="end"/>
      </w:r>
    </w:p>
    <w:p w14:paraId="7ADDB434" w14:textId="316B698C"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1.5.</w:t>
      </w:r>
      <w:r>
        <w:rPr>
          <w:rFonts w:asciiTheme="minorHAnsi" w:hAnsiTheme="minorHAnsi" w:cstheme="minorBidi"/>
          <w:noProof/>
          <w:color w:val="auto"/>
          <w:szCs w:val="22"/>
          <w:lang w:val="en-AU" w:eastAsia="en-AU"/>
        </w:rPr>
        <w:tab/>
      </w:r>
      <w:r w:rsidRPr="00F55DEA">
        <w:rPr>
          <w:noProof/>
          <w:lang w:val="en-AU"/>
        </w:rPr>
        <w:t>Disclaimer</w:t>
      </w:r>
      <w:r>
        <w:rPr>
          <w:noProof/>
        </w:rPr>
        <w:tab/>
      </w:r>
      <w:r>
        <w:rPr>
          <w:noProof/>
        </w:rPr>
        <w:fldChar w:fldCharType="begin"/>
      </w:r>
      <w:r>
        <w:rPr>
          <w:noProof/>
        </w:rPr>
        <w:instrText xml:space="preserve"> PAGEREF _Toc45207628 \h </w:instrText>
      </w:r>
      <w:r>
        <w:rPr>
          <w:noProof/>
        </w:rPr>
      </w:r>
      <w:r>
        <w:rPr>
          <w:noProof/>
        </w:rPr>
        <w:fldChar w:fldCharType="separate"/>
      </w:r>
      <w:r>
        <w:rPr>
          <w:noProof/>
        </w:rPr>
        <w:t>4</w:t>
      </w:r>
      <w:r>
        <w:rPr>
          <w:noProof/>
        </w:rPr>
        <w:fldChar w:fldCharType="end"/>
      </w:r>
    </w:p>
    <w:p w14:paraId="26572A00" w14:textId="6567B81B" w:rsidR="003F4016" w:rsidRDefault="003F4016">
      <w:pPr>
        <w:pStyle w:val="TOC1"/>
        <w:rPr>
          <w:rFonts w:asciiTheme="minorHAnsi" w:hAnsiTheme="minorHAnsi" w:cstheme="minorBidi"/>
          <w:b w:val="0"/>
          <w:noProof/>
          <w:color w:val="auto"/>
          <w:szCs w:val="22"/>
          <w:lang w:val="en-AU" w:eastAsia="en-AU"/>
        </w:rPr>
      </w:pPr>
      <w:r w:rsidRPr="00F55DEA">
        <w:rPr>
          <w:noProof/>
          <w:lang w:val="en-AU"/>
        </w:rPr>
        <w:t>2.</w:t>
      </w:r>
      <w:r>
        <w:rPr>
          <w:rFonts w:asciiTheme="minorHAnsi" w:hAnsiTheme="minorHAnsi" w:cstheme="minorBidi"/>
          <w:b w:val="0"/>
          <w:noProof/>
          <w:color w:val="auto"/>
          <w:szCs w:val="22"/>
          <w:lang w:val="en-AU" w:eastAsia="en-AU"/>
        </w:rPr>
        <w:tab/>
      </w:r>
      <w:r w:rsidRPr="00F55DEA">
        <w:rPr>
          <w:noProof/>
          <w:lang w:val="en-AU"/>
        </w:rPr>
        <w:t>Map of Early Childhood Education services in City of Kingston</w:t>
      </w:r>
      <w:r>
        <w:rPr>
          <w:noProof/>
        </w:rPr>
        <w:tab/>
      </w:r>
      <w:r>
        <w:rPr>
          <w:noProof/>
        </w:rPr>
        <w:fldChar w:fldCharType="begin"/>
      </w:r>
      <w:r>
        <w:rPr>
          <w:noProof/>
        </w:rPr>
        <w:instrText xml:space="preserve"> PAGEREF _Toc45207629 \h </w:instrText>
      </w:r>
      <w:r>
        <w:rPr>
          <w:noProof/>
        </w:rPr>
      </w:r>
      <w:r>
        <w:rPr>
          <w:noProof/>
        </w:rPr>
        <w:fldChar w:fldCharType="separate"/>
      </w:r>
      <w:r>
        <w:rPr>
          <w:noProof/>
        </w:rPr>
        <w:t>5</w:t>
      </w:r>
      <w:r>
        <w:rPr>
          <w:noProof/>
        </w:rPr>
        <w:fldChar w:fldCharType="end"/>
      </w:r>
    </w:p>
    <w:p w14:paraId="78F30642" w14:textId="27C5D3A7" w:rsidR="003F4016" w:rsidRDefault="003F4016">
      <w:pPr>
        <w:pStyle w:val="TOC1"/>
        <w:rPr>
          <w:rFonts w:asciiTheme="minorHAnsi" w:hAnsiTheme="minorHAnsi" w:cstheme="minorBidi"/>
          <w:b w:val="0"/>
          <w:noProof/>
          <w:color w:val="auto"/>
          <w:szCs w:val="22"/>
          <w:lang w:val="en-AU" w:eastAsia="en-AU"/>
        </w:rPr>
      </w:pPr>
      <w:r w:rsidRPr="00F55DEA">
        <w:rPr>
          <w:noProof/>
          <w:lang w:val="en-AU"/>
        </w:rPr>
        <w:t>3.</w:t>
      </w:r>
      <w:r>
        <w:rPr>
          <w:rFonts w:asciiTheme="minorHAnsi" w:hAnsiTheme="minorHAnsi" w:cstheme="minorBidi"/>
          <w:b w:val="0"/>
          <w:noProof/>
          <w:color w:val="auto"/>
          <w:szCs w:val="22"/>
          <w:lang w:val="en-AU" w:eastAsia="en-AU"/>
        </w:rPr>
        <w:tab/>
      </w:r>
      <w:r w:rsidRPr="00F55DEA">
        <w:rPr>
          <w:noProof/>
          <w:lang w:val="en-AU"/>
        </w:rPr>
        <w:t>Local context</w:t>
      </w:r>
      <w:r>
        <w:rPr>
          <w:noProof/>
        </w:rPr>
        <w:tab/>
      </w:r>
      <w:r>
        <w:rPr>
          <w:noProof/>
        </w:rPr>
        <w:fldChar w:fldCharType="begin"/>
      </w:r>
      <w:r>
        <w:rPr>
          <w:noProof/>
        </w:rPr>
        <w:instrText xml:space="preserve"> PAGEREF _Toc45207630 \h </w:instrText>
      </w:r>
      <w:r>
        <w:rPr>
          <w:noProof/>
        </w:rPr>
      </w:r>
      <w:r>
        <w:rPr>
          <w:noProof/>
        </w:rPr>
        <w:fldChar w:fldCharType="separate"/>
      </w:r>
      <w:r>
        <w:rPr>
          <w:noProof/>
        </w:rPr>
        <w:t>6</w:t>
      </w:r>
      <w:r>
        <w:rPr>
          <w:noProof/>
        </w:rPr>
        <w:fldChar w:fldCharType="end"/>
      </w:r>
    </w:p>
    <w:p w14:paraId="1E43FE07" w14:textId="6C9E31A4" w:rsidR="003F4016" w:rsidRDefault="003F4016">
      <w:pPr>
        <w:pStyle w:val="TOC2"/>
        <w:tabs>
          <w:tab w:val="right" w:leader="dot" w:pos="9622"/>
        </w:tabs>
        <w:rPr>
          <w:rFonts w:asciiTheme="minorHAnsi" w:hAnsiTheme="minorHAnsi" w:cstheme="minorBidi"/>
          <w:noProof/>
          <w:color w:val="auto"/>
          <w:szCs w:val="22"/>
          <w:lang w:val="en-AU" w:eastAsia="en-AU"/>
        </w:rPr>
      </w:pPr>
      <w:r w:rsidRPr="00F55DEA">
        <w:rPr>
          <w:noProof/>
          <w:lang w:val="en-AU"/>
        </w:rPr>
        <w:t xml:space="preserve">3.1 </w:t>
      </w:r>
      <w:r w:rsidR="001944A6">
        <w:rPr>
          <w:noProof/>
          <w:lang w:val="en-AU"/>
        </w:rPr>
        <w:t xml:space="preserve">     </w:t>
      </w:r>
      <w:r w:rsidRPr="00F55DEA">
        <w:rPr>
          <w:noProof/>
          <w:lang w:val="en-AU"/>
        </w:rPr>
        <w:t>Purpose</w:t>
      </w:r>
      <w:r>
        <w:rPr>
          <w:noProof/>
        </w:rPr>
        <w:tab/>
      </w:r>
      <w:r>
        <w:rPr>
          <w:noProof/>
        </w:rPr>
        <w:fldChar w:fldCharType="begin"/>
      </w:r>
      <w:r>
        <w:rPr>
          <w:noProof/>
        </w:rPr>
        <w:instrText xml:space="preserve"> PAGEREF _Toc45207631 \h </w:instrText>
      </w:r>
      <w:r>
        <w:rPr>
          <w:noProof/>
        </w:rPr>
      </w:r>
      <w:r>
        <w:rPr>
          <w:noProof/>
        </w:rPr>
        <w:fldChar w:fldCharType="separate"/>
      </w:r>
      <w:r>
        <w:rPr>
          <w:noProof/>
        </w:rPr>
        <w:t>6</w:t>
      </w:r>
      <w:r>
        <w:rPr>
          <w:noProof/>
        </w:rPr>
        <w:fldChar w:fldCharType="end"/>
      </w:r>
    </w:p>
    <w:p w14:paraId="31750353" w14:textId="62F80650" w:rsidR="003F4016" w:rsidRDefault="003F4016">
      <w:pPr>
        <w:pStyle w:val="TOC2"/>
        <w:tabs>
          <w:tab w:val="right" w:leader="dot" w:pos="9622"/>
        </w:tabs>
        <w:rPr>
          <w:rFonts w:asciiTheme="minorHAnsi" w:hAnsiTheme="minorHAnsi" w:cstheme="minorBidi"/>
          <w:noProof/>
          <w:color w:val="auto"/>
          <w:szCs w:val="22"/>
          <w:lang w:val="en-AU" w:eastAsia="en-AU"/>
        </w:rPr>
      </w:pPr>
      <w:r w:rsidRPr="00F55DEA">
        <w:rPr>
          <w:noProof/>
          <w:lang w:val="en-AU"/>
        </w:rPr>
        <w:t>3.2</w:t>
      </w:r>
      <w:r w:rsidR="001944A6">
        <w:rPr>
          <w:noProof/>
          <w:lang w:val="en-AU"/>
        </w:rPr>
        <w:t xml:space="preserve">     </w:t>
      </w:r>
      <w:r w:rsidRPr="00F55DEA">
        <w:rPr>
          <w:noProof/>
          <w:lang w:val="en-AU"/>
        </w:rPr>
        <w:t xml:space="preserve"> Key considerations</w:t>
      </w:r>
      <w:r>
        <w:rPr>
          <w:noProof/>
        </w:rPr>
        <w:tab/>
      </w:r>
      <w:r>
        <w:rPr>
          <w:noProof/>
        </w:rPr>
        <w:fldChar w:fldCharType="begin"/>
      </w:r>
      <w:r>
        <w:rPr>
          <w:noProof/>
        </w:rPr>
        <w:instrText xml:space="preserve"> PAGEREF _Toc45207632 \h </w:instrText>
      </w:r>
      <w:r>
        <w:rPr>
          <w:noProof/>
        </w:rPr>
      </w:r>
      <w:r>
        <w:rPr>
          <w:noProof/>
        </w:rPr>
        <w:fldChar w:fldCharType="separate"/>
      </w:r>
      <w:r>
        <w:rPr>
          <w:noProof/>
        </w:rPr>
        <w:t>6</w:t>
      </w:r>
      <w:r>
        <w:rPr>
          <w:noProof/>
        </w:rPr>
        <w:fldChar w:fldCharType="end"/>
      </w:r>
    </w:p>
    <w:p w14:paraId="710D4424" w14:textId="1E8C232E" w:rsidR="003F4016" w:rsidRDefault="003F4016">
      <w:pPr>
        <w:pStyle w:val="TOC1"/>
        <w:rPr>
          <w:rFonts w:asciiTheme="minorHAnsi" w:hAnsiTheme="minorHAnsi" w:cstheme="minorBidi"/>
          <w:b w:val="0"/>
          <w:noProof/>
          <w:color w:val="auto"/>
          <w:szCs w:val="22"/>
          <w:lang w:val="en-AU" w:eastAsia="en-AU"/>
        </w:rPr>
      </w:pPr>
      <w:r w:rsidRPr="00F55DEA">
        <w:rPr>
          <w:noProof/>
          <w:lang w:val="en-AU"/>
        </w:rPr>
        <w:t>4.</w:t>
      </w:r>
      <w:r>
        <w:rPr>
          <w:rFonts w:asciiTheme="minorHAnsi" w:hAnsiTheme="minorHAnsi" w:cstheme="minorBidi"/>
          <w:b w:val="0"/>
          <w:noProof/>
          <w:color w:val="auto"/>
          <w:szCs w:val="22"/>
          <w:lang w:val="en-AU" w:eastAsia="en-AU"/>
        </w:rPr>
        <w:tab/>
      </w:r>
      <w:r w:rsidRPr="00F55DEA">
        <w:rPr>
          <w:noProof/>
          <w:lang w:val="en-AU"/>
        </w:rPr>
        <w:t>Funded kindergarten enrolment estimates between 2021-29 for City of Kingston</w:t>
      </w:r>
      <w:r>
        <w:rPr>
          <w:noProof/>
        </w:rPr>
        <w:tab/>
      </w:r>
      <w:r>
        <w:rPr>
          <w:noProof/>
        </w:rPr>
        <w:fldChar w:fldCharType="begin"/>
      </w:r>
      <w:r>
        <w:rPr>
          <w:noProof/>
        </w:rPr>
        <w:instrText xml:space="preserve"> PAGEREF _Toc45207633 \h </w:instrText>
      </w:r>
      <w:r>
        <w:rPr>
          <w:noProof/>
        </w:rPr>
      </w:r>
      <w:r>
        <w:rPr>
          <w:noProof/>
        </w:rPr>
        <w:fldChar w:fldCharType="separate"/>
      </w:r>
      <w:r>
        <w:rPr>
          <w:noProof/>
        </w:rPr>
        <w:t>7</w:t>
      </w:r>
      <w:r>
        <w:rPr>
          <w:noProof/>
        </w:rPr>
        <w:fldChar w:fldCharType="end"/>
      </w:r>
    </w:p>
    <w:p w14:paraId="24FC13BD" w14:textId="430C2D05"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4.1</w:t>
      </w:r>
      <w:r>
        <w:rPr>
          <w:rFonts w:asciiTheme="minorHAnsi" w:hAnsiTheme="minorHAnsi" w:cstheme="minorBidi"/>
          <w:noProof/>
          <w:color w:val="auto"/>
          <w:szCs w:val="22"/>
          <w:lang w:val="en-AU" w:eastAsia="en-AU"/>
        </w:rPr>
        <w:tab/>
      </w:r>
      <w:r w:rsidRPr="00F55DEA">
        <w:rPr>
          <w:noProof/>
          <w:lang w:val="en-AU"/>
        </w:rPr>
        <w:t>Purpose</w:t>
      </w:r>
      <w:r>
        <w:rPr>
          <w:noProof/>
        </w:rPr>
        <w:tab/>
      </w:r>
      <w:r>
        <w:rPr>
          <w:noProof/>
        </w:rPr>
        <w:fldChar w:fldCharType="begin"/>
      </w:r>
      <w:r>
        <w:rPr>
          <w:noProof/>
        </w:rPr>
        <w:instrText xml:space="preserve"> PAGEREF _Toc45207634 \h </w:instrText>
      </w:r>
      <w:r>
        <w:rPr>
          <w:noProof/>
        </w:rPr>
      </w:r>
      <w:r>
        <w:rPr>
          <w:noProof/>
        </w:rPr>
        <w:fldChar w:fldCharType="separate"/>
      </w:r>
      <w:r>
        <w:rPr>
          <w:noProof/>
        </w:rPr>
        <w:t>7</w:t>
      </w:r>
      <w:r>
        <w:rPr>
          <w:noProof/>
        </w:rPr>
        <w:fldChar w:fldCharType="end"/>
      </w:r>
    </w:p>
    <w:p w14:paraId="758DFA78" w14:textId="7F389044"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 xml:space="preserve">4.2 </w:t>
      </w:r>
      <w:r>
        <w:rPr>
          <w:rFonts w:asciiTheme="minorHAnsi" w:hAnsiTheme="minorHAnsi" w:cstheme="minorBidi"/>
          <w:noProof/>
          <w:color w:val="auto"/>
          <w:szCs w:val="22"/>
          <w:lang w:val="en-AU" w:eastAsia="en-AU"/>
        </w:rPr>
        <w:tab/>
      </w:r>
      <w:r w:rsidRPr="00F55DEA">
        <w:rPr>
          <w:noProof/>
          <w:lang w:val="en-AU"/>
        </w:rPr>
        <w:t>Methodology</w:t>
      </w:r>
      <w:r>
        <w:rPr>
          <w:noProof/>
        </w:rPr>
        <w:tab/>
      </w:r>
      <w:r>
        <w:rPr>
          <w:noProof/>
        </w:rPr>
        <w:fldChar w:fldCharType="begin"/>
      </w:r>
      <w:r>
        <w:rPr>
          <w:noProof/>
        </w:rPr>
        <w:instrText xml:space="preserve"> PAGEREF _Toc45207635 \h </w:instrText>
      </w:r>
      <w:r>
        <w:rPr>
          <w:noProof/>
        </w:rPr>
      </w:r>
      <w:r>
        <w:rPr>
          <w:noProof/>
        </w:rPr>
        <w:fldChar w:fldCharType="separate"/>
      </w:r>
      <w:r>
        <w:rPr>
          <w:noProof/>
        </w:rPr>
        <w:t>7</w:t>
      </w:r>
      <w:r>
        <w:rPr>
          <w:noProof/>
        </w:rPr>
        <w:fldChar w:fldCharType="end"/>
      </w:r>
    </w:p>
    <w:p w14:paraId="62CED25D" w14:textId="040F5148"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4.3</w:t>
      </w:r>
      <w:r>
        <w:rPr>
          <w:rFonts w:asciiTheme="minorHAnsi" w:hAnsiTheme="minorHAnsi" w:cstheme="minorBidi"/>
          <w:noProof/>
          <w:color w:val="auto"/>
          <w:szCs w:val="22"/>
          <w:lang w:val="en-AU" w:eastAsia="en-AU"/>
        </w:rPr>
        <w:tab/>
      </w:r>
      <w:r w:rsidRPr="00F55DEA">
        <w:rPr>
          <w:noProof/>
          <w:lang w:val="en-AU"/>
        </w:rPr>
        <w:t>Summary of current kindergarten provision</w:t>
      </w:r>
      <w:r>
        <w:rPr>
          <w:noProof/>
        </w:rPr>
        <w:tab/>
      </w:r>
      <w:r>
        <w:rPr>
          <w:noProof/>
        </w:rPr>
        <w:fldChar w:fldCharType="begin"/>
      </w:r>
      <w:r>
        <w:rPr>
          <w:noProof/>
        </w:rPr>
        <w:instrText xml:space="preserve"> PAGEREF _Toc45207636 \h </w:instrText>
      </w:r>
      <w:r>
        <w:rPr>
          <w:noProof/>
        </w:rPr>
      </w:r>
      <w:r>
        <w:rPr>
          <w:noProof/>
        </w:rPr>
        <w:fldChar w:fldCharType="separate"/>
      </w:r>
      <w:r>
        <w:rPr>
          <w:noProof/>
        </w:rPr>
        <w:t>8</w:t>
      </w:r>
      <w:r>
        <w:rPr>
          <w:noProof/>
        </w:rPr>
        <w:fldChar w:fldCharType="end"/>
      </w:r>
    </w:p>
    <w:p w14:paraId="336934E5" w14:textId="174956B5" w:rsidR="003F4016" w:rsidRDefault="003F4016">
      <w:pPr>
        <w:pStyle w:val="TOC2"/>
        <w:tabs>
          <w:tab w:val="right" w:leader="dot" w:pos="9622"/>
        </w:tabs>
        <w:rPr>
          <w:rFonts w:asciiTheme="minorHAnsi" w:hAnsiTheme="minorHAnsi" w:cstheme="minorBidi"/>
          <w:noProof/>
          <w:color w:val="auto"/>
          <w:szCs w:val="22"/>
          <w:lang w:val="en-AU" w:eastAsia="en-AU"/>
        </w:rPr>
      </w:pPr>
      <w:r>
        <w:rPr>
          <w:noProof/>
        </w:rPr>
        <w:tab/>
      </w:r>
      <w:r>
        <w:rPr>
          <w:noProof/>
        </w:rPr>
        <w:fldChar w:fldCharType="begin"/>
      </w:r>
      <w:r>
        <w:rPr>
          <w:noProof/>
        </w:rPr>
        <w:instrText xml:space="preserve"> PAGEREF _Toc45207637 \h </w:instrText>
      </w:r>
      <w:r>
        <w:rPr>
          <w:noProof/>
        </w:rPr>
      </w:r>
      <w:r>
        <w:rPr>
          <w:noProof/>
        </w:rPr>
        <w:fldChar w:fldCharType="separate"/>
      </w:r>
      <w:r>
        <w:rPr>
          <w:noProof/>
        </w:rPr>
        <w:t>9</w:t>
      </w:r>
      <w:r>
        <w:rPr>
          <w:noProof/>
        </w:rPr>
        <w:fldChar w:fldCharType="end"/>
      </w:r>
    </w:p>
    <w:p w14:paraId="661EF960" w14:textId="4175C75A"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4.4</w:t>
      </w:r>
      <w:r>
        <w:rPr>
          <w:rFonts w:asciiTheme="minorHAnsi" w:hAnsiTheme="minorHAnsi" w:cstheme="minorBidi"/>
          <w:noProof/>
          <w:color w:val="auto"/>
          <w:szCs w:val="22"/>
          <w:lang w:val="en-AU" w:eastAsia="en-AU"/>
        </w:rPr>
        <w:tab/>
      </w:r>
      <w:r w:rsidRPr="00F55DEA">
        <w:rPr>
          <w:noProof/>
          <w:lang w:val="en-AU"/>
        </w:rPr>
        <w:t>Approach to optimising the use of existing services and infrastructure</w:t>
      </w:r>
      <w:r>
        <w:rPr>
          <w:noProof/>
        </w:rPr>
        <w:tab/>
      </w:r>
      <w:r>
        <w:rPr>
          <w:noProof/>
        </w:rPr>
        <w:fldChar w:fldCharType="begin"/>
      </w:r>
      <w:r>
        <w:rPr>
          <w:noProof/>
        </w:rPr>
        <w:instrText xml:space="preserve"> PAGEREF _Toc45207638 \h </w:instrText>
      </w:r>
      <w:r>
        <w:rPr>
          <w:noProof/>
        </w:rPr>
      </w:r>
      <w:r>
        <w:rPr>
          <w:noProof/>
        </w:rPr>
        <w:fldChar w:fldCharType="separate"/>
      </w:r>
      <w:r>
        <w:rPr>
          <w:noProof/>
        </w:rPr>
        <w:t>9</w:t>
      </w:r>
      <w:r>
        <w:rPr>
          <w:noProof/>
        </w:rPr>
        <w:fldChar w:fldCharType="end"/>
      </w:r>
    </w:p>
    <w:p w14:paraId="4D51BCF4" w14:textId="6978FF7F" w:rsidR="003F4016" w:rsidRDefault="003F4016">
      <w:pPr>
        <w:pStyle w:val="TOC2"/>
        <w:tabs>
          <w:tab w:val="left" w:pos="880"/>
          <w:tab w:val="right" w:leader="dot" w:pos="9622"/>
        </w:tabs>
        <w:rPr>
          <w:rFonts w:asciiTheme="minorHAnsi" w:hAnsiTheme="minorHAnsi" w:cstheme="minorBidi"/>
          <w:noProof/>
          <w:color w:val="auto"/>
          <w:szCs w:val="22"/>
          <w:lang w:val="en-AU" w:eastAsia="en-AU"/>
        </w:rPr>
      </w:pPr>
      <w:r w:rsidRPr="00F55DEA">
        <w:rPr>
          <w:noProof/>
          <w:lang w:val="en-AU"/>
        </w:rPr>
        <w:t>4.5</w:t>
      </w:r>
      <w:r>
        <w:rPr>
          <w:rFonts w:asciiTheme="minorHAnsi" w:hAnsiTheme="minorHAnsi" w:cstheme="minorBidi"/>
          <w:noProof/>
          <w:color w:val="auto"/>
          <w:szCs w:val="22"/>
          <w:lang w:val="en-AU" w:eastAsia="en-AU"/>
        </w:rPr>
        <w:tab/>
      </w:r>
      <w:r w:rsidRPr="00F55DEA">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_Toc45207639 \h </w:instrText>
      </w:r>
      <w:r>
        <w:rPr>
          <w:noProof/>
        </w:rPr>
      </w:r>
      <w:r>
        <w:rPr>
          <w:noProof/>
        </w:rPr>
        <w:fldChar w:fldCharType="separate"/>
      </w:r>
      <w:r>
        <w:rPr>
          <w:noProof/>
        </w:rPr>
        <w:t>11</w:t>
      </w:r>
      <w:r>
        <w:rPr>
          <w:noProof/>
        </w:rPr>
        <w:fldChar w:fldCharType="end"/>
      </w:r>
    </w:p>
    <w:p w14:paraId="53CAB7C1" w14:textId="4148576F" w:rsidR="003F4016" w:rsidRDefault="003F4016">
      <w:pPr>
        <w:pStyle w:val="TOC1"/>
        <w:rPr>
          <w:rFonts w:asciiTheme="minorHAnsi" w:hAnsiTheme="minorHAnsi" w:cstheme="minorBidi"/>
          <w:b w:val="0"/>
          <w:noProof/>
          <w:color w:val="auto"/>
          <w:szCs w:val="22"/>
          <w:lang w:val="en-AU" w:eastAsia="en-AU"/>
        </w:rPr>
      </w:pPr>
      <w:r w:rsidRPr="00F55DEA">
        <w:rPr>
          <w:noProof/>
          <w:lang w:val="en-AU"/>
        </w:rPr>
        <w:t>5.</w:t>
      </w:r>
      <w:r>
        <w:rPr>
          <w:rFonts w:asciiTheme="minorHAnsi" w:hAnsiTheme="minorHAnsi" w:cstheme="minorBidi"/>
          <w:b w:val="0"/>
          <w:noProof/>
          <w:color w:val="auto"/>
          <w:szCs w:val="22"/>
          <w:lang w:val="en-AU" w:eastAsia="en-AU"/>
        </w:rPr>
        <w:tab/>
      </w:r>
      <w:r w:rsidRPr="00F55DEA">
        <w:rPr>
          <w:noProof/>
          <w:lang w:val="en-AU"/>
        </w:rPr>
        <w:t>Authorisation</w:t>
      </w:r>
      <w:r>
        <w:rPr>
          <w:noProof/>
        </w:rPr>
        <w:tab/>
      </w:r>
      <w:r>
        <w:rPr>
          <w:noProof/>
        </w:rPr>
        <w:fldChar w:fldCharType="begin"/>
      </w:r>
      <w:r>
        <w:rPr>
          <w:noProof/>
        </w:rPr>
        <w:instrText xml:space="preserve"> PAGEREF _Toc45207640 \h </w:instrText>
      </w:r>
      <w:r>
        <w:rPr>
          <w:noProof/>
        </w:rPr>
      </w:r>
      <w:r>
        <w:rPr>
          <w:noProof/>
        </w:rPr>
        <w:fldChar w:fldCharType="separate"/>
      </w:r>
      <w:r>
        <w:rPr>
          <w:noProof/>
        </w:rPr>
        <w:t>16</w:t>
      </w:r>
      <w:r>
        <w:rPr>
          <w:noProof/>
        </w:rPr>
        <w:fldChar w:fldCharType="end"/>
      </w:r>
    </w:p>
    <w:p w14:paraId="3BCDC09F" w14:textId="419C77A7"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2076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207624"/>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207625"/>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207626"/>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207627"/>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207628"/>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45C222CF" w:rsidR="009D1E31" w:rsidRDefault="0032285F">
      <w:pPr>
        <w:pStyle w:val="Heading1"/>
        <w:numPr>
          <w:ilvl w:val="0"/>
          <w:numId w:val="6"/>
        </w:numPr>
        <w:rPr>
          <w:lang w:val="en-AU"/>
        </w:rPr>
      </w:pPr>
      <w:bookmarkStart w:id="34" w:name="_Toc45207629"/>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7446C2">
        <w:rPr>
          <w:lang w:val="en-AU"/>
        </w:rPr>
        <w:t>City of Kingston</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C389D9F"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7446C2" w:rsidRPr="007446C2">
        <w:rPr>
          <w:lang w:val="en-AU"/>
        </w:rPr>
        <w:t>Kingston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3303B3C2" w14:textId="07FBDA68" w:rsidR="0090075B" w:rsidRPr="00AB2598" w:rsidRDefault="00B926B6" w:rsidP="0018584B">
      <w:pPr>
        <w:spacing w:before="240" w:line="276" w:lineRule="auto"/>
        <w:jc w:val="both"/>
        <w:rPr>
          <w:lang w:val="en-AU"/>
        </w:rPr>
      </w:pPr>
      <w:r w:rsidRPr="00B926B6">
        <w:rPr>
          <w:noProof/>
        </w:rPr>
        <w:t xml:space="preserve"> </w:t>
      </w:r>
      <w:r w:rsidR="003B6D6C">
        <w:rPr>
          <w:noProof/>
        </w:rPr>
        <w:drawing>
          <wp:inline distT="0" distB="0" distL="0" distR="0" wp14:anchorId="1E015E8A" wp14:editId="1762D803">
            <wp:extent cx="6205855" cy="4455268"/>
            <wp:effectExtent l="0" t="0" r="4445" b="254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212586" cy="4460100"/>
                    </a:xfrm>
                    <a:prstGeom prst="rect">
                      <a:avLst/>
                    </a:prstGeom>
                    <a:noFill/>
                    <a:ln>
                      <a:noFill/>
                    </a:ln>
                  </pic:spPr>
                </pic:pic>
              </a:graphicData>
            </a:graphic>
          </wp:inline>
        </w:drawing>
      </w:r>
    </w:p>
    <w:p w14:paraId="27602577" w14:textId="5E762E12" w:rsidR="009D1E31" w:rsidRDefault="00227686" w:rsidP="001951A6">
      <w:pPr>
        <w:rPr>
          <w:lang w:val="en-US"/>
        </w:rPr>
      </w:pPr>
      <w:r w:rsidRPr="00227686">
        <w:rPr>
          <w:noProof/>
        </w:rPr>
        <w:t xml:space="preserve"> </w:t>
      </w:r>
    </w:p>
    <w:p w14:paraId="3B82D037" w14:textId="6D6B0B38" w:rsidR="009D1E31" w:rsidRDefault="009D1E31" w:rsidP="009D1E31">
      <w:pPr>
        <w:rPr>
          <w:lang w:val="en-US"/>
        </w:rPr>
        <w:sectPr w:rsidR="009D1E31" w:rsidSect="00B926B6">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207630"/>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207631"/>
      <w:r>
        <w:rPr>
          <w:lang w:val="en-AU"/>
        </w:rPr>
        <w:t>3</w:t>
      </w:r>
      <w:r w:rsidR="00BD2CBD">
        <w:rPr>
          <w:lang w:val="en-AU"/>
        </w:rPr>
        <w:t xml:space="preserve">.1 </w:t>
      </w:r>
      <w:r w:rsidR="00BF24B2">
        <w:rPr>
          <w:lang w:val="en-AU"/>
        </w:rPr>
        <w:t>Purpose</w:t>
      </w:r>
      <w:bookmarkEnd w:id="36"/>
    </w:p>
    <w:p w14:paraId="48734BCE" w14:textId="6D5BE333"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1C3D5DE3" w14:textId="0D7B1EC7" w:rsidR="00814672" w:rsidRDefault="00814672" w:rsidP="000057A5">
      <w:pPr>
        <w:spacing w:before="120" w:line="276" w:lineRule="auto"/>
        <w:jc w:val="both"/>
        <w:rPr>
          <w:rFonts w:ascii="Arial" w:hAnsi="Arial" w:cs="Arial"/>
          <w:color w:val="0B0C1D"/>
          <w:shd w:val="clear" w:color="auto" w:fill="FFFFFF"/>
        </w:rPr>
      </w:pPr>
      <w:r w:rsidRPr="002A5A96">
        <w:rPr>
          <w:rFonts w:ascii="Arial" w:hAnsi="Arial" w:cs="Arial"/>
          <w:color w:val="0B0C1D"/>
          <w:shd w:val="clear" w:color="auto" w:fill="FFFFFF"/>
        </w:rPr>
        <w:t xml:space="preserve">When assessing future Building Blocks capacity grant project proposals in the City of Kingston, DET will consider the entire KISP, including this Local Context section, </w:t>
      </w:r>
      <w:proofErr w:type="gramStart"/>
      <w:r w:rsidRPr="002A5A96">
        <w:rPr>
          <w:rFonts w:ascii="Arial" w:hAnsi="Arial" w:cs="Arial"/>
          <w:color w:val="0B0C1D"/>
          <w:shd w:val="clear" w:color="auto" w:fill="FFFFFF"/>
        </w:rPr>
        <w:t>so as to</w:t>
      </w:r>
      <w:proofErr w:type="gramEnd"/>
      <w:r w:rsidRPr="002A5A96">
        <w:rPr>
          <w:rFonts w:ascii="Arial" w:hAnsi="Arial" w:cs="Arial"/>
          <w:color w:val="0B0C1D"/>
          <w:shd w:val="clear" w:color="auto" w:fill="FFFFFF"/>
        </w:rPr>
        <w:t xml:space="preserve"> fully understand the data regarding demand for Three-Year-Old Kindergarten and the local context of service delivery, demographics and geography.</w:t>
      </w:r>
      <w:r>
        <w:rPr>
          <w:rFonts w:ascii="Arial" w:hAnsi="Arial" w:cs="Arial"/>
          <w:color w:val="0B0C1D"/>
          <w:shd w:val="clear" w:color="auto" w:fill="FFFFFF"/>
        </w:rPr>
        <w:t xml:space="preserve"> </w:t>
      </w:r>
    </w:p>
    <w:p w14:paraId="4758731D" w14:textId="77777777" w:rsidR="00662C5D" w:rsidRDefault="00662C5D" w:rsidP="000057A5">
      <w:pPr>
        <w:spacing w:before="120" w:line="276" w:lineRule="auto"/>
        <w:jc w:val="both"/>
        <w:rPr>
          <w:rFonts w:cstheme="minorHAnsi"/>
          <w:szCs w:val="22"/>
        </w:rPr>
      </w:pPr>
    </w:p>
    <w:p w14:paraId="2EC04FFD" w14:textId="67FC588E" w:rsidR="00BD2CBD" w:rsidRPr="00BD2CBD" w:rsidRDefault="007C2F97" w:rsidP="00BD2CBD">
      <w:pPr>
        <w:pStyle w:val="Heading2"/>
        <w:rPr>
          <w:lang w:val="en-AU"/>
        </w:rPr>
      </w:pPr>
      <w:bookmarkStart w:id="37" w:name="_Toc45207632"/>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649F3F18" w14:textId="77777777" w:rsidR="00B926B6" w:rsidRPr="00871880" w:rsidRDefault="00B926B6" w:rsidP="00B926B6">
      <w:pPr>
        <w:pStyle w:val="Default"/>
        <w:rPr>
          <w:sz w:val="22"/>
          <w:szCs w:val="22"/>
        </w:rPr>
      </w:pPr>
      <w:r w:rsidRPr="00871880">
        <w:rPr>
          <w:sz w:val="22"/>
          <w:szCs w:val="22"/>
        </w:rPr>
        <w:t xml:space="preserve">The following information provides a snapshot of </w:t>
      </w:r>
      <w:r>
        <w:rPr>
          <w:sz w:val="22"/>
          <w:szCs w:val="22"/>
        </w:rPr>
        <w:t xml:space="preserve">the City of Kingston’s key </w:t>
      </w:r>
      <w:r w:rsidRPr="00871880">
        <w:rPr>
          <w:sz w:val="22"/>
          <w:szCs w:val="22"/>
        </w:rPr>
        <w:t>population and demographic data:</w:t>
      </w:r>
    </w:p>
    <w:p w14:paraId="4C447301" w14:textId="77777777" w:rsidR="00B926B6" w:rsidRPr="005067D7" w:rsidRDefault="00B926B6" w:rsidP="00B926B6">
      <w:pPr>
        <w:pStyle w:val="Default"/>
        <w:rPr>
          <w:b/>
          <w:bCs/>
          <w:sz w:val="22"/>
          <w:szCs w:val="22"/>
        </w:rPr>
      </w:pPr>
    </w:p>
    <w:p w14:paraId="78FCCDCB" w14:textId="77777777" w:rsidR="00B926B6" w:rsidRPr="005067D7" w:rsidRDefault="00B926B6" w:rsidP="00B926B6">
      <w:pPr>
        <w:pStyle w:val="Default"/>
        <w:rPr>
          <w:b/>
          <w:bCs/>
          <w:sz w:val="22"/>
          <w:szCs w:val="22"/>
        </w:rPr>
      </w:pPr>
      <w:r w:rsidRPr="005067D7">
        <w:rPr>
          <w:b/>
          <w:bCs/>
          <w:sz w:val="22"/>
          <w:szCs w:val="22"/>
        </w:rPr>
        <w:t>Population:</w:t>
      </w:r>
    </w:p>
    <w:p w14:paraId="156FDC2F" w14:textId="77777777" w:rsidR="00B926B6" w:rsidRDefault="00B926B6" w:rsidP="00B926B6">
      <w:pPr>
        <w:pStyle w:val="Default"/>
        <w:rPr>
          <w:sz w:val="22"/>
          <w:szCs w:val="22"/>
        </w:rPr>
      </w:pPr>
    </w:p>
    <w:p w14:paraId="7F5EBF3A" w14:textId="77777777" w:rsidR="00B926B6" w:rsidRPr="004F4A1A" w:rsidRDefault="00B926B6" w:rsidP="000013D0">
      <w:pPr>
        <w:pStyle w:val="Default"/>
        <w:numPr>
          <w:ilvl w:val="0"/>
          <w:numId w:val="34"/>
        </w:numPr>
        <w:jc w:val="both"/>
        <w:rPr>
          <w:sz w:val="22"/>
          <w:szCs w:val="22"/>
        </w:rPr>
      </w:pPr>
      <w:r w:rsidRPr="004F4A1A">
        <w:rPr>
          <w:sz w:val="22"/>
          <w:szCs w:val="22"/>
        </w:rPr>
        <w:t xml:space="preserve">The City of Kingston population forecast for 2021 is 167,228 and is predicted to grow by 18.6% to a total of 193,340 people in 2041. </w:t>
      </w:r>
    </w:p>
    <w:p w14:paraId="70DB1133" w14:textId="77777777" w:rsidR="00B926B6" w:rsidRPr="004F4A1A" w:rsidRDefault="00B926B6" w:rsidP="000013D0">
      <w:pPr>
        <w:pStyle w:val="Default"/>
        <w:numPr>
          <w:ilvl w:val="0"/>
          <w:numId w:val="34"/>
        </w:numPr>
        <w:jc w:val="both"/>
        <w:rPr>
          <w:sz w:val="22"/>
          <w:szCs w:val="22"/>
        </w:rPr>
      </w:pPr>
      <w:r w:rsidRPr="004F4A1A">
        <w:rPr>
          <w:sz w:val="22"/>
          <w:szCs w:val="22"/>
        </w:rPr>
        <w:t>In 2016, 579 Kingston residents (0.4%) identified as Aboriginal and/or Torres Strait Islander.</w:t>
      </w:r>
    </w:p>
    <w:p w14:paraId="1F2FB88E" w14:textId="77777777" w:rsidR="00B926B6" w:rsidRPr="004F4A1A" w:rsidRDefault="00B926B6" w:rsidP="000013D0">
      <w:pPr>
        <w:pStyle w:val="Default"/>
        <w:numPr>
          <w:ilvl w:val="0"/>
          <w:numId w:val="34"/>
        </w:numPr>
        <w:jc w:val="both"/>
        <w:rPr>
          <w:sz w:val="22"/>
          <w:szCs w:val="22"/>
        </w:rPr>
      </w:pPr>
      <w:r w:rsidRPr="004F4A1A">
        <w:rPr>
          <w:sz w:val="22"/>
          <w:szCs w:val="22"/>
        </w:rPr>
        <w:t>In 20</w:t>
      </w:r>
      <w:r>
        <w:rPr>
          <w:sz w:val="22"/>
          <w:szCs w:val="22"/>
        </w:rPr>
        <w:t>21</w:t>
      </w:r>
      <w:r w:rsidRPr="004F4A1A">
        <w:rPr>
          <w:sz w:val="22"/>
          <w:szCs w:val="22"/>
        </w:rPr>
        <w:t xml:space="preserve"> there </w:t>
      </w:r>
      <w:r>
        <w:rPr>
          <w:sz w:val="22"/>
          <w:szCs w:val="22"/>
        </w:rPr>
        <w:t>are estimated to be</w:t>
      </w:r>
      <w:r w:rsidRPr="004F4A1A">
        <w:rPr>
          <w:sz w:val="22"/>
          <w:szCs w:val="22"/>
        </w:rPr>
        <w:t xml:space="preserve"> 9,113 children aged 0-4 years living in the City of Kingston. </w:t>
      </w:r>
      <w:r>
        <w:rPr>
          <w:sz w:val="22"/>
          <w:szCs w:val="22"/>
        </w:rPr>
        <w:t>This population group is forecast to grow to 11,281 children by 2041 (14% change).</w:t>
      </w:r>
    </w:p>
    <w:p w14:paraId="04C7F023" w14:textId="77777777" w:rsidR="00B926B6" w:rsidRDefault="00B926B6" w:rsidP="00B926B6">
      <w:pPr>
        <w:pStyle w:val="Default"/>
        <w:rPr>
          <w:sz w:val="22"/>
          <w:szCs w:val="22"/>
        </w:rPr>
      </w:pPr>
    </w:p>
    <w:p w14:paraId="05542C4F" w14:textId="77777777" w:rsidR="00B926B6" w:rsidRPr="005067D7" w:rsidRDefault="00B926B6" w:rsidP="00B926B6">
      <w:pPr>
        <w:pStyle w:val="Default"/>
        <w:rPr>
          <w:b/>
          <w:bCs/>
          <w:sz w:val="22"/>
          <w:szCs w:val="22"/>
        </w:rPr>
      </w:pPr>
      <w:r w:rsidRPr="005067D7">
        <w:rPr>
          <w:b/>
          <w:bCs/>
          <w:sz w:val="22"/>
          <w:szCs w:val="22"/>
        </w:rPr>
        <w:t>Cultural Diversity:</w:t>
      </w:r>
    </w:p>
    <w:p w14:paraId="09349204" w14:textId="77777777" w:rsidR="00B926B6" w:rsidRDefault="00B926B6" w:rsidP="00B926B6">
      <w:pPr>
        <w:pStyle w:val="Default"/>
        <w:rPr>
          <w:sz w:val="22"/>
          <w:szCs w:val="22"/>
        </w:rPr>
      </w:pPr>
    </w:p>
    <w:p w14:paraId="40D26996" w14:textId="77777777" w:rsidR="00B926B6" w:rsidRPr="004F4A1A" w:rsidRDefault="00B926B6" w:rsidP="000013D0">
      <w:pPr>
        <w:pStyle w:val="ListParagraph"/>
        <w:numPr>
          <w:ilvl w:val="0"/>
          <w:numId w:val="33"/>
        </w:numPr>
        <w:autoSpaceDE w:val="0"/>
        <w:autoSpaceDN w:val="0"/>
        <w:adjustRightInd w:val="0"/>
        <w:spacing w:after="0"/>
        <w:jc w:val="both"/>
        <w:rPr>
          <w:rFonts w:ascii="Arial" w:hAnsi="Arial" w:cs="Arial"/>
          <w:color w:val="000000"/>
        </w:rPr>
      </w:pPr>
      <w:r w:rsidRPr="004F4A1A">
        <w:rPr>
          <w:rFonts w:ascii="Arial" w:hAnsi="Arial" w:cs="Arial"/>
          <w:color w:val="000000"/>
        </w:rPr>
        <w:t>A total of 46,931 people</w:t>
      </w:r>
      <w:r>
        <w:rPr>
          <w:rFonts w:ascii="Arial" w:hAnsi="Arial" w:cs="Arial"/>
          <w:color w:val="000000"/>
        </w:rPr>
        <w:t xml:space="preserve"> who live in Kingston</w:t>
      </w:r>
      <w:r w:rsidRPr="004F4A1A">
        <w:rPr>
          <w:rFonts w:ascii="Arial" w:hAnsi="Arial" w:cs="Arial"/>
          <w:color w:val="000000"/>
        </w:rPr>
        <w:t xml:space="preserve"> (31%) were born overseas</w:t>
      </w:r>
      <w:r>
        <w:rPr>
          <w:rFonts w:ascii="Arial" w:hAnsi="Arial" w:cs="Arial"/>
          <w:color w:val="000000"/>
        </w:rPr>
        <w:t>.</w:t>
      </w:r>
    </w:p>
    <w:p w14:paraId="632979EE" w14:textId="77777777" w:rsidR="00B926B6" w:rsidRPr="004F4A1A" w:rsidRDefault="00B926B6" w:rsidP="000013D0">
      <w:pPr>
        <w:pStyle w:val="ListParagraph"/>
        <w:numPr>
          <w:ilvl w:val="0"/>
          <w:numId w:val="33"/>
        </w:numPr>
        <w:autoSpaceDE w:val="0"/>
        <w:autoSpaceDN w:val="0"/>
        <w:adjustRightInd w:val="0"/>
        <w:spacing w:after="0"/>
        <w:jc w:val="both"/>
        <w:rPr>
          <w:rFonts w:ascii="Arial" w:hAnsi="Arial" w:cs="Arial"/>
          <w:color w:val="000000"/>
        </w:rPr>
      </w:pPr>
      <w:r w:rsidRPr="004F4A1A">
        <w:rPr>
          <w:rFonts w:ascii="Arial" w:hAnsi="Arial" w:cs="Arial"/>
          <w:color w:val="000000"/>
        </w:rPr>
        <w:t>The number of people born overseas from a non-English Speaking Background (NESB) increased by 3,565</w:t>
      </w:r>
      <w:r>
        <w:rPr>
          <w:rFonts w:ascii="Arial" w:hAnsi="Arial" w:cs="Arial"/>
          <w:color w:val="000000"/>
        </w:rPr>
        <w:t xml:space="preserve"> people</w:t>
      </w:r>
      <w:r w:rsidRPr="004F4A1A">
        <w:rPr>
          <w:rFonts w:ascii="Arial" w:hAnsi="Arial" w:cs="Arial"/>
          <w:color w:val="000000"/>
        </w:rPr>
        <w:t xml:space="preserve"> (11.6%) between 2011 and 2016 from 30,772 in 2011 to 34,337 respectively. </w:t>
      </w:r>
    </w:p>
    <w:p w14:paraId="49378284" w14:textId="77777777" w:rsidR="00B926B6" w:rsidRPr="004F4A1A" w:rsidRDefault="00B926B6" w:rsidP="000013D0">
      <w:pPr>
        <w:pStyle w:val="ListParagraph"/>
        <w:numPr>
          <w:ilvl w:val="0"/>
          <w:numId w:val="33"/>
        </w:numPr>
        <w:autoSpaceDE w:val="0"/>
        <w:autoSpaceDN w:val="0"/>
        <w:adjustRightInd w:val="0"/>
        <w:spacing w:after="0"/>
        <w:jc w:val="both"/>
        <w:rPr>
          <w:rFonts w:ascii="Arial" w:hAnsi="Arial" w:cs="Arial"/>
          <w:color w:val="000000"/>
        </w:rPr>
      </w:pPr>
      <w:r w:rsidRPr="004F4A1A">
        <w:rPr>
          <w:rFonts w:ascii="Arial" w:hAnsi="Arial" w:cs="Arial"/>
          <w:color w:val="000000"/>
        </w:rPr>
        <w:t>Approximately 26% of Kingston residents spoke a language other than English at home in 2016. The most common languages were Greek (4.5%), Mandarin (3.0%) and Italian (1.5%). 6,488 (4.3%) Kingston residents reported difficulty speaking English</w:t>
      </w:r>
      <w:r>
        <w:rPr>
          <w:rFonts w:ascii="Arial" w:hAnsi="Arial" w:cs="Arial"/>
          <w:color w:val="000000"/>
        </w:rPr>
        <w:t>.</w:t>
      </w:r>
    </w:p>
    <w:p w14:paraId="7196E0BC" w14:textId="77777777" w:rsidR="00B926B6" w:rsidRDefault="00B926B6" w:rsidP="00B926B6">
      <w:pPr>
        <w:pStyle w:val="Default"/>
        <w:rPr>
          <w:sz w:val="22"/>
          <w:szCs w:val="22"/>
        </w:rPr>
      </w:pPr>
    </w:p>
    <w:p w14:paraId="443883E2" w14:textId="77777777" w:rsidR="00B926B6" w:rsidRPr="005067D7" w:rsidRDefault="00B926B6" w:rsidP="00B926B6">
      <w:pPr>
        <w:pStyle w:val="Default"/>
        <w:rPr>
          <w:b/>
          <w:bCs/>
          <w:sz w:val="22"/>
          <w:szCs w:val="22"/>
        </w:rPr>
      </w:pPr>
      <w:r w:rsidRPr="005067D7">
        <w:rPr>
          <w:b/>
          <w:bCs/>
          <w:sz w:val="22"/>
          <w:szCs w:val="22"/>
        </w:rPr>
        <w:t>Housing Growth:</w:t>
      </w:r>
    </w:p>
    <w:p w14:paraId="47284B0B" w14:textId="77777777" w:rsidR="00B926B6" w:rsidRDefault="00B926B6" w:rsidP="00B926B6">
      <w:pPr>
        <w:pStyle w:val="Default"/>
        <w:rPr>
          <w:sz w:val="22"/>
          <w:szCs w:val="22"/>
        </w:rPr>
      </w:pPr>
    </w:p>
    <w:p w14:paraId="6FD3CBF2" w14:textId="77777777" w:rsidR="00B926B6" w:rsidRPr="004F4A1A" w:rsidRDefault="00B926B6" w:rsidP="000013D0">
      <w:pPr>
        <w:pStyle w:val="Default"/>
        <w:numPr>
          <w:ilvl w:val="0"/>
          <w:numId w:val="35"/>
        </w:numPr>
        <w:jc w:val="both"/>
        <w:rPr>
          <w:sz w:val="22"/>
          <w:szCs w:val="22"/>
        </w:rPr>
      </w:pPr>
      <w:r w:rsidRPr="004F4A1A">
        <w:rPr>
          <w:sz w:val="22"/>
          <w:szCs w:val="22"/>
        </w:rPr>
        <w:t>In 2021 there are 65,482 households which is predicted to increase to 80,446 by 2041.  This is a predicted increase of 23%.</w:t>
      </w:r>
      <w:r>
        <w:rPr>
          <w:sz w:val="22"/>
          <w:szCs w:val="22"/>
        </w:rPr>
        <w:t xml:space="preserve">  </w:t>
      </w:r>
      <w:r w:rsidRPr="004F4A1A">
        <w:rPr>
          <w:sz w:val="22"/>
          <w:szCs w:val="22"/>
        </w:rPr>
        <w:t xml:space="preserve">Based on 2016 Census data, </w:t>
      </w:r>
      <w:proofErr w:type="gramStart"/>
      <w:r w:rsidRPr="004F4A1A">
        <w:rPr>
          <w:sz w:val="22"/>
          <w:szCs w:val="22"/>
        </w:rPr>
        <w:t>the majority of</w:t>
      </w:r>
      <w:proofErr w:type="gramEnd"/>
      <w:r w:rsidRPr="004F4A1A">
        <w:rPr>
          <w:sz w:val="22"/>
          <w:szCs w:val="22"/>
        </w:rPr>
        <w:t xml:space="preserve"> households live in purchased properties (33% fully owned, 35% mortgage).  Approximately 23% rent privately and 2% rent through social housing. Across the municipality, most dwellings are separate houses (58%) or medium density (38%), with a smaller proportion of high-density dwellings (3%).</w:t>
      </w:r>
    </w:p>
    <w:p w14:paraId="2B43F2C9" w14:textId="77777777" w:rsidR="00B926B6" w:rsidRPr="004F4A1A" w:rsidRDefault="00B926B6" w:rsidP="000013D0">
      <w:pPr>
        <w:pStyle w:val="Default"/>
        <w:numPr>
          <w:ilvl w:val="0"/>
          <w:numId w:val="35"/>
        </w:numPr>
        <w:jc w:val="both"/>
        <w:rPr>
          <w:sz w:val="22"/>
          <w:szCs w:val="22"/>
        </w:rPr>
      </w:pPr>
      <w:r w:rsidRPr="004F4A1A">
        <w:rPr>
          <w:sz w:val="22"/>
          <w:szCs w:val="22"/>
        </w:rPr>
        <w:t xml:space="preserve">Differences in dwelling structure are noticeable between suburbs and are </w:t>
      </w:r>
      <w:r>
        <w:rPr>
          <w:sz w:val="22"/>
          <w:szCs w:val="22"/>
        </w:rPr>
        <w:t>experiencing changes</w:t>
      </w:r>
      <w:r w:rsidRPr="004F4A1A">
        <w:rPr>
          <w:sz w:val="22"/>
          <w:szCs w:val="22"/>
        </w:rPr>
        <w:t xml:space="preserve"> by an increase in apartment living.</w:t>
      </w:r>
    </w:p>
    <w:p w14:paraId="68C5C3D6" w14:textId="77777777" w:rsidR="00B926B6" w:rsidRDefault="00B926B6" w:rsidP="00B926B6">
      <w:pPr>
        <w:pStyle w:val="Default"/>
        <w:rPr>
          <w:sz w:val="22"/>
          <w:szCs w:val="22"/>
        </w:rPr>
      </w:pPr>
    </w:p>
    <w:p w14:paraId="2750577D" w14:textId="77777777" w:rsidR="00B926B6" w:rsidRPr="005067D7" w:rsidRDefault="00B926B6" w:rsidP="00B926B6">
      <w:pPr>
        <w:pStyle w:val="Default"/>
        <w:rPr>
          <w:b/>
          <w:bCs/>
          <w:sz w:val="22"/>
          <w:szCs w:val="22"/>
        </w:rPr>
      </w:pPr>
      <w:r w:rsidRPr="005067D7">
        <w:rPr>
          <w:b/>
          <w:bCs/>
          <w:sz w:val="22"/>
          <w:szCs w:val="22"/>
        </w:rPr>
        <w:lastRenderedPageBreak/>
        <w:t>How we live:</w:t>
      </w:r>
    </w:p>
    <w:p w14:paraId="50390FBB" w14:textId="77777777" w:rsidR="00B926B6" w:rsidRDefault="00B926B6" w:rsidP="00B926B6">
      <w:pPr>
        <w:pStyle w:val="Default"/>
        <w:rPr>
          <w:sz w:val="22"/>
          <w:szCs w:val="22"/>
        </w:rPr>
      </w:pPr>
    </w:p>
    <w:p w14:paraId="381D510D" w14:textId="77777777" w:rsidR="00B926B6" w:rsidRPr="000A406B" w:rsidRDefault="00B926B6" w:rsidP="000013D0">
      <w:pPr>
        <w:pStyle w:val="Default"/>
        <w:numPr>
          <w:ilvl w:val="0"/>
          <w:numId w:val="36"/>
        </w:numPr>
        <w:jc w:val="both"/>
        <w:rPr>
          <w:sz w:val="22"/>
          <w:szCs w:val="22"/>
        </w:rPr>
      </w:pPr>
      <w:r w:rsidRPr="000A406B">
        <w:rPr>
          <w:sz w:val="22"/>
          <w:szCs w:val="22"/>
        </w:rPr>
        <w:t>Couple families with dependents will remain the most dominant household type with approximately 21,906 (33%) households in 2021 and 25,054 (31%) expected by in 2041.</w:t>
      </w:r>
    </w:p>
    <w:p w14:paraId="57BB2A93" w14:textId="77777777" w:rsidR="00B926B6" w:rsidRDefault="00B926B6" w:rsidP="000013D0">
      <w:pPr>
        <w:pStyle w:val="Default"/>
        <w:numPr>
          <w:ilvl w:val="0"/>
          <w:numId w:val="36"/>
        </w:numPr>
        <w:jc w:val="both"/>
        <w:rPr>
          <w:sz w:val="22"/>
          <w:szCs w:val="22"/>
        </w:rPr>
      </w:pPr>
      <w:r>
        <w:rPr>
          <w:sz w:val="22"/>
          <w:szCs w:val="22"/>
        </w:rPr>
        <w:t xml:space="preserve">One parent </w:t>
      </w:r>
      <w:proofErr w:type="gramStart"/>
      <w:r>
        <w:rPr>
          <w:sz w:val="22"/>
          <w:szCs w:val="22"/>
        </w:rPr>
        <w:t>families</w:t>
      </w:r>
      <w:proofErr w:type="gramEnd"/>
      <w:r>
        <w:rPr>
          <w:sz w:val="22"/>
          <w:szCs w:val="22"/>
        </w:rPr>
        <w:t xml:space="preserve"> are also expected to increase with approximately 6,417 (10%) households in 2021 and 7,768 expected by 2041.</w:t>
      </w:r>
    </w:p>
    <w:p w14:paraId="425D34DA" w14:textId="77777777" w:rsidR="00B926B6" w:rsidRDefault="00B926B6" w:rsidP="00B926B6">
      <w:pPr>
        <w:pStyle w:val="Default"/>
        <w:rPr>
          <w:sz w:val="22"/>
          <w:szCs w:val="22"/>
        </w:rPr>
      </w:pPr>
    </w:p>
    <w:p w14:paraId="0CC154CF" w14:textId="77777777" w:rsidR="00B926B6" w:rsidRPr="005067D7" w:rsidRDefault="00B926B6" w:rsidP="00B926B6">
      <w:pPr>
        <w:pStyle w:val="Default"/>
        <w:rPr>
          <w:b/>
          <w:bCs/>
          <w:sz w:val="22"/>
          <w:szCs w:val="22"/>
        </w:rPr>
      </w:pPr>
      <w:r w:rsidRPr="005067D7">
        <w:rPr>
          <w:b/>
          <w:bCs/>
          <w:sz w:val="22"/>
          <w:szCs w:val="22"/>
        </w:rPr>
        <w:t>Income:</w:t>
      </w:r>
    </w:p>
    <w:p w14:paraId="6FDF32DB" w14:textId="77777777" w:rsidR="00B926B6" w:rsidRDefault="00B926B6" w:rsidP="00B926B6">
      <w:pPr>
        <w:pStyle w:val="Default"/>
        <w:rPr>
          <w:sz w:val="22"/>
          <w:szCs w:val="22"/>
        </w:rPr>
      </w:pPr>
    </w:p>
    <w:p w14:paraId="60AEFB76" w14:textId="77777777" w:rsidR="00B926B6" w:rsidRDefault="00B926B6" w:rsidP="000013D0">
      <w:pPr>
        <w:pStyle w:val="Default"/>
        <w:numPr>
          <w:ilvl w:val="0"/>
          <w:numId w:val="37"/>
        </w:numPr>
        <w:jc w:val="both"/>
        <w:rPr>
          <w:sz w:val="22"/>
          <w:szCs w:val="22"/>
        </w:rPr>
      </w:pPr>
      <w:r>
        <w:rPr>
          <w:sz w:val="22"/>
          <w:szCs w:val="22"/>
        </w:rPr>
        <w:t>Households in the City of Kingston earn slightly less than across Greater Melbourne.  The median weekly income in Kingston is $1,533 compared to the median weekly income in Greater Melbourne which is $1,539.</w:t>
      </w:r>
    </w:p>
    <w:p w14:paraId="33F1BA1B" w14:textId="77777777" w:rsidR="00B926B6" w:rsidRDefault="00B926B6" w:rsidP="000013D0">
      <w:pPr>
        <w:pStyle w:val="Default"/>
        <w:numPr>
          <w:ilvl w:val="0"/>
          <w:numId w:val="37"/>
        </w:numPr>
        <w:jc w:val="both"/>
        <w:rPr>
          <w:sz w:val="22"/>
          <w:szCs w:val="22"/>
        </w:rPr>
      </w:pPr>
      <w:r>
        <w:rPr>
          <w:sz w:val="22"/>
          <w:szCs w:val="22"/>
        </w:rPr>
        <w:t>In the City of Kingston 40.2% of children aged 0-4 years were in households earning $2,500 or more per week.</w:t>
      </w:r>
    </w:p>
    <w:p w14:paraId="5B7D6849" w14:textId="77777777" w:rsidR="00B926B6" w:rsidRDefault="00B926B6" w:rsidP="00B926B6">
      <w:pPr>
        <w:pStyle w:val="Default"/>
        <w:rPr>
          <w:sz w:val="22"/>
          <w:szCs w:val="22"/>
        </w:rPr>
      </w:pPr>
    </w:p>
    <w:p w14:paraId="7516A77C" w14:textId="77777777" w:rsidR="00B926B6" w:rsidRPr="005067D7" w:rsidRDefault="00B926B6" w:rsidP="00B926B6">
      <w:pPr>
        <w:pStyle w:val="Default"/>
        <w:rPr>
          <w:b/>
          <w:bCs/>
          <w:sz w:val="22"/>
          <w:szCs w:val="22"/>
        </w:rPr>
      </w:pPr>
      <w:r w:rsidRPr="005067D7">
        <w:rPr>
          <w:b/>
          <w:bCs/>
          <w:sz w:val="22"/>
          <w:szCs w:val="22"/>
        </w:rPr>
        <w:t>Socio Economic Indexes for Areas</w:t>
      </w:r>
      <w:r>
        <w:rPr>
          <w:b/>
          <w:bCs/>
          <w:sz w:val="22"/>
          <w:szCs w:val="22"/>
        </w:rPr>
        <w:t xml:space="preserve"> (SEIFA)</w:t>
      </w:r>
      <w:r w:rsidRPr="005067D7">
        <w:rPr>
          <w:b/>
          <w:bCs/>
          <w:sz w:val="22"/>
          <w:szCs w:val="22"/>
        </w:rPr>
        <w:t>:</w:t>
      </w:r>
    </w:p>
    <w:p w14:paraId="012440A1" w14:textId="77777777" w:rsidR="00B926B6" w:rsidRDefault="00B926B6" w:rsidP="00B926B6">
      <w:pPr>
        <w:pStyle w:val="Default"/>
        <w:rPr>
          <w:sz w:val="22"/>
          <w:szCs w:val="22"/>
        </w:rPr>
      </w:pPr>
    </w:p>
    <w:p w14:paraId="66D00846" w14:textId="77777777" w:rsidR="00B926B6" w:rsidRDefault="00B926B6" w:rsidP="000013D0">
      <w:pPr>
        <w:pStyle w:val="Default"/>
        <w:numPr>
          <w:ilvl w:val="0"/>
          <w:numId w:val="38"/>
        </w:numPr>
        <w:jc w:val="both"/>
        <w:rPr>
          <w:sz w:val="22"/>
          <w:szCs w:val="22"/>
        </w:rPr>
      </w:pPr>
      <w:r>
        <w:rPr>
          <w:sz w:val="22"/>
          <w:szCs w:val="22"/>
        </w:rPr>
        <w:t>The SEIFA level of Relative Socio-Economic Disadvantage in Kingston is 1,044. This places Kingston 16</w:t>
      </w:r>
      <w:r>
        <w:rPr>
          <w:sz w:val="22"/>
          <w:szCs w:val="22"/>
          <w:vertAlign w:val="superscript"/>
        </w:rPr>
        <w:t xml:space="preserve">th </w:t>
      </w:r>
      <w:r>
        <w:rPr>
          <w:sz w:val="22"/>
          <w:szCs w:val="22"/>
        </w:rPr>
        <w:t xml:space="preserve">most advantaged out of the 81 Victorian Local Government Areas, within the range of Nillumbik 1,099 to Central Goldfields 889. </w:t>
      </w:r>
    </w:p>
    <w:p w14:paraId="55DA5094" w14:textId="77777777" w:rsidR="00B926B6" w:rsidRDefault="00B926B6" w:rsidP="000013D0">
      <w:pPr>
        <w:pStyle w:val="Default"/>
        <w:numPr>
          <w:ilvl w:val="0"/>
          <w:numId w:val="38"/>
        </w:numPr>
        <w:jc w:val="both"/>
        <w:rPr>
          <w:sz w:val="22"/>
          <w:szCs w:val="22"/>
        </w:rPr>
      </w:pPr>
      <w:r>
        <w:rPr>
          <w:sz w:val="22"/>
          <w:szCs w:val="22"/>
        </w:rPr>
        <w:t>In 2016, Waterways had the lowest level of disadvantage in the City of Kingston with a SEIFA index score of 1,107.6 (98</w:t>
      </w:r>
      <w:r w:rsidRPr="001F5EEB">
        <w:rPr>
          <w:sz w:val="22"/>
          <w:szCs w:val="22"/>
          <w:vertAlign w:val="superscript"/>
        </w:rPr>
        <w:t>th</w:t>
      </w:r>
      <w:r>
        <w:rPr>
          <w:sz w:val="22"/>
          <w:szCs w:val="22"/>
        </w:rPr>
        <w:t xml:space="preserve"> percentile), compared to Clayton South, which had the highest-level disadvantage with a SEIFA index score of 957.4 (24</w:t>
      </w:r>
      <w:r w:rsidRPr="001F5EEB">
        <w:rPr>
          <w:sz w:val="22"/>
          <w:szCs w:val="22"/>
          <w:vertAlign w:val="superscript"/>
        </w:rPr>
        <w:t>th</w:t>
      </w:r>
      <w:r>
        <w:rPr>
          <w:sz w:val="22"/>
          <w:szCs w:val="22"/>
        </w:rPr>
        <w:t xml:space="preserve"> percentile). </w:t>
      </w:r>
    </w:p>
    <w:p w14:paraId="33521954" w14:textId="77777777" w:rsidR="00B926B6" w:rsidRDefault="00B926B6" w:rsidP="00B926B6">
      <w:pPr>
        <w:pStyle w:val="Default"/>
        <w:rPr>
          <w:sz w:val="22"/>
          <w:szCs w:val="22"/>
        </w:rPr>
      </w:pPr>
    </w:p>
    <w:p w14:paraId="6FA28401" w14:textId="77777777" w:rsidR="00B926B6" w:rsidRPr="005067D7" w:rsidRDefault="00B926B6" w:rsidP="00B926B6">
      <w:pPr>
        <w:pStyle w:val="Default"/>
        <w:rPr>
          <w:b/>
          <w:bCs/>
          <w:sz w:val="22"/>
          <w:szCs w:val="22"/>
        </w:rPr>
      </w:pPr>
      <w:r w:rsidRPr="005067D7">
        <w:rPr>
          <w:b/>
          <w:bCs/>
          <w:sz w:val="22"/>
          <w:szCs w:val="22"/>
        </w:rPr>
        <w:t>Australian Early Development Census:</w:t>
      </w:r>
    </w:p>
    <w:p w14:paraId="48AF080F" w14:textId="77777777" w:rsidR="00B926B6" w:rsidRDefault="00B926B6" w:rsidP="00B926B6">
      <w:pPr>
        <w:pStyle w:val="Default"/>
        <w:rPr>
          <w:sz w:val="22"/>
          <w:szCs w:val="22"/>
        </w:rPr>
      </w:pPr>
    </w:p>
    <w:p w14:paraId="7DD4FE4A" w14:textId="77777777" w:rsidR="00B926B6" w:rsidRDefault="00B926B6" w:rsidP="000013D0">
      <w:pPr>
        <w:pStyle w:val="Default"/>
        <w:numPr>
          <w:ilvl w:val="0"/>
          <w:numId w:val="39"/>
        </w:numPr>
        <w:jc w:val="both"/>
        <w:rPr>
          <w:sz w:val="22"/>
          <w:szCs w:val="22"/>
        </w:rPr>
      </w:pPr>
      <w:r>
        <w:rPr>
          <w:sz w:val="22"/>
          <w:szCs w:val="22"/>
        </w:rPr>
        <w:t>In 2018 6.4% (283) of children were assessed as being vulnerable in one or more domains which is lower than Victoria which has 19.9% (14,232) of children assessed as being vulnerable in one or more domains.</w:t>
      </w:r>
    </w:p>
    <w:p w14:paraId="6F2C4ABA" w14:textId="77777777" w:rsidR="00B926B6" w:rsidRDefault="00B926B6" w:rsidP="000013D0">
      <w:pPr>
        <w:pStyle w:val="Default"/>
        <w:numPr>
          <w:ilvl w:val="0"/>
          <w:numId w:val="39"/>
        </w:numPr>
        <w:jc w:val="both"/>
        <w:rPr>
          <w:sz w:val="22"/>
          <w:szCs w:val="22"/>
        </w:rPr>
      </w:pPr>
      <w:r>
        <w:rPr>
          <w:sz w:val="22"/>
          <w:szCs w:val="22"/>
        </w:rPr>
        <w:t>In 2018 6.4% (111) of children were assessed as being vulnerable in two or more domains which is lower than Victoria which has 10.1% (7,231) of children assessed as being vulnerable in one or more domains.</w:t>
      </w:r>
    </w:p>
    <w:p w14:paraId="3C3FE80A" w14:textId="77777777" w:rsidR="00D7126F" w:rsidRPr="00476B31" w:rsidRDefault="00D7126F" w:rsidP="00767E80">
      <w:pPr>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7E3B64D2" w14:textId="77777777" w:rsidR="00B926B6" w:rsidRPr="008A52E3" w:rsidRDefault="00B926B6" w:rsidP="00B926B6">
      <w:pPr>
        <w:pStyle w:val="Default"/>
        <w:rPr>
          <w:sz w:val="22"/>
          <w:szCs w:val="22"/>
        </w:rPr>
      </w:pPr>
      <w:r w:rsidRPr="008A52E3">
        <w:rPr>
          <w:sz w:val="22"/>
          <w:szCs w:val="22"/>
        </w:rPr>
        <w:t xml:space="preserve">There are </w:t>
      </w:r>
      <w:proofErr w:type="gramStart"/>
      <w:r w:rsidRPr="008A52E3">
        <w:rPr>
          <w:sz w:val="22"/>
          <w:szCs w:val="22"/>
        </w:rPr>
        <w:t>a number of</w:t>
      </w:r>
      <w:proofErr w:type="gramEnd"/>
      <w:r w:rsidRPr="008A52E3">
        <w:rPr>
          <w:sz w:val="22"/>
          <w:szCs w:val="22"/>
        </w:rPr>
        <w:t xml:space="preserve"> projects and trends that influence the supply of kindergarten services.  </w:t>
      </w:r>
      <w:r w:rsidRPr="008E0A5A">
        <w:rPr>
          <w:sz w:val="22"/>
          <w:szCs w:val="22"/>
        </w:rPr>
        <w:t>This includes</w:t>
      </w:r>
      <w:r w:rsidRPr="008A52E3">
        <w:rPr>
          <w:sz w:val="22"/>
          <w:szCs w:val="22"/>
        </w:rPr>
        <w:t xml:space="preserve"> kindergarten participation rates, supply and demand </w:t>
      </w:r>
      <w:r>
        <w:rPr>
          <w:sz w:val="22"/>
          <w:szCs w:val="22"/>
        </w:rPr>
        <w:t xml:space="preserve">of services </w:t>
      </w:r>
      <w:r w:rsidRPr="008A52E3">
        <w:rPr>
          <w:sz w:val="22"/>
          <w:szCs w:val="22"/>
        </w:rPr>
        <w:t xml:space="preserve">and </w:t>
      </w:r>
      <w:proofErr w:type="gramStart"/>
      <w:r w:rsidRPr="008A52E3">
        <w:rPr>
          <w:sz w:val="22"/>
          <w:szCs w:val="22"/>
        </w:rPr>
        <w:t>a number of</w:t>
      </w:r>
      <w:proofErr w:type="gramEnd"/>
      <w:r w:rsidRPr="008A52E3">
        <w:rPr>
          <w:sz w:val="22"/>
          <w:szCs w:val="22"/>
        </w:rPr>
        <w:t xml:space="preserve"> housing and regional infrastructure projects that are expected to have a significant impact on fu</w:t>
      </w:r>
      <w:r>
        <w:rPr>
          <w:sz w:val="22"/>
          <w:szCs w:val="22"/>
        </w:rPr>
        <w:t>ture growth,</w:t>
      </w:r>
      <w:r w:rsidRPr="008A52E3">
        <w:rPr>
          <w:sz w:val="22"/>
          <w:szCs w:val="22"/>
        </w:rPr>
        <w:t xml:space="preserve"> population and demographics</w:t>
      </w:r>
      <w:r>
        <w:rPr>
          <w:sz w:val="22"/>
          <w:szCs w:val="22"/>
        </w:rPr>
        <w:t xml:space="preserve"> for the City of Kingston as follows</w:t>
      </w:r>
      <w:r w:rsidRPr="008A52E3">
        <w:rPr>
          <w:sz w:val="22"/>
          <w:szCs w:val="22"/>
        </w:rPr>
        <w:t>:</w:t>
      </w:r>
    </w:p>
    <w:p w14:paraId="4797D08A" w14:textId="77777777" w:rsidR="00B926B6" w:rsidRDefault="00B926B6" w:rsidP="00B926B6">
      <w:pPr>
        <w:pStyle w:val="Default"/>
        <w:rPr>
          <w:b/>
          <w:bCs/>
          <w:sz w:val="22"/>
          <w:szCs w:val="22"/>
        </w:rPr>
      </w:pPr>
    </w:p>
    <w:p w14:paraId="2628088A" w14:textId="77777777" w:rsidR="00B926B6" w:rsidRPr="005067D7" w:rsidRDefault="00B926B6" w:rsidP="00B926B6">
      <w:pPr>
        <w:pStyle w:val="Default"/>
        <w:rPr>
          <w:b/>
          <w:bCs/>
          <w:sz w:val="22"/>
          <w:szCs w:val="22"/>
        </w:rPr>
      </w:pPr>
      <w:r w:rsidRPr="005067D7">
        <w:rPr>
          <w:b/>
          <w:bCs/>
          <w:sz w:val="22"/>
          <w:szCs w:val="22"/>
        </w:rPr>
        <w:t>Kindergarten participation rates:</w:t>
      </w:r>
    </w:p>
    <w:p w14:paraId="68DC57C5" w14:textId="77777777" w:rsidR="00B926B6" w:rsidRDefault="00B926B6" w:rsidP="00B926B6">
      <w:pPr>
        <w:pStyle w:val="Default"/>
        <w:rPr>
          <w:sz w:val="22"/>
          <w:szCs w:val="22"/>
        </w:rPr>
      </w:pPr>
    </w:p>
    <w:p w14:paraId="681FFEE6" w14:textId="77777777" w:rsidR="00B926B6" w:rsidRDefault="00B926B6" w:rsidP="000013D0">
      <w:pPr>
        <w:pStyle w:val="Default"/>
        <w:numPr>
          <w:ilvl w:val="0"/>
          <w:numId w:val="40"/>
        </w:numPr>
        <w:jc w:val="both"/>
        <w:rPr>
          <w:sz w:val="22"/>
          <w:szCs w:val="22"/>
        </w:rPr>
      </w:pPr>
      <w:r>
        <w:rPr>
          <w:sz w:val="22"/>
          <w:szCs w:val="22"/>
        </w:rPr>
        <w:t>The Department of Education and Training (DET) Early Learning Profile 2020 indicates that the kindergarten participation rates in Kingston is 84.6% which is a decrease compared to 90.1% in 2019.</w:t>
      </w:r>
    </w:p>
    <w:p w14:paraId="2E82B1B2" w14:textId="77777777" w:rsidR="00B926B6" w:rsidRDefault="00B926B6" w:rsidP="000013D0">
      <w:pPr>
        <w:pStyle w:val="Default"/>
        <w:numPr>
          <w:ilvl w:val="0"/>
          <w:numId w:val="40"/>
        </w:numPr>
        <w:jc w:val="both"/>
        <w:rPr>
          <w:sz w:val="22"/>
          <w:szCs w:val="22"/>
        </w:rPr>
      </w:pPr>
      <w:r>
        <w:rPr>
          <w:sz w:val="22"/>
          <w:szCs w:val="22"/>
        </w:rPr>
        <w:t>In 2020, 58% of children attended kindergarten at stand-alone session services compared to 42% of children who attended kindergarten in an integrated long day care service.</w:t>
      </w:r>
    </w:p>
    <w:p w14:paraId="66E7C1F8" w14:textId="77777777" w:rsidR="00B926B6" w:rsidRPr="00BF0FA4" w:rsidRDefault="00B926B6" w:rsidP="000013D0">
      <w:pPr>
        <w:pStyle w:val="Default"/>
        <w:numPr>
          <w:ilvl w:val="0"/>
          <w:numId w:val="40"/>
        </w:numPr>
        <w:jc w:val="both"/>
        <w:rPr>
          <w:sz w:val="22"/>
          <w:szCs w:val="22"/>
        </w:rPr>
      </w:pPr>
      <w:r>
        <w:rPr>
          <w:sz w:val="22"/>
          <w:szCs w:val="22"/>
        </w:rPr>
        <w:t>At a statistical area level, Clarinda-Oakleigh South had the highest kindergarten participation rate of 96% compared to Aspendale Gardens-Waterways which had the lowest participation rate of 69%.</w:t>
      </w:r>
    </w:p>
    <w:p w14:paraId="64092BCC" w14:textId="77777777" w:rsidR="00B926B6" w:rsidRDefault="00B926B6" w:rsidP="00B926B6">
      <w:pPr>
        <w:pStyle w:val="Default"/>
        <w:rPr>
          <w:sz w:val="22"/>
          <w:szCs w:val="22"/>
        </w:rPr>
      </w:pPr>
    </w:p>
    <w:p w14:paraId="4EE20FBE" w14:textId="77777777" w:rsidR="00B926B6" w:rsidRPr="005067D7" w:rsidRDefault="00B926B6" w:rsidP="00B926B6">
      <w:pPr>
        <w:pStyle w:val="Default"/>
        <w:rPr>
          <w:b/>
          <w:bCs/>
          <w:sz w:val="22"/>
          <w:szCs w:val="22"/>
        </w:rPr>
      </w:pPr>
      <w:r w:rsidRPr="005067D7">
        <w:rPr>
          <w:b/>
          <w:bCs/>
          <w:sz w:val="22"/>
          <w:szCs w:val="22"/>
        </w:rPr>
        <w:lastRenderedPageBreak/>
        <w:t>Kindergarten modelling and demand:</w:t>
      </w:r>
    </w:p>
    <w:p w14:paraId="5182D5AC" w14:textId="77777777" w:rsidR="00B926B6" w:rsidRPr="00560BC6" w:rsidRDefault="00B926B6" w:rsidP="00B926B6">
      <w:pPr>
        <w:pStyle w:val="Default"/>
        <w:rPr>
          <w:sz w:val="22"/>
          <w:szCs w:val="22"/>
        </w:rPr>
      </w:pPr>
    </w:p>
    <w:p w14:paraId="234C05AC" w14:textId="7FA4B814" w:rsidR="00B926B6" w:rsidRDefault="00B926B6" w:rsidP="00B926B6">
      <w:pPr>
        <w:spacing w:after="0"/>
        <w:jc w:val="both"/>
        <w:rPr>
          <w:rFonts w:ascii="Arial" w:hAnsi="Arial" w:cs="Arial"/>
          <w:lang w:val="en-US" w:eastAsia="en-AU"/>
        </w:rPr>
      </w:pPr>
      <w:r>
        <w:rPr>
          <w:rFonts w:ascii="Arial" w:hAnsi="Arial" w:cs="Arial"/>
          <w:lang w:val="en-US" w:eastAsia="en-AU"/>
        </w:rPr>
        <w:t xml:space="preserve">Kingston City Council notes that the KISP estimates have been developed with underpinning assumptions about the use of existing capacity in both sessional and long day care settings for the provision of new kindergarten places. As detailed in this Local Context section, Kingston notes there is currently a strong preference for sessional kindergarten in the municipality, as evidenced by current patterns of four-year-old kindergarten enrolments, and Council survey results. Should current preferences remain, and if existing long day care capacity isn’t used to the extent assumed in modelling, this may result in unmet demand emerging earlier, at higher levels, or in additional locations compared to the estimates in this KISP.  </w:t>
      </w:r>
    </w:p>
    <w:p w14:paraId="6D36DF68" w14:textId="77777777" w:rsidR="002A5A96" w:rsidRPr="00560BC6" w:rsidRDefault="002A5A96" w:rsidP="00B926B6">
      <w:pPr>
        <w:spacing w:after="0"/>
        <w:jc w:val="both"/>
        <w:rPr>
          <w:rFonts w:ascii="Arial" w:hAnsi="Arial" w:cs="Arial"/>
          <w:lang w:val="en-US" w:eastAsia="en-AU"/>
        </w:rPr>
      </w:pPr>
    </w:p>
    <w:p w14:paraId="36825753" w14:textId="77777777" w:rsidR="00B926B6" w:rsidRDefault="00B926B6" w:rsidP="00B926B6">
      <w:pPr>
        <w:pStyle w:val="Default"/>
        <w:rPr>
          <w:sz w:val="22"/>
          <w:szCs w:val="22"/>
          <w:lang w:val="en-US" w:eastAsia="en-AU"/>
        </w:rPr>
      </w:pPr>
      <w:r>
        <w:rPr>
          <w:sz w:val="22"/>
          <w:szCs w:val="22"/>
          <w:lang w:val="en-US" w:eastAsia="en-AU"/>
        </w:rPr>
        <w:t xml:space="preserve">Council considers this could be of </w:t>
      </w:r>
      <w:proofErr w:type="gramStart"/>
      <w:r>
        <w:rPr>
          <w:sz w:val="22"/>
          <w:szCs w:val="22"/>
          <w:lang w:val="en-US" w:eastAsia="en-AU"/>
        </w:rPr>
        <w:t>particular relevance</w:t>
      </w:r>
      <w:proofErr w:type="gramEnd"/>
      <w:r>
        <w:rPr>
          <w:sz w:val="22"/>
          <w:szCs w:val="22"/>
          <w:lang w:val="en-US" w:eastAsia="en-AU"/>
        </w:rPr>
        <w:t xml:space="preserve"> in</w:t>
      </w:r>
      <w:r w:rsidRPr="00560BC6">
        <w:rPr>
          <w:sz w:val="22"/>
          <w:szCs w:val="22"/>
          <w:lang w:val="en-US" w:eastAsia="en-AU"/>
        </w:rPr>
        <w:t xml:space="preserve"> Moorabbin, Cheltenham, Highett, Dingley</w:t>
      </w:r>
      <w:r>
        <w:rPr>
          <w:sz w:val="22"/>
          <w:szCs w:val="22"/>
          <w:lang w:val="en-US" w:eastAsia="en-AU"/>
        </w:rPr>
        <w:t xml:space="preserve">, </w:t>
      </w:r>
      <w:proofErr w:type="spellStart"/>
      <w:r>
        <w:rPr>
          <w:sz w:val="22"/>
          <w:szCs w:val="22"/>
          <w:lang w:val="en-US" w:eastAsia="en-AU"/>
        </w:rPr>
        <w:t>Mordialloc</w:t>
      </w:r>
      <w:proofErr w:type="spellEnd"/>
      <w:r>
        <w:rPr>
          <w:sz w:val="22"/>
          <w:szCs w:val="22"/>
          <w:lang w:val="en-US" w:eastAsia="en-AU"/>
        </w:rPr>
        <w:t>, Parkdale, and to a lesser degree Chelsea and Bonbeach.</w:t>
      </w:r>
    </w:p>
    <w:p w14:paraId="415CDBB3" w14:textId="77777777" w:rsidR="00B926B6" w:rsidRDefault="00B926B6" w:rsidP="00B926B6">
      <w:pPr>
        <w:pStyle w:val="Default"/>
        <w:rPr>
          <w:b/>
          <w:bCs/>
          <w:sz w:val="22"/>
          <w:szCs w:val="22"/>
        </w:rPr>
      </w:pPr>
    </w:p>
    <w:p w14:paraId="226545FC" w14:textId="77777777" w:rsidR="00B926B6" w:rsidRDefault="00B926B6" w:rsidP="00B926B6">
      <w:pPr>
        <w:pStyle w:val="Default"/>
        <w:rPr>
          <w:b/>
          <w:bCs/>
          <w:sz w:val="22"/>
          <w:szCs w:val="22"/>
        </w:rPr>
      </w:pPr>
      <w:r>
        <w:rPr>
          <w:b/>
          <w:bCs/>
          <w:sz w:val="22"/>
          <w:szCs w:val="22"/>
        </w:rPr>
        <w:t>Kindergarten supply</w:t>
      </w:r>
      <w:r w:rsidRPr="005067D7">
        <w:rPr>
          <w:b/>
          <w:bCs/>
          <w:sz w:val="22"/>
          <w:szCs w:val="22"/>
        </w:rPr>
        <w:t xml:space="preserve"> and choice:</w:t>
      </w:r>
    </w:p>
    <w:p w14:paraId="223A93DD" w14:textId="77777777" w:rsidR="00B926B6" w:rsidRPr="00B402E7" w:rsidRDefault="00B926B6" w:rsidP="00B926B6">
      <w:pPr>
        <w:pStyle w:val="Default"/>
        <w:rPr>
          <w:b/>
          <w:bCs/>
        </w:rPr>
      </w:pPr>
    </w:p>
    <w:p w14:paraId="3C474B6B" w14:textId="77777777" w:rsidR="00B926B6" w:rsidRDefault="00B926B6" w:rsidP="00B926B6">
      <w:pPr>
        <w:spacing w:after="0"/>
        <w:jc w:val="both"/>
        <w:rPr>
          <w:rFonts w:ascii="Arial" w:hAnsi="Arial" w:cs="Arial"/>
          <w:lang w:val="en-NZ" w:eastAsia="en-AU"/>
        </w:rPr>
      </w:pPr>
      <w:r>
        <w:rPr>
          <w:rFonts w:ascii="Arial" w:hAnsi="Arial" w:cs="Arial"/>
          <w:lang w:val="en-NZ" w:eastAsia="en-AU"/>
        </w:rPr>
        <w:t>C</w:t>
      </w:r>
      <w:r w:rsidRPr="00174D80">
        <w:rPr>
          <w:rFonts w:ascii="Arial" w:hAnsi="Arial" w:cs="Arial"/>
          <w:lang w:val="en-NZ" w:eastAsia="en-AU"/>
        </w:rPr>
        <w:t xml:space="preserve">urrently an average of </w:t>
      </w:r>
      <w:r>
        <w:rPr>
          <w:rFonts w:ascii="Arial" w:hAnsi="Arial" w:cs="Arial"/>
          <w:lang w:val="en-NZ" w:eastAsia="en-AU"/>
        </w:rPr>
        <w:t>61</w:t>
      </w:r>
      <w:r w:rsidRPr="00174D80">
        <w:rPr>
          <w:rFonts w:ascii="Arial" w:hAnsi="Arial" w:cs="Arial"/>
          <w:lang w:val="en-NZ" w:eastAsia="en-AU"/>
        </w:rPr>
        <w:t>% of children in Kingston attend a sessional kindergarten service.</w:t>
      </w:r>
      <w:r>
        <w:rPr>
          <w:rFonts w:ascii="Arial" w:hAnsi="Arial" w:cs="Arial"/>
          <w:lang w:val="en-NZ" w:eastAsia="en-AU"/>
        </w:rPr>
        <w:t xml:space="preserve">  </w:t>
      </w:r>
    </w:p>
    <w:p w14:paraId="16252250" w14:textId="77777777" w:rsidR="00B926B6" w:rsidRPr="00174D80" w:rsidRDefault="00B926B6" w:rsidP="00B926B6">
      <w:pPr>
        <w:spacing w:after="0"/>
        <w:jc w:val="both"/>
        <w:rPr>
          <w:rFonts w:ascii="Arial" w:hAnsi="Arial" w:cs="Arial"/>
          <w:lang w:val="en-NZ" w:eastAsia="en-AU"/>
        </w:rPr>
      </w:pPr>
    </w:p>
    <w:p w14:paraId="29A213C2" w14:textId="77777777" w:rsidR="00B926B6" w:rsidRDefault="00B926B6" w:rsidP="00B926B6">
      <w:pPr>
        <w:spacing w:after="0"/>
        <w:jc w:val="both"/>
        <w:rPr>
          <w:rFonts w:ascii="Arial" w:hAnsi="Arial" w:cs="Arial"/>
          <w:lang w:val="en-NZ" w:eastAsia="en-AU"/>
        </w:rPr>
      </w:pPr>
      <w:r>
        <w:rPr>
          <w:rFonts w:ascii="Arial" w:hAnsi="Arial" w:cs="Arial"/>
          <w:lang w:val="en-NZ" w:eastAsia="en-AU"/>
        </w:rPr>
        <w:t>The s</w:t>
      </w:r>
      <w:r w:rsidRPr="00174D80">
        <w:rPr>
          <w:rFonts w:ascii="Arial" w:hAnsi="Arial" w:cs="Arial"/>
          <w:lang w:val="en-NZ" w:eastAsia="en-AU"/>
        </w:rPr>
        <w:t xml:space="preserve">upply of </w:t>
      </w:r>
      <w:r>
        <w:rPr>
          <w:rFonts w:ascii="Arial" w:hAnsi="Arial" w:cs="Arial"/>
          <w:lang w:val="en-NZ" w:eastAsia="en-AU"/>
        </w:rPr>
        <w:t xml:space="preserve">kindergarten </w:t>
      </w:r>
      <w:r w:rsidRPr="00174D80">
        <w:rPr>
          <w:rFonts w:ascii="Arial" w:hAnsi="Arial" w:cs="Arial"/>
          <w:lang w:val="en-NZ" w:eastAsia="en-AU"/>
        </w:rPr>
        <w:t xml:space="preserve">places in long day care in some areas of Kingston is as high as 89% when compared to </w:t>
      </w:r>
      <w:r>
        <w:rPr>
          <w:rFonts w:ascii="Arial" w:hAnsi="Arial" w:cs="Arial"/>
          <w:lang w:val="en-NZ" w:eastAsia="en-AU"/>
        </w:rPr>
        <w:t xml:space="preserve">the market </w:t>
      </w:r>
      <w:r w:rsidRPr="00174D80">
        <w:rPr>
          <w:rFonts w:ascii="Arial" w:hAnsi="Arial" w:cs="Arial"/>
          <w:lang w:val="en-NZ" w:eastAsia="en-AU"/>
        </w:rPr>
        <w:t xml:space="preserve">share of sessional kindergarten places.  </w:t>
      </w:r>
      <w:r>
        <w:rPr>
          <w:rFonts w:ascii="Arial" w:hAnsi="Arial" w:cs="Arial"/>
          <w:lang w:val="en-NZ" w:eastAsia="en-AU"/>
        </w:rPr>
        <w:t>Council considers that this balance of service supply reduces the ability of families to make choices suitable to their circumstances.</w:t>
      </w:r>
    </w:p>
    <w:p w14:paraId="49DCB1E6" w14:textId="77777777" w:rsidR="00B926B6" w:rsidRDefault="00B926B6" w:rsidP="00B926B6">
      <w:pPr>
        <w:spacing w:after="0"/>
        <w:jc w:val="both"/>
        <w:rPr>
          <w:rFonts w:ascii="Arial" w:hAnsi="Arial" w:cs="Arial"/>
          <w:lang w:val="en-NZ" w:eastAsia="en-AU"/>
        </w:rPr>
      </w:pPr>
    </w:p>
    <w:p w14:paraId="32A195C7" w14:textId="77777777" w:rsidR="00B926B6" w:rsidRDefault="00B926B6" w:rsidP="00B926B6">
      <w:pPr>
        <w:spacing w:after="0"/>
        <w:jc w:val="both"/>
        <w:rPr>
          <w:rFonts w:ascii="Arial" w:hAnsi="Arial" w:cs="Arial"/>
          <w:lang w:val="en-NZ" w:eastAsia="en-AU"/>
        </w:rPr>
      </w:pPr>
      <w:r>
        <w:rPr>
          <w:rFonts w:ascii="Arial" w:hAnsi="Arial" w:cs="Arial"/>
          <w:lang w:val="en-NZ" w:eastAsia="en-AU"/>
        </w:rPr>
        <w:t xml:space="preserve">A consultation was recently undertaken, by a high-profile engagement consultancy firm on behalf of Kingston City Council, aiming to understand families’ preferences for accessing three-year-old funded kindergarten.   The consultation found </w:t>
      </w:r>
      <w:r w:rsidRPr="00847BB3">
        <w:rPr>
          <w:rFonts w:ascii="Arial" w:hAnsi="Arial" w:cs="Arial"/>
          <w:lang w:val="en-NZ" w:eastAsia="en-AU"/>
        </w:rPr>
        <w:t>that</w:t>
      </w:r>
      <w:r>
        <w:rPr>
          <w:rFonts w:ascii="Arial" w:hAnsi="Arial" w:cs="Arial"/>
          <w:lang w:val="en-NZ" w:eastAsia="en-AU"/>
        </w:rPr>
        <w:t>:</w:t>
      </w:r>
      <w:r w:rsidRPr="00847BB3">
        <w:rPr>
          <w:rFonts w:ascii="Arial" w:hAnsi="Arial" w:cs="Arial"/>
          <w:lang w:val="en-NZ" w:eastAsia="en-AU"/>
        </w:rPr>
        <w:t xml:space="preserve"> </w:t>
      </w:r>
    </w:p>
    <w:p w14:paraId="7BFBC93B" w14:textId="77777777" w:rsidR="00B926B6" w:rsidRDefault="00B926B6" w:rsidP="00B926B6">
      <w:pPr>
        <w:spacing w:after="0"/>
        <w:jc w:val="both"/>
        <w:rPr>
          <w:rFonts w:ascii="Arial" w:hAnsi="Arial" w:cs="Arial"/>
          <w:lang w:val="en-NZ" w:eastAsia="en-AU"/>
        </w:rPr>
      </w:pPr>
    </w:p>
    <w:p w14:paraId="0563E9C1" w14:textId="77777777" w:rsidR="00B926B6" w:rsidRPr="00836563" w:rsidRDefault="00B926B6" w:rsidP="00B926B6">
      <w:pPr>
        <w:spacing w:after="0"/>
        <w:ind w:left="567"/>
        <w:jc w:val="both"/>
        <w:rPr>
          <w:rFonts w:ascii="Arial" w:hAnsi="Arial" w:cs="Arial"/>
          <w:i/>
          <w:iCs/>
        </w:rPr>
      </w:pPr>
      <w:r w:rsidRPr="00836563">
        <w:rPr>
          <w:rFonts w:ascii="Arial" w:hAnsi="Arial" w:cs="Arial"/>
          <w:i/>
          <w:iCs/>
          <w:lang w:val="en-NZ" w:eastAsia="en-AU"/>
        </w:rPr>
        <w:t>‘</w:t>
      </w:r>
      <w:r w:rsidRPr="00836563">
        <w:rPr>
          <w:rFonts w:ascii="Arial" w:hAnsi="Arial" w:cs="Arial"/>
          <w:i/>
          <w:iCs/>
        </w:rPr>
        <w:t>Ultimately having choices is going to be critical in meeting the future needs of Kingston families. Families need to feel supported to balance the needs of their child with their work arrangements. Some three-year-olds would find it difficult to spend 7.5 hours a day a kindergarten, while others would manage it well. Some families need longer days while others have the flexibility and want the extra time with their children.’</w:t>
      </w:r>
    </w:p>
    <w:p w14:paraId="650B3467" w14:textId="77777777" w:rsidR="00B926B6" w:rsidRDefault="00B926B6" w:rsidP="00B926B6">
      <w:pPr>
        <w:spacing w:after="0"/>
        <w:jc w:val="both"/>
        <w:rPr>
          <w:rFonts w:ascii="Arial" w:hAnsi="Arial" w:cs="Arial"/>
        </w:rPr>
      </w:pPr>
    </w:p>
    <w:p w14:paraId="79E64275" w14:textId="77777777" w:rsidR="00B926B6" w:rsidRDefault="00B926B6" w:rsidP="00B926B6">
      <w:pPr>
        <w:spacing w:after="0"/>
        <w:jc w:val="both"/>
        <w:rPr>
          <w:rFonts w:ascii="Arial" w:hAnsi="Arial" w:cs="Arial"/>
        </w:rPr>
      </w:pPr>
      <w:r>
        <w:rPr>
          <w:rFonts w:ascii="Arial" w:hAnsi="Arial" w:cs="Arial"/>
        </w:rPr>
        <w:t xml:space="preserve">In total 167 people participated in the consultation engagement activities which included 145 completed surveys, five people attended an online focus group and seventeen participated in face-to-face discussions.  </w:t>
      </w:r>
    </w:p>
    <w:p w14:paraId="11908A0D" w14:textId="77777777" w:rsidR="00B926B6" w:rsidRDefault="00B926B6" w:rsidP="00B926B6">
      <w:pPr>
        <w:spacing w:after="0"/>
        <w:jc w:val="both"/>
        <w:rPr>
          <w:rFonts w:ascii="Arial" w:hAnsi="Arial" w:cs="Arial"/>
        </w:rPr>
      </w:pPr>
    </w:p>
    <w:p w14:paraId="710CDED3" w14:textId="77777777" w:rsidR="00B926B6" w:rsidRPr="002A5A96" w:rsidRDefault="00B926B6" w:rsidP="000013D0">
      <w:pPr>
        <w:pStyle w:val="CBodyLight"/>
        <w:jc w:val="both"/>
        <w:rPr>
          <w:sz w:val="22"/>
          <w:szCs w:val="22"/>
        </w:rPr>
      </w:pPr>
      <w:r>
        <w:rPr>
          <w:sz w:val="22"/>
          <w:szCs w:val="22"/>
        </w:rPr>
        <w:t xml:space="preserve">Demographic data was collected via the online survey.  </w:t>
      </w:r>
      <w:r w:rsidRPr="002A5A96">
        <w:rPr>
          <w:sz w:val="22"/>
          <w:szCs w:val="22"/>
        </w:rPr>
        <w:t xml:space="preserve">Below is a summary of the individual characteristics of the 145 survey respondents: </w:t>
      </w:r>
    </w:p>
    <w:p w14:paraId="15CD3725" w14:textId="77777777" w:rsidR="00B926B6" w:rsidRPr="002A5A96" w:rsidRDefault="00B926B6" w:rsidP="00662C5D">
      <w:pPr>
        <w:pStyle w:val="Default"/>
        <w:numPr>
          <w:ilvl w:val="0"/>
          <w:numId w:val="40"/>
        </w:numPr>
        <w:rPr>
          <w:sz w:val="22"/>
          <w:szCs w:val="22"/>
        </w:rPr>
      </w:pPr>
      <w:r w:rsidRPr="002A5A96">
        <w:rPr>
          <w:sz w:val="22"/>
          <w:szCs w:val="22"/>
        </w:rPr>
        <w:t xml:space="preserve">The majority (93 per cent) of survey respondents were female. </w:t>
      </w:r>
    </w:p>
    <w:p w14:paraId="7CC94EE5" w14:textId="77777777" w:rsidR="00B926B6" w:rsidRPr="002A5A96" w:rsidRDefault="00B926B6" w:rsidP="00662C5D">
      <w:pPr>
        <w:pStyle w:val="Default"/>
        <w:numPr>
          <w:ilvl w:val="0"/>
          <w:numId w:val="40"/>
        </w:numPr>
        <w:rPr>
          <w:sz w:val="22"/>
          <w:szCs w:val="22"/>
        </w:rPr>
      </w:pPr>
      <w:r w:rsidRPr="002A5A96">
        <w:rPr>
          <w:sz w:val="22"/>
          <w:szCs w:val="22"/>
        </w:rPr>
        <w:t>Sixteen participants identified themselves as holding a commonwealth health care, pension card, veteran affairs, or refugee or asylum card.</w:t>
      </w:r>
    </w:p>
    <w:p w14:paraId="51E499D5" w14:textId="77777777" w:rsidR="00B926B6" w:rsidRPr="002A5A96" w:rsidRDefault="00B926B6" w:rsidP="00662C5D">
      <w:pPr>
        <w:pStyle w:val="Default"/>
        <w:numPr>
          <w:ilvl w:val="0"/>
          <w:numId w:val="40"/>
        </w:numPr>
        <w:rPr>
          <w:sz w:val="22"/>
          <w:szCs w:val="22"/>
        </w:rPr>
      </w:pPr>
      <w:r w:rsidRPr="002A5A96">
        <w:rPr>
          <w:sz w:val="22"/>
          <w:szCs w:val="22"/>
        </w:rPr>
        <w:t>One participant identified as an Aboriginal or Torres Strait Islander.</w:t>
      </w:r>
    </w:p>
    <w:p w14:paraId="19C124D6" w14:textId="3F828DE4" w:rsidR="00662C5D" w:rsidRPr="002A5A96" w:rsidRDefault="00B926B6" w:rsidP="002A5A96">
      <w:pPr>
        <w:pStyle w:val="Default"/>
        <w:numPr>
          <w:ilvl w:val="0"/>
          <w:numId w:val="40"/>
        </w:numPr>
        <w:rPr>
          <w:szCs w:val="22"/>
        </w:rPr>
      </w:pPr>
      <w:r w:rsidRPr="002A5A96">
        <w:rPr>
          <w:sz w:val="22"/>
          <w:szCs w:val="22"/>
        </w:rPr>
        <w:t xml:space="preserve">Most suburbs that make up the City of Kingston were represented. </w:t>
      </w:r>
    </w:p>
    <w:p w14:paraId="4F92FFB1" w14:textId="77777777" w:rsidR="00662C5D" w:rsidRDefault="00662C5D" w:rsidP="00B926B6">
      <w:pPr>
        <w:spacing w:after="0"/>
        <w:jc w:val="both"/>
        <w:rPr>
          <w:rFonts w:ascii="Arial" w:hAnsi="Arial" w:cs="Arial"/>
        </w:rPr>
      </w:pPr>
    </w:p>
    <w:p w14:paraId="4E4287A7" w14:textId="0E8A3667" w:rsidR="00B926B6" w:rsidRDefault="00B926B6" w:rsidP="00B926B6">
      <w:pPr>
        <w:spacing w:after="0"/>
        <w:jc w:val="both"/>
        <w:rPr>
          <w:rFonts w:ascii="Arial" w:hAnsi="Arial" w:cs="Arial"/>
        </w:rPr>
      </w:pPr>
      <w:r>
        <w:rPr>
          <w:rFonts w:ascii="Arial" w:hAnsi="Arial" w:cs="Arial"/>
        </w:rPr>
        <w:t>Key findings from the consultation include:</w:t>
      </w:r>
    </w:p>
    <w:p w14:paraId="6755C756" w14:textId="77777777" w:rsidR="002A5A96" w:rsidRDefault="002A5A96" w:rsidP="00B926B6">
      <w:pPr>
        <w:spacing w:after="0"/>
        <w:jc w:val="both"/>
        <w:rPr>
          <w:rFonts w:ascii="Arial" w:hAnsi="Arial" w:cs="Arial"/>
        </w:rPr>
      </w:pPr>
    </w:p>
    <w:p w14:paraId="695AF5C5" w14:textId="3714A446" w:rsidR="00B926B6" w:rsidRPr="002D090C" w:rsidRDefault="00B926B6" w:rsidP="000013D0">
      <w:pPr>
        <w:pStyle w:val="ListParagraph"/>
        <w:numPr>
          <w:ilvl w:val="0"/>
          <w:numId w:val="44"/>
        </w:numPr>
        <w:autoSpaceDE w:val="0"/>
        <w:autoSpaceDN w:val="0"/>
        <w:adjustRightInd w:val="0"/>
        <w:spacing w:after="57"/>
        <w:jc w:val="both"/>
        <w:rPr>
          <w:rFonts w:ascii="Arial" w:hAnsi="Arial" w:cs="Arial"/>
          <w:color w:val="000000"/>
        </w:rPr>
      </w:pPr>
      <w:r w:rsidRPr="002D090C">
        <w:rPr>
          <w:rFonts w:ascii="Arial" w:hAnsi="Arial" w:cs="Arial"/>
          <w:color w:val="000000"/>
        </w:rPr>
        <w:t>Service quality, hours of care and location of the service were the top three factors considered by parents when selecting an early learning service</w:t>
      </w:r>
      <w:r w:rsidR="002A5A96">
        <w:rPr>
          <w:rFonts w:ascii="Arial" w:hAnsi="Arial" w:cs="Arial"/>
          <w:color w:val="000000"/>
        </w:rPr>
        <w:t>.</w:t>
      </w:r>
    </w:p>
    <w:p w14:paraId="61937A2E" w14:textId="2DEED983" w:rsidR="00B926B6" w:rsidRPr="002D090C" w:rsidRDefault="00B926B6" w:rsidP="000013D0">
      <w:pPr>
        <w:pStyle w:val="ListParagraph"/>
        <w:numPr>
          <w:ilvl w:val="0"/>
          <w:numId w:val="44"/>
        </w:numPr>
        <w:autoSpaceDE w:val="0"/>
        <w:autoSpaceDN w:val="0"/>
        <w:adjustRightInd w:val="0"/>
        <w:spacing w:after="57"/>
        <w:jc w:val="both"/>
        <w:rPr>
          <w:rFonts w:ascii="Arial" w:hAnsi="Arial" w:cs="Arial"/>
          <w:color w:val="000000"/>
        </w:rPr>
      </w:pPr>
      <w:r w:rsidRPr="002D090C">
        <w:rPr>
          <w:rFonts w:ascii="Arial" w:hAnsi="Arial" w:cs="Arial"/>
          <w:color w:val="000000"/>
        </w:rPr>
        <w:lastRenderedPageBreak/>
        <w:t>Preferences for a sessional or long day care model were largely determined by parents’ experience as a service user but overall, 58% preferred sessional kindergarten</w:t>
      </w:r>
      <w:r w:rsidR="002A5A96">
        <w:rPr>
          <w:rFonts w:ascii="Arial" w:hAnsi="Arial" w:cs="Arial"/>
          <w:color w:val="000000"/>
        </w:rPr>
        <w:t>.</w:t>
      </w:r>
    </w:p>
    <w:p w14:paraId="71C31AF6" w14:textId="3F1B4664" w:rsidR="00B926B6" w:rsidRPr="002D090C" w:rsidRDefault="00B926B6" w:rsidP="000013D0">
      <w:pPr>
        <w:pStyle w:val="ListParagraph"/>
        <w:numPr>
          <w:ilvl w:val="0"/>
          <w:numId w:val="44"/>
        </w:numPr>
        <w:autoSpaceDE w:val="0"/>
        <w:autoSpaceDN w:val="0"/>
        <w:adjustRightInd w:val="0"/>
        <w:spacing w:after="57"/>
        <w:jc w:val="both"/>
        <w:rPr>
          <w:rFonts w:ascii="Arial" w:hAnsi="Arial" w:cs="Arial"/>
          <w:color w:val="000000"/>
        </w:rPr>
      </w:pPr>
      <w:r w:rsidRPr="002D090C">
        <w:rPr>
          <w:rFonts w:ascii="Arial" w:hAnsi="Arial" w:cs="Arial"/>
          <w:color w:val="000000"/>
        </w:rPr>
        <w:t>45% of parents reported there were barriers to accessing three-year-old kindergarten</w:t>
      </w:r>
      <w:r>
        <w:rPr>
          <w:rFonts w:ascii="Arial" w:hAnsi="Arial" w:cs="Arial"/>
          <w:color w:val="000000"/>
        </w:rPr>
        <w:t xml:space="preserve"> including </w:t>
      </w:r>
      <w:r w:rsidRPr="002D090C">
        <w:rPr>
          <w:rFonts w:ascii="Arial" w:hAnsi="Arial" w:cs="Arial"/>
          <w:color w:val="000000"/>
        </w:rPr>
        <w:t xml:space="preserve">unsuitable </w:t>
      </w:r>
      <w:r>
        <w:rPr>
          <w:rFonts w:ascii="Arial" w:hAnsi="Arial" w:cs="Arial"/>
          <w:color w:val="000000"/>
        </w:rPr>
        <w:t xml:space="preserve">hours </w:t>
      </w:r>
      <w:r w:rsidRPr="002D090C">
        <w:rPr>
          <w:rFonts w:ascii="Arial" w:hAnsi="Arial" w:cs="Arial"/>
          <w:color w:val="000000"/>
        </w:rPr>
        <w:t>for working parents, limited availability and cost</w:t>
      </w:r>
      <w:r w:rsidR="002A5A96">
        <w:rPr>
          <w:rFonts w:ascii="Arial" w:hAnsi="Arial" w:cs="Arial"/>
          <w:color w:val="000000"/>
        </w:rPr>
        <w:t>.</w:t>
      </w:r>
    </w:p>
    <w:p w14:paraId="64EE50EB" w14:textId="77777777" w:rsidR="00B926B6" w:rsidRPr="002D090C" w:rsidRDefault="00B926B6" w:rsidP="000013D0">
      <w:pPr>
        <w:pStyle w:val="ListParagraph"/>
        <w:numPr>
          <w:ilvl w:val="0"/>
          <w:numId w:val="44"/>
        </w:numPr>
        <w:autoSpaceDE w:val="0"/>
        <w:autoSpaceDN w:val="0"/>
        <w:adjustRightInd w:val="0"/>
        <w:spacing w:after="0"/>
        <w:jc w:val="both"/>
        <w:rPr>
          <w:rFonts w:ascii="Arial" w:hAnsi="Arial" w:cs="Arial"/>
          <w:color w:val="000000"/>
        </w:rPr>
      </w:pPr>
      <w:r w:rsidRPr="002D090C">
        <w:rPr>
          <w:rFonts w:ascii="Arial" w:hAnsi="Arial" w:cs="Arial"/>
          <w:color w:val="000000"/>
        </w:rPr>
        <w:t xml:space="preserve">Mixed feedback from parents about the impact of Government funding for three-year-old kindergarten. </w:t>
      </w:r>
    </w:p>
    <w:p w14:paraId="25A32376" w14:textId="77777777" w:rsidR="00B926B6" w:rsidRPr="00174D80" w:rsidRDefault="00B926B6" w:rsidP="00B926B6">
      <w:pPr>
        <w:spacing w:after="0"/>
        <w:jc w:val="both"/>
        <w:rPr>
          <w:rFonts w:ascii="Arial" w:hAnsi="Arial" w:cs="Arial"/>
          <w:lang w:val="en-NZ" w:eastAsia="en-AU"/>
        </w:rPr>
      </w:pPr>
      <w:r>
        <w:rPr>
          <w:rFonts w:ascii="Arial" w:hAnsi="Arial" w:cs="Arial"/>
        </w:rPr>
        <w:t xml:space="preserve"> </w:t>
      </w:r>
    </w:p>
    <w:p w14:paraId="7E942268" w14:textId="77777777" w:rsidR="00B926B6" w:rsidRPr="002D090C" w:rsidRDefault="00B926B6" w:rsidP="00B926B6">
      <w:pPr>
        <w:spacing w:after="0"/>
        <w:jc w:val="both"/>
        <w:rPr>
          <w:rFonts w:ascii="Arial" w:hAnsi="Arial" w:cs="Arial"/>
          <w:lang w:val="en-NZ" w:eastAsia="en-AU"/>
        </w:rPr>
      </w:pPr>
      <w:r>
        <w:rPr>
          <w:rFonts w:ascii="Arial" w:hAnsi="Arial" w:cs="Arial"/>
          <w:lang w:val="en-NZ" w:eastAsia="en-AU"/>
        </w:rPr>
        <w:t xml:space="preserve">Council considers that ensuring that an adequate supply of </w:t>
      </w:r>
      <w:r w:rsidRPr="00174D80">
        <w:rPr>
          <w:rFonts w:ascii="Arial" w:hAnsi="Arial" w:cs="Arial"/>
          <w:lang w:val="en-NZ" w:eastAsia="en-AU"/>
        </w:rPr>
        <w:t xml:space="preserve">both private long day care and sessional kindergarten services </w:t>
      </w:r>
      <w:r>
        <w:rPr>
          <w:rFonts w:ascii="Arial" w:hAnsi="Arial" w:cs="Arial"/>
          <w:lang w:val="en-NZ" w:eastAsia="en-AU"/>
        </w:rPr>
        <w:t>are available in local areas means that families will have a choice in the service type they access.  This may include considerations around affordability, hours of education and care required and location in relation to home, work, study or access to other services.</w:t>
      </w:r>
    </w:p>
    <w:p w14:paraId="13F8E6FF" w14:textId="77777777" w:rsidR="00B926B6" w:rsidRDefault="00B926B6" w:rsidP="00B926B6">
      <w:pPr>
        <w:pStyle w:val="Default"/>
        <w:rPr>
          <w:b/>
          <w:bCs/>
          <w:sz w:val="22"/>
          <w:szCs w:val="22"/>
        </w:rPr>
      </w:pPr>
    </w:p>
    <w:p w14:paraId="4EC277D0" w14:textId="77777777" w:rsidR="00B926B6" w:rsidRPr="00B77BA3" w:rsidRDefault="00B926B6" w:rsidP="00B926B6">
      <w:pPr>
        <w:pStyle w:val="Default"/>
        <w:rPr>
          <w:b/>
          <w:bCs/>
          <w:sz w:val="22"/>
          <w:szCs w:val="22"/>
        </w:rPr>
      </w:pPr>
      <w:r>
        <w:rPr>
          <w:b/>
          <w:bCs/>
          <w:sz w:val="22"/>
          <w:szCs w:val="22"/>
        </w:rPr>
        <w:t>Key housing and d</w:t>
      </w:r>
      <w:r w:rsidRPr="00B77BA3">
        <w:rPr>
          <w:b/>
          <w:bCs/>
          <w:sz w:val="22"/>
          <w:szCs w:val="22"/>
        </w:rPr>
        <w:t>evelopment trends:</w:t>
      </w:r>
    </w:p>
    <w:p w14:paraId="157B42BA" w14:textId="77777777" w:rsidR="00B926B6" w:rsidRPr="00B77BA3" w:rsidRDefault="00B926B6" w:rsidP="00B926B6">
      <w:pPr>
        <w:pStyle w:val="Default"/>
        <w:rPr>
          <w:sz w:val="22"/>
          <w:szCs w:val="22"/>
        </w:rPr>
      </w:pPr>
    </w:p>
    <w:p w14:paraId="34BB9D15" w14:textId="77777777" w:rsidR="00B926B6" w:rsidRPr="00B77BA3" w:rsidRDefault="00B926B6" w:rsidP="00B926B6">
      <w:pPr>
        <w:pStyle w:val="Default"/>
        <w:rPr>
          <w:sz w:val="22"/>
          <w:szCs w:val="22"/>
        </w:rPr>
      </w:pPr>
      <w:r w:rsidRPr="00B77BA3">
        <w:rPr>
          <w:sz w:val="22"/>
          <w:szCs w:val="22"/>
        </w:rPr>
        <w:t xml:space="preserve">Recent and future development trends </w:t>
      </w:r>
      <w:r>
        <w:rPr>
          <w:sz w:val="22"/>
          <w:szCs w:val="22"/>
        </w:rPr>
        <w:t xml:space="preserve">particularly </w:t>
      </w:r>
      <w:r w:rsidRPr="00B77BA3">
        <w:rPr>
          <w:sz w:val="22"/>
          <w:szCs w:val="22"/>
        </w:rPr>
        <w:t xml:space="preserve">in the northern area of Kingston </w:t>
      </w:r>
      <w:proofErr w:type="spellStart"/>
      <w:r>
        <w:rPr>
          <w:sz w:val="22"/>
          <w:szCs w:val="22"/>
        </w:rPr>
        <w:t>may</w:t>
      </w:r>
      <w:r w:rsidRPr="00B77BA3">
        <w:rPr>
          <w:sz w:val="22"/>
          <w:szCs w:val="22"/>
        </w:rPr>
        <w:t>impact</w:t>
      </w:r>
      <w:proofErr w:type="spellEnd"/>
      <w:r w:rsidRPr="00B77BA3">
        <w:rPr>
          <w:sz w:val="22"/>
          <w:szCs w:val="22"/>
        </w:rPr>
        <w:t xml:space="preserve"> on population forecasts </w:t>
      </w:r>
      <w:r>
        <w:rPr>
          <w:sz w:val="22"/>
          <w:szCs w:val="22"/>
        </w:rPr>
        <w:t>and may mean that unmet demand emerges earlier than currently estimated</w:t>
      </w:r>
      <w:r w:rsidRPr="00B77BA3">
        <w:rPr>
          <w:sz w:val="22"/>
          <w:szCs w:val="22"/>
        </w:rPr>
        <w:t xml:space="preserve">. Key development trends include: </w:t>
      </w:r>
    </w:p>
    <w:p w14:paraId="1C85FB5C" w14:textId="77777777" w:rsidR="00B926B6" w:rsidRPr="00B77BA3" w:rsidRDefault="00B926B6" w:rsidP="00B926B6">
      <w:pPr>
        <w:pStyle w:val="Default"/>
        <w:rPr>
          <w:sz w:val="22"/>
          <w:szCs w:val="22"/>
        </w:rPr>
      </w:pPr>
    </w:p>
    <w:p w14:paraId="5B08ABE5" w14:textId="77777777" w:rsidR="00B926B6" w:rsidRPr="00B77BA3" w:rsidRDefault="00B926B6" w:rsidP="00B926B6">
      <w:pPr>
        <w:pStyle w:val="Default"/>
        <w:rPr>
          <w:sz w:val="22"/>
          <w:szCs w:val="22"/>
        </w:rPr>
      </w:pPr>
      <w:r w:rsidRPr="00B77BA3">
        <w:rPr>
          <w:sz w:val="22"/>
          <w:szCs w:val="22"/>
        </w:rPr>
        <w:t xml:space="preserve">Moorabbin </w:t>
      </w:r>
    </w:p>
    <w:p w14:paraId="76B76839" w14:textId="77777777" w:rsidR="00B926B6" w:rsidRPr="00B77BA3" w:rsidRDefault="00B926B6" w:rsidP="00B926B6">
      <w:pPr>
        <w:pStyle w:val="Default"/>
        <w:numPr>
          <w:ilvl w:val="0"/>
          <w:numId w:val="41"/>
        </w:numPr>
        <w:rPr>
          <w:sz w:val="22"/>
          <w:szCs w:val="22"/>
        </w:rPr>
      </w:pPr>
      <w:r w:rsidRPr="00B77BA3">
        <w:rPr>
          <w:sz w:val="22"/>
          <w:szCs w:val="22"/>
        </w:rPr>
        <w:t>Approved developments up to 10-storeys in the Moorabbin area</w:t>
      </w:r>
    </w:p>
    <w:p w14:paraId="75265275" w14:textId="77777777" w:rsidR="00B926B6" w:rsidRPr="00B77BA3" w:rsidRDefault="00B926B6" w:rsidP="00B926B6">
      <w:pPr>
        <w:pStyle w:val="Default"/>
        <w:numPr>
          <w:ilvl w:val="0"/>
          <w:numId w:val="41"/>
        </w:numPr>
        <w:rPr>
          <w:sz w:val="22"/>
          <w:szCs w:val="22"/>
        </w:rPr>
      </w:pPr>
      <w:r w:rsidRPr="00B77BA3">
        <w:rPr>
          <w:sz w:val="22"/>
          <w:szCs w:val="22"/>
        </w:rPr>
        <w:t>A current review of planning controls that may revise height controls to 12-storeys</w:t>
      </w:r>
      <w:r>
        <w:rPr>
          <w:sz w:val="22"/>
          <w:szCs w:val="22"/>
        </w:rPr>
        <w:t>.</w:t>
      </w:r>
    </w:p>
    <w:p w14:paraId="5A36472A" w14:textId="77777777" w:rsidR="00B926B6" w:rsidRPr="00B77BA3" w:rsidRDefault="00B926B6" w:rsidP="00B926B6">
      <w:pPr>
        <w:pStyle w:val="Default"/>
        <w:numPr>
          <w:ilvl w:val="0"/>
          <w:numId w:val="41"/>
        </w:numPr>
        <w:rPr>
          <w:sz w:val="22"/>
          <w:szCs w:val="22"/>
        </w:rPr>
      </w:pPr>
      <w:r w:rsidRPr="00B77BA3">
        <w:rPr>
          <w:sz w:val="22"/>
          <w:szCs w:val="22"/>
        </w:rPr>
        <w:t>Existing developments including an 11-storey apartment and two x 7 storey apartment developments (including social housing)</w:t>
      </w:r>
      <w:r>
        <w:rPr>
          <w:sz w:val="22"/>
          <w:szCs w:val="22"/>
        </w:rPr>
        <w:t>.</w:t>
      </w:r>
      <w:r w:rsidRPr="00B77BA3">
        <w:rPr>
          <w:sz w:val="22"/>
          <w:szCs w:val="22"/>
        </w:rPr>
        <w:t xml:space="preserve"> </w:t>
      </w:r>
    </w:p>
    <w:p w14:paraId="6F550F6A" w14:textId="77777777" w:rsidR="00B926B6" w:rsidRPr="00B77BA3" w:rsidRDefault="00B926B6" w:rsidP="00B926B6">
      <w:pPr>
        <w:pStyle w:val="Default"/>
        <w:numPr>
          <w:ilvl w:val="0"/>
          <w:numId w:val="41"/>
        </w:numPr>
        <w:rPr>
          <w:sz w:val="22"/>
          <w:szCs w:val="22"/>
        </w:rPr>
      </w:pPr>
      <w:r w:rsidRPr="00B77BA3">
        <w:rPr>
          <w:sz w:val="22"/>
          <w:szCs w:val="22"/>
        </w:rPr>
        <w:t xml:space="preserve">Approval for the development of </w:t>
      </w:r>
      <w:r>
        <w:rPr>
          <w:sz w:val="22"/>
          <w:szCs w:val="22"/>
        </w:rPr>
        <w:t xml:space="preserve">a </w:t>
      </w:r>
      <w:r w:rsidRPr="00B77BA3">
        <w:rPr>
          <w:sz w:val="22"/>
          <w:szCs w:val="22"/>
        </w:rPr>
        <w:t>site in Moorabbin including up to 10 stories and 420 apartments</w:t>
      </w:r>
      <w:r>
        <w:rPr>
          <w:sz w:val="22"/>
          <w:szCs w:val="22"/>
        </w:rPr>
        <w:t>.</w:t>
      </w:r>
      <w:r w:rsidRPr="00B77BA3">
        <w:rPr>
          <w:sz w:val="22"/>
          <w:szCs w:val="22"/>
        </w:rPr>
        <w:t xml:space="preserve"> </w:t>
      </w:r>
    </w:p>
    <w:p w14:paraId="2D3D4AB2" w14:textId="77777777" w:rsidR="00B926B6" w:rsidRPr="00B77BA3" w:rsidRDefault="00B926B6" w:rsidP="00B926B6">
      <w:pPr>
        <w:pStyle w:val="Default"/>
        <w:rPr>
          <w:sz w:val="22"/>
          <w:szCs w:val="22"/>
        </w:rPr>
      </w:pPr>
    </w:p>
    <w:p w14:paraId="23676BCD" w14:textId="77777777" w:rsidR="00B926B6" w:rsidRPr="00B77BA3" w:rsidRDefault="00B926B6" w:rsidP="00B926B6">
      <w:pPr>
        <w:pStyle w:val="Default"/>
        <w:rPr>
          <w:sz w:val="22"/>
          <w:szCs w:val="22"/>
        </w:rPr>
      </w:pPr>
      <w:r w:rsidRPr="00B77BA3">
        <w:rPr>
          <w:sz w:val="22"/>
          <w:szCs w:val="22"/>
        </w:rPr>
        <w:t xml:space="preserve">Highett </w:t>
      </w:r>
    </w:p>
    <w:p w14:paraId="519F68D8" w14:textId="77777777" w:rsidR="00B926B6" w:rsidRPr="00B77BA3" w:rsidRDefault="00B926B6" w:rsidP="00B926B6">
      <w:pPr>
        <w:pStyle w:val="Default"/>
        <w:numPr>
          <w:ilvl w:val="0"/>
          <w:numId w:val="42"/>
        </w:numPr>
        <w:rPr>
          <w:sz w:val="22"/>
          <w:szCs w:val="22"/>
        </w:rPr>
      </w:pPr>
      <w:r w:rsidRPr="00B77BA3">
        <w:rPr>
          <w:sz w:val="22"/>
          <w:szCs w:val="22"/>
        </w:rPr>
        <w:t xml:space="preserve">Development approvals for </w:t>
      </w:r>
      <w:proofErr w:type="gramStart"/>
      <w:r w:rsidRPr="00B77BA3">
        <w:rPr>
          <w:sz w:val="22"/>
          <w:szCs w:val="22"/>
        </w:rPr>
        <w:t>a number of</w:t>
      </w:r>
      <w:proofErr w:type="gramEnd"/>
      <w:r w:rsidRPr="00B77BA3">
        <w:rPr>
          <w:sz w:val="22"/>
          <w:szCs w:val="22"/>
        </w:rPr>
        <w:t xml:space="preserve"> higher density residential developments including</w:t>
      </w:r>
      <w:r>
        <w:rPr>
          <w:sz w:val="22"/>
          <w:szCs w:val="22"/>
        </w:rPr>
        <w:t xml:space="preserve"> 284 apartments over 2 sites.</w:t>
      </w:r>
    </w:p>
    <w:p w14:paraId="6B860A59" w14:textId="77777777" w:rsidR="00B926B6" w:rsidRDefault="00B926B6" w:rsidP="00B926B6">
      <w:pPr>
        <w:pStyle w:val="Default"/>
        <w:numPr>
          <w:ilvl w:val="0"/>
          <w:numId w:val="42"/>
        </w:numPr>
        <w:rPr>
          <w:sz w:val="22"/>
          <w:szCs w:val="22"/>
        </w:rPr>
      </w:pPr>
      <w:r w:rsidRPr="00B77BA3">
        <w:rPr>
          <w:sz w:val="22"/>
          <w:szCs w:val="22"/>
        </w:rPr>
        <w:t xml:space="preserve">Proposed developments </w:t>
      </w:r>
      <w:r>
        <w:rPr>
          <w:sz w:val="22"/>
          <w:szCs w:val="22"/>
        </w:rPr>
        <w:t xml:space="preserve">that include </w:t>
      </w:r>
      <w:r w:rsidRPr="00B77BA3">
        <w:rPr>
          <w:sz w:val="22"/>
          <w:szCs w:val="22"/>
        </w:rPr>
        <w:t>700-800 dwellings and a potential population of 3,000 + residents</w:t>
      </w:r>
      <w:r>
        <w:rPr>
          <w:sz w:val="22"/>
          <w:szCs w:val="22"/>
        </w:rPr>
        <w:t>.</w:t>
      </w:r>
      <w:r w:rsidRPr="00B77BA3">
        <w:rPr>
          <w:sz w:val="22"/>
          <w:szCs w:val="22"/>
        </w:rPr>
        <w:t xml:space="preserve"> </w:t>
      </w:r>
    </w:p>
    <w:p w14:paraId="1047D70B" w14:textId="77777777" w:rsidR="00B926B6" w:rsidRPr="00B77BA3" w:rsidRDefault="00B926B6" w:rsidP="00B926B6">
      <w:pPr>
        <w:pStyle w:val="Default"/>
        <w:numPr>
          <w:ilvl w:val="0"/>
          <w:numId w:val="42"/>
        </w:numPr>
        <w:rPr>
          <w:sz w:val="22"/>
          <w:szCs w:val="22"/>
        </w:rPr>
      </w:pPr>
      <w:r>
        <w:rPr>
          <w:sz w:val="22"/>
          <w:szCs w:val="22"/>
        </w:rPr>
        <w:t>The draft Development Victoria ‘Highett Gasworks Social Infrastructure Needs Analysis’ indicates that 120 new kindergarten and childcare places will be required in Highett to meet the anticipated future demand.</w:t>
      </w:r>
    </w:p>
    <w:p w14:paraId="2F118B40" w14:textId="77777777" w:rsidR="00B926B6" w:rsidRPr="00B77BA3" w:rsidRDefault="00B926B6" w:rsidP="00B926B6">
      <w:pPr>
        <w:pStyle w:val="Default"/>
        <w:rPr>
          <w:sz w:val="22"/>
          <w:szCs w:val="22"/>
        </w:rPr>
      </w:pPr>
    </w:p>
    <w:p w14:paraId="4F17F050" w14:textId="77777777" w:rsidR="00B926B6" w:rsidRPr="00B77BA3" w:rsidRDefault="00B926B6" w:rsidP="00B926B6">
      <w:pPr>
        <w:pStyle w:val="Default"/>
        <w:rPr>
          <w:sz w:val="22"/>
          <w:szCs w:val="22"/>
        </w:rPr>
      </w:pPr>
      <w:r w:rsidRPr="00B77BA3">
        <w:rPr>
          <w:sz w:val="22"/>
          <w:szCs w:val="22"/>
        </w:rPr>
        <w:t xml:space="preserve">Cheltenham </w:t>
      </w:r>
    </w:p>
    <w:p w14:paraId="646B13A3" w14:textId="77777777" w:rsidR="00B926B6" w:rsidRDefault="00B926B6" w:rsidP="00B926B6">
      <w:pPr>
        <w:pStyle w:val="Default"/>
        <w:numPr>
          <w:ilvl w:val="0"/>
          <w:numId w:val="43"/>
        </w:numPr>
        <w:rPr>
          <w:sz w:val="22"/>
          <w:szCs w:val="22"/>
        </w:rPr>
      </w:pPr>
      <w:r w:rsidRPr="00B77BA3">
        <w:rPr>
          <w:sz w:val="22"/>
          <w:szCs w:val="22"/>
        </w:rPr>
        <w:t>Completed developments in the activity centre for 9 and 11 storeys with increasing 4 storey developments being complete</w:t>
      </w:r>
      <w:r>
        <w:rPr>
          <w:sz w:val="22"/>
          <w:szCs w:val="22"/>
        </w:rPr>
        <w:t>d.</w:t>
      </w:r>
    </w:p>
    <w:p w14:paraId="7ADD479A" w14:textId="77777777" w:rsidR="00B926B6" w:rsidRPr="000141D5" w:rsidRDefault="00B926B6" w:rsidP="00B926B6">
      <w:pPr>
        <w:pStyle w:val="Default"/>
        <w:numPr>
          <w:ilvl w:val="0"/>
          <w:numId w:val="43"/>
        </w:numPr>
        <w:rPr>
          <w:sz w:val="22"/>
          <w:szCs w:val="22"/>
        </w:rPr>
      </w:pPr>
      <w:r w:rsidRPr="00B77BA3">
        <w:rPr>
          <w:sz w:val="22"/>
          <w:szCs w:val="22"/>
        </w:rPr>
        <w:t>Approval for an 11</w:t>
      </w:r>
      <w:r>
        <w:rPr>
          <w:sz w:val="22"/>
          <w:szCs w:val="22"/>
        </w:rPr>
        <w:t>-</w:t>
      </w:r>
      <w:r w:rsidRPr="00B77BA3">
        <w:rPr>
          <w:sz w:val="22"/>
          <w:szCs w:val="22"/>
        </w:rPr>
        <w:t>storey building</w:t>
      </w:r>
      <w:r>
        <w:rPr>
          <w:sz w:val="22"/>
          <w:szCs w:val="22"/>
        </w:rPr>
        <w:t xml:space="preserve"> and n</w:t>
      </w:r>
      <w:r w:rsidRPr="000141D5">
        <w:rPr>
          <w:sz w:val="22"/>
          <w:szCs w:val="22"/>
        </w:rPr>
        <w:t xml:space="preserve">ew decks to commence construction above the new Cheltenham Station as part of the level crossing removal project. </w:t>
      </w:r>
    </w:p>
    <w:p w14:paraId="1610D4A9" w14:textId="77777777" w:rsidR="00B926B6" w:rsidRPr="00B77BA3" w:rsidRDefault="00B926B6" w:rsidP="00B926B6">
      <w:pPr>
        <w:pStyle w:val="Default"/>
        <w:numPr>
          <w:ilvl w:val="0"/>
          <w:numId w:val="43"/>
        </w:numPr>
        <w:rPr>
          <w:sz w:val="22"/>
          <w:szCs w:val="22"/>
        </w:rPr>
      </w:pPr>
      <w:r w:rsidRPr="00B77BA3">
        <w:rPr>
          <w:sz w:val="22"/>
          <w:szCs w:val="22"/>
        </w:rPr>
        <w:t xml:space="preserve">Increasing housing densities </w:t>
      </w:r>
      <w:r>
        <w:rPr>
          <w:sz w:val="22"/>
          <w:szCs w:val="22"/>
        </w:rPr>
        <w:t xml:space="preserve">in the </w:t>
      </w:r>
      <w:r w:rsidRPr="00B77BA3">
        <w:rPr>
          <w:sz w:val="22"/>
          <w:szCs w:val="22"/>
        </w:rPr>
        <w:t>housing corridor along the Nepean Highway</w:t>
      </w:r>
      <w:r>
        <w:rPr>
          <w:sz w:val="22"/>
          <w:szCs w:val="22"/>
        </w:rPr>
        <w:t>.</w:t>
      </w:r>
      <w:r w:rsidRPr="00B77BA3">
        <w:rPr>
          <w:sz w:val="22"/>
          <w:szCs w:val="22"/>
        </w:rPr>
        <w:t xml:space="preserve"> </w:t>
      </w:r>
    </w:p>
    <w:p w14:paraId="1EBB18A9" w14:textId="77777777" w:rsidR="00B926B6" w:rsidRPr="00662C5D" w:rsidRDefault="00B926B6" w:rsidP="00B926B6">
      <w:pPr>
        <w:pStyle w:val="Default"/>
        <w:rPr>
          <w:color w:val="auto"/>
          <w:sz w:val="22"/>
          <w:szCs w:val="22"/>
        </w:rPr>
      </w:pPr>
    </w:p>
    <w:p w14:paraId="0AADC6E4" w14:textId="77777777" w:rsidR="00B926B6" w:rsidRPr="000141D5" w:rsidRDefault="00B926B6" w:rsidP="00B926B6">
      <w:pPr>
        <w:pStyle w:val="Default"/>
        <w:rPr>
          <w:b/>
          <w:bCs/>
          <w:sz w:val="22"/>
          <w:szCs w:val="22"/>
        </w:rPr>
      </w:pPr>
      <w:r w:rsidRPr="00662C5D">
        <w:rPr>
          <w:b/>
          <w:bCs/>
          <w:color w:val="auto"/>
          <w:sz w:val="22"/>
          <w:szCs w:val="22"/>
        </w:rPr>
        <w:t xml:space="preserve">Suburban Rail </w:t>
      </w:r>
      <w:r w:rsidRPr="000141D5">
        <w:rPr>
          <w:b/>
          <w:bCs/>
          <w:sz w:val="22"/>
          <w:szCs w:val="22"/>
        </w:rPr>
        <w:t>Loop</w:t>
      </w:r>
      <w:r>
        <w:rPr>
          <w:b/>
          <w:bCs/>
          <w:sz w:val="22"/>
          <w:szCs w:val="22"/>
        </w:rPr>
        <w:t>:</w:t>
      </w:r>
    </w:p>
    <w:p w14:paraId="47B3D4D8" w14:textId="77777777" w:rsidR="00B926B6" w:rsidRDefault="00B926B6" w:rsidP="00B926B6">
      <w:pPr>
        <w:pStyle w:val="Default"/>
        <w:spacing w:before="120" w:after="120"/>
        <w:rPr>
          <w:sz w:val="22"/>
          <w:szCs w:val="22"/>
        </w:rPr>
      </w:pPr>
      <w:r>
        <w:rPr>
          <w:sz w:val="22"/>
          <w:szCs w:val="22"/>
        </w:rPr>
        <w:t xml:space="preserve">The Suburban Rail Loop project has confirmed that a new </w:t>
      </w:r>
      <w:r w:rsidRPr="0063274E">
        <w:rPr>
          <w:sz w:val="22"/>
          <w:szCs w:val="22"/>
        </w:rPr>
        <w:t xml:space="preserve">Interchange Station </w:t>
      </w:r>
      <w:r>
        <w:rPr>
          <w:sz w:val="22"/>
          <w:szCs w:val="22"/>
        </w:rPr>
        <w:t xml:space="preserve">will be built in Cheltenham that will result in a population </w:t>
      </w:r>
      <w:r w:rsidRPr="0063274E">
        <w:rPr>
          <w:sz w:val="22"/>
          <w:szCs w:val="22"/>
        </w:rPr>
        <w:t xml:space="preserve">increase </w:t>
      </w:r>
      <w:r>
        <w:rPr>
          <w:sz w:val="22"/>
          <w:szCs w:val="22"/>
        </w:rPr>
        <w:t>of an additional 32,000 people by 2056. This is estimated to mean that the Cheltenham population forecast of 26,883 for 2041 will increase to at least 58,883 by 2056.</w:t>
      </w:r>
      <w:r w:rsidRPr="0063274E">
        <w:rPr>
          <w:sz w:val="22"/>
          <w:szCs w:val="22"/>
        </w:rPr>
        <w:t xml:space="preserve">Further to this, by 2056 there are expected to be 4000 new households within 1.6km of the Cheltenham Interchange Station and approximately 11,500 more jobs in the area.  </w:t>
      </w:r>
    </w:p>
    <w:p w14:paraId="58F94F43" w14:textId="77777777" w:rsidR="00B926B6" w:rsidRDefault="00B926B6" w:rsidP="00B926B6">
      <w:pPr>
        <w:pStyle w:val="Default"/>
        <w:spacing w:before="100" w:beforeAutospacing="1" w:after="100" w:afterAutospacing="1"/>
        <w:rPr>
          <w:sz w:val="22"/>
          <w:szCs w:val="22"/>
        </w:rPr>
      </w:pPr>
      <w:r>
        <w:rPr>
          <w:sz w:val="22"/>
          <w:szCs w:val="22"/>
        </w:rPr>
        <w:lastRenderedPageBreak/>
        <w:t xml:space="preserve">Similarly, the Suburban Rail Loop has announced that a new station is planned for Clayton which is expected to result in a population </w:t>
      </w:r>
      <w:r w:rsidRPr="0063274E">
        <w:rPr>
          <w:sz w:val="22"/>
          <w:szCs w:val="22"/>
        </w:rPr>
        <w:t xml:space="preserve">increase </w:t>
      </w:r>
      <w:r>
        <w:rPr>
          <w:sz w:val="22"/>
          <w:szCs w:val="22"/>
        </w:rPr>
        <w:t>of an additional 32,000 people by 2056. This is estimated to mean that the Clayton South population forecast of 16,966 for 2041 will increase to at least 48,966 by 2056.</w:t>
      </w:r>
    </w:p>
    <w:p w14:paraId="6F62B3A6" w14:textId="77777777" w:rsidR="00B926B6" w:rsidRPr="005675F4" w:rsidRDefault="00B926B6" w:rsidP="00B926B6">
      <w:pPr>
        <w:pStyle w:val="Default"/>
        <w:rPr>
          <w:sz w:val="22"/>
          <w:szCs w:val="22"/>
        </w:rPr>
      </w:pPr>
      <w:r>
        <w:rPr>
          <w:sz w:val="22"/>
          <w:szCs w:val="22"/>
        </w:rPr>
        <w:t>T</w:t>
      </w:r>
      <w:r w:rsidRPr="0063274E">
        <w:rPr>
          <w:sz w:val="22"/>
          <w:szCs w:val="22"/>
        </w:rPr>
        <w:t>he Suburban Rail L</w:t>
      </w:r>
      <w:r>
        <w:rPr>
          <w:sz w:val="22"/>
          <w:szCs w:val="22"/>
        </w:rPr>
        <w:t xml:space="preserve">oop project </w:t>
      </w:r>
      <w:r w:rsidRPr="0063274E">
        <w:rPr>
          <w:sz w:val="22"/>
          <w:szCs w:val="22"/>
        </w:rPr>
        <w:t>is expected to make a significant change to travel patterns in the</w:t>
      </w:r>
      <w:r>
        <w:rPr>
          <w:sz w:val="22"/>
          <w:szCs w:val="22"/>
        </w:rPr>
        <w:t>se</w:t>
      </w:r>
      <w:r w:rsidRPr="0063274E">
        <w:rPr>
          <w:sz w:val="22"/>
          <w:szCs w:val="22"/>
        </w:rPr>
        <w:t xml:space="preserve"> area</w:t>
      </w:r>
      <w:r>
        <w:rPr>
          <w:sz w:val="22"/>
          <w:szCs w:val="22"/>
        </w:rPr>
        <w:t>s</w:t>
      </w:r>
      <w:r w:rsidRPr="0063274E">
        <w:rPr>
          <w:sz w:val="22"/>
          <w:szCs w:val="22"/>
        </w:rPr>
        <w:t xml:space="preserve"> by reducing the usage of private cars, increasing the use of public transport and </w:t>
      </w:r>
      <w:r>
        <w:rPr>
          <w:sz w:val="22"/>
          <w:szCs w:val="22"/>
        </w:rPr>
        <w:t xml:space="preserve">the development of </w:t>
      </w:r>
      <w:r w:rsidRPr="0063274E">
        <w:rPr>
          <w:sz w:val="22"/>
          <w:szCs w:val="22"/>
        </w:rPr>
        <w:t>20</w:t>
      </w:r>
      <w:r>
        <w:rPr>
          <w:sz w:val="22"/>
          <w:szCs w:val="22"/>
        </w:rPr>
        <w:t>-</w:t>
      </w:r>
      <w:r w:rsidRPr="0063274E">
        <w:rPr>
          <w:sz w:val="22"/>
          <w:szCs w:val="22"/>
        </w:rPr>
        <w:t xml:space="preserve">minute neighbourhoods.  </w:t>
      </w:r>
    </w:p>
    <w:p w14:paraId="56293A56" w14:textId="77777777" w:rsidR="00D7126F" w:rsidRPr="00476B31" w:rsidRDefault="00D7126F" w:rsidP="00767E80">
      <w:pPr>
        <w:rPr>
          <w:lang w:val="en-US"/>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1CA68837" w14:textId="77777777" w:rsidR="00B926B6" w:rsidRPr="00662C5D" w:rsidRDefault="00B926B6" w:rsidP="00B926B6">
      <w:pPr>
        <w:shd w:val="clear" w:color="auto" w:fill="FFFFFF"/>
        <w:spacing w:before="100" w:beforeAutospacing="1" w:after="100" w:afterAutospacing="1"/>
        <w:rPr>
          <w:rFonts w:ascii="Arial" w:eastAsia="Times New Roman" w:hAnsi="Arial" w:cs="Arial"/>
          <w:b/>
          <w:bCs/>
          <w:lang w:eastAsia="en-AU"/>
        </w:rPr>
      </w:pPr>
      <w:r w:rsidRPr="00662C5D">
        <w:rPr>
          <w:rFonts w:ascii="Arial" w:eastAsia="Times New Roman" w:hAnsi="Arial" w:cs="Arial"/>
          <w:b/>
          <w:bCs/>
          <w:lang w:eastAsia="en-AU"/>
        </w:rPr>
        <w:t>Our City and its History:</w:t>
      </w:r>
    </w:p>
    <w:p w14:paraId="3BC46BF7" w14:textId="77777777" w:rsidR="00B926B6" w:rsidRPr="001B70F2" w:rsidRDefault="00B926B6" w:rsidP="00B926B6">
      <w:pPr>
        <w:shd w:val="clear" w:color="auto" w:fill="FFFFFF"/>
        <w:spacing w:before="100" w:beforeAutospacing="1" w:after="100" w:afterAutospacing="1"/>
        <w:rPr>
          <w:rFonts w:ascii="Arial" w:eastAsia="Times New Roman" w:hAnsi="Arial" w:cs="Arial"/>
          <w:color w:val="222222"/>
          <w:lang w:eastAsia="en-AU"/>
        </w:rPr>
      </w:pPr>
      <w:r w:rsidRPr="001B70F2">
        <w:rPr>
          <w:rFonts w:ascii="Arial" w:eastAsia="Times New Roman" w:hAnsi="Arial" w:cs="Arial"/>
          <w:color w:val="222222"/>
          <w:lang w:eastAsia="en-AU"/>
        </w:rPr>
        <w:t xml:space="preserve">The City of Kingston </w:t>
      </w:r>
      <w:proofErr w:type="gramStart"/>
      <w:r w:rsidRPr="001B70F2">
        <w:rPr>
          <w:rFonts w:ascii="Arial" w:eastAsia="Times New Roman" w:hAnsi="Arial" w:cs="Arial"/>
          <w:color w:val="222222"/>
          <w:lang w:eastAsia="en-AU"/>
        </w:rPr>
        <w:t>is located in</w:t>
      </w:r>
      <w:proofErr w:type="gramEnd"/>
      <w:r w:rsidRPr="001B70F2">
        <w:rPr>
          <w:rFonts w:ascii="Arial" w:eastAsia="Times New Roman" w:hAnsi="Arial" w:cs="Arial"/>
          <w:color w:val="222222"/>
          <w:lang w:eastAsia="en-AU"/>
        </w:rPr>
        <w:t xml:space="preserve"> the middle and outer southern suburbs of Melbourne, approximately 20km south of the Melbourne CBD, and is surrounded by </w:t>
      </w:r>
      <w:proofErr w:type="spellStart"/>
      <w:r w:rsidRPr="001B70F2">
        <w:rPr>
          <w:rFonts w:ascii="Arial" w:eastAsia="Times New Roman" w:hAnsi="Arial" w:cs="Arial"/>
          <w:color w:val="222222"/>
          <w:lang w:eastAsia="en-AU"/>
        </w:rPr>
        <w:t>Bayside</w:t>
      </w:r>
      <w:proofErr w:type="spellEnd"/>
      <w:r w:rsidRPr="001B70F2">
        <w:rPr>
          <w:rFonts w:ascii="Arial" w:eastAsia="Times New Roman" w:hAnsi="Arial" w:cs="Arial"/>
          <w:color w:val="222222"/>
          <w:lang w:eastAsia="en-AU"/>
        </w:rPr>
        <w:t>, Monash, Glen Eira, Greater Dandenong and Frankston. </w:t>
      </w:r>
    </w:p>
    <w:p w14:paraId="796EAF3B" w14:textId="77777777" w:rsidR="00B926B6" w:rsidRPr="001B70F2" w:rsidRDefault="00B926B6" w:rsidP="00B926B6">
      <w:pPr>
        <w:shd w:val="clear" w:color="auto" w:fill="FFFFFF"/>
        <w:spacing w:before="100" w:beforeAutospacing="1" w:after="100" w:afterAutospacing="1"/>
        <w:rPr>
          <w:rFonts w:ascii="Arial" w:eastAsia="Times New Roman" w:hAnsi="Arial" w:cs="Arial"/>
          <w:color w:val="222222"/>
          <w:lang w:eastAsia="en-AU"/>
        </w:rPr>
      </w:pPr>
      <w:r w:rsidRPr="001B70F2">
        <w:rPr>
          <w:rFonts w:ascii="Arial" w:eastAsia="Times New Roman" w:hAnsi="Arial" w:cs="Arial"/>
          <w:color w:val="222222"/>
          <w:lang w:eastAsia="en-AU"/>
        </w:rPr>
        <w:t xml:space="preserve">Kingston is one of the state’s main employment centres, having one of the largest and most concentrated industrial sectors in Victoria. There are approximately 15,500 businesses with over 70,000 people employed throughout the City of Kingston. </w:t>
      </w:r>
    </w:p>
    <w:p w14:paraId="264555BC" w14:textId="77777777" w:rsidR="00B926B6" w:rsidRPr="007F60B9" w:rsidRDefault="00B926B6" w:rsidP="00B926B6">
      <w:pPr>
        <w:shd w:val="clear" w:color="auto" w:fill="FFFFFF"/>
        <w:spacing w:before="100" w:beforeAutospacing="1" w:after="100" w:afterAutospacing="1"/>
        <w:rPr>
          <w:rFonts w:ascii="Arial" w:eastAsia="Times New Roman" w:hAnsi="Arial" w:cs="Arial"/>
          <w:color w:val="222222"/>
          <w:lang w:eastAsia="en-AU"/>
        </w:rPr>
      </w:pPr>
      <w:r w:rsidRPr="001B70F2">
        <w:rPr>
          <w:rFonts w:ascii="Arial" w:eastAsia="Times New Roman" w:hAnsi="Arial" w:cs="Arial"/>
          <w:color w:val="222222"/>
          <w:lang w:eastAsia="en-AU"/>
        </w:rPr>
        <w:t xml:space="preserve">Kingston’s shopping amenities range </w:t>
      </w:r>
      <w:proofErr w:type="gramStart"/>
      <w:r w:rsidRPr="001B70F2">
        <w:rPr>
          <w:rFonts w:ascii="Arial" w:eastAsia="Times New Roman" w:hAnsi="Arial" w:cs="Arial"/>
          <w:color w:val="222222"/>
          <w:lang w:eastAsia="en-AU"/>
        </w:rPr>
        <w:t>from local neighbourhood shops and friendly village strips,</w:t>
      </w:r>
      <w:proofErr w:type="gramEnd"/>
      <w:r w:rsidRPr="001B70F2">
        <w:rPr>
          <w:rFonts w:ascii="Arial" w:eastAsia="Times New Roman" w:hAnsi="Arial" w:cs="Arial"/>
          <w:color w:val="222222"/>
          <w:lang w:eastAsia="en-AU"/>
        </w:rPr>
        <w:t xml:space="preserve"> to Southland Shopping Centre and major activity centres in Moorabbin, Cheltenham, Mentone, </w:t>
      </w:r>
      <w:proofErr w:type="spellStart"/>
      <w:r w:rsidRPr="001B70F2">
        <w:rPr>
          <w:rFonts w:ascii="Arial" w:eastAsia="Times New Roman" w:hAnsi="Arial" w:cs="Arial"/>
          <w:color w:val="222222"/>
          <w:lang w:eastAsia="en-AU"/>
        </w:rPr>
        <w:t>Mordialloc</w:t>
      </w:r>
      <w:proofErr w:type="spellEnd"/>
      <w:r w:rsidRPr="001B70F2">
        <w:rPr>
          <w:rFonts w:ascii="Arial" w:eastAsia="Times New Roman" w:hAnsi="Arial" w:cs="Arial"/>
          <w:color w:val="222222"/>
          <w:lang w:eastAsia="en-AU"/>
        </w:rPr>
        <w:t xml:space="preserve"> and Chelsea.</w:t>
      </w:r>
    </w:p>
    <w:p w14:paraId="4CF6C4F8" w14:textId="67AD8212" w:rsidR="00B926B6" w:rsidRPr="007F60B9" w:rsidRDefault="00B926B6" w:rsidP="00B926B6">
      <w:pPr>
        <w:shd w:val="clear" w:color="auto" w:fill="FFFFFF"/>
        <w:spacing w:before="100" w:beforeAutospacing="1" w:after="100" w:afterAutospacing="1"/>
        <w:rPr>
          <w:rFonts w:ascii="Arial" w:eastAsia="Times New Roman" w:hAnsi="Arial" w:cs="Arial"/>
          <w:color w:val="222222"/>
          <w:lang w:eastAsia="en-AU"/>
        </w:rPr>
      </w:pPr>
      <w:r w:rsidRPr="007F60B9">
        <w:rPr>
          <w:rFonts w:ascii="Arial" w:hAnsi="Arial" w:cs="Arial"/>
          <w:color w:val="222222"/>
          <w:shd w:val="clear" w:color="auto" w:fill="FFFFFF"/>
        </w:rPr>
        <w:t xml:space="preserve">The </w:t>
      </w:r>
      <w:r w:rsidR="00433F8C" w:rsidRPr="007F60B9">
        <w:rPr>
          <w:rFonts w:ascii="Arial" w:hAnsi="Arial" w:cs="Arial"/>
          <w:color w:val="222222"/>
          <w:shd w:val="clear" w:color="auto" w:fill="FFFFFF"/>
        </w:rPr>
        <w:t>city</w:t>
      </w:r>
      <w:r w:rsidRPr="007F60B9">
        <w:rPr>
          <w:rFonts w:ascii="Arial" w:hAnsi="Arial" w:cs="Arial"/>
          <w:color w:val="222222"/>
          <w:shd w:val="clear" w:color="auto" w:fill="FFFFFF"/>
        </w:rPr>
        <w:t xml:space="preserve"> encompasses a total land area of 91 square kilometres, is a residential and industrial area, with substantial areas of open space</w:t>
      </w:r>
      <w:r>
        <w:rPr>
          <w:rFonts w:ascii="Arial" w:hAnsi="Arial" w:cs="Arial"/>
          <w:color w:val="222222"/>
          <w:shd w:val="clear" w:color="auto" w:fill="FFFFFF"/>
        </w:rPr>
        <w:t>,</w:t>
      </w:r>
      <w:r w:rsidRPr="007F60B9">
        <w:rPr>
          <w:rFonts w:ascii="Arial" w:hAnsi="Arial" w:cs="Arial"/>
          <w:color w:val="222222"/>
          <w:shd w:val="clear" w:color="auto" w:fill="FFFFFF"/>
        </w:rPr>
        <w:t xml:space="preserve"> wetlands and significant areas of foreshore. With significant residential areas in the west and south, there are also major industrial nodes around Moorabbin, Braeside, Moorabbin Airport and Clayton South. The central and eastern areas contain significant areas of primary industry.</w:t>
      </w:r>
    </w:p>
    <w:p w14:paraId="31EF365C" w14:textId="77777777" w:rsidR="00B926B6" w:rsidRPr="008E0A5A" w:rsidRDefault="00B926B6" w:rsidP="00B926B6">
      <w:pPr>
        <w:rPr>
          <w:rFonts w:ascii="Arial" w:hAnsi="Arial" w:cs="Arial"/>
        </w:rPr>
      </w:pPr>
      <w:r w:rsidRPr="008E0A5A">
        <w:rPr>
          <w:rFonts w:ascii="Arial" w:hAnsi="Arial" w:cs="Arial"/>
        </w:rPr>
        <w:t xml:space="preserve">The Bunurong people are recognised as the rightful custodians of what is known as greater Melbourne including the Kingston area.  The Bunurong people have occupied this area for over 30,000 years with 2000 generations living on this land. </w:t>
      </w:r>
    </w:p>
    <w:p w14:paraId="41054036" w14:textId="77777777" w:rsidR="00B926B6" w:rsidRPr="008E0A5A" w:rsidRDefault="00B926B6" w:rsidP="00B926B6">
      <w:pPr>
        <w:rPr>
          <w:rFonts w:ascii="Arial" w:hAnsi="Arial" w:cs="Arial"/>
        </w:rPr>
      </w:pPr>
      <w:r w:rsidRPr="008E0A5A">
        <w:rPr>
          <w:rFonts w:ascii="Arial" w:hAnsi="Arial" w:cs="Arial"/>
        </w:rPr>
        <w:t xml:space="preserve">The Bunurong people have adapted to a significant number of changes within their country. With stories of the bay flooding with water and asteroid impacts near Cranbourne.  The Bunurong were amongst the first indigenous people in Victoria involved in cross-cultural entanglements with Europeans. Although, reduced to just a handful of individuals in the mid – 1800’s the Bunurong people continue to maintain their cultural obligations to care for people, the flora and fauna, the lands &amp; the waters within the Bunurong cultural landscape, which is alive in their stories.  </w:t>
      </w:r>
    </w:p>
    <w:p w14:paraId="017D3AD4" w14:textId="77777777" w:rsidR="00B926B6" w:rsidRPr="00662C5D" w:rsidRDefault="00B926B6" w:rsidP="00B926B6">
      <w:pPr>
        <w:shd w:val="clear" w:color="auto" w:fill="FFFFFF"/>
        <w:spacing w:before="100" w:beforeAutospacing="1" w:after="100" w:afterAutospacing="1"/>
        <w:rPr>
          <w:rFonts w:ascii="Arial" w:eastAsia="Times New Roman" w:hAnsi="Arial" w:cs="Arial"/>
          <w:b/>
          <w:bCs/>
          <w:lang w:eastAsia="en-AU"/>
        </w:rPr>
      </w:pPr>
      <w:r w:rsidRPr="00662C5D">
        <w:rPr>
          <w:rFonts w:ascii="Arial" w:eastAsia="Times New Roman" w:hAnsi="Arial" w:cs="Arial"/>
          <w:b/>
          <w:bCs/>
          <w:lang w:eastAsia="en-AU"/>
        </w:rPr>
        <w:t>Travel to kindergarten:</w:t>
      </w:r>
    </w:p>
    <w:p w14:paraId="3C467703" w14:textId="77777777" w:rsidR="00B926B6" w:rsidRDefault="00B926B6" w:rsidP="00B926B6">
      <w:pPr>
        <w:pStyle w:val="Default"/>
        <w:rPr>
          <w:sz w:val="22"/>
          <w:szCs w:val="22"/>
        </w:rPr>
      </w:pPr>
      <w:r>
        <w:rPr>
          <w:sz w:val="22"/>
          <w:szCs w:val="22"/>
        </w:rPr>
        <w:t xml:space="preserve">The City of Kingston has </w:t>
      </w:r>
      <w:proofErr w:type="gramStart"/>
      <w:r>
        <w:rPr>
          <w:sz w:val="22"/>
          <w:szCs w:val="22"/>
        </w:rPr>
        <w:t>a number of</w:t>
      </w:r>
      <w:proofErr w:type="gramEnd"/>
      <w:r>
        <w:rPr>
          <w:sz w:val="22"/>
          <w:szCs w:val="22"/>
        </w:rPr>
        <w:t xml:space="preserve"> significant roadways and rail lines running the length of the municipality.</w:t>
      </w:r>
    </w:p>
    <w:p w14:paraId="76507711" w14:textId="77777777" w:rsidR="00B926B6" w:rsidRDefault="00B926B6" w:rsidP="00B926B6">
      <w:pPr>
        <w:pStyle w:val="Default"/>
        <w:rPr>
          <w:sz w:val="22"/>
          <w:szCs w:val="22"/>
        </w:rPr>
      </w:pPr>
    </w:p>
    <w:p w14:paraId="07F4CFB3" w14:textId="77777777" w:rsidR="00B926B6" w:rsidRDefault="00B926B6" w:rsidP="00B926B6">
      <w:pPr>
        <w:pStyle w:val="Default"/>
        <w:rPr>
          <w:sz w:val="22"/>
          <w:szCs w:val="22"/>
        </w:rPr>
      </w:pPr>
      <w:r>
        <w:rPr>
          <w:sz w:val="22"/>
          <w:szCs w:val="22"/>
        </w:rPr>
        <w:t xml:space="preserve">In a recent consultation undertaken to understand the preferences of the Highett, Moorabbin and Cheltenham communities with regards to accessing sessional kindergarten services, key findings indicate that </w:t>
      </w:r>
    </w:p>
    <w:p w14:paraId="43245EA4" w14:textId="77777777" w:rsidR="00B926B6" w:rsidRPr="00554269" w:rsidRDefault="00B926B6" w:rsidP="00B926B6">
      <w:pPr>
        <w:pStyle w:val="Default"/>
        <w:ind w:left="709"/>
        <w:rPr>
          <w:i/>
          <w:iCs/>
          <w:sz w:val="22"/>
          <w:szCs w:val="22"/>
        </w:rPr>
      </w:pPr>
      <w:r w:rsidRPr="00554269">
        <w:rPr>
          <w:i/>
          <w:iCs/>
          <w:sz w:val="22"/>
          <w:szCs w:val="22"/>
        </w:rPr>
        <w:lastRenderedPageBreak/>
        <w:t xml:space="preserve">‘When considering travelling to and from kindergarten, the most important factors were having a kindergarten within walking distance within a short fifteen-minute drive from home and being easy to get to (not having to cross a highway or a train line). The children’s analysis also supported </w:t>
      </w:r>
      <w:proofErr w:type="gramStart"/>
      <w:r w:rsidRPr="00554269">
        <w:rPr>
          <w:i/>
          <w:iCs/>
          <w:sz w:val="22"/>
          <w:szCs w:val="22"/>
        </w:rPr>
        <w:t>that children</w:t>
      </w:r>
      <w:proofErr w:type="gramEnd"/>
      <w:r w:rsidRPr="00554269">
        <w:rPr>
          <w:i/>
          <w:iCs/>
          <w:sz w:val="22"/>
          <w:szCs w:val="22"/>
        </w:rPr>
        <w:t xml:space="preserve"> prefer to walk, ride and scoot to move around their neighbourhood rather than be driven’</w:t>
      </w:r>
    </w:p>
    <w:p w14:paraId="2293DFB3" w14:textId="77777777" w:rsidR="00D7126F" w:rsidRPr="00476B31" w:rsidRDefault="00D7126F" w:rsidP="00767E80">
      <w:pPr>
        <w:rPr>
          <w:lang w:val="en-US"/>
        </w:rPr>
      </w:pP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FD8997F" w14:textId="77777777" w:rsidR="00B926B6" w:rsidRPr="008A52E3" w:rsidRDefault="00B926B6" w:rsidP="00B926B6">
      <w:pPr>
        <w:pStyle w:val="Default"/>
        <w:rPr>
          <w:b/>
          <w:bCs/>
          <w:sz w:val="22"/>
          <w:szCs w:val="22"/>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8A52E3">
        <w:rPr>
          <w:b/>
          <w:bCs/>
          <w:sz w:val="22"/>
          <w:szCs w:val="22"/>
        </w:rPr>
        <w:t>Previous Investment in Early Years Infrastructure Development:</w:t>
      </w:r>
    </w:p>
    <w:p w14:paraId="3385ABA7" w14:textId="77777777" w:rsidR="00B926B6" w:rsidRDefault="00B926B6" w:rsidP="00B926B6">
      <w:pPr>
        <w:pStyle w:val="Default"/>
        <w:rPr>
          <w:sz w:val="22"/>
          <w:szCs w:val="22"/>
        </w:rPr>
      </w:pPr>
    </w:p>
    <w:p w14:paraId="2A16EBBA" w14:textId="77777777" w:rsidR="00B926B6" w:rsidRDefault="00B926B6" w:rsidP="00B926B6">
      <w:pPr>
        <w:pStyle w:val="Default"/>
        <w:rPr>
          <w:sz w:val="22"/>
          <w:szCs w:val="22"/>
        </w:rPr>
      </w:pPr>
      <w:r>
        <w:rPr>
          <w:sz w:val="22"/>
          <w:szCs w:val="22"/>
        </w:rPr>
        <w:t xml:space="preserve">Over the past 8-10 years the Kingston City Council has invested over $20mil in early years infrastructure and has upgraded, redeveloped or expanded over 80% of its early years infrastructure to meet the current and future education demand.  These significant achievements have been made possible with the support of the Department of Education and Training.  </w:t>
      </w:r>
    </w:p>
    <w:p w14:paraId="4C5E120A" w14:textId="77777777" w:rsidR="00B926B6" w:rsidRDefault="00B926B6" w:rsidP="00B926B6">
      <w:pPr>
        <w:pStyle w:val="Default"/>
        <w:rPr>
          <w:sz w:val="22"/>
          <w:szCs w:val="22"/>
        </w:rPr>
      </w:pPr>
    </w:p>
    <w:p w14:paraId="4FE6F0CF" w14:textId="77777777" w:rsidR="00B926B6" w:rsidRDefault="00B926B6" w:rsidP="00B926B6">
      <w:pPr>
        <w:pStyle w:val="Default"/>
        <w:rPr>
          <w:sz w:val="22"/>
          <w:szCs w:val="22"/>
        </w:rPr>
      </w:pPr>
      <w:r>
        <w:rPr>
          <w:sz w:val="22"/>
          <w:szCs w:val="22"/>
        </w:rPr>
        <w:t>This has included the following expansion and development projects:</w:t>
      </w:r>
    </w:p>
    <w:p w14:paraId="69B1139B" w14:textId="77777777" w:rsidR="00B926B6" w:rsidRDefault="00B926B6" w:rsidP="00B926B6">
      <w:pPr>
        <w:rPr>
          <w:rFonts w:ascii="Arial" w:hAnsi="Arial" w:cs="Arial"/>
        </w:rPr>
      </w:pPr>
    </w:p>
    <w:tbl>
      <w:tblPr>
        <w:tblStyle w:val="TableGrid"/>
        <w:tblW w:w="9214" w:type="dxa"/>
        <w:tblInd w:w="-5" w:type="dxa"/>
        <w:tblLook w:val="04A0" w:firstRow="1" w:lastRow="0" w:firstColumn="1" w:lastColumn="0" w:noHBand="0" w:noVBand="1"/>
      </w:tblPr>
      <w:tblGrid>
        <w:gridCol w:w="3568"/>
        <w:gridCol w:w="1210"/>
        <w:gridCol w:w="1258"/>
        <w:gridCol w:w="1706"/>
        <w:gridCol w:w="1472"/>
      </w:tblGrid>
      <w:tr w:rsidR="00B926B6" w:rsidRPr="00306166" w14:paraId="2AD6B389" w14:textId="77777777" w:rsidTr="000013D0">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4253" w:type="dxa"/>
            <w:shd w:val="clear" w:color="auto" w:fill="000000" w:themeFill="text1"/>
            <w:vAlign w:val="center"/>
          </w:tcPr>
          <w:p w14:paraId="494A1C6A" w14:textId="77777777" w:rsidR="00B926B6" w:rsidRPr="00DC5E45" w:rsidRDefault="00B926B6" w:rsidP="00351881">
            <w:pPr>
              <w:rPr>
                <w:b w:val="0"/>
                <w:sz w:val="20"/>
                <w:szCs w:val="20"/>
                <w:lang w:val="en-US" w:eastAsia="en-AU"/>
              </w:rPr>
            </w:pPr>
            <w:r w:rsidRPr="00DC5E45">
              <w:rPr>
                <w:sz w:val="20"/>
                <w:szCs w:val="20"/>
                <w:lang w:val="en-US" w:eastAsia="en-AU"/>
              </w:rPr>
              <w:t>Kindergarten</w:t>
            </w:r>
          </w:p>
        </w:tc>
        <w:tc>
          <w:tcPr>
            <w:tcW w:w="1276" w:type="dxa"/>
            <w:shd w:val="clear" w:color="auto" w:fill="000000" w:themeFill="text1"/>
            <w:vAlign w:val="center"/>
          </w:tcPr>
          <w:p w14:paraId="3B30F90E" w14:textId="77777777" w:rsidR="00B926B6" w:rsidRPr="00DC5E45" w:rsidRDefault="00B926B6" w:rsidP="00351881">
            <w:pPr>
              <w:jc w:val="center"/>
              <w:cnfStyle w:val="100000000000" w:firstRow="1" w:lastRow="0" w:firstColumn="0" w:lastColumn="0" w:oddVBand="0" w:evenVBand="0" w:oddHBand="0" w:evenHBand="0" w:firstRowFirstColumn="0" w:firstRowLastColumn="0" w:lastRowFirstColumn="0" w:lastRowLastColumn="0"/>
              <w:rPr>
                <w:b w:val="0"/>
                <w:sz w:val="20"/>
                <w:szCs w:val="20"/>
                <w:lang w:val="en-US" w:eastAsia="en-AU"/>
              </w:rPr>
            </w:pPr>
            <w:r>
              <w:rPr>
                <w:sz w:val="20"/>
                <w:szCs w:val="20"/>
                <w:lang w:val="en-US" w:eastAsia="en-AU"/>
              </w:rPr>
              <w:t>Outdoor upgrade</w:t>
            </w:r>
          </w:p>
        </w:tc>
        <w:tc>
          <w:tcPr>
            <w:tcW w:w="1275" w:type="dxa"/>
            <w:shd w:val="clear" w:color="auto" w:fill="000000" w:themeFill="text1"/>
            <w:vAlign w:val="center"/>
          </w:tcPr>
          <w:p w14:paraId="60CF732A" w14:textId="77777777" w:rsidR="00B926B6" w:rsidRDefault="00B926B6" w:rsidP="00351881">
            <w:pPr>
              <w:jc w:val="center"/>
              <w:cnfStyle w:val="100000000000" w:firstRow="1" w:lastRow="0" w:firstColumn="0" w:lastColumn="0" w:oddVBand="0" w:evenVBand="0" w:oddHBand="0" w:evenHBand="0" w:firstRowFirstColumn="0" w:firstRowLastColumn="0" w:lastRowFirstColumn="0" w:lastRowLastColumn="0"/>
              <w:rPr>
                <w:b w:val="0"/>
                <w:sz w:val="20"/>
                <w:szCs w:val="20"/>
                <w:lang w:val="en-US" w:eastAsia="en-AU"/>
              </w:rPr>
            </w:pPr>
            <w:r w:rsidRPr="00DC5E45">
              <w:rPr>
                <w:sz w:val="20"/>
                <w:szCs w:val="20"/>
                <w:lang w:val="en-US" w:eastAsia="en-AU"/>
              </w:rPr>
              <w:t>Upgrade</w:t>
            </w:r>
            <w:r>
              <w:rPr>
                <w:sz w:val="20"/>
                <w:szCs w:val="20"/>
                <w:lang w:val="en-US" w:eastAsia="en-AU"/>
              </w:rPr>
              <w:t>/</w:t>
            </w:r>
          </w:p>
          <w:p w14:paraId="1181ED60" w14:textId="77777777" w:rsidR="00B926B6" w:rsidRPr="00DC5E45" w:rsidRDefault="00B926B6" w:rsidP="00351881">
            <w:pPr>
              <w:jc w:val="center"/>
              <w:cnfStyle w:val="100000000000" w:firstRow="1" w:lastRow="0" w:firstColumn="0" w:lastColumn="0" w:oddVBand="0" w:evenVBand="0" w:oddHBand="0" w:evenHBand="0" w:firstRowFirstColumn="0" w:firstRowLastColumn="0" w:lastRowFirstColumn="0" w:lastRowLastColumn="0"/>
              <w:rPr>
                <w:b w:val="0"/>
                <w:sz w:val="20"/>
                <w:szCs w:val="20"/>
                <w:lang w:val="en-US" w:eastAsia="en-AU"/>
              </w:rPr>
            </w:pPr>
            <w:r>
              <w:rPr>
                <w:sz w:val="20"/>
                <w:szCs w:val="20"/>
                <w:lang w:val="en-US" w:eastAsia="en-AU"/>
              </w:rPr>
              <w:t>expansion</w:t>
            </w:r>
          </w:p>
        </w:tc>
        <w:tc>
          <w:tcPr>
            <w:tcW w:w="1276" w:type="dxa"/>
            <w:shd w:val="clear" w:color="auto" w:fill="000000" w:themeFill="text1"/>
            <w:vAlign w:val="center"/>
          </w:tcPr>
          <w:p w14:paraId="407C2A8E" w14:textId="77777777" w:rsidR="00B926B6" w:rsidRPr="00DC5E45" w:rsidRDefault="00B926B6" w:rsidP="00351881">
            <w:pPr>
              <w:jc w:val="center"/>
              <w:cnfStyle w:val="100000000000" w:firstRow="1" w:lastRow="0" w:firstColumn="0" w:lastColumn="0" w:oddVBand="0" w:evenVBand="0" w:oddHBand="0" w:evenHBand="0" w:firstRowFirstColumn="0" w:firstRowLastColumn="0" w:lastRowFirstColumn="0" w:lastRowLastColumn="0"/>
              <w:rPr>
                <w:b w:val="0"/>
                <w:sz w:val="20"/>
                <w:szCs w:val="20"/>
                <w:lang w:val="en-US" w:eastAsia="en-AU"/>
              </w:rPr>
            </w:pPr>
            <w:r w:rsidRPr="00DC5E45">
              <w:rPr>
                <w:sz w:val="20"/>
                <w:szCs w:val="20"/>
                <w:lang w:val="en-US" w:eastAsia="en-AU"/>
              </w:rPr>
              <w:t>Redevelopment</w:t>
            </w:r>
          </w:p>
        </w:tc>
        <w:tc>
          <w:tcPr>
            <w:tcW w:w="1134" w:type="dxa"/>
            <w:shd w:val="clear" w:color="auto" w:fill="000000" w:themeFill="text1"/>
            <w:vAlign w:val="center"/>
          </w:tcPr>
          <w:p w14:paraId="767969A4" w14:textId="77777777" w:rsidR="00B926B6" w:rsidRPr="00DC5E45" w:rsidRDefault="00B926B6" w:rsidP="00351881">
            <w:pPr>
              <w:jc w:val="center"/>
              <w:cnfStyle w:val="100000000000" w:firstRow="1" w:lastRow="0" w:firstColumn="0" w:lastColumn="0" w:oddVBand="0" w:evenVBand="0" w:oddHBand="0" w:evenHBand="0" w:firstRowFirstColumn="0" w:firstRowLastColumn="0" w:lastRowFirstColumn="0" w:lastRowLastColumn="0"/>
              <w:rPr>
                <w:b w:val="0"/>
                <w:sz w:val="20"/>
                <w:szCs w:val="20"/>
                <w:lang w:val="en-US" w:eastAsia="en-AU"/>
              </w:rPr>
            </w:pPr>
            <w:r w:rsidRPr="00DC5E45">
              <w:rPr>
                <w:sz w:val="20"/>
                <w:szCs w:val="20"/>
                <w:lang w:val="en-US" w:eastAsia="en-AU"/>
              </w:rPr>
              <w:t>New Development</w:t>
            </w:r>
          </w:p>
        </w:tc>
      </w:tr>
      <w:tr w:rsidR="00B926B6" w:rsidRPr="00DC5E45" w14:paraId="518F4BF2"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09B26B76" w14:textId="77777777" w:rsidR="00B926B6" w:rsidRPr="00DC5E45" w:rsidRDefault="00B926B6" w:rsidP="00351881">
            <w:pPr>
              <w:jc w:val="both"/>
              <w:rPr>
                <w:sz w:val="20"/>
                <w:szCs w:val="20"/>
                <w:lang w:val="en-US" w:eastAsia="en-AU"/>
              </w:rPr>
            </w:pPr>
            <w:r w:rsidRPr="00DC5E45">
              <w:rPr>
                <w:sz w:val="20"/>
                <w:szCs w:val="20"/>
                <w:lang w:val="en-US" w:eastAsia="en-AU"/>
              </w:rPr>
              <w:t>Acacia Ave Preschool</w:t>
            </w:r>
          </w:p>
        </w:tc>
        <w:tc>
          <w:tcPr>
            <w:tcW w:w="1276" w:type="dxa"/>
            <w:vAlign w:val="center"/>
          </w:tcPr>
          <w:p w14:paraId="1CD1356F"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20FB9335"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6E4B0E5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134" w:type="dxa"/>
            <w:vAlign w:val="center"/>
          </w:tcPr>
          <w:p w14:paraId="5072721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452AE622"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01616539" w14:textId="77777777" w:rsidR="00B926B6" w:rsidRPr="00DC5E45" w:rsidRDefault="00B926B6" w:rsidP="00351881">
            <w:pPr>
              <w:jc w:val="both"/>
              <w:rPr>
                <w:sz w:val="20"/>
                <w:szCs w:val="20"/>
                <w:lang w:val="en-US" w:eastAsia="en-AU"/>
              </w:rPr>
            </w:pPr>
            <w:r w:rsidRPr="00DC5E45">
              <w:rPr>
                <w:sz w:val="20"/>
                <w:szCs w:val="20"/>
                <w:lang w:val="en-US" w:eastAsia="en-AU"/>
              </w:rPr>
              <w:t>Aspendale North Kindergarten</w:t>
            </w:r>
          </w:p>
        </w:tc>
        <w:tc>
          <w:tcPr>
            <w:tcW w:w="1276" w:type="dxa"/>
            <w:vAlign w:val="center"/>
          </w:tcPr>
          <w:p w14:paraId="1074FB2D"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72D49B0D"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vAlign w:val="center"/>
          </w:tcPr>
          <w:p w14:paraId="614D45C8"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6C7AFC38"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04EDF074"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19CB6E83" w14:textId="77777777" w:rsidR="00B926B6" w:rsidRPr="00DC5E45" w:rsidRDefault="00B926B6" w:rsidP="00351881">
            <w:pPr>
              <w:jc w:val="both"/>
              <w:rPr>
                <w:sz w:val="20"/>
                <w:szCs w:val="20"/>
                <w:lang w:val="en-US" w:eastAsia="en-AU"/>
              </w:rPr>
            </w:pPr>
            <w:r>
              <w:rPr>
                <w:sz w:val="20"/>
                <w:szCs w:val="20"/>
                <w:lang w:val="en-US" w:eastAsia="en-AU"/>
              </w:rPr>
              <w:t>Aspendale Gardens</w:t>
            </w:r>
          </w:p>
        </w:tc>
        <w:tc>
          <w:tcPr>
            <w:tcW w:w="1276" w:type="dxa"/>
            <w:vAlign w:val="center"/>
          </w:tcPr>
          <w:p w14:paraId="2C5B47FF" w14:textId="77777777" w:rsidR="00B926B6" w:rsidRPr="009C2AAF"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1717EA">
              <w:rPr>
                <w:sz w:val="20"/>
                <w:szCs w:val="20"/>
                <w:lang w:val="en-US" w:eastAsia="en-AU"/>
              </w:rPr>
              <w:sym w:font="Wingdings" w:char="F06C"/>
            </w:r>
          </w:p>
        </w:tc>
        <w:tc>
          <w:tcPr>
            <w:tcW w:w="1275" w:type="dxa"/>
            <w:vAlign w:val="center"/>
          </w:tcPr>
          <w:p w14:paraId="44E5C226"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3D5614B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2A65229F"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2BA76EDB"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372E3894" w14:textId="77777777" w:rsidR="00B926B6" w:rsidRPr="00DC5E45" w:rsidRDefault="00B926B6" w:rsidP="00351881">
            <w:pPr>
              <w:jc w:val="both"/>
              <w:rPr>
                <w:sz w:val="20"/>
                <w:szCs w:val="20"/>
                <w:lang w:val="en-US" w:eastAsia="en-AU"/>
              </w:rPr>
            </w:pPr>
            <w:r w:rsidRPr="00DC5E45">
              <w:rPr>
                <w:sz w:val="20"/>
                <w:szCs w:val="20"/>
                <w:lang w:val="en-US" w:eastAsia="en-AU"/>
              </w:rPr>
              <w:t>Carrum Family and Children’s Centre</w:t>
            </w:r>
          </w:p>
        </w:tc>
        <w:tc>
          <w:tcPr>
            <w:tcW w:w="1276" w:type="dxa"/>
            <w:vAlign w:val="center"/>
          </w:tcPr>
          <w:p w14:paraId="033D669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6594E2F3"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1BD38469"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1C8B6B7D"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r>
      <w:tr w:rsidR="00B926B6" w:rsidRPr="00DC5E45" w14:paraId="450B5786"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5154963C" w14:textId="77777777" w:rsidR="00B926B6" w:rsidRPr="00DC5E45" w:rsidRDefault="00B926B6" w:rsidP="00351881">
            <w:pPr>
              <w:jc w:val="both"/>
              <w:rPr>
                <w:sz w:val="20"/>
                <w:szCs w:val="20"/>
                <w:lang w:val="en-US" w:eastAsia="en-AU"/>
              </w:rPr>
            </w:pPr>
            <w:r w:rsidRPr="00DC5E45">
              <w:rPr>
                <w:sz w:val="20"/>
                <w:szCs w:val="20"/>
                <w:lang w:val="en-US" w:eastAsia="en-AU"/>
              </w:rPr>
              <w:t xml:space="preserve">Chelsea Kindergarten </w:t>
            </w:r>
          </w:p>
        </w:tc>
        <w:tc>
          <w:tcPr>
            <w:tcW w:w="1276" w:type="dxa"/>
            <w:vAlign w:val="center"/>
          </w:tcPr>
          <w:p w14:paraId="35144AFF"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668DF240"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6E936461"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134" w:type="dxa"/>
            <w:vAlign w:val="center"/>
          </w:tcPr>
          <w:p w14:paraId="277EC2F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04BA4522"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5F2993EF" w14:textId="77777777" w:rsidR="00B926B6" w:rsidRPr="00DC5E45" w:rsidRDefault="00B926B6" w:rsidP="00351881">
            <w:pPr>
              <w:jc w:val="both"/>
              <w:rPr>
                <w:sz w:val="20"/>
                <w:szCs w:val="20"/>
                <w:lang w:val="en-US" w:eastAsia="en-AU"/>
              </w:rPr>
            </w:pPr>
            <w:r w:rsidRPr="00DC5E45">
              <w:rPr>
                <w:sz w:val="20"/>
                <w:szCs w:val="20"/>
                <w:lang w:val="en-US" w:eastAsia="en-AU"/>
              </w:rPr>
              <w:t xml:space="preserve">Chelsea Heights Kindergarten </w:t>
            </w:r>
          </w:p>
        </w:tc>
        <w:tc>
          <w:tcPr>
            <w:tcW w:w="1276" w:type="dxa"/>
            <w:vAlign w:val="center"/>
          </w:tcPr>
          <w:p w14:paraId="591D1303"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4B6F361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vAlign w:val="center"/>
          </w:tcPr>
          <w:p w14:paraId="047B5F63"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0C070793"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493239B1"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78FADBB3" w14:textId="77777777" w:rsidR="00B926B6" w:rsidRPr="00DC5E45" w:rsidRDefault="00B926B6" w:rsidP="00351881">
            <w:pPr>
              <w:jc w:val="both"/>
              <w:rPr>
                <w:sz w:val="20"/>
                <w:szCs w:val="20"/>
                <w:lang w:val="en-US" w:eastAsia="en-AU"/>
              </w:rPr>
            </w:pPr>
            <w:r w:rsidRPr="00DC5E45">
              <w:rPr>
                <w:sz w:val="20"/>
                <w:szCs w:val="20"/>
                <w:lang w:val="en-US" w:eastAsia="en-AU"/>
              </w:rPr>
              <w:t xml:space="preserve">Clayton South Kindergarten </w:t>
            </w:r>
          </w:p>
        </w:tc>
        <w:tc>
          <w:tcPr>
            <w:tcW w:w="1276" w:type="dxa"/>
            <w:vAlign w:val="center"/>
          </w:tcPr>
          <w:p w14:paraId="4ACB64A1"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77E03F0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70DF5891"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134" w:type="dxa"/>
            <w:vAlign w:val="center"/>
          </w:tcPr>
          <w:p w14:paraId="4355AF48"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33CF9CB6"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26DC21A8" w14:textId="77777777" w:rsidR="00B926B6" w:rsidRPr="00DC5E45" w:rsidRDefault="00B926B6" w:rsidP="00351881">
            <w:pPr>
              <w:jc w:val="both"/>
              <w:rPr>
                <w:sz w:val="20"/>
                <w:szCs w:val="20"/>
                <w:lang w:val="en-US" w:eastAsia="en-AU"/>
              </w:rPr>
            </w:pPr>
            <w:proofErr w:type="spellStart"/>
            <w:r w:rsidRPr="00DC5E45">
              <w:rPr>
                <w:sz w:val="20"/>
                <w:szCs w:val="20"/>
                <w:lang w:val="en-US" w:eastAsia="en-AU"/>
              </w:rPr>
              <w:t>Edithvale</w:t>
            </w:r>
            <w:proofErr w:type="spellEnd"/>
            <w:r w:rsidRPr="00DC5E45">
              <w:rPr>
                <w:sz w:val="20"/>
                <w:szCs w:val="20"/>
                <w:lang w:val="en-US" w:eastAsia="en-AU"/>
              </w:rPr>
              <w:t xml:space="preserve"> Family and Children’s Centre</w:t>
            </w:r>
          </w:p>
        </w:tc>
        <w:tc>
          <w:tcPr>
            <w:tcW w:w="1276" w:type="dxa"/>
            <w:vAlign w:val="center"/>
          </w:tcPr>
          <w:p w14:paraId="6603E227"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3E07CDE1"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4C72172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4FEF8BB6"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r>
      <w:tr w:rsidR="00B926B6" w:rsidRPr="00DC5E45" w14:paraId="511B198A"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3EBBB28E" w14:textId="77777777" w:rsidR="00B926B6" w:rsidRPr="00DC5E45" w:rsidRDefault="00B926B6" w:rsidP="00351881">
            <w:pPr>
              <w:jc w:val="both"/>
              <w:rPr>
                <w:sz w:val="20"/>
                <w:szCs w:val="20"/>
                <w:lang w:val="en-US" w:eastAsia="en-AU"/>
              </w:rPr>
            </w:pPr>
            <w:proofErr w:type="spellStart"/>
            <w:r>
              <w:rPr>
                <w:sz w:val="20"/>
                <w:szCs w:val="20"/>
                <w:lang w:val="en-US" w:eastAsia="en-AU"/>
              </w:rPr>
              <w:t>Elonera</w:t>
            </w:r>
            <w:proofErr w:type="spellEnd"/>
            <w:r>
              <w:rPr>
                <w:sz w:val="20"/>
                <w:szCs w:val="20"/>
                <w:lang w:val="en-US" w:eastAsia="en-AU"/>
              </w:rPr>
              <w:t xml:space="preserve"> Preschool </w:t>
            </w:r>
          </w:p>
        </w:tc>
        <w:tc>
          <w:tcPr>
            <w:tcW w:w="1276" w:type="dxa"/>
            <w:vAlign w:val="center"/>
          </w:tcPr>
          <w:p w14:paraId="41BDD38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2A68584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vAlign w:val="center"/>
          </w:tcPr>
          <w:p w14:paraId="00106AA7"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10D832A2"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421AAA23"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17AF9C78" w14:textId="77777777" w:rsidR="00B926B6" w:rsidRPr="00DC5E45" w:rsidRDefault="00B926B6" w:rsidP="00351881">
            <w:pPr>
              <w:jc w:val="both"/>
              <w:rPr>
                <w:sz w:val="20"/>
                <w:szCs w:val="20"/>
                <w:lang w:val="en-US" w:eastAsia="en-AU"/>
              </w:rPr>
            </w:pPr>
            <w:proofErr w:type="spellStart"/>
            <w:r w:rsidRPr="00DC5E45">
              <w:rPr>
                <w:sz w:val="20"/>
                <w:szCs w:val="20"/>
                <w:lang w:val="en-US" w:eastAsia="en-AU"/>
              </w:rPr>
              <w:t>Evesham</w:t>
            </w:r>
            <w:proofErr w:type="spellEnd"/>
            <w:r w:rsidRPr="00DC5E45">
              <w:rPr>
                <w:sz w:val="20"/>
                <w:szCs w:val="20"/>
                <w:lang w:val="en-US" w:eastAsia="en-AU"/>
              </w:rPr>
              <w:t xml:space="preserve"> Rd Kindergarten </w:t>
            </w:r>
          </w:p>
        </w:tc>
        <w:tc>
          <w:tcPr>
            <w:tcW w:w="1276" w:type="dxa"/>
            <w:vAlign w:val="center"/>
          </w:tcPr>
          <w:p w14:paraId="471266FC"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shd w:val="clear" w:color="auto" w:fill="auto"/>
            <w:vAlign w:val="center"/>
          </w:tcPr>
          <w:p w14:paraId="28059EA6"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shd w:val="clear" w:color="auto" w:fill="auto"/>
            <w:vAlign w:val="center"/>
          </w:tcPr>
          <w:p w14:paraId="7AA41C9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shd w:val="clear" w:color="auto" w:fill="auto"/>
            <w:vAlign w:val="center"/>
          </w:tcPr>
          <w:p w14:paraId="04EAE332"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3445C35A"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13FDEAAB" w14:textId="77777777" w:rsidR="00B926B6" w:rsidRPr="00DC5E45" w:rsidRDefault="00B926B6" w:rsidP="00351881">
            <w:pPr>
              <w:jc w:val="both"/>
              <w:rPr>
                <w:sz w:val="20"/>
                <w:szCs w:val="20"/>
                <w:lang w:val="en-US" w:eastAsia="en-AU"/>
              </w:rPr>
            </w:pPr>
            <w:r w:rsidRPr="00DC5E45">
              <w:rPr>
                <w:sz w:val="20"/>
                <w:szCs w:val="20"/>
                <w:lang w:val="en-US" w:eastAsia="en-AU"/>
              </w:rPr>
              <w:t>Farm Rd Preschool</w:t>
            </w:r>
          </w:p>
        </w:tc>
        <w:tc>
          <w:tcPr>
            <w:tcW w:w="1276" w:type="dxa"/>
            <w:vAlign w:val="center"/>
          </w:tcPr>
          <w:p w14:paraId="0F204F75"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6594EADB"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vAlign w:val="center"/>
          </w:tcPr>
          <w:p w14:paraId="1D02CBF9"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0F57BEF7"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68D86F4A"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3642151" w14:textId="77777777" w:rsidR="00B926B6" w:rsidRPr="00DC5E45" w:rsidRDefault="00B926B6" w:rsidP="00351881">
            <w:pPr>
              <w:jc w:val="both"/>
              <w:rPr>
                <w:sz w:val="20"/>
                <w:szCs w:val="20"/>
                <w:lang w:val="en-US" w:eastAsia="en-AU"/>
              </w:rPr>
            </w:pPr>
            <w:r w:rsidRPr="00DC5E45">
              <w:rPr>
                <w:sz w:val="20"/>
                <w:szCs w:val="20"/>
                <w:lang w:val="en-US" w:eastAsia="en-AU"/>
              </w:rPr>
              <w:t>Marcus Rd Preschool</w:t>
            </w:r>
          </w:p>
        </w:tc>
        <w:tc>
          <w:tcPr>
            <w:tcW w:w="1276" w:type="dxa"/>
            <w:vAlign w:val="center"/>
          </w:tcPr>
          <w:p w14:paraId="635F2785"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shd w:val="clear" w:color="auto" w:fill="auto"/>
            <w:vAlign w:val="center"/>
          </w:tcPr>
          <w:p w14:paraId="547C0656"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shd w:val="clear" w:color="auto" w:fill="auto"/>
            <w:vAlign w:val="center"/>
          </w:tcPr>
          <w:p w14:paraId="350BF619"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shd w:val="clear" w:color="auto" w:fill="auto"/>
            <w:vAlign w:val="center"/>
          </w:tcPr>
          <w:p w14:paraId="26ECE34B"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09CEB2CE"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523248D1" w14:textId="77777777" w:rsidR="00B926B6" w:rsidRPr="00DC5E45" w:rsidRDefault="00B926B6" w:rsidP="00351881">
            <w:pPr>
              <w:jc w:val="both"/>
              <w:rPr>
                <w:sz w:val="20"/>
                <w:szCs w:val="20"/>
                <w:lang w:val="en-US" w:eastAsia="en-AU"/>
              </w:rPr>
            </w:pPr>
            <w:proofErr w:type="spellStart"/>
            <w:r w:rsidRPr="00DC5E45">
              <w:rPr>
                <w:sz w:val="20"/>
                <w:szCs w:val="20"/>
                <w:lang w:val="en-US" w:eastAsia="en-AU"/>
              </w:rPr>
              <w:t>Mordialloc</w:t>
            </w:r>
            <w:proofErr w:type="spellEnd"/>
            <w:r w:rsidRPr="00DC5E45">
              <w:rPr>
                <w:sz w:val="20"/>
                <w:szCs w:val="20"/>
                <w:lang w:val="en-US" w:eastAsia="en-AU"/>
              </w:rPr>
              <w:t xml:space="preserve"> Preschool</w:t>
            </w:r>
          </w:p>
        </w:tc>
        <w:tc>
          <w:tcPr>
            <w:tcW w:w="1276" w:type="dxa"/>
            <w:vAlign w:val="center"/>
          </w:tcPr>
          <w:p w14:paraId="6E205915"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6A066EB1"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13D1641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134" w:type="dxa"/>
            <w:vAlign w:val="center"/>
          </w:tcPr>
          <w:p w14:paraId="62F91CB2"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07634777"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9AE5004" w14:textId="77777777" w:rsidR="00B926B6" w:rsidRPr="00DC5E45" w:rsidRDefault="00B926B6" w:rsidP="00351881">
            <w:pPr>
              <w:jc w:val="both"/>
              <w:rPr>
                <w:sz w:val="20"/>
                <w:szCs w:val="20"/>
                <w:lang w:val="en-US" w:eastAsia="en-AU"/>
              </w:rPr>
            </w:pPr>
            <w:r w:rsidRPr="00DC5E45">
              <w:rPr>
                <w:sz w:val="20"/>
                <w:szCs w:val="20"/>
                <w:lang w:val="en-US" w:eastAsia="en-AU"/>
              </w:rPr>
              <w:t xml:space="preserve">Nola Barber Kindergarten </w:t>
            </w:r>
          </w:p>
        </w:tc>
        <w:tc>
          <w:tcPr>
            <w:tcW w:w="1276" w:type="dxa"/>
            <w:vAlign w:val="center"/>
          </w:tcPr>
          <w:p w14:paraId="0F4098B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shd w:val="clear" w:color="auto" w:fill="auto"/>
            <w:vAlign w:val="center"/>
          </w:tcPr>
          <w:p w14:paraId="3C2FC0E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shd w:val="clear" w:color="auto" w:fill="auto"/>
            <w:vAlign w:val="center"/>
          </w:tcPr>
          <w:p w14:paraId="0F094E7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shd w:val="clear" w:color="auto" w:fill="auto"/>
            <w:vAlign w:val="center"/>
          </w:tcPr>
          <w:p w14:paraId="7314FE0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000AC802"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06B954C2" w14:textId="77777777" w:rsidR="00B926B6" w:rsidRPr="00DC5E45" w:rsidRDefault="00B926B6" w:rsidP="00351881">
            <w:pPr>
              <w:jc w:val="both"/>
              <w:rPr>
                <w:sz w:val="20"/>
                <w:szCs w:val="20"/>
                <w:lang w:val="en-US" w:eastAsia="en-AU"/>
              </w:rPr>
            </w:pPr>
            <w:r w:rsidRPr="00DC5E45">
              <w:rPr>
                <w:sz w:val="20"/>
                <w:szCs w:val="20"/>
                <w:lang w:val="en-US" w:eastAsia="en-AU"/>
              </w:rPr>
              <w:t>Parkdale Family and Children’s Centre</w:t>
            </w:r>
          </w:p>
        </w:tc>
        <w:tc>
          <w:tcPr>
            <w:tcW w:w="1276" w:type="dxa"/>
            <w:vAlign w:val="center"/>
          </w:tcPr>
          <w:p w14:paraId="0EF5569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7508B17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698CA8F9"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543B3FC8"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r>
      <w:tr w:rsidR="00B926B6" w:rsidRPr="00DC5E45" w14:paraId="78975CB3"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8A79ADE" w14:textId="77777777" w:rsidR="00B926B6" w:rsidRPr="00DC5E45" w:rsidRDefault="00B926B6" w:rsidP="00351881">
            <w:pPr>
              <w:jc w:val="both"/>
              <w:rPr>
                <w:sz w:val="20"/>
                <w:szCs w:val="20"/>
                <w:lang w:val="en-US" w:eastAsia="en-AU"/>
              </w:rPr>
            </w:pPr>
            <w:r w:rsidRPr="00DC5E45">
              <w:rPr>
                <w:sz w:val="20"/>
                <w:szCs w:val="20"/>
                <w:lang w:val="en-US" w:eastAsia="en-AU"/>
              </w:rPr>
              <w:lastRenderedPageBreak/>
              <w:t>Patterson Lakes Preschool</w:t>
            </w:r>
          </w:p>
        </w:tc>
        <w:tc>
          <w:tcPr>
            <w:tcW w:w="1276" w:type="dxa"/>
            <w:vAlign w:val="center"/>
          </w:tcPr>
          <w:p w14:paraId="10ECFB96"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shd w:val="clear" w:color="auto" w:fill="auto"/>
            <w:vAlign w:val="center"/>
          </w:tcPr>
          <w:p w14:paraId="6E7C6ECC"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shd w:val="clear" w:color="auto" w:fill="auto"/>
            <w:vAlign w:val="center"/>
          </w:tcPr>
          <w:p w14:paraId="36B388FD"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shd w:val="clear" w:color="auto" w:fill="auto"/>
            <w:vAlign w:val="center"/>
          </w:tcPr>
          <w:p w14:paraId="209B1593"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45ABEA49"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61CC36FC" w14:textId="77777777" w:rsidR="00B926B6" w:rsidRPr="00DC5E45" w:rsidRDefault="00B926B6" w:rsidP="00351881">
            <w:pPr>
              <w:jc w:val="both"/>
              <w:rPr>
                <w:sz w:val="20"/>
                <w:szCs w:val="20"/>
                <w:lang w:val="en-US" w:eastAsia="en-AU"/>
              </w:rPr>
            </w:pPr>
            <w:r w:rsidRPr="00DC5E45">
              <w:rPr>
                <w:sz w:val="20"/>
                <w:szCs w:val="20"/>
                <w:lang w:val="en-US" w:eastAsia="en-AU"/>
              </w:rPr>
              <w:t xml:space="preserve">Sundowner Kindergarten </w:t>
            </w:r>
          </w:p>
        </w:tc>
        <w:tc>
          <w:tcPr>
            <w:tcW w:w="1276" w:type="dxa"/>
            <w:vAlign w:val="center"/>
          </w:tcPr>
          <w:p w14:paraId="72665A67"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5BA72118"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vAlign w:val="center"/>
          </w:tcPr>
          <w:p w14:paraId="35AD8357"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vAlign w:val="center"/>
          </w:tcPr>
          <w:p w14:paraId="5C94707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430EE030" w14:textId="77777777" w:rsidTr="000013D0">
        <w:trPr>
          <w:trHeight w:val="2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F47D6EC" w14:textId="77777777" w:rsidR="00B926B6" w:rsidRPr="00DC5E45" w:rsidRDefault="00B926B6" w:rsidP="00351881">
            <w:pPr>
              <w:jc w:val="both"/>
              <w:rPr>
                <w:sz w:val="20"/>
                <w:szCs w:val="20"/>
                <w:lang w:val="en-US" w:eastAsia="en-AU"/>
              </w:rPr>
            </w:pPr>
            <w:r w:rsidRPr="00DC5E45">
              <w:rPr>
                <w:sz w:val="20"/>
                <w:szCs w:val="20"/>
                <w:lang w:val="en-US" w:eastAsia="en-AU"/>
              </w:rPr>
              <w:t>Washington Drive Preschool</w:t>
            </w:r>
          </w:p>
        </w:tc>
        <w:tc>
          <w:tcPr>
            <w:tcW w:w="1276" w:type="dxa"/>
            <w:vAlign w:val="center"/>
          </w:tcPr>
          <w:p w14:paraId="320D04DC"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5" w:type="dxa"/>
            <w:shd w:val="clear" w:color="auto" w:fill="auto"/>
            <w:vAlign w:val="center"/>
          </w:tcPr>
          <w:p w14:paraId="38803FC4"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276" w:type="dxa"/>
            <w:shd w:val="clear" w:color="auto" w:fill="auto"/>
            <w:vAlign w:val="center"/>
          </w:tcPr>
          <w:p w14:paraId="2B1B25DC"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134" w:type="dxa"/>
            <w:shd w:val="clear" w:color="auto" w:fill="auto"/>
            <w:vAlign w:val="center"/>
          </w:tcPr>
          <w:p w14:paraId="4B8832BA"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r w:rsidR="00B926B6" w:rsidRPr="00DC5E45" w14:paraId="761D46DB" w14:textId="77777777" w:rsidTr="000013D0">
        <w:trPr>
          <w:trHeight w:val="24"/>
        </w:trPr>
        <w:tc>
          <w:tcPr>
            <w:cnfStyle w:val="001000000000" w:firstRow="0" w:lastRow="0" w:firstColumn="1" w:lastColumn="0" w:oddVBand="0" w:evenVBand="0" w:oddHBand="0" w:evenHBand="0" w:firstRowFirstColumn="0" w:firstRowLastColumn="0" w:lastRowFirstColumn="0" w:lastRowLastColumn="0"/>
            <w:tcW w:w="4253" w:type="dxa"/>
          </w:tcPr>
          <w:p w14:paraId="2CBB6A61" w14:textId="77777777" w:rsidR="00B926B6" w:rsidRPr="00DC5E45" w:rsidRDefault="00B926B6" w:rsidP="00351881">
            <w:pPr>
              <w:jc w:val="both"/>
              <w:rPr>
                <w:sz w:val="20"/>
                <w:szCs w:val="20"/>
                <w:lang w:val="en-US" w:eastAsia="en-AU"/>
              </w:rPr>
            </w:pPr>
            <w:proofErr w:type="spellStart"/>
            <w:r w:rsidRPr="00DC5E45">
              <w:rPr>
                <w:sz w:val="20"/>
                <w:szCs w:val="20"/>
                <w:lang w:val="en-US" w:eastAsia="en-AU"/>
              </w:rPr>
              <w:t>Westall</w:t>
            </w:r>
            <w:proofErr w:type="spellEnd"/>
            <w:r w:rsidRPr="00DC5E45">
              <w:rPr>
                <w:sz w:val="20"/>
                <w:szCs w:val="20"/>
                <w:lang w:val="en-US" w:eastAsia="en-AU"/>
              </w:rPr>
              <w:t xml:space="preserve"> Kindergarten </w:t>
            </w:r>
          </w:p>
        </w:tc>
        <w:tc>
          <w:tcPr>
            <w:tcW w:w="1276" w:type="dxa"/>
            <w:vAlign w:val="center"/>
          </w:tcPr>
          <w:p w14:paraId="2CECD605"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5" w:type="dxa"/>
            <w:vAlign w:val="center"/>
          </w:tcPr>
          <w:p w14:paraId="14DB3BEF"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c>
          <w:tcPr>
            <w:tcW w:w="1276" w:type="dxa"/>
            <w:vAlign w:val="center"/>
          </w:tcPr>
          <w:p w14:paraId="3997098E"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r w:rsidRPr="00DC5E45">
              <w:rPr>
                <w:sz w:val="20"/>
                <w:szCs w:val="20"/>
                <w:lang w:val="en-US" w:eastAsia="en-AU"/>
              </w:rPr>
              <w:sym w:font="Wingdings" w:char="F06C"/>
            </w:r>
          </w:p>
        </w:tc>
        <w:tc>
          <w:tcPr>
            <w:tcW w:w="1134" w:type="dxa"/>
            <w:vAlign w:val="center"/>
          </w:tcPr>
          <w:p w14:paraId="72565C3B" w14:textId="77777777" w:rsidR="00B926B6" w:rsidRPr="00DC5E45" w:rsidRDefault="00B926B6" w:rsidP="00351881">
            <w:pPr>
              <w:jc w:val="center"/>
              <w:cnfStyle w:val="000000000000" w:firstRow="0" w:lastRow="0" w:firstColumn="0" w:lastColumn="0" w:oddVBand="0" w:evenVBand="0" w:oddHBand="0" w:evenHBand="0" w:firstRowFirstColumn="0" w:firstRowLastColumn="0" w:lastRowFirstColumn="0" w:lastRowLastColumn="0"/>
              <w:rPr>
                <w:sz w:val="20"/>
                <w:szCs w:val="20"/>
                <w:lang w:val="en-US" w:eastAsia="en-AU"/>
              </w:rPr>
            </w:pPr>
          </w:p>
        </w:tc>
      </w:tr>
    </w:tbl>
    <w:p w14:paraId="5C343079" w14:textId="77777777" w:rsidR="00B926B6" w:rsidRDefault="00B926B6" w:rsidP="00B926B6">
      <w:pPr>
        <w:rPr>
          <w:rFonts w:ascii="Arial" w:hAnsi="Arial" w:cs="Arial"/>
        </w:rPr>
      </w:pPr>
    </w:p>
    <w:p w14:paraId="593487F8" w14:textId="77777777" w:rsidR="00B926B6" w:rsidRPr="002A08D0" w:rsidRDefault="00B926B6" w:rsidP="00B926B6">
      <w:pPr>
        <w:rPr>
          <w:rFonts w:ascii="Arial" w:hAnsi="Arial" w:cs="Arial"/>
          <w:b/>
          <w:bCs/>
        </w:rPr>
      </w:pPr>
      <w:r w:rsidRPr="002A08D0">
        <w:rPr>
          <w:rFonts w:ascii="Arial" w:hAnsi="Arial" w:cs="Arial"/>
          <w:b/>
          <w:bCs/>
        </w:rPr>
        <w:t>Sessional kindergarten support:</w:t>
      </w:r>
    </w:p>
    <w:p w14:paraId="4F511227" w14:textId="77777777" w:rsidR="00B926B6" w:rsidRDefault="00B926B6" w:rsidP="00B926B6">
      <w:pPr>
        <w:rPr>
          <w:rFonts w:ascii="Arial" w:hAnsi="Arial" w:cs="Arial"/>
        </w:rPr>
      </w:pPr>
      <w:r w:rsidRPr="001C1F45">
        <w:rPr>
          <w:rFonts w:ascii="Arial" w:hAnsi="Arial" w:cs="Arial"/>
        </w:rPr>
        <w:t xml:space="preserve">The Kingston </w:t>
      </w:r>
      <w:r>
        <w:rPr>
          <w:rFonts w:ascii="Arial" w:hAnsi="Arial" w:cs="Arial"/>
        </w:rPr>
        <w:t xml:space="preserve">City Council </w:t>
      </w:r>
      <w:r w:rsidRPr="001C1F45">
        <w:rPr>
          <w:rFonts w:ascii="Arial" w:hAnsi="Arial" w:cs="Arial"/>
        </w:rPr>
        <w:t xml:space="preserve">recognises that supporting the healthy development of children has significant long-term benefits for building strong resilient communities. </w:t>
      </w:r>
      <w:r>
        <w:rPr>
          <w:rFonts w:ascii="Arial" w:hAnsi="Arial" w:cs="Arial"/>
        </w:rPr>
        <w:t xml:space="preserve"> Kingston City </w:t>
      </w:r>
      <w:r w:rsidRPr="001C1F45">
        <w:rPr>
          <w:rFonts w:ascii="Arial" w:hAnsi="Arial" w:cs="Arial"/>
        </w:rPr>
        <w:t>Council provides a C</w:t>
      </w:r>
      <w:r>
        <w:rPr>
          <w:rFonts w:ascii="Arial" w:hAnsi="Arial" w:cs="Arial"/>
        </w:rPr>
        <w:t xml:space="preserve">entral </w:t>
      </w:r>
      <w:r w:rsidRPr="001C1F45">
        <w:rPr>
          <w:rFonts w:ascii="Arial" w:hAnsi="Arial" w:cs="Arial"/>
        </w:rPr>
        <w:t>R</w:t>
      </w:r>
      <w:r>
        <w:rPr>
          <w:rFonts w:ascii="Arial" w:hAnsi="Arial" w:cs="Arial"/>
        </w:rPr>
        <w:t xml:space="preserve">egistration </w:t>
      </w:r>
      <w:r w:rsidRPr="001C1F45">
        <w:rPr>
          <w:rFonts w:ascii="Arial" w:hAnsi="Arial" w:cs="Arial"/>
        </w:rPr>
        <w:t>S</w:t>
      </w:r>
      <w:r>
        <w:rPr>
          <w:rFonts w:ascii="Arial" w:hAnsi="Arial" w:cs="Arial"/>
        </w:rPr>
        <w:t>cheme</w:t>
      </w:r>
      <w:r w:rsidRPr="001C1F45">
        <w:rPr>
          <w:rFonts w:ascii="Arial" w:hAnsi="Arial" w:cs="Arial"/>
        </w:rPr>
        <w:t xml:space="preserve"> on behalf of participating kindergarten service providers within the municipality</w:t>
      </w:r>
      <w:r>
        <w:rPr>
          <w:rFonts w:ascii="Arial" w:hAnsi="Arial" w:cs="Arial"/>
        </w:rPr>
        <w:t xml:space="preserve">. </w:t>
      </w:r>
    </w:p>
    <w:p w14:paraId="743252EF" w14:textId="77777777" w:rsidR="00B926B6" w:rsidRDefault="00B926B6" w:rsidP="00B926B6">
      <w:pPr>
        <w:rPr>
          <w:rFonts w:ascii="Arial" w:hAnsi="Arial" w:cs="Arial"/>
        </w:rPr>
      </w:pPr>
      <w:r>
        <w:rPr>
          <w:rFonts w:ascii="Arial" w:hAnsi="Arial" w:cs="Arial"/>
        </w:rPr>
        <w:t xml:space="preserve">Kingston City </w:t>
      </w:r>
      <w:r w:rsidRPr="0093575A">
        <w:rPr>
          <w:rFonts w:ascii="Arial" w:hAnsi="Arial" w:cs="Arial"/>
        </w:rPr>
        <w:t xml:space="preserve">Council also plays a role in supporting sessional kindergarten services that are delivered by volunteer committees and early years mangers more broadly through the provision of: </w:t>
      </w:r>
    </w:p>
    <w:p w14:paraId="49A482D3" w14:textId="77777777" w:rsidR="00B926B6" w:rsidRPr="0093575A" w:rsidRDefault="00B926B6" w:rsidP="00B926B6">
      <w:pPr>
        <w:pStyle w:val="ListParagraph"/>
        <w:numPr>
          <w:ilvl w:val="0"/>
          <w:numId w:val="6"/>
        </w:numPr>
        <w:spacing w:after="160" w:line="259" w:lineRule="auto"/>
        <w:rPr>
          <w:rFonts w:ascii="Arial" w:hAnsi="Arial" w:cs="Arial"/>
        </w:rPr>
      </w:pPr>
      <w:r w:rsidRPr="0093575A">
        <w:rPr>
          <w:rFonts w:ascii="Arial" w:hAnsi="Arial" w:cs="Arial"/>
        </w:rPr>
        <w:t xml:space="preserve">Facility planning, provision and </w:t>
      </w:r>
      <w:proofErr w:type="gramStart"/>
      <w:r w:rsidRPr="0093575A">
        <w:rPr>
          <w:rFonts w:ascii="Arial" w:hAnsi="Arial" w:cs="Arial"/>
        </w:rPr>
        <w:t>maintenance;</w:t>
      </w:r>
      <w:proofErr w:type="gramEnd"/>
      <w:r w:rsidRPr="0093575A">
        <w:rPr>
          <w:rFonts w:ascii="Arial" w:hAnsi="Arial" w:cs="Arial"/>
        </w:rPr>
        <w:t xml:space="preserve"> </w:t>
      </w:r>
    </w:p>
    <w:p w14:paraId="473BB6FD" w14:textId="77777777" w:rsidR="00B926B6" w:rsidRPr="0093575A" w:rsidRDefault="00B926B6" w:rsidP="00B926B6">
      <w:pPr>
        <w:pStyle w:val="ListParagraph"/>
        <w:numPr>
          <w:ilvl w:val="0"/>
          <w:numId w:val="6"/>
        </w:numPr>
        <w:spacing w:after="160" w:line="259" w:lineRule="auto"/>
        <w:rPr>
          <w:rFonts w:ascii="Arial" w:hAnsi="Arial" w:cs="Arial"/>
        </w:rPr>
      </w:pPr>
      <w:r w:rsidRPr="0093575A">
        <w:rPr>
          <w:rFonts w:ascii="Arial" w:hAnsi="Arial" w:cs="Arial"/>
        </w:rPr>
        <w:t xml:space="preserve">Advocacy and community capacity </w:t>
      </w:r>
      <w:proofErr w:type="gramStart"/>
      <w:r w:rsidRPr="0093575A">
        <w:rPr>
          <w:rFonts w:ascii="Arial" w:hAnsi="Arial" w:cs="Arial"/>
        </w:rPr>
        <w:t>building;</w:t>
      </w:r>
      <w:proofErr w:type="gramEnd"/>
      <w:r w:rsidRPr="0093575A">
        <w:rPr>
          <w:rFonts w:ascii="Arial" w:hAnsi="Arial" w:cs="Arial"/>
        </w:rPr>
        <w:t xml:space="preserve"> </w:t>
      </w:r>
    </w:p>
    <w:p w14:paraId="58E7D5AF" w14:textId="77777777" w:rsidR="00B926B6" w:rsidRPr="0093575A" w:rsidRDefault="00B926B6" w:rsidP="00B926B6">
      <w:pPr>
        <w:pStyle w:val="ListParagraph"/>
        <w:numPr>
          <w:ilvl w:val="0"/>
          <w:numId w:val="6"/>
        </w:numPr>
        <w:spacing w:after="160" w:line="259" w:lineRule="auto"/>
        <w:rPr>
          <w:rFonts w:ascii="Arial" w:hAnsi="Arial" w:cs="Arial"/>
        </w:rPr>
      </w:pPr>
      <w:r w:rsidRPr="0093575A">
        <w:rPr>
          <w:rFonts w:ascii="Arial" w:hAnsi="Arial" w:cs="Arial"/>
        </w:rPr>
        <w:t xml:space="preserve">Developing and supporting partnerships and networks, and </w:t>
      </w:r>
    </w:p>
    <w:p w14:paraId="50FD893E" w14:textId="77777777" w:rsidR="00B926B6" w:rsidRPr="0093575A" w:rsidRDefault="00B926B6" w:rsidP="00B926B6">
      <w:pPr>
        <w:pStyle w:val="ListParagraph"/>
        <w:numPr>
          <w:ilvl w:val="0"/>
          <w:numId w:val="6"/>
        </w:numPr>
        <w:spacing w:after="160" w:line="259" w:lineRule="auto"/>
        <w:rPr>
          <w:rFonts w:ascii="Arial" w:hAnsi="Arial" w:cs="Arial"/>
        </w:rPr>
      </w:pPr>
      <w:r w:rsidRPr="0093575A">
        <w:rPr>
          <w:rFonts w:ascii="Arial" w:hAnsi="Arial" w:cs="Arial"/>
        </w:rPr>
        <w:t>Information and referral</w:t>
      </w:r>
      <w:r>
        <w:rPr>
          <w:rFonts w:ascii="Arial" w:hAnsi="Arial" w:cs="Arial"/>
        </w:rPr>
        <w:t>.</w:t>
      </w:r>
    </w:p>
    <w:p w14:paraId="07E77205" w14:textId="23C820CC" w:rsidR="00BF24B2" w:rsidRPr="00624A55" w:rsidRDefault="00BF24B2">
      <w:pPr>
        <w:pStyle w:val="Heading1"/>
        <w:numPr>
          <w:ilvl w:val="0"/>
          <w:numId w:val="6"/>
        </w:numPr>
        <w:rPr>
          <w:lang w:val="en-AU"/>
        </w:rPr>
      </w:pPr>
      <w:r>
        <w:rPr>
          <w:lang w:val="en-AU"/>
        </w:rPr>
        <w:br w:type="page"/>
      </w:r>
      <w:bookmarkStart w:id="46" w:name="_Toc45207633"/>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7446C2">
        <w:rPr>
          <w:lang w:val="en-AU"/>
        </w:rPr>
        <w:t>City of Kingston</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207634"/>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1048F8E2"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7446C2">
        <w:t xml:space="preserve"> the City of Kingston</w:t>
      </w:r>
      <w:r>
        <w:rPr>
          <w:lang w:val="en-AU"/>
        </w:rPr>
        <w:t xml:space="preserve">, </w:t>
      </w:r>
      <w:r w:rsidR="007446C2" w:rsidRPr="007446C2">
        <w:rPr>
          <w:lang w:val="en-AU"/>
        </w:rPr>
        <w:t>Kingston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577BE9F"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7446C2" w:rsidRPr="007446C2">
        <w:rPr>
          <w:lang w:val="en-AU"/>
        </w:rPr>
        <w:t>Kingston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207635"/>
      <w:r w:rsidR="007C2F97">
        <w:rPr>
          <w:lang w:val="en-AU"/>
        </w:rPr>
        <w:t>4</w:t>
      </w:r>
      <w:r>
        <w:rPr>
          <w:lang w:val="en-AU"/>
        </w:rPr>
        <w:t xml:space="preserve">.2 </w:t>
      </w:r>
      <w:r>
        <w:rPr>
          <w:lang w:val="en-AU"/>
        </w:rPr>
        <w:tab/>
        <w:t>Methodology</w:t>
      </w:r>
      <w:bookmarkEnd w:id="48"/>
    </w:p>
    <w:p w14:paraId="649EE9EA" w14:textId="6892449D"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7446C2" w:rsidRPr="007446C2">
        <w:rPr>
          <w:lang w:val="en-AU"/>
        </w:rPr>
        <w:t>Kingston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207636"/>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5D94F6BE"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B37F72">
        <w:rPr>
          <w:rFonts w:ascii="Arial" w:hAnsi="Arial" w:cs="Arial"/>
        </w:rPr>
        <w:t>March 2021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3711D2A0"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B926B6">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A27220">
        <w:trPr>
          <w:trHeight w:val="210"/>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67910498" w:rsidR="004A2921" w:rsidRPr="004A2921" w:rsidRDefault="000D732F" w:rsidP="004A2921">
            <w:pPr>
              <w:spacing w:after="0"/>
              <w:jc w:val="right"/>
              <w:rPr>
                <w:rFonts w:ascii="Arial" w:eastAsia="Calibri" w:hAnsi="Arial" w:cs="Arial"/>
              </w:rPr>
            </w:pPr>
            <w:r>
              <w:rPr>
                <w:rFonts w:ascii="Arial" w:eastAsia="Calibri" w:hAnsi="Arial" w:cs="Arial"/>
              </w:rPr>
              <w:t>2</w:t>
            </w:r>
            <w:r w:rsidR="00B926B6">
              <w:rPr>
                <w:rFonts w:ascii="Arial" w:eastAsia="Calibri" w:hAnsi="Arial" w:cs="Arial"/>
              </w:rPr>
              <w:t>5</w:t>
            </w:r>
          </w:p>
        </w:tc>
      </w:tr>
      <w:tr w:rsidR="004A2921" w:rsidRPr="004A2921" w14:paraId="1376F97D" w14:textId="77777777" w:rsidTr="00A27220">
        <w:trPr>
          <w:trHeight w:val="210"/>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1E186DBA" w:rsidR="004A2921" w:rsidRPr="004A2921" w:rsidRDefault="000D732F" w:rsidP="004A2921">
            <w:pPr>
              <w:spacing w:after="0"/>
              <w:jc w:val="right"/>
              <w:rPr>
                <w:rFonts w:ascii="Arial" w:eastAsia="Calibri" w:hAnsi="Arial" w:cs="Arial"/>
              </w:rPr>
            </w:pPr>
            <w:r>
              <w:rPr>
                <w:rFonts w:ascii="Arial" w:eastAsia="Calibri" w:hAnsi="Arial" w:cs="Arial"/>
              </w:rPr>
              <w:t>4</w:t>
            </w:r>
            <w:r w:rsidR="00B926B6">
              <w:rPr>
                <w:rFonts w:ascii="Arial" w:eastAsia="Calibri" w:hAnsi="Arial" w:cs="Arial"/>
              </w:rPr>
              <w:t>8</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02149C99"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B926B6">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2DDD4A70" w:rsidR="004A2921" w:rsidRPr="004A2921" w:rsidRDefault="000D732F" w:rsidP="004A2921">
            <w:pPr>
              <w:spacing w:after="0"/>
              <w:jc w:val="right"/>
              <w:rPr>
                <w:rFonts w:ascii="Arial" w:eastAsia="Calibri" w:hAnsi="Arial" w:cs="Arial"/>
              </w:rPr>
            </w:pPr>
            <w:r>
              <w:rPr>
                <w:rFonts w:ascii="Arial" w:eastAsia="Calibri" w:hAnsi="Arial" w:cs="Arial"/>
              </w:rPr>
              <w:t>4%</w:t>
            </w:r>
          </w:p>
        </w:tc>
      </w:tr>
      <w:tr w:rsidR="004A2921" w:rsidRPr="004A2921" w14:paraId="0A01D94E" w14:textId="77777777" w:rsidTr="00A27220">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2925237E" w:rsidR="004A2921" w:rsidRPr="004A2921" w:rsidRDefault="00B926B6" w:rsidP="004A2921">
            <w:pPr>
              <w:spacing w:after="0"/>
              <w:jc w:val="right"/>
              <w:rPr>
                <w:rFonts w:ascii="Arial" w:eastAsia="Calibri" w:hAnsi="Arial" w:cs="Arial"/>
              </w:rPr>
            </w:pPr>
            <w:r>
              <w:rPr>
                <w:rFonts w:ascii="Arial" w:eastAsia="Calibri" w:hAnsi="Arial" w:cs="Arial"/>
              </w:rPr>
              <w:t>38</w:t>
            </w:r>
            <w:r w:rsidR="000D732F">
              <w:rPr>
                <w:rFonts w:ascii="Arial" w:eastAsia="Calibri" w:hAnsi="Arial" w:cs="Arial"/>
              </w:rPr>
              <w:t>%</w:t>
            </w:r>
          </w:p>
        </w:tc>
      </w:tr>
      <w:tr w:rsidR="004A2921" w:rsidRPr="004A2921" w14:paraId="57F0D0AA" w14:textId="77777777" w:rsidTr="00A27220">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48FEE9EA" w:rsidR="004A2921" w:rsidRPr="004A2921" w:rsidRDefault="00B926B6" w:rsidP="004A2921">
            <w:pPr>
              <w:spacing w:after="0"/>
              <w:jc w:val="right"/>
              <w:rPr>
                <w:rFonts w:ascii="Arial" w:eastAsia="Calibri" w:hAnsi="Arial" w:cs="Arial"/>
              </w:rPr>
            </w:pPr>
            <w:r>
              <w:rPr>
                <w:rFonts w:ascii="Arial" w:eastAsia="Calibri" w:hAnsi="Arial" w:cs="Arial"/>
              </w:rPr>
              <w:t>53</w:t>
            </w:r>
            <w:r w:rsidR="000D732F">
              <w:rPr>
                <w:rFonts w:ascii="Arial" w:eastAsia="Calibri" w:hAnsi="Arial" w:cs="Arial"/>
              </w:rPr>
              <w:t>%</w:t>
            </w:r>
          </w:p>
        </w:tc>
      </w:tr>
      <w:tr w:rsidR="004A2921" w:rsidRPr="004A2921" w14:paraId="6F992260" w14:textId="77777777" w:rsidTr="00A27220">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3B81AB03" w:rsidR="004A2921" w:rsidRPr="004A2921" w:rsidRDefault="000D732F" w:rsidP="004A2921">
            <w:pPr>
              <w:spacing w:after="0"/>
              <w:jc w:val="right"/>
              <w:rPr>
                <w:rFonts w:ascii="Arial" w:eastAsia="Calibri" w:hAnsi="Arial" w:cs="Arial"/>
              </w:rPr>
            </w:pPr>
            <w:r>
              <w:rPr>
                <w:rFonts w:ascii="Arial" w:eastAsia="Calibri" w:hAnsi="Arial" w:cs="Arial"/>
              </w:rPr>
              <w:t>4%</w:t>
            </w:r>
          </w:p>
        </w:tc>
      </w:tr>
    </w:tbl>
    <w:p w14:paraId="525825D9" w14:textId="7C61BCC4"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37542AE5" w:rsidR="004A2921" w:rsidRPr="004A2921" w:rsidRDefault="00CF791A" w:rsidP="004A2921">
            <w:pPr>
              <w:spacing w:afterLines="60" w:after="144"/>
              <w:jc w:val="right"/>
              <w:rPr>
                <w:rFonts w:ascii="Arial" w:eastAsia="Calibri" w:hAnsi="Arial" w:cs="Arial"/>
                <w:bCs/>
                <w:sz w:val="24"/>
                <w:szCs w:val="24"/>
              </w:rPr>
            </w:pPr>
            <w:r>
              <w:rPr>
                <w:rFonts w:ascii="Arial" w:eastAsia="Calibri" w:hAnsi="Arial" w:cs="Arial"/>
                <w:bCs/>
                <w:sz w:val="24"/>
                <w:szCs w:val="24"/>
              </w:rPr>
              <w:t>92%</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62738290" w:rsidR="004A2921" w:rsidRPr="004A2921" w:rsidRDefault="00CF791A" w:rsidP="004A2921">
            <w:pPr>
              <w:spacing w:afterLines="60" w:after="144"/>
              <w:jc w:val="right"/>
              <w:rPr>
                <w:rFonts w:ascii="Arial" w:eastAsia="Calibri" w:hAnsi="Arial" w:cs="Arial"/>
                <w:bCs/>
                <w:sz w:val="24"/>
                <w:szCs w:val="24"/>
              </w:rPr>
            </w:pPr>
            <w:r>
              <w:rPr>
                <w:rFonts w:ascii="Arial" w:eastAsia="Calibri" w:hAnsi="Arial" w:cs="Arial"/>
                <w:bCs/>
                <w:sz w:val="24"/>
                <w:szCs w:val="24"/>
              </w:rPr>
              <w:t>64</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28AA02C4" w:rsidR="004A2921" w:rsidRPr="004A2921" w:rsidRDefault="00CF791A" w:rsidP="004A2921">
            <w:pPr>
              <w:spacing w:afterLines="60" w:after="144"/>
              <w:jc w:val="right"/>
              <w:rPr>
                <w:rFonts w:ascii="Arial" w:eastAsia="Calibri" w:hAnsi="Arial" w:cs="Arial"/>
                <w:bCs/>
                <w:sz w:val="24"/>
                <w:szCs w:val="24"/>
              </w:rPr>
            </w:pPr>
            <w:r>
              <w:rPr>
                <w:rFonts w:ascii="Arial" w:eastAsia="Calibri" w:hAnsi="Arial" w:cs="Arial"/>
                <w:bCs/>
                <w:sz w:val="24"/>
                <w:szCs w:val="24"/>
              </w:rPr>
              <w:t>34</w:t>
            </w:r>
          </w:p>
        </w:tc>
      </w:tr>
    </w:tbl>
    <w:p w14:paraId="00B8364D" w14:textId="2C5616E0" w:rsidR="00BF24B2" w:rsidRDefault="00BF24B2" w:rsidP="00B948EA">
      <w:pPr>
        <w:rPr>
          <w:lang w:val="en-AU" w:eastAsia="en-AU"/>
        </w:rPr>
      </w:pPr>
    </w:p>
    <w:p w14:paraId="724F9DDE" w14:textId="7DB86670" w:rsidR="009C5B3F" w:rsidRDefault="002C4E46" w:rsidP="00BF24B2">
      <w:pPr>
        <w:pStyle w:val="Heading2"/>
        <w:rPr>
          <w:lang w:val="en-AU"/>
        </w:rPr>
      </w:pPr>
      <w:bookmarkStart w:id="50" w:name="_Toc45207637"/>
      <w:r>
        <w:rPr>
          <w:noProof/>
        </w:rPr>
        <w:drawing>
          <wp:anchor distT="0" distB="0" distL="114300" distR="114300" simplePos="0" relativeHeight="251661314" behindDoc="0" locked="0" layoutInCell="1" allowOverlap="1" wp14:anchorId="306AAAA6" wp14:editId="0AEB2074">
            <wp:simplePos x="0" y="0"/>
            <wp:positionH relativeFrom="margin">
              <wp:align>center</wp:align>
            </wp:positionH>
            <wp:positionV relativeFrom="paragraph">
              <wp:posOffset>10592</wp:posOffset>
            </wp:positionV>
            <wp:extent cx="5286375" cy="1913153"/>
            <wp:effectExtent l="19050" t="19050" r="9525"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286375" cy="1913153"/>
                    </a:xfrm>
                    <a:prstGeom prst="rect">
                      <a:avLst/>
                    </a:prstGeom>
                    <a:ln>
                      <a:solidFill>
                        <a:srgbClr val="C00000"/>
                      </a:solidFill>
                    </a:ln>
                  </pic:spPr>
                </pic:pic>
              </a:graphicData>
            </a:graphic>
          </wp:anchor>
        </w:drawing>
      </w:r>
      <w:bookmarkEnd w:id="50"/>
    </w:p>
    <w:p w14:paraId="2F4A8A0B" w14:textId="77777777" w:rsidR="002C4E46" w:rsidRDefault="002C4E46" w:rsidP="00BF24B2">
      <w:pPr>
        <w:pStyle w:val="Heading2"/>
        <w:rPr>
          <w:lang w:val="en-AU"/>
        </w:rPr>
      </w:pPr>
    </w:p>
    <w:p w14:paraId="35406597" w14:textId="77777777" w:rsidR="002C4E46" w:rsidRDefault="002C4E46" w:rsidP="00BF24B2">
      <w:pPr>
        <w:pStyle w:val="Heading2"/>
        <w:rPr>
          <w:lang w:val="en-AU"/>
        </w:rPr>
      </w:pPr>
    </w:p>
    <w:p w14:paraId="6C2B0CAB" w14:textId="77777777" w:rsidR="002C4E46" w:rsidRDefault="002C4E46" w:rsidP="00BF24B2">
      <w:pPr>
        <w:pStyle w:val="Heading2"/>
        <w:rPr>
          <w:lang w:val="en-AU"/>
        </w:rPr>
      </w:pPr>
    </w:p>
    <w:p w14:paraId="598A92DE" w14:textId="77777777" w:rsidR="002C4E46" w:rsidRDefault="002C4E46" w:rsidP="00BF24B2">
      <w:pPr>
        <w:pStyle w:val="Heading2"/>
        <w:rPr>
          <w:lang w:val="en-AU"/>
        </w:rPr>
      </w:pPr>
    </w:p>
    <w:p w14:paraId="5CE27578" w14:textId="77777777" w:rsidR="002C4E46" w:rsidRDefault="002C4E46" w:rsidP="00BF24B2">
      <w:pPr>
        <w:pStyle w:val="Heading2"/>
        <w:rPr>
          <w:lang w:val="en-AU"/>
        </w:rPr>
      </w:pPr>
    </w:p>
    <w:p w14:paraId="73E6BD6E" w14:textId="77777777" w:rsidR="002C4E46" w:rsidRDefault="002C4E46" w:rsidP="00BF24B2">
      <w:pPr>
        <w:pStyle w:val="Heading2"/>
        <w:rPr>
          <w:lang w:val="en-AU"/>
        </w:rPr>
      </w:pPr>
    </w:p>
    <w:p w14:paraId="316053F4" w14:textId="77777777" w:rsidR="002C4E46" w:rsidRDefault="002C4E46" w:rsidP="00BF24B2">
      <w:pPr>
        <w:pStyle w:val="Heading2"/>
        <w:rPr>
          <w:lang w:val="en-AU"/>
        </w:rPr>
      </w:pPr>
    </w:p>
    <w:p w14:paraId="23FC0D50" w14:textId="75FE21B7" w:rsidR="00BF24B2" w:rsidRDefault="007C2F97" w:rsidP="00BF24B2">
      <w:pPr>
        <w:pStyle w:val="Heading2"/>
        <w:rPr>
          <w:lang w:val="en-AU"/>
        </w:rPr>
      </w:pPr>
      <w:bookmarkStart w:id="51" w:name="_Toc45207638"/>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40C9196D" w14:textId="339365D0" w:rsidR="001261DF" w:rsidRDefault="007446C2" w:rsidP="0018584B">
      <w:pPr>
        <w:tabs>
          <w:tab w:val="left" w:pos="5536"/>
        </w:tabs>
        <w:spacing w:before="240" w:line="276" w:lineRule="auto"/>
        <w:jc w:val="both"/>
        <w:rPr>
          <w:lang w:val="en-AU"/>
        </w:rPr>
      </w:pPr>
      <w:r w:rsidRPr="007446C2">
        <w:rPr>
          <w:lang w:val="en-AU"/>
        </w:rPr>
        <w:lastRenderedPageBreak/>
        <w:t>Kingston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2A942816" w:rsidR="002C34B0" w:rsidRDefault="007446C2" w:rsidP="00D57638">
      <w:pPr>
        <w:spacing w:line="276" w:lineRule="auto"/>
        <w:jc w:val="both"/>
        <w:rPr>
          <w:lang w:val="en-AU"/>
        </w:rPr>
      </w:pPr>
      <w:r w:rsidRPr="007446C2">
        <w:rPr>
          <w:lang w:val="en-AU"/>
        </w:rPr>
        <w:t>Kingston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026A8F47" w:rsidR="00BF24B2" w:rsidRPr="0004400F" w:rsidRDefault="00BF24B2" w:rsidP="00BF24B2">
      <w:pPr>
        <w:rPr>
          <w:b/>
          <w:bCs/>
          <w:lang w:val="en-AU"/>
        </w:rPr>
      </w:pPr>
      <w:bookmarkStart w:id="55" w:name="_Hlk43199401"/>
      <w:r w:rsidRPr="0004400F">
        <w:rPr>
          <w:b/>
          <w:bCs/>
          <w:lang w:val="en-AU"/>
        </w:rPr>
        <w:t xml:space="preserve">Table 1: </w:t>
      </w:r>
      <w:r w:rsidR="00B926B6">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A2306D">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926B6" w:rsidRPr="003210CB" w14:paraId="0B147693" w14:textId="77777777" w:rsidTr="00B926B6">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B926B6" w:rsidRPr="0018584B" w:rsidRDefault="00B926B6" w:rsidP="00B926B6">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5E13C5C1"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4070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166D437"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FCE6382"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3974CF75"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40113B79"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178BBF64"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B6BA970"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423E464"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EAD255D" w:rsidR="00B926B6" w:rsidRPr="00DD1B05" w:rsidRDefault="00B926B6" w:rsidP="00B926B6">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4111</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45207639"/>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7D9FF355"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7446C2" w:rsidRPr="007446C2">
        <w:rPr>
          <w:lang w:val="en-AU"/>
        </w:rPr>
        <w:t>Kingston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lastRenderedPageBreak/>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49EA9D2B"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7446C2" w:rsidRPr="007446C2">
        <w:rPr>
          <w:lang w:val="en-AU"/>
        </w:rPr>
        <w:t>Kingston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58" w:name="_Toc35852261"/>
      <w:bookmarkStart w:id="59" w:name="_Hlk43199504"/>
    </w:p>
    <w:p w14:paraId="35F63BAF" w14:textId="77777777" w:rsidR="007E200A" w:rsidRDefault="007E200A">
      <w:pPr>
        <w:spacing w:after="0"/>
        <w:rPr>
          <w:b/>
          <w:bCs/>
          <w:lang w:val="en-AU"/>
        </w:rPr>
      </w:pPr>
      <w:r>
        <w:rPr>
          <w:b/>
          <w:bCs/>
          <w:lang w:val="en-AU"/>
        </w:rPr>
        <w:br w:type="page"/>
      </w:r>
    </w:p>
    <w:p w14:paraId="7D773809" w14:textId="514DEFD2"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60" w:name="_Hlk40444456"/>
      <w:bookmarkEnd w:id="58"/>
    </w:p>
    <w:p w14:paraId="474F98E5" w14:textId="3FC8FBD0"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B926B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926B6" w:rsidRPr="00590B34" w14:paraId="166D5656" w14:textId="77777777" w:rsidTr="00B926B6">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B926B6" w:rsidRPr="00BB1F3D" w:rsidRDefault="00B926B6" w:rsidP="00B926B6">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F2D0FA7"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1820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C928EF7"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2394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4B2E4929"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2626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6BBAC395"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2864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4FC475D"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3067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B80517F"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3410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135BB77"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3612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0FEA8CF"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3821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3AEECDF5" w:rsidR="00B926B6" w:rsidRPr="001A25BE" w:rsidRDefault="00B926B6" w:rsidP="00B926B6">
            <w:pPr>
              <w:spacing w:after="0"/>
              <w:jc w:val="right"/>
              <w:rPr>
                <w:rFonts w:eastAsia="Times New Roman" w:cstheme="minorHAnsi"/>
                <w:b/>
                <w:bCs/>
                <w:color w:val="000000"/>
                <w:sz w:val="18"/>
                <w:szCs w:val="20"/>
                <w:lang w:eastAsia="en-AU"/>
              </w:rPr>
            </w:pPr>
            <w:r>
              <w:rPr>
                <w:rFonts w:ascii="Calibri" w:hAnsi="Calibri" w:cs="Calibri"/>
                <w:color w:val="000000"/>
                <w:sz w:val="20"/>
                <w:szCs w:val="20"/>
              </w:rPr>
              <w:t>4090</w:t>
            </w:r>
          </w:p>
        </w:tc>
      </w:tr>
      <w:tr w:rsidR="00B926B6" w:rsidRPr="00590B34" w14:paraId="414F1697" w14:textId="77777777" w:rsidTr="00B926B6">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B926B6" w:rsidRPr="00BB1F3D" w:rsidRDefault="00B926B6" w:rsidP="00B926B6">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523556E6"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17046F20"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5322468"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52B4331F"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0DE944F"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5A26478"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0388ACEB"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72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16EA838B"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190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2AE952C" w:rsidR="00B926B6" w:rsidRPr="009C6CA3" w:rsidRDefault="00B926B6" w:rsidP="00B926B6">
            <w:pPr>
              <w:spacing w:after="0"/>
              <w:jc w:val="right"/>
              <w:rPr>
                <w:rFonts w:eastAsia="Times New Roman" w:cstheme="minorHAnsi"/>
                <w:b/>
                <w:bCs/>
                <w:color w:val="000000"/>
                <w:sz w:val="18"/>
                <w:szCs w:val="18"/>
                <w:lang w:eastAsia="en-AU"/>
              </w:rPr>
            </w:pPr>
            <w:r>
              <w:rPr>
                <w:rFonts w:ascii="Calibri" w:hAnsi="Calibri" w:cs="Calibri"/>
                <w:color w:val="000000"/>
                <w:sz w:val="20"/>
                <w:szCs w:val="20"/>
              </w:rPr>
              <w:t>461</w:t>
            </w:r>
          </w:p>
        </w:tc>
      </w:tr>
    </w:tbl>
    <w:p w14:paraId="482B4360" w14:textId="77777777" w:rsidR="009962DF" w:rsidRDefault="009962DF" w:rsidP="000E293B">
      <w:pPr>
        <w:rPr>
          <w:b/>
          <w:bCs/>
          <w:lang w:val="en-AU"/>
        </w:rPr>
      </w:pPr>
      <w:bookmarkStart w:id="61" w:name="_Toc35852262"/>
      <w:bookmarkEnd w:id="59"/>
      <w:bookmarkEnd w:id="60"/>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45A15FAB" w:rsidR="00BF24B2" w:rsidRPr="00840618" w:rsidRDefault="00BF24B2" w:rsidP="00BF24B2">
      <w:pPr>
        <w:rPr>
          <w:b/>
          <w:bCs/>
          <w:lang w:val="en-AU"/>
        </w:rPr>
      </w:pPr>
      <w:r>
        <w:rPr>
          <w:b/>
          <w:bCs/>
          <w:lang w:val="en-AU"/>
        </w:rPr>
        <w:t>Table 3-</w:t>
      </w:r>
      <w:r w:rsidR="00A820AC">
        <w:rPr>
          <w:b/>
          <w:bCs/>
          <w:lang w:val="en-AU"/>
        </w:rPr>
        <w:t>16</w:t>
      </w:r>
      <w:r w:rsidRPr="0004400F">
        <w:rPr>
          <w:b/>
          <w:bCs/>
          <w:lang w:val="en-AU"/>
        </w:rPr>
        <w:t xml:space="preserve">: </w:t>
      </w:r>
      <w:r w:rsidR="008C4A50">
        <w:rPr>
          <w:b/>
          <w:bCs/>
          <w:lang w:val="en-AU"/>
        </w:rPr>
        <w:t>[</w:t>
      </w:r>
      <w:r w:rsidR="00B01ED6">
        <w:rPr>
          <w:b/>
          <w:bCs/>
          <w:lang w:val="en-AU"/>
        </w:rPr>
        <w:t>Range of</w:t>
      </w:r>
      <w:r w:rsidR="008C4A50">
        <w:rPr>
          <w:b/>
          <w:bCs/>
          <w:lang w:val="en-AU"/>
        </w:rPr>
        <w:t>]</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0760D624" w:rsidR="00BF24B2" w:rsidRPr="00590B34" w:rsidRDefault="002C320A"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Aspendale</w:t>
            </w:r>
            <w:r w:rsidR="00492890">
              <w:rPr>
                <w:rFonts w:ascii="Arial" w:eastAsia="Times New Roman" w:hAnsi="Arial" w:cs="Arial"/>
                <w:b/>
                <w:bCs/>
                <w:color w:val="FFFFFF" w:themeColor="background1"/>
                <w:sz w:val="20"/>
                <w:szCs w:val="22"/>
                <w:lang w:val="en-AU" w:eastAsia="en-AU"/>
              </w:rPr>
              <w:t xml:space="preserve"> Gardens - Waterways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926B6" w:rsidRPr="00590B34" w14:paraId="7138156F" w14:textId="77777777" w:rsidTr="00E915F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B926B6" w:rsidRPr="00590B34" w:rsidRDefault="00B926B6" w:rsidP="00B926B6">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CE8A0F5"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112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7E9DD7CA"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139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40D64B69"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152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30553BB"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163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04A3EAD4"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173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485EEAF"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194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157733C0"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208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C17E331"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219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6811FE35" w:rsidR="00B926B6" w:rsidRPr="00AD4707" w:rsidRDefault="00B926B6" w:rsidP="00B926B6">
            <w:pPr>
              <w:spacing w:after="0"/>
              <w:jc w:val="right"/>
              <w:rPr>
                <w:rFonts w:cstheme="minorHAnsi"/>
                <w:color w:val="000000"/>
                <w:sz w:val="18"/>
                <w:szCs w:val="20"/>
              </w:rPr>
            </w:pPr>
            <w:r>
              <w:rPr>
                <w:rFonts w:ascii="Calibri" w:hAnsi="Calibri" w:cs="Calibri"/>
                <w:color w:val="000000"/>
                <w:sz w:val="20"/>
                <w:szCs w:val="20"/>
              </w:rPr>
              <w:t>223</w:t>
            </w:r>
          </w:p>
        </w:tc>
      </w:tr>
      <w:tr w:rsidR="00AD4707" w:rsidRPr="00590B34" w14:paraId="5C1C2819" w14:textId="77777777" w:rsidTr="00687E3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AD4707" w:rsidRPr="00590B34" w:rsidRDefault="00AD4707" w:rsidP="00AD4707">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0A0C5C5C"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097D753D"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0FB4C1CF"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40815FD6"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D2751A9"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075FDA3F"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08995C1"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BFE29B4"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5EF3569" w:rsidR="00AD4707" w:rsidRPr="00AD4707" w:rsidRDefault="00AD4707" w:rsidP="00AD4707">
            <w:pPr>
              <w:spacing w:after="0"/>
              <w:jc w:val="right"/>
              <w:rPr>
                <w:rFonts w:cstheme="minorHAnsi"/>
                <w:color w:val="000000"/>
                <w:sz w:val="18"/>
                <w:szCs w:val="20"/>
              </w:rPr>
            </w:pPr>
            <w:r w:rsidRPr="009C6CA3">
              <w:rPr>
                <w:rFonts w:cstheme="minorHAnsi"/>
                <w:color w:val="000000"/>
                <w:sz w:val="18"/>
                <w:szCs w:val="18"/>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759D82C3"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E86ED6">
              <w:rPr>
                <w:rFonts w:ascii="Arial" w:eastAsia="Times New Roman" w:hAnsi="Arial" w:cs="Arial"/>
                <w:b/>
                <w:bCs/>
                <w:color w:val="FFFFFF" w:themeColor="background1"/>
                <w:sz w:val="20"/>
                <w:szCs w:val="22"/>
                <w:lang w:val="en-AU" w:eastAsia="en-AU"/>
              </w:rPr>
              <w:t>Braeside</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86ED6" w:rsidRPr="00590B34" w14:paraId="35052B4A" w14:textId="77777777" w:rsidTr="007C77A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E86ED6" w:rsidRPr="00590B34" w:rsidRDefault="00E86ED6" w:rsidP="00E86ED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607AE4FA"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65AF3EE2"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0F0C4BCE"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65C4E04C"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4CDDA1DE"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6D97AED1"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6F1A7AB7"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65E2A2CF"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428CC16E" w:rsidR="00E86ED6" w:rsidRPr="007C77A2" w:rsidRDefault="00E86ED6" w:rsidP="007C77A2">
            <w:pPr>
              <w:spacing w:after="0"/>
              <w:jc w:val="right"/>
              <w:rPr>
                <w:rFonts w:eastAsia="Times New Roman" w:cstheme="minorHAnsi"/>
                <w:color w:val="000000"/>
                <w:sz w:val="18"/>
                <w:szCs w:val="20"/>
                <w:lang w:val="en-AU" w:eastAsia="en-AU"/>
              </w:rPr>
            </w:pPr>
            <w:r w:rsidRPr="007C77A2">
              <w:rPr>
                <w:rFonts w:cstheme="minorHAnsi"/>
                <w:color w:val="000000"/>
                <w:sz w:val="18"/>
                <w:szCs w:val="20"/>
              </w:rPr>
              <w:t>0</w:t>
            </w:r>
          </w:p>
        </w:tc>
      </w:tr>
      <w:tr w:rsidR="007C77A2" w:rsidRPr="00590B34" w14:paraId="422AAD1F" w14:textId="77777777" w:rsidTr="007C77A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7C77A2" w:rsidRPr="00590B34" w:rsidRDefault="007C77A2" w:rsidP="007C77A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2EB078AF"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3E553289"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0C50F5B0"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0191CCAC"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43AC53B8"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4013C206"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1DD39D48"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D134F6E"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73AE324" w:rsidR="007C77A2" w:rsidRPr="007C77A2" w:rsidRDefault="007C77A2" w:rsidP="007C77A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3A17B4FC"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073BAF">
              <w:rPr>
                <w:rFonts w:ascii="Arial" w:eastAsia="Times New Roman" w:hAnsi="Arial" w:cs="Arial"/>
                <w:b/>
                <w:bCs/>
                <w:color w:val="FFFFFF" w:themeColor="background1"/>
                <w:sz w:val="20"/>
                <w:szCs w:val="22"/>
                <w:lang w:val="en-AU" w:eastAsia="en-AU"/>
              </w:rPr>
              <w:t>Carrum – Patterson Lakes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061452CF" w14:textId="77777777" w:rsidTr="00E915F7">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0EF5C62F"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4A46F5CE"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76BC35D8"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239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6E096067"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1B1E9BE4"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7C722E00"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2E252326"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730AF68D"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7CFB6668" w:rsidR="00E915F7" w:rsidRPr="00073BAF"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329</w:t>
            </w:r>
          </w:p>
        </w:tc>
      </w:tr>
      <w:tr w:rsidR="00363C9D" w:rsidRPr="00590B34" w14:paraId="3E91B1A6" w14:textId="77777777" w:rsidTr="00073BAF">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363C9D" w:rsidRPr="00590B34" w:rsidRDefault="00363C9D" w:rsidP="00363C9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2F2E9CEB"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73E7540A"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0C1558BC"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743E916A"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60260FE7"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53BB4FF6"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5592A659"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26634468" w:rsidR="00363C9D" w:rsidRPr="00073BAF" w:rsidRDefault="00363C9D"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668C2499" w:rsidR="00363C9D" w:rsidRPr="00073BAF" w:rsidRDefault="00E915F7" w:rsidP="00363C9D">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r>
    </w:tbl>
    <w:p w14:paraId="3540DFA6" w14:textId="1B7CE389" w:rsidR="002673FB" w:rsidRDefault="002673FB" w:rsidP="00D448A5">
      <w:pPr>
        <w:rPr>
          <w:lang w:val="en-US"/>
        </w:rPr>
      </w:pPr>
    </w:p>
    <w:p w14:paraId="2131B77E" w14:textId="77777777" w:rsidR="008D7E50" w:rsidRDefault="008D7E50"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76C8E7D5"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8D7E50">
              <w:rPr>
                <w:rFonts w:ascii="Arial" w:eastAsia="Times New Roman" w:hAnsi="Arial" w:cs="Arial"/>
                <w:b/>
                <w:bCs/>
                <w:color w:val="FFFFFF" w:themeColor="background1"/>
                <w:sz w:val="20"/>
                <w:szCs w:val="22"/>
                <w:lang w:val="en-AU" w:eastAsia="en-AU"/>
              </w:rPr>
              <w:t>Chelsea – Bonbeach</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145069E0"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5A7F4D46"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142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6708D012"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204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5A90B288"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24B6739E"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247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336D2FC9"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672C526C"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298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2D2E473B"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43844331"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326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17BA3A1D" w:rsidR="00E915F7" w:rsidRPr="00FF5EDA" w:rsidRDefault="00E915F7" w:rsidP="00E915F7">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347</w:t>
            </w:r>
          </w:p>
        </w:tc>
      </w:tr>
      <w:tr w:rsidR="00E915F7" w:rsidRPr="00590B34" w14:paraId="6B80805D"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E915F7" w:rsidRPr="00590B34" w:rsidRDefault="00E915F7" w:rsidP="00E915F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34717402"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5A2F1D6C"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7EE2AE5D"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3EEEF7C8"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706E19FE"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444C2997"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2977C106"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6D136866"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32301CAA" w:rsidR="00E915F7" w:rsidRPr="00FF5EDA" w:rsidRDefault="00E915F7" w:rsidP="00E915F7">
            <w:pPr>
              <w:spacing w:after="0"/>
              <w:jc w:val="right"/>
              <w:rPr>
                <w:rFonts w:eastAsia="Times New Roman" w:cstheme="minorHAnsi"/>
                <w:color w:val="000000"/>
                <w:sz w:val="18"/>
                <w:szCs w:val="18"/>
                <w:lang w:eastAsia="en-AU"/>
              </w:rPr>
            </w:pPr>
            <w:r>
              <w:rPr>
                <w:rFonts w:ascii="Calibri" w:hAnsi="Calibri" w:cs="Calibri"/>
                <w:color w:val="000000"/>
                <w:sz w:val="20"/>
                <w:szCs w:val="20"/>
              </w:rPr>
              <w:t>19</w:t>
            </w:r>
          </w:p>
        </w:tc>
      </w:tr>
    </w:tbl>
    <w:p w14:paraId="6C140FF9" w14:textId="77777777" w:rsidR="008D7E50" w:rsidRDefault="008D7E50" w:rsidP="002F041E">
      <w:pPr>
        <w:spacing w:after="0"/>
        <w:rPr>
          <w:lang w:val="en-AU"/>
        </w:rPr>
      </w:pPr>
      <w:bookmarkStart w:id="64"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8D7E50" w:rsidRPr="00590B34" w14:paraId="6F05FDF0"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8B5AFCD" w14:textId="2FF79A69" w:rsidR="008D7E50" w:rsidRPr="00590B34" w:rsidRDefault="008D7E50"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63480">
              <w:rPr>
                <w:rFonts w:ascii="Arial" w:eastAsia="Times New Roman" w:hAnsi="Arial" w:cs="Arial"/>
                <w:b/>
                <w:bCs/>
                <w:color w:val="FFFFFF" w:themeColor="background1"/>
                <w:sz w:val="20"/>
                <w:szCs w:val="22"/>
                <w:lang w:val="en-AU" w:eastAsia="en-AU"/>
              </w:rPr>
              <w:t>Chelsea Heights</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263E7D"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F381448"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56EE3F3"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A2BBA4A"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A96A0FD" w14:textId="77777777" w:rsidR="008D7E50" w:rsidRPr="00590B34" w:rsidRDefault="008D7E50"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AB10B4"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0ACC0E6"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E712CF7"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6D6F1C6"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4FF20A9F"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3EBC531"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F8BCF3" w14:textId="645C5E7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54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56914" w14:textId="1EE7D595"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75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4D03F3" w14:textId="0220491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D5965" w14:textId="7B90AFA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7B428C" w14:textId="0C6E0D18"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B4B9F2" w14:textId="0E66369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4E3E86" w14:textId="2140834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102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16AB4" w14:textId="452F4B6C"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754EF" w14:textId="72EC0FAB"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131</w:t>
            </w:r>
          </w:p>
        </w:tc>
      </w:tr>
      <w:tr w:rsidR="00E915F7" w:rsidRPr="00590B34" w14:paraId="5E53C939"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E5FA3" w14:textId="77777777" w:rsidR="00E915F7" w:rsidRPr="00590B34" w:rsidRDefault="00E915F7" w:rsidP="00E915F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7BCF1" w14:textId="1F3B7303"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84364" w14:textId="1C04641D"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E24FF" w14:textId="537DAB8B"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E4A64" w14:textId="60536B11"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B8ACA1" w14:textId="48DF52BE"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36F36" w14:textId="5E0AB54E"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E327A" w14:textId="60C20C2C"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32D38" w14:textId="06D1BFF2"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A67FB" w14:textId="7408599B"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29</w:t>
            </w:r>
          </w:p>
        </w:tc>
      </w:tr>
    </w:tbl>
    <w:p w14:paraId="00B7C3F7" w14:textId="77777777" w:rsidR="008D7E50" w:rsidRDefault="008D7E50"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8D7E50" w:rsidRPr="00590B34" w14:paraId="0B14F597"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4E590C1" w14:textId="7D318BE4" w:rsidR="008D7E50" w:rsidRPr="00590B34" w:rsidRDefault="008D7E50"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63480">
              <w:rPr>
                <w:rFonts w:ascii="Arial" w:eastAsia="Times New Roman" w:hAnsi="Arial" w:cs="Arial"/>
                <w:b/>
                <w:bCs/>
                <w:color w:val="FFFFFF" w:themeColor="background1"/>
                <w:sz w:val="20"/>
                <w:szCs w:val="22"/>
                <w:lang w:val="en-AU" w:eastAsia="en-AU"/>
              </w:rPr>
              <w:t>Cheltenham – Highett (East)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5EF1488"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FF37146"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94D4DAE"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A9D3BA"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F2C8205" w14:textId="77777777" w:rsidR="008D7E50" w:rsidRPr="00590B34" w:rsidRDefault="008D7E50"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984A3DA"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08EB837"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E3DDD89"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668BC84"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5C40217F"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E1E48F8"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224E4" w14:textId="5B94B83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E0DA7" w14:textId="704BBCFC"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4E9CCD" w14:textId="5B4E32D8"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25C36" w14:textId="6E1634FA"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F84149" w14:textId="15C0D65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D53CE" w14:textId="41BDB84D"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548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B4C7DA" w14:textId="0A61B6E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580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3AAA5" w14:textId="112C981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595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65B7A" w14:textId="568D342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675</w:t>
            </w:r>
          </w:p>
        </w:tc>
      </w:tr>
      <w:tr w:rsidR="00E915F7" w:rsidRPr="00590B34" w14:paraId="115A08E1"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1FE99" w14:textId="77777777" w:rsidR="00E915F7" w:rsidRPr="00590B34" w:rsidRDefault="00E915F7" w:rsidP="00E915F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A0F7EB" w14:textId="28F6EA99"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3BF07" w14:textId="4DBC8EA5"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41C0C" w14:textId="3A84DAD7"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44F485" w14:textId="55BF6A76"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5450C" w14:textId="36D9407D"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68FB7" w14:textId="599234A8"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4155B" w14:textId="2C846506"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40E8A" w14:textId="02C3B006"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AE8CBD" w14:textId="69253AE9"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91</w:t>
            </w:r>
          </w:p>
        </w:tc>
      </w:tr>
    </w:tbl>
    <w:p w14:paraId="6CABCAD3" w14:textId="77777777" w:rsidR="008D7E50" w:rsidRDefault="008D7E50"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8D7E50" w:rsidRPr="00590B34" w14:paraId="23BD1F57"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590F71E" w14:textId="4B9F1553" w:rsidR="008D7E50" w:rsidRPr="00590B34" w:rsidRDefault="008D7E50"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BE2E06">
              <w:rPr>
                <w:rFonts w:ascii="Arial" w:eastAsia="Times New Roman" w:hAnsi="Arial" w:cs="Arial"/>
                <w:b/>
                <w:bCs/>
                <w:color w:val="FFFFFF" w:themeColor="background1"/>
                <w:sz w:val="20"/>
                <w:szCs w:val="22"/>
                <w:lang w:val="en-AU" w:eastAsia="en-AU"/>
              </w:rPr>
              <w:t>Clarinda – Oakleigh 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64F41D"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F601E8"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B40769"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98D10B9"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3C77148" w14:textId="77777777" w:rsidR="008D7E50" w:rsidRPr="00590B34" w:rsidRDefault="008D7E50"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551BC75"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B7C486"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3FB115D"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1D5D79B" w14:textId="77777777" w:rsidR="008D7E50" w:rsidRPr="00590B34" w:rsidRDefault="008D7E50"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79D9FCB1"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96811C4"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E58C8" w14:textId="214DF282"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20BC8F" w14:textId="7C9222AC"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E93DC" w14:textId="478C47B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B5DEC" w14:textId="373ACC5E"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3F2271" w14:textId="6964A6C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91E9E" w14:textId="69D9FA3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87DDF" w14:textId="0660783A"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186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C1B232" w14:textId="63DE3875"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194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E0E5D" w14:textId="3A813C9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179</w:t>
            </w:r>
          </w:p>
        </w:tc>
      </w:tr>
      <w:tr w:rsidR="00C427D2" w:rsidRPr="00590B34" w14:paraId="07D5C3E8" w14:textId="77777777" w:rsidTr="00FF5ED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01CB2" w14:textId="77777777" w:rsidR="00C427D2" w:rsidRPr="00590B34" w:rsidRDefault="00C427D2" w:rsidP="00C427D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199F05" w14:textId="64277136"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F67229" w14:textId="21A4B4FC"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665BE" w14:textId="49E33F9C"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9CB25" w14:textId="21ACBE13"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308DA" w14:textId="7C44C451"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A79F2A" w14:textId="40B79269"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1CD6C" w14:textId="74907B64"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286CB" w14:textId="12240473"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79FC6D" w14:textId="366C74A4"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r>
    </w:tbl>
    <w:p w14:paraId="38552921" w14:textId="77777777" w:rsidR="00BE2E06" w:rsidRDefault="00BE2E06"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E2E06" w:rsidRPr="00590B34" w14:paraId="1D60E297"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617B8C5" w14:textId="02FE9C5F" w:rsidR="00BE2E06" w:rsidRPr="00590B34" w:rsidRDefault="00BE2E06"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0024F">
              <w:rPr>
                <w:rFonts w:ascii="Arial" w:eastAsia="Times New Roman" w:hAnsi="Arial" w:cs="Arial"/>
                <w:b/>
                <w:bCs/>
                <w:color w:val="FFFFFF" w:themeColor="background1"/>
                <w:sz w:val="20"/>
                <w:szCs w:val="22"/>
                <w:lang w:val="en-AU" w:eastAsia="en-AU"/>
              </w:rPr>
              <w:t>Clayton 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71838FB"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4EBFBE"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31E853B"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4EA24E3"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5960D6D" w14:textId="77777777" w:rsidR="00BE2E06" w:rsidRPr="00590B34" w:rsidRDefault="00BE2E06"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8DFD43"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A39FE67"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E1BA6B"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7B95E3B"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5A6B78CA"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8E176BA"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947610" w14:textId="1500F0E8"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2425F" w14:textId="47743E5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8E20C" w14:textId="73A4CCB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44AE4B" w14:textId="5021B585"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DF351B" w14:textId="2A1D0837"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5400C" w14:textId="09AE1B94"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76F448" w14:textId="6D84E3C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66BE2" w14:textId="565259E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E5B55C" w14:textId="32AE5D6B"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319</w:t>
            </w:r>
          </w:p>
        </w:tc>
      </w:tr>
      <w:tr w:rsidR="00C427D2" w:rsidRPr="00590B34" w14:paraId="481BFBF9"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5CCA6" w14:textId="77777777" w:rsidR="00C427D2" w:rsidRPr="00590B34" w:rsidRDefault="00C427D2" w:rsidP="00C427D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88F264" w14:textId="0804AF08"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7CA5C" w14:textId="52462999"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AAF1B5" w14:textId="45A7DE63"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76EC5" w14:textId="4FD0E990"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13004" w14:textId="50C692E9"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BE8FD" w14:textId="0495101F"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F5FC17" w14:textId="19F5259C"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D4D173" w14:textId="4D40F9D6"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F488E" w14:textId="77777777" w:rsidR="00E915F7" w:rsidRDefault="00E915F7" w:rsidP="00E915F7">
            <w:pPr>
              <w:spacing w:after="0"/>
              <w:jc w:val="right"/>
              <w:rPr>
                <w:rFonts w:ascii="Calibri" w:hAnsi="Calibri" w:cs="Calibri"/>
                <w:color w:val="000000"/>
                <w:sz w:val="20"/>
                <w:szCs w:val="20"/>
              </w:rPr>
            </w:pPr>
          </w:p>
          <w:p w14:paraId="63F52D90" w14:textId="25E846C2" w:rsidR="00E915F7" w:rsidRDefault="00E915F7" w:rsidP="00E915F7">
            <w:pPr>
              <w:spacing w:after="0"/>
              <w:jc w:val="right"/>
              <w:rPr>
                <w:rFonts w:ascii="Calibri" w:hAnsi="Calibri" w:cs="Calibri"/>
                <w:color w:val="000000"/>
                <w:sz w:val="20"/>
                <w:szCs w:val="20"/>
              </w:rPr>
            </w:pPr>
            <w:r>
              <w:rPr>
                <w:rFonts w:ascii="Calibri" w:hAnsi="Calibri" w:cs="Calibri"/>
                <w:color w:val="000000"/>
                <w:sz w:val="20"/>
                <w:szCs w:val="20"/>
              </w:rPr>
              <w:t>0</w:t>
            </w:r>
          </w:p>
          <w:p w14:paraId="68741379" w14:textId="55D5B825" w:rsidR="00C427D2" w:rsidRPr="00FF5EDA" w:rsidRDefault="00C427D2" w:rsidP="00C427D2">
            <w:pPr>
              <w:spacing w:after="0"/>
              <w:jc w:val="right"/>
              <w:rPr>
                <w:rFonts w:eastAsia="Times New Roman" w:cstheme="minorHAnsi"/>
                <w:color w:val="000000"/>
                <w:sz w:val="18"/>
                <w:szCs w:val="20"/>
                <w:lang w:eastAsia="en-AU"/>
              </w:rPr>
            </w:pPr>
          </w:p>
        </w:tc>
      </w:tr>
    </w:tbl>
    <w:p w14:paraId="78C9364E" w14:textId="77777777" w:rsidR="00BE2E06" w:rsidRDefault="00BE2E06"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E2E06" w:rsidRPr="00590B34" w14:paraId="2C377D47"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354DCA" w14:textId="2D2A114B" w:rsidR="00BE2E06" w:rsidRPr="00590B34" w:rsidRDefault="00BE2E06"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F0024F">
              <w:rPr>
                <w:rFonts w:ascii="Arial" w:eastAsia="Times New Roman" w:hAnsi="Arial" w:cs="Arial"/>
                <w:b/>
                <w:bCs/>
                <w:color w:val="FFFFFF" w:themeColor="background1"/>
                <w:sz w:val="20"/>
                <w:szCs w:val="22"/>
                <w:lang w:val="en-AU" w:eastAsia="en-AU"/>
              </w:rPr>
              <w:t>Dingley Village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9F6172C"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0E3D632"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F9CDC29"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B6D9DF"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4D14888" w14:textId="77777777" w:rsidR="00BE2E06" w:rsidRPr="00590B34" w:rsidRDefault="00BE2E06"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BD86173"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71F3CAB"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4670EF6"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0B5DEF8" w14:textId="77777777" w:rsidR="00BE2E06" w:rsidRPr="00590B34" w:rsidRDefault="00BE2E06"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38DBEA44"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67CDD492"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60E5B0" w14:textId="4E877520"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88C6B" w14:textId="063418B7"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0FCBE6" w14:textId="27854021"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E0707" w14:textId="3A76EEC7"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07487" w14:textId="15344F68"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103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F348D8" w14:textId="5F27A42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E4C3B" w14:textId="1BD1271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FF2B08" w14:textId="61938CC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2A334" w14:textId="4A613F4A"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194</w:t>
            </w:r>
          </w:p>
        </w:tc>
      </w:tr>
      <w:tr w:rsidR="00E915F7" w:rsidRPr="00590B34" w14:paraId="0AE23FC7"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70D84" w14:textId="77777777" w:rsidR="00E915F7" w:rsidRPr="00590B34" w:rsidRDefault="00E915F7" w:rsidP="00E915F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E607C" w14:textId="29CB64F4"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86598" w14:textId="6388B211"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E2519" w14:textId="1A3C2778"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E228B8" w14:textId="22004A80"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0DF41" w14:textId="53F1727C"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1943C" w14:textId="5B25746E"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60908C" w14:textId="15B959E7"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62108" w14:textId="4DD8FF00"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57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7DDF0A" w14:textId="6CD09FD8"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97</w:t>
            </w:r>
          </w:p>
        </w:tc>
      </w:tr>
    </w:tbl>
    <w:p w14:paraId="58647083" w14:textId="77777777" w:rsidR="00F0024F" w:rsidRDefault="00F0024F"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0024F" w:rsidRPr="00590B34" w14:paraId="56EC5496"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03D3326" w14:textId="29A67E2A" w:rsidR="00F0024F" w:rsidRPr="00590B34" w:rsidRDefault="00F0024F"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4C0A67">
              <w:rPr>
                <w:rFonts w:ascii="Arial" w:eastAsia="Times New Roman" w:hAnsi="Arial" w:cs="Arial"/>
                <w:b/>
                <w:bCs/>
                <w:color w:val="FFFFFF" w:themeColor="background1"/>
                <w:sz w:val="20"/>
                <w:szCs w:val="22"/>
                <w:lang w:val="en-AU" w:eastAsia="en-AU"/>
              </w:rPr>
              <w:t>Edithvale - Aspendale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DFFF4F"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A5276FB"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8AB49A3"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E34AC83"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5CADD34" w14:textId="77777777" w:rsidR="00F0024F" w:rsidRPr="00590B34" w:rsidRDefault="00F0024F"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294F5E6"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7AA4282"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9C659C9"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96F1E5B"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736A64FE"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375DBEE"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30058" w14:textId="79FB0988"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235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B1035E" w14:textId="3A5BA39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DAE6FF" w14:textId="596C8F62"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C80CF" w14:textId="1AC7843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63335" w14:textId="0CB20147"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349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273FF6" w14:textId="0A6BD335"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D93B1" w14:textId="3A80FEC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7A02D" w14:textId="2B2D7390"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384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B8C500" w14:textId="530392EA"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432</w:t>
            </w:r>
          </w:p>
        </w:tc>
      </w:tr>
      <w:tr w:rsidR="00E915F7" w:rsidRPr="00590B34" w14:paraId="099CB0EE"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155DD" w14:textId="77777777" w:rsidR="00E915F7" w:rsidRPr="00590B34" w:rsidRDefault="00E915F7" w:rsidP="00E915F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37E736" w14:textId="558A8690"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ADD9FB" w14:textId="7C82AB5C"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06A72" w14:textId="3F33A0F0"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05F59" w14:textId="54F1A850"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69B32" w14:textId="16A6EB1E"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11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C9A0B" w14:textId="58FA6E89"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8E706A" w14:textId="3DA32048"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7B52DF" w14:textId="297B7621"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70FFA" w14:textId="532705FA" w:rsidR="00E915F7" w:rsidRPr="00FF5EDA" w:rsidRDefault="00E915F7" w:rsidP="00E915F7">
            <w:pPr>
              <w:spacing w:after="0"/>
              <w:jc w:val="right"/>
              <w:rPr>
                <w:rFonts w:eastAsia="Times New Roman" w:cstheme="minorHAnsi"/>
                <w:color w:val="000000"/>
                <w:sz w:val="18"/>
                <w:szCs w:val="20"/>
                <w:lang w:eastAsia="en-AU"/>
              </w:rPr>
            </w:pPr>
            <w:r>
              <w:rPr>
                <w:rFonts w:ascii="Calibri" w:hAnsi="Calibri" w:cs="Calibri"/>
                <w:color w:val="000000"/>
                <w:sz w:val="20"/>
                <w:szCs w:val="20"/>
              </w:rPr>
              <w:t>94</w:t>
            </w:r>
          </w:p>
        </w:tc>
      </w:tr>
    </w:tbl>
    <w:p w14:paraId="35B188E7" w14:textId="77777777" w:rsidR="00F0024F" w:rsidRDefault="00F0024F"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0024F" w:rsidRPr="00590B34" w14:paraId="0676F612"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6DDC335" w14:textId="51F7DF9D" w:rsidR="00F0024F" w:rsidRPr="00590B34" w:rsidRDefault="00F0024F"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4C0A67">
              <w:rPr>
                <w:rFonts w:ascii="Arial" w:eastAsia="Times New Roman" w:hAnsi="Arial" w:cs="Arial"/>
                <w:b/>
                <w:bCs/>
                <w:color w:val="FFFFFF" w:themeColor="background1"/>
                <w:sz w:val="20"/>
                <w:szCs w:val="22"/>
                <w:lang w:val="en-AU" w:eastAsia="en-AU"/>
              </w:rPr>
              <w:t>Mentone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496B86C"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52DDDEE"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BA7AD02"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AA4EC63"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0D5074" w14:textId="77777777" w:rsidR="00F0024F" w:rsidRPr="00590B34" w:rsidRDefault="00F0024F"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DD45EB6"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7424D9A"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5A7CC7C"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15C8C15"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52550935"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CCACE82"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610D05" w14:textId="3277142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3D50B5" w14:textId="236E2528"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E0C10" w14:textId="750FD565"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1B9A0" w14:textId="26117AB7"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380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AAF39C" w14:textId="42DB1F9E"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508243" w14:textId="48D1D224"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20EF7" w14:textId="6A535F74"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477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516A4" w14:textId="5DB61BC4"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492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E23D44" w14:textId="699FD5D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487</w:t>
            </w:r>
          </w:p>
        </w:tc>
      </w:tr>
      <w:tr w:rsidR="00C427D2" w:rsidRPr="00590B34" w14:paraId="290A2F30"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F163D" w14:textId="77777777" w:rsidR="00C427D2" w:rsidRPr="00590B34" w:rsidRDefault="00C427D2" w:rsidP="00C427D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4EFCA" w14:textId="3B3A49C9"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3FD2C1" w14:textId="5B0889AB"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4FCB2" w14:textId="2F4A2EE4"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F168D" w14:textId="2901F218"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70E98D" w14:textId="0E08505A"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BCA741" w14:textId="3127C8CF"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694B12" w14:textId="2A476FF7"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1BEF1" w14:textId="1F290FFA"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6EF60" w14:textId="6A3B977B"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r>
    </w:tbl>
    <w:p w14:paraId="34669882" w14:textId="77777777" w:rsidR="00F0024F" w:rsidRDefault="00F0024F"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0024F" w:rsidRPr="00590B34" w14:paraId="1BA85AD7"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EF5813A" w14:textId="630D1A30" w:rsidR="00F0024F" w:rsidRPr="00590B34" w:rsidRDefault="00F0024F"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96C6F">
              <w:rPr>
                <w:rFonts w:ascii="Arial" w:eastAsia="Times New Roman" w:hAnsi="Arial" w:cs="Arial"/>
                <w:b/>
                <w:bCs/>
                <w:color w:val="FFFFFF" w:themeColor="background1"/>
                <w:sz w:val="20"/>
                <w:szCs w:val="22"/>
                <w:lang w:val="en-AU" w:eastAsia="en-AU"/>
              </w:rPr>
              <w:t>Moorabbin - Heatherton</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B6B6B49"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FF817F"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F17C4E6"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E96447"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DB8BE87" w14:textId="77777777" w:rsidR="00F0024F" w:rsidRPr="00590B34" w:rsidRDefault="00F0024F"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720680"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87044F3"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12000F"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B991ADC" w14:textId="77777777" w:rsidR="00F0024F" w:rsidRPr="00590B34" w:rsidRDefault="00F0024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70072724"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4B1B9AE"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D1E4E" w14:textId="4DFB4674"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064DC" w14:textId="6C600BE4"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A338D" w14:textId="2EEC744F"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7863B7" w14:textId="10653C40"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645DD" w14:textId="23B1FBFA"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02F5B7" w14:textId="2080AB73"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963CB" w14:textId="7E766820"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63564" w14:textId="648A7D6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B2495" w14:textId="271C1FAD"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242</w:t>
            </w:r>
          </w:p>
        </w:tc>
      </w:tr>
      <w:tr w:rsidR="00C427D2" w:rsidRPr="00590B34" w14:paraId="4CE3D19B"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58710" w14:textId="77777777" w:rsidR="00C427D2" w:rsidRPr="00590B34" w:rsidRDefault="00C427D2" w:rsidP="00C427D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CB5BBD" w14:textId="38FE4F6F"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B1CDB" w14:textId="42369DB6"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EC411" w14:textId="5F400FA4"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4A297" w14:textId="4BFFF202"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7E48" w14:textId="1196E313"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F5AB6" w14:textId="53E58BE3"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B7C7B0" w14:textId="7E42301B"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4A765" w14:textId="45632860"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69C37" w14:textId="04BC64A6"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r>
    </w:tbl>
    <w:p w14:paraId="16A079D2" w14:textId="77777777" w:rsidR="00796C6F" w:rsidRDefault="00796C6F"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96C6F" w:rsidRPr="00590B34" w14:paraId="5CDCADCA"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8E3BEF9" w14:textId="1448D04F" w:rsidR="00796C6F" w:rsidRPr="00590B34" w:rsidRDefault="00796C6F"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AC20D5">
              <w:rPr>
                <w:rFonts w:ascii="Arial" w:eastAsia="Times New Roman" w:hAnsi="Arial" w:cs="Arial"/>
                <w:b/>
                <w:bCs/>
                <w:color w:val="FFFFFF" w:themeColor="background1"/>
                <w:sz w:val="20"/>
                <w:szCs w:val="22"/>
                <w:lang w:val="en-AU" w:eastAsia="en-AU"/>
              </w:rPr>
              <w:t>Moorabbin Airport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223401"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F31EEEC"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9A77E13"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99C4410"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AEC1D9C" w14:textId="77777777" w:rsidR="00796C6F" w:rsidRPr="00590B34" w:rsidRDefault="00796C6F"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F38D6FE"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29CA8B6"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F01312C"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BC843C5"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1198711A"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903F454"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C0FB1B" w14:textId="64324517"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E0450" w14:textId="1FC22C8D"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A8522C" w14:textId="1E5DC0B6"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5250C" w14:textId="3A9B189C"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B06A3" w14:textId="42D6AF1C"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4A8DC8" w14:textId="01B5142E"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E0128" w14:textId="4E6D9B32"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EF2AA8" w14:textId="1B40C010"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441AD" w14:textId="23DA7B49" w:rsidR="00E915F7" w:rsidRPr="00FF5EDA" w:rsidRDefault="00E915F7" w:rsidP="00E915F7">
            <w:pPr>
              <w:spacing w:after="0"/>
              <w:jc w:val="right"/>
              <w:rPr>
                <w:rFonts w:eastAsia="Times New Roman" w:cstheme="minorHAnsi"/>
                <w:color w:val="000000"/>
                <w:sz w:val="18"/>
                <w:szCs w:val="20"/>
                <w:lang w:val="en-AU" w:eastAsia="en-AU"/>
              </w:rPr>
            </w:pPr>
            <w:r>
              <w:rPr>
                <w:rFonts w:ascii="Calibri" w:hAnsi="Calibri" w:cs="Calibri"/>
                <w:color w:val="000000"/>
                <w:sz w:val="20"/>
                <w:szCs w:val="20"/>
              </w:rPr>
              <w:t>0</w:t>
            </w:r>
          </w:p>
        </w:tc>
      </w:tr>
      <w:tr w:rsidR="00C427D2" w:rsidRPr="00590B34" w14:paraId="015F9998"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7B19D" w14:textId="77777777" w:rsidR="00C427D2" w:rsidRPr="00590B34" w:rsidRDefault="00C427D2" w:rsidP="00C427D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A58C3C" w14:textId="53B9A33B"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01961D" w14:textId="124DCBFC"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E8B8D7" w14:textId="3B906668"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7F5EF" w14:textId="251FDFC4"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2A5E4" w14:textId="48F7EC89"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31463" w14:textId="522CFFBD"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1FDC5" w14:textId="17E308C1"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1464F" w14:textId="015B0B9D"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31312" w14:textId="51C2C7D1" w:rsidR="00C427D2" w:rsidRPr="00FF5EDA" w:rsidRDefault="00C427D2" w:rsidP="00C427D2">
            <w:pPr>
              <w:spacing w:after="0"/>
              <w:jc w:val="right"/>
              <w:rPr>
                <w:rFonts w:eastAsia="Times New Roman" w:cstheme="minorHAnsi"/>
                <w:color w:val="000000"/>
                <w:sz w:val="18"/>
                <w:szCs w:val="20"/>
                <w:lang w:eastAsia="en-AU"/>
              </w:rPr>
            </w:pPr>
            <w:r w:rsidRPr="009C6CA3">
              <w:rPr>
                <w:rFonts w:cstheme="minorHAnsi"/>
                <w:color w:val="000000"/>
                <w:sz w:val="18"/>
                <w:szCs w:val="18"/>
              </w:rPr>
              <w:t>0</w:t>
            </w:r>
          </w:p>
        </w:tc>
      </w:tr>
    </w:tbl>
    <w:p w14:paraId="10D14F81" w14:textId="01C555CD" w:rsidR="00796C6F" w:rsidRDefault="00796C6F" w:rsidP="002F041E">
      <w:pPr>
        <w:spacing w:after="0"/>
        <w:rPr>
          <w:lang w:val="en-AU"/>
        </w:rPr>
      </w:pPr>
    </w:p>
    <w:p w14:paraId="0A794E60" w14:textId="77777777" w:rsidR="00BD0560" w:rsidRDefault="00BD0560"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96C6F" w:rsidRPr="00590B34" w14:paraId="063F0B0F" w14:textId="77777777" w:rsidTr="00310F0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46F8143" w14:textId="5052B801" w:rsidR="00796C6F" w:rsidRPr="00590B34" w:rsidRDefault="00796C6F" w:rsidP="00310F0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BD0560">
              <w:rPr>
                <w:rFonts w:ascii="Arial" w:eastAsia="Times New Roman" w:hAnsi="Arial" w:cs="Arial"/>
                <w:b/>
                <w:bCs/>
                <w:color w:val="FFFFFF" w:themeColor="background1"/>
                <w:sz w:val="20"/>
                <w:szCs w:val="22"/>
                <w:lang w:val="en-AU" w:eastAsia="en-AU"/>
              </w:rPr>
              <w:t>Mordialloc - Parkdale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4BEB27F"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2D26CBA"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DA21D6D"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F4F89D5"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96782CD" w14:textId="77777777" w:rsidR="00796C6F" w:rsidRPr="00590B34" w:rsidRDefault="00796C6F" w:rsidP="00310F0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311C4D2"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BB877AA"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ED3AA9E"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94564F6" w14:textId="77777777" w:rsidR="00796C6F" w:rsidRPr="00590B34" w:rsidRDefault="00796C6F" w:rsidP="00310F0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915F7" w:rsidRPr="00590B34" w14:paraId="45BA34A8" w14:textId="77777777" w:rsidTr="00E915F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B98022F" w14:textId="77777777" w:rsidR="00E915F7" w:rsidRPr="00590B34" w:rsidRDefault="00E915F7" w:rsidP="00E915F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8A6B4" w14:textId="21CD1B40"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269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3B3A" w14:textId="5CF1C958"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341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D193C" w14:textId="4674875E"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371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DBB41" w14:textId="04AD1873"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397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75B01E" w14:textId="45273940"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401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F230E9" w14:textId="0FA1893D"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403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B3575" w14:textId="6D263FD6"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424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EA909" w14:textId="181FE203"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477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7AECF" w14:textId="7F639ED2" w:rsidR="00E915F7" w:rsidRPr="00FF5EDA" w:rsidRDefault="00E915F7" w:rsidP="00E915F7">
            <w:pPr>
              <w:spacing w:after="0"/>
              <w:jc w:val="right"/>
              <w:rPr>
                <w:rFonts w:ascii="Arial" w:eastAsia="Times New Roman" w:hAnsi="Arial" w:cs="Arial"/>
                <w:color w:val="000000"/>
                <w:sz w:val="18"/>
                <w:szCs w:val="20"/>
                <w:lang w:val="en-AU" w:eastAsia="en-AU"/>
              </w:rPr>
            </w:pPr>
            <w:r>
              <w:rPr>
                <w:rFonts w:ascii="Calibri" w:hAnsi="Calibri" w:cs="Calibri"/>
                <w:color w:val="000000"/>
                <w:sz w:val="20"/>
                <w:szCs w:val="20"/>
              </w:rPr>
              <w:t>532</w:t>
            </w:r>
          </w:p>
        </w:tc>
      </w:tr>
      <w:tr w:rsidR="00E915F7" w:rsidRPr="00590B34" w14:paraId="636A2398" w14:textId="77777777" w:rsidTr="00E915F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2FBCF" w14:textId="77777777" w:rsidR="00E915F7" w:rsidRPr="00590B34" w:rsidRDefault="00E915F7" w:rsidP="00E915F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2E175" w14:textId="05AB2CD4"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901441" w14:textId="3AAB3AF0"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5D7C7" w14:textId="7A6E7C95"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3E926" w14:textId="6C56472D"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E43A63" w14:textId="19E740C4"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A0AACD" w14:textId="0BA72F76"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C55536" w14:textId="1BFCEA46"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2D12E" w14:textId="2DF1CA5B"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76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FFC661" w14:textId="2D77CBFF" w:rsidR="00E915F7" w:rsidRPr="00FF5EDA" w:rsidRDefault="00E915F7" w:rsidP="00E915F7">
            <w:pPr>
              <w:spacing w:after="0"/>
              <w:jc w:val="right"/>
              <w:rPr>
                <w:rFonts w:ascii="Arial" w:eastAsia="Times New Roman" w:hAnsi="Arial" w:cs="Arial"/>
                <w:color w:val="000000"/>
                <w:sz w:val="18"/>
                <w:szCs w:val="20"/>
                <w:lang w:eastAsia="en-AU"/>
              </w:rPr>
            </w:pPr>
            <w:r>
              <w:rPr>
                <w:rFonts w:ascii="Calibri" w:hAnsi="Calibri" w:cs="Calibri"/>
                <w:color w:val="000000"/>
                <w:sz w:val="20"/>
                <w:szCs w:val="20"/>
              </w:rPr>
              <w:t>131</w:t>
            </w:r>
          </w:p>
        </w:tc>
      </w:tr>
    </w:tbl>
    <w:p w14:paraId="610FB327" w14:textId="77777777" w:rsidR="00BD0560" w:rsidRDefault="00BD0560" w:rsidP="002F041E">
      <w:pPr>
        <w:spacing w:after="0"/>
        <w:rPr>
          <w:lang w:val="en-AU"/>
        </w:rPr>
      </w:pPr>
    </w:p>
    <w:p w14:paraId="0E3518BE" w14:textId="256E3AC5"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45207640"/>
      <w:r w:rsidRPr="008C6439">
        <w:rPr>
          <w:lang w:val="en-AU"/>
        </w:rPr>
        <w:lastRenderedPageBreak/>
        <w:t>Authorisation</w:t>
      </w:r>
      <w:bookmarkEnd w:id="64"/>
      <w:bookmarkEnd w:id="65"/>
    </w:p>
    <w:p w14:paraId="21CB06DE" w14:textId="7862F03C" w:rsidR="00A46096" w:rsidRPr="002F4B82" w:rsidRDefault="00A46096" w:rsidP="00CF2510">
      <w:pPr>
        <w:spacing w:line="276" w:lineRule="auto"/>
        <w:jc w:val="both"/>
        <w:rPr>
          <w:sz w:val="20"/>
          <w:szCs w:val="20"/>
        </w:rPr>
      </w:pPr>
      <w:r w:rsidRPr="00B86A61">
        <w:t xml:space="preserve">The </w:t>
      </w:r>
      <w:r w:rsidR="00A60B29">
        <w:t xml:space="preserve">Area Executive Director, </w:t>
      </w:r>
      <w:proofErr w:type="spellStart"/>
      <w:r w:rsidR="00A60B29">
        <w:t>Bayside</w:t>
      </w:r>
      <w:proofErr w:type="spellEnd"/>
      <w:r w:rsidR="00A60B29">
        <w:t xml:space="preserve"> Peninsula Area</w:t>
      </w:r>
      <w:r w:rsidRPr="00B86A61">
        <w:t xml:space="preserve"> of the Department of Education and Training and the Chief Executive of </w:t>
      </w:r>
      <w:r w:rsidR="007446C2" w:rsidRPr="007446C2">
        <w:rPr>
          <w:lang w:val="en-AU"/>
        </w:rPr>
        <w:t>Kingston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7446C2">
        <w:t>City of Kingston</w:t>
      </w:r>
      <w:r w:rsidR="000937BD">
        <w:t xml:space="preserve"> </w:t>
      </w:r>
      <w:r w:rsidRPr="00B86A61">
        <w:t>by signing on</w:t>
      </w:r>
      <w:r w:rsidRPr="002F4B82">
        <w:rPr>
          <w:sz w:val="20"/>
          <w:szCs w:val="20"/>
        </w:rPr>
        <w:t xml:space="preserve"> </w:t>
      </w:r>
      <w:r w:rsidRPr="00B86A61">
        <w:rPr>
          <w:szCs w:val="22"/>
        </w:rPr>
        <w:t>………. / ………. / ……….</w:t>
      </w:r>
    </w:p>
    <w:p w14:paraId="084F43DD" w14:textId="3102AC09"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1C04EB" w:rsidRPr="001C04EB">
        <w:rPr>
          <w:b/>
          <w:bCs/>
        </w:rPr>
        <w:t>2024</w:t>
      </w:r>
      <w:r w:rsidR="006A1B5D" w:rsidRPr="001C04EB">
        <w:rPr>
          <w:b/>
          <w:bCs/>
        </w:rPr>
        <w:t xml:space="preserve"> </w:t>
      </w:r>
      <w:r w:rsidR="006A1B5D" w:rsidRPr="00721DA8">
        <w:t>to publish a new version that will replace the previous version.</w:t>
      </w:r>
      <w:r w:rsidR="006D73AB">
        <w:t xml:space="preserve"> </w:t>
      </w:r>
      <w:r w:rsidR="006D73AB" w:rsidRPr="00433F8C">
        <w:t>The timing of subsequent reviews will be confirmed at this time.</w:t>
      </w:r>
    </w:p>
    <w:p w14:paraId="27A804A4" w14:textId="44204C25" w:rsidR="00A46096" w:rsidRDefault="00A46096" w:rsidP="00A46096">
      <w:pPr>
        <w:spacing w:after="0" w:line="276" w:lineRule="auto"/>
        <w:jc w:val="both"/>
        <w:rPr>
          <w:szCs w:val="22"/>
        </w:rPr>
      </w:pPr>
      <w:r w:rsidRPr="002F4B82">
        <w:t xml:space="preserve">Signed for and on behalf and with the authority of </w:t>
      </w:r>
      <w:r w:rsidR="007446C2" w:rsidRPr="007446C2">
        <w:rPr>
          <w:lang w:val="en-AU"/>
        </w:rPr>
        <w:t>Kingston City Council</w:t>
      </w: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08D12765" w:rsidR="00A46096" w:rsidRPr="00B86A61" w:rsidRDefault="00A46096" w:rsidP="00A60B29">
      <w:pPr>
        <w:spacing w:after="0" w:line="276" w:lineRule="auto"/>
        <w:rPr>
          <w:szCs w:val="22"/>
        </w:rPr>
      </w:pPr>
      <w:r w:rsidRPr="00B86A61">
        <w:rPr>
          <w:szCs w:val="22"/>
        </w:rPr>
        <w:t>Name:</w:t>
      </w:r>
      <w:r w:rsidR="00A60B29">
        <w:rPr>
          <w:szCs w:val="22"/>
        </w:rPr>
        <w:t xml:space="preserve"> </w:t>
      </w:r>
      <w:r w:rsidR="003F267C">
        <w:rPr>
          <w:szCs w:val="22"/>
        </w:rPr>
        <w:t>Peter Bean</w:t>
      </w:r>
      <w:r w:rsidRPr="00B86A61">
        <w:rPr>
          <w:szCs w:val="22"/>
        </w:rPr>
        <w:br/>
      </w:r>
      <w:r w:rsidRPr="00B86A61">
        <w:rPr>
          <w:szCs w:val="22"/>
        </w:rPr>
        <w:br/>
      </w:r>
    </w:p>
    <w:p w14:paraId="061035F9" w14:textId="4ACF4573" w:rsidR="00A46096" w:rsidRPr="00B86A61" w:rsidRDefault="00A46096" w:rsidP="00A60B29">
      <w:pPr>
        <w:spacing w:after="0" w:line="276" w:lineRule="auto"/>
        <w:rPr>
          <w:szCs w:val="22"/>
        </w:rPr>
      </w:pPr>
      <w:r w:rsidRPr="00B86A61">
        <w:rPr>
          <w:szCs w:val="22"/>
        </w:rPr>
        <w:t xml:space="preserve">Title: </w:t>
      </w:r>
      <w:r w:rsidR="003F267C">
        <w:rPr>
          <w:szCs w:val="22"/>
        </w:rPr>
        <w:t>CHIEF EXECUTIVE OFFICER</w:t>
      </w:r>
      <w:r w:rsidRPr="00B86A61">
        <w:rPr>
          <w:szCs w:val="22"/>
        </w:rPr>
        <w:br/>
      </w:r>
    </w:p>
    <w:p w14:paraId="36F354D2" w14:textId="6F09E175" w:rsidR="00A46096" w:rsidRPr="00B86A61" w:rsidRDefault="00A46096" w:rsidP="00A46096">
      <w:pPr>
        <w:spacing w:after="0" w:line="276" w:lineRule="auto"/>
        <w:jc w:val="both"/>
        <w:rPr>
          <w:szCs w:val="22"/>
        </w:rPr>
      </w:pPr>
      <w:r w:rsidRPr="00B86A61">
        <w:rPr>
          <w:szCs w:val="22"/>
        </w:rPr>
        <w:t xml:space="preserve">Address: </w:t>
      </w:r>
      <w:r w:rsidR="003F267C">
        <w:rPr>
          <w:szCs w:val="22"/>
        </w:rPr>
        <w:t>1230 Nepean Highway, Cheltenham, Vic</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2BC3C140" w:rsidR="00A46096" w:rsidRPr="00B86A61" w:rsidRDefault="00A46096" w:rsidP="00A46096">
      <w:pPr>
        <w:spacing w:after="0" w:line="276" w:lineRule="auto"/>
        <w:jc w:val="both"/>
        <w:rPr>
          <w:szCs w:val="22"/>
        </w:rPr>
      </w:pPr>
      <w:r w:rsidRPr="00B86A61">
        <w:rPr>
          <w:szCs w:val="22"/>
        </w:rPr>
        <w:t xml:space="preserve">Signed by </w:t>
      </w:r>
      <w:r w:rsidR="00A60B29">
        <w:t>Area Executive Director</w:t>
      </w:r>
      <w:r w:rsidRPr="00B86A61">
        <w:rPr>
          <w:szCs w:val="22"/>
        </w:rPr>
        <w:t xml:space="preserve">, </w:t>
      </w:r>
      <w:proofErr w:type="spellStart"/>
      <w:r w:rsidR="00A60B29">
        <w:rPr>
          <w:szCs w:val="22"/>
        </w:rPr>
        <w:t>Bayside</w:t>
      </w:r>
      <w:proofErr w:type="spellEnd"/>
      <w:r w:rsidR="00A60B29">
        <w:rPr>
          <w:szCs w:val="22"/>
        </w:rPr>
        <w:t xml:space="preserve"> Peninsular Area, </w:t>
      </w:r>
      <w:r w:rsidRPr="00B86A61">
        <w:rPr>
          <w:szCs w:val="22"/>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5AF95134" w14:textId="58BCE382" w:rsidR="00A46096" w:rsidRPr="00B86A61" w:rsidRDefault="00A46096" w:rsidP="00A60B29">
      <w:pPr>
        <w:spacing w:after="0" w:line="276" w:lineRule="auto"/>
        <w:rPr>
          <w:szCs w:val="22"/>
        </w:rPr>
      </w:pPr>
      <w:r w:rsidRPr="00B86A61">
        <w:rPr>
          <w:szCs w:val="22"/>
        </w:rPr>
        <w:t xml:space="preserve">Name: </w:t>
      </w:r>
      <w:r w:rsidR="00A60B29">
        <w:rPr>
          <w:szCs w:val="22"/>
        </w:rPr>
        <w:t>Simon Hamilton</w:t>
      </w:r>
      <w:r w:rsidRPr="00B86A61">
        <w:rPr>
          <w:szCs w:val="22"/>
        </w:rPr>
        <w:br/>
      </w:r>
      <w:r w:rsidRPr="00B86A61">
        <w:rPr>
          <w:szCs w:val="22"/>
        </w:rPr>
        <w:br/>
      </w:r>
    </w:p>
    <w:p w14:paraId="29AD0BE3" w14:textId="143C7D9A" w:rsidR="00A46096" w:rsidRPr="00B86A61" w:rsidRDefault="00A46096" w:rsidP="00A60B29">
      <w:pPr>
        <w:spacing w:after="0" w:line="276" w:lineRule="auto"/>
        <w:rPr>
          <w:szCs w:val="22"/>
          <w:lang w:val="en-US"/>
        </w:rPr>
      </w:pPr>
      <w:r w:rsidRPr="00B86A61">
        <w:rPr>
          <w:szCs w:val="22"/>
        </w:rPr>
        <w:t xml:space="preserve">Title: </w:t>
      </w:r>
      <w:r w:rsidR="00A60B29">
        <w:rPr>
          <w:szCs w:val="22"/>
        </w:rPr>
        <w:t xml:space="preserve">Area Executive Director, </w:t>
      </w:r>
      <w:proofErr w:type="spellStart"/>
      <w:r w:rsidR="00A60B29">
        <w:rPr>
          <w:szCs w:val="22"/>
        </w:rPr>
        <w:t>Bayside</w:t>
      </w:r>
      <w:proofErr w:type="spellEnd"/>
      <w:r w:rsidR="00A60B29">
        <w:rPr>
          <w:szCs w:val="22"/>
        </w:rPr>
        <w:t xml:space="preserve"> Peninsula</w:t>
      </w:r>
      <w:r w:rsidRPr="00B86A61">
        <w:rPr>
          <w:szCs w:val="22"/>
        </w:rPr>
        <w:br/>
      </w:r>
      <w:r w:rsidRPr="00B86A61">
        <w:rPr>
          <w:szCs w:val="22"/>
        </w:rPr>
        <w:br/>
      </w:r>
    </w:p>
    <w:p w14:paraId="68F25774" w14:textId="108E0E03" w:rsidR="002673FB" w:rsidRPr="00D448A5" w:rsidRDefault="00A46096" w:rsidP="009962DF">
      <w:pPr>
        <w:spacing w:after="0" w:line="276" w:lineRule="auto"/>
        <w:jc w:val="both"/>
        <w:rPr>
          <w:lang w:val="en-US"/>
        </w:rPr>
      </w:pPr>
      <w:r w:rsidRPr="00B86A61">
        <w:rPr>
          <w:szCs w:val="22"/>
        </w:rPr>
        <w:t xml:space="preserve">Address: </w:t>
      </w:r>
      <w:r w:rsidR="003F267C">
        <w:rPr>
          <w:szCs w:val="22"/>
        </w:rPr>
        <w:t>Level 2, 1 Petrie Street, Frankston</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F433" w14:textId="77777777" w:rsidR="00593A51" w:rsidRDefault="00593A51" w:rsidP="003967DD">
      <w:pPr>
        <w:spacing w:after="0"/>
      </w:pPr>
      <w:r>
        <w:separator/>
      </w:r>
    </w:p>
  </w:endnote>
  <w:endnote w:type="continuationSeparator" w:id="0">
    <w:p w14:paraId="1C4039C1" w14:textId="77777777" w:rsidR="00593A51" w:rsidRDefault="00593A51" w:rsidP="003967DD">
      <w:pPr>
        <w:spacing w:after="0"/>
      </w:pPr>
      <w:r>
        <w:continuationSeparator/>
      </w:r>
    </w:p>
  </w:endnote>
  <w:endnote w:type="continuationNotice" w:id="1">
    <w:p w14:paraId="460A9A47" w14:textId="77777777" w:rsidR="00593A51" w:rsidRDefault="00593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4DB7" w14:textId="77777777" w:rsidR="00593A51" w:rsidRDefault="00593A51" w:rsidP="003967DD">
      <w:pPr>
        <w:spacing w:after="0"/>
      </w:pPr>
      <w:r>
        <w:separator/>
      </w:r>
    </w:p>
  </w:footnote>
  <w:footnote w:type="continuationSeparator" w:id="0">
    <w:p w14:paraId="2E326428" w14:textId="77777777" w:rsidR="00593A51" w:rsidRDefault="00593A51" w:rsidP="003967DD">
      <w:pPr>
        <w:spacing w:after="0"/>
      </w:pPr>
      <w:r>
        <w:continuationSeparator/>
      </w:r>
    </w:p>
  </w:footnote>
  <w:footnote w:type="continuationNotice" w:id="1">
    <w:p w14:paraId="4E20DB75" w14:textId="77777777" w:rsidR="00593A51" w:rsidRDefault="00593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5992953"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3508A0"/>
    <w:multiLevelType w:val="hybridMultilevel"/>
    <w:tmpl w:val="288A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77F40"/>
    <w:multiLevelType w:val="hybridMultilevel"/>
    <w:tmpl w:val="F77E1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9264D1"/>
    <w:multiLevelType w:val="hybridMultilevel"/>
    <w:tmpl w:val="BEDC8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F2346"/>
    <w:multiLevelType w:val="hybridMultilevel"/>
    <w:tmpl w:val="C060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505FEF"/>
    <w:multiLevelType w:val="hybridMultilevel"/>
    <w:tmpl w:val="5B4C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E3AED"/>
    <w:multiLevelType w:val="hybridMultilevel"/>
    <w:tmpl w:val="9E801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7657A9"/>
    <w:multiLevelType w:val="hybridMultilevel"/>
    <w:tmpl w:val="49C8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4CF8"/>
    <w:multiLevelType w:val="hybridMultilevel"/>
    <w:tmpl w:val="0250F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A21BF7"/>
    <w:multiLevelType w:val="hybridMultilevel"/>
    <w:tmpl w:val="165E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A19EB"/>
    <w:multiLevelType w:val="hybridMultilevel"/>
    <w:tmpl w:val="FBEC3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E40359"/>
    <w:multiLevelType w:val="hybridMultilevel"/>
    <w:tmpl w:val="2BD4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E1D14"/>
    <w:multiLevelType w:val="hybridMultilevel"/>
    <w:tmpl w:val="A328E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3C633D"/>
    <w:multiLevelType w:val="hybridMultilevel"/>
    <w:tmpl w:val="EAC65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7C6230"/>
    <w:multiLevelType w:val="hybridMultilevel"/>
    <w:tmpl w:val="406CB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266901">
    <w:abstractNumId w:val="16"/>
  </w:num>
  <w:num w:numId="2" w16cid:durableId="1368139136">
    <w:abstractNumId w:val="34"/>
  </w:num>
  <w:num w:numId="3" w16cid:durableId="1911230877">
    <w:abstractNumId w:val="12"/>
  </w:num>
  <w:num w:numId="4" w16cid:durableId="1403530368">
    <w:abstractNumId w:val="25"/>
  </w:num>
  <w:num w:numId="5" w16cid:durableId="1965041397">
    <w:abstractNumId w:val="27"/>
  </w:num>
  <w:num w:numId="6" w16cid:durableId="1687362819">
    <w:abstractNumId w:val="21"/>
  </w:num>
  <w:num w:numId="7" w16cid:durableId="131682815">
    <w:abstractNumId w:val="9"/>
  </w:num>
  <w:num w:numId="8" w16cid:durableId="1771242287">
    <w:abstractNumId w:val="33"/>
  </w:num>
  <w:num w:numId="9" w16cid:durableId="1336153128">
    <w:abstractNumId w:val="29"/>
  </w:num>
  <w:num w:numId="10" w16cid:durableId="1070808022">
    <w:abstractNumId w:val="14"/>
  </w:num>
  <w:num w:numId="11" w16cid:durableId="698507800">
    <w:abstractNumId w:val="32"/>
  </w:num>
  <w:num w:numId="12" w16cid:durableId="1188524368">
    <w:abstractNumId w:val="36"/>
  </w:num>
  <w:num w:numId="13" w16cid:durableId="881136989">
    <w:abstractNumId w:val="26"/>
  </w:num>
  <w:num w:numId="14" w16cid:durableId="1566066406">
    <w:abstractNumId w:val="10"/>
  </w:num>
  <w:num w:numId="15" w16cid:durableId="211816811">
    <w:abstractNumId w:val="43"/>
  </w:num>
  <w:num w:numId="16" w16cid:durableId="726487612">
    <w:abstractNumId w:val="13"/>
  </w:num>
  <w:num w:numId="17" w16cid:durableId="572080173">
    <w:abstractNumId w:val="4"/>
  </w:num>
  <w:num w:numId="18" w16cid:durableId="905726933">
    <w:abstractNumId w:val="0"/>
  </w:num>
  <w:num w:numId="19" w16cid:durableId="2057853974">
    <w:abstractNumId w:val="28"/>
  </w:num>
  <w:num w:numId="20" w16cid:durableId="899169107">
    <w:abstractNumId w:val="3"/>
  </w:num>
  <w:num w:numId="21" w16cid:durableId="1566599287">
    <w:abstractNumId w:val="39"/>
  </w:num>
  <w:num w:numId="22" w16cid:durableId="860356672">
    <w:abstractNumId w:val="42"/>
  </w:num>
  <w:num w:numId="23" w16cid:durableId="1310205547">
    <w:abstractNumId w:val="31"/>
  </w:num>
  <w:num w:numId="24" w16cid:durableId="1573346360">
    <w:abstractNumId w:val="23"/>
  </w:num>
  <w:num w:numId="25" w16cid:durableId="15160789">
    <w:abstractNumId w:val="2"/>
  </w:num>
  <w:num w:numId="26" w16cid:durableId="608047640">
    <w:abstractNumId w:val="38"/>
  </w:num>
  <w:num w:numId="27" w16cid:durableId="559248230">
    <w:abstractNumId w:val="5"/>
  </w:num>
  <w:num w:numId="28" w16cid:durableId="523597735">
    <w:abstractNumId w:val="11"/>
  </w:num>
  <w:num w:numId="29" w16cid:durableId="230821888">
    <w:abstractNumId w:val="44"/>
  </w:num>
  <w:num w:numId="30" w16cid:durableId="1907375682">
    <w:abstractNumId w:val="40"/>
  </w:num>
  <w:num w:numId="31" w16cid:durableId="819659120">
    <w:abstractNumId w:val="18"/>
  </w:num>
  <w:num w:numId="32" w16cid:durableId="1907061876">
    <w:abstractNumId w:val="37"/>
  </w:num>
  <w:num w:numId="33" w16cid:durableId="190268672">
    <w:abstractNumId w:val="8"/>
  </w:num>
  <w:num w:numId="34" w16cid:durableId="1666977317">
    <w:abstractNumId w:val="30"/>
  </w:num>
  <w:num w:numId="35" w16cid:durableId="816456462">
    <w:abstractNumId w:val="24"/>
  </w:num>
  <w:num w:numId="36" w16cid:durableId="2036927546">
    <w:abstractNumId w:val="35"/>
  </w:num>
  <w:num w:numId="37" w16cid:durableId="2054844259">
    <w:abstractNumId w:val="15"/>
  </w:num>
  <w:num w:numId="38" w16cid:durableId="1524978803">
    <w:abstractNumId w:val="19"/>
  </w:num>
  <w:num w:numId="39" w16cid:durableId="647131068">
    <w:abstractNumId w:val="20"/>
  </w:num>
  <w:num w:numId="40" w16cid:durableId="69542976">
    <w:abstractNumId w:val="22"/>
  </w:num>
  <w:num w:numId="41" w16cid:durableId="1795098478">
    <w:abstractNumId w:val="6"/>
  </w:num>
  <w:num w:numId="42" w16cid:durableId="841121589">
    <w:abstractNumId w:val="17"/>
  </w:num>
  <w:num w:numId="43" w16cid:durableId="2033257722">
    <w:abstractNumId w:val="7"/>
  </w:num>
  <w:num w:numId="44" w16cid:durableId="1963608455">
    <w:abstractNumId w:val="45"/>
  </w:num>
  <w:num w:numId="45" w16cid:durableId="1469514666">
    <w:abstractNumId w:val="41"/>
  </w:num>
  <w:num w:numId="46" w16cid:durableId="88972539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13D0"/>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3BAF"/>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32F"/>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0748"/>
    <w:rsid w:val="00191676"/>
    <w:rsid w:val="00193D88"/>
    <w:rsid w:val="00193FEC"/>
    <w:rsid w:val="001944A6"/>
    <w:rsid w:val="001951A6"/>
    <w:rsid w:val="0019643A"/>
    <w:rsid w:val="001967ED"/>
    <w:rsid w:val="001A0103"/>
    <w:rsid w:val="001A16C6"/>
    <w:rsid w:val="001A2093"/>
    <w:rsid w:val="001A25BE"/>
    <w:rsid w:val="001A5D01"/>
    <w:rsid w:val="001A6245"/>
    <w:rsid w:val="001A7091"/>
    <w:rsid w:val="001B0970"/>
    <w:rsid w:val="001B1A0E"/>
    <w:rsid w:val="001B5019"/>
    <w:rsid w:val="001C04EB"/>
    <w:rsid w:val="001C0F41"/>
    <w:rsid w:val="001C2791"/>
    <w:rsid w:val="001C28A0"/>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27686"/>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3480"/>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5A96"/>
    <w:rsid w:val="002A7BC6"/>
    <w:rsid w:val="002B21D2"/>
    <w:rsid w:val="002B6281"/>
    <w:rsid w:val="002B727C"/>
    <w:rsid w:val="002C1473"/>
    <w:rsid w:val="002C236E"/>
    <w:rsid w:val="002C320A"/>
    <w:rsid w:val="002C34B0"/>
    <w:rsid w:val="002C4E46"/>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2218"/>
    <w:rsid w:val="003435B2"/>
    <w:rsid w:val="00350264"/>
    <w:rsid w:val="00350E8E"/>
    <w:rsid w:val="003518DD"/>
    <w:rsid w:val="00353251"/>
    <w:rsid w:val="00353668"/>
    <w:rsid w:val="0036042D"/>
    <w:rsid w:val="00360CF7"/>
    <w:rsid w:val="00363C9D"/>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B6D6C"/>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67C"/>
    <w:rsid w:val="003F2932"/>
    <w:rsid w:val="003F3C2D"/>
    <w:rsid w:val="003F4016"/>
    <w:rsid w:val="003F4951"/>
    <w:rsid w:val="003F5280"/>
    <w:rsid w:val="003F6965"/>
    <w:rsid w:val="0040058D"/>
    <w:rsid w:val="00403AAB"/>
    <w:rsid w:val="00404DF2"/>
    <w:rsid w:val="0040729A"/>
    <w:rsid w:val="00410927"/>
    <w:rsid w:val="00413DC6"/>
    <w:rsid w:val="0041661D"/>
    <w:rsid w:val="0041756E"/>
    <w:rsid w:val="00420247"/>
    <w:rsid w:val="004219BE"/>
    <w:rsid w:val="00421E79"/>
    <w:rsid w:val="0043054E"/>
    <w:rsid w:val="00430A5F"/>
    <w:rsid w:val="00433EDC"/>
    <w:rsid w:val="00433F8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2890"/>
    <w:rsid w:val="0049475D"/>
    <w:rsid w:val="004A2921"/>
    <w:rsid w:val="004A4597"/>
    <w:rsid w:val="004A4EE0"/>
    <w:rsid w:val="004A515B"/>
    <w:rsid w:val="004A69CE"/>
    <w:rsid w:val="004A7DAE"/>
    <w:rsid w:val="004B1485"/>
    <w:rsid w:val="004B2649"/>
    <w:rsid w:val="004B2676"/>
    <w:rsid w:val="004B2E22"/>
    <w:rsid w:val="004B4004"/>
    <w:rsid w:val="004B4058"/>
    <w:rsid w:val="004B43D1"/>
    <w:rsid w:val="004B5178"/>
    <w:rsid w:val="004B54B8"/>
    <w:rsid w:val="004B6FAA"/>
    <w:rsid w:val="004C08F1"/>
    <w:rsid w:val="004C0A67"/>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3A51"/>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05D"/>
    <w:rsid w:val="0064170E"/>
    <w:rsid w:val="006419C1"/>
    <w:rsid w:val="00642C9E"/>
    <w:rsid w:val="00642DAC"/>
    <w:rsid w:val="00645A3D"/>
    <w:rsid w:val="00646A84"/>
    <w:rsid w:val="00647A33"/>
    <w:rsid w:val="00650048"/>
    <w:rsid w:val="006519C0"/>
    <w:rsid w:val="0065299E"/>
    <w:rsid w:val="006623ED"/>
    <w:rsid w:val="006629AF"/>
    <w:rsid w:val="00662A24"/>
    <w:rsid w:val="00662C5D"/>
    <w:rsid w:val="006676D1"/>
    <w:rsid w:val="00673D83"/>
    <w:rsid w:val="00676EF0"/>
    <w:rsid w:val="00677C14"/>
    <w:rsid w:val="00682E65"/>
    <w:rsid w:val="006840DE"/>
    <w:rsid w:val="00687BDD"/>
    <w:rsid w:val="006962E7"/>
    <w:rsid w:val="00696EE3"/>
    <w:rsid w:val="006A1B5D"/>
    <w:rsid w:val="006A25AC"/>
    <w:rsid w:val="006A6B01"/>
    <w:rsid w:val="006B1BAC"/>
    <w:rsid w:val="006B6C5F"/>
    <w:rsid w:val="006C2589"/>
    <w:rsid w:val="006C30A6"/>
    <w:rsid w:val="006C5012"/>
    <w:rsid w:val="006C59DB"/>
    <w:rsid w:val="006C62DA"/>
    <w:rsid w:val="006C7F7C"/>
    <w:rsid w:val="006D0FE8"/>
    <w:rsid w:val="006D1542"/>
    <w:rsid w:val="006D1545"/>
    <w:rsid w:val="006D73AB"/>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2E99"/>
    <w:rsid w:val="0072506E"/>
    <w:rsid w:val="007270DC"/>
    <w:rsid w:val="007275AA"/>
    <w:rsid w:val="00733DF9"/>
    <w:rsid w:val="00736FB0"/>
    <w:rsid w:val="007370A8"/>
    <w:rsid w:val="00741EEA"/>
    <w:rsid w:val="007446C2"/>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6C6F"/>
    <w:rsid w:val="00797E0C"/>
    <w:rsid w:val="007A33EB"/>
    <w:rsid w:val="007A4A50"/>
    <w:rsid w:val="007A742C"/>
    <w:rsid w:val="007B1A46"/>
    <w:rsid w:val="007B27D5"/>
    <w:rsid w:val="007B2E24"/>
    <w:rsid w:val="007B5218"/>
    <w:rsid w:val="007B556E"/>
    <w:rsid w:val="007B5984"/>
    <w:rsid w:val="007B75E4"/>
    <w:rsid w:val="007B76A7"/>
    <w:rsid w:val="007C2480"/>
    <w:rsid w:val="007C2F97"/>
    <w:rsid w:val="007C337E"/>
    <w:rsid w:val="007C4B81"/>
    <w:rsid w:val="007C77A2"/>
    <w:rsid w:val="007D2404"/>
    <w:rsid w:val="007D290A"/>
    <w:rsid w:val="007D3E38"/>
    <w:rsid w:val="007D4AFF"/>
    <w:rsid w:val="007E200A"/>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4672"/>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D3D86"/>
    <w:rsid w:val="008D7E50"/>
    <w:rsid w:val="008E1D63"/>
    <w:rsid w:val="008E446D"/>
    <w:rsid w:val="008E5ECA"/>
    <w:rsid w:val="008E6F6C"/>
    <w:rsid w:val="008F3B60"/>
    <w:rsid w:val="008F5C31"/>
    <w:rsid w:val="008F766C"/>
    <w:rsid w:val="0090075B"/>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6CA3"/>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06D"/>
    <w:rsid w:val="00A23C3A"/>
    <w:rsid w:val="00A27220"/>
    <w:rsid w:val="00A2734D"/>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4E7D"/>
    <w:rsid w:val="00A45AEB"/>
    <w:rsid w:val="00A45F01"/>
    <w:rsid w:val="00A46096"/>
    <w:rsid w:val="00A4776B"/>
    <w:rsid w:val="00A523A2"/>
    <w:rsid w:val="00A60B29"/>
    <w:rsid w:val="00A63D55"/>
    <w:rsid w:val="00A65C01"/>
    <w:rsid w:val="00A66ADA"/>
    <w:rsid w:val="00A66D78"/>
    <w:rsid w:val="00A70669"/>
    <w:rsid w:val="00A80C7E"/>
    <w:rsid w:val="00A81F7E"/>
    <w:rsid w:val="00A820AC"/>
    <w:rsid w:val="00A839A6"/>
    <w:rsid w:val="00A83FF8"/>
    <w:rsid w:val="00A86CC5"/>
    <w:rsid w:val="00A8769A"/>
    <w:rsid w:val="00A8792C"/>
    <w:rsid w:val="00A97A7A"/>
    <w:rsid w:val="00AA152C"/>
    <w:rsid w:val="00AA5E7D"/>
    <w:rsid w:val="00AA6F58"/>
    <w:rsid w:val="00AB0E2E"/>
    <w:rsid w:val="00AB2598"/>
    <w:rsid w:val="00AB25E1"/>
    <w:rsid w:val="00AB6463"/>
    <w:rsid w:val="00AB7543"/>
    <w:rsid w:val="00AC1EEA"/>
    <w:rsid w:val="00AC20D5"/>
    <w:rsid w:val="00AC222B"/>
    <w:rsid w:val="00AC4692"/>
    <w:rsid w:val="00AC537D"/>
    <w:rsid w:val="00AC60A5"/>
    <w:rsid w:val="00AC69E3"/>
    <w:rsid w:val="00AC7938"/>
    <w:rsid w:val="00AD034F"/>
    <w:rsid w:val="00AD1BF3"/>
    <w:rsid w:val="00AD2301"/>
    <w:rsid w:val="00AD46E8"/>
    <w:rsid w:val="00AD4707"/>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17EBE"/>
    <w:rsid w:val="00B211E6"/>
    <w:rsid w:val="00B30809"/>
    <w:rsid w:val="00B351CF"/>
    <w:rsid w:val="00B37F72"/>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6B6"/>
    <w:rsid w:val="00B92CC5"/>
    <w:rsid w:val="00B948EA"/>
    <w:rsid w:val="00B97D9C"/>
    <w:rsid w:val="00BA1ABA"/>
    <w:rsid w:val="00BA2234"/>
    <w:rsid w:val="00BB1F3D"/>
    <w:rsid w:val="00BB586D"/>
    <w:rsid w:val="00BB595F"/>
    <w:rsid w:val="00BB6922"/>
    <w:rsid w:val="00BB6CA9"/>
    <w:rsid w:val="00BC3FF4"/>
    <w:rsid w:val="00BC5790"/>
    <w:rsid w:val="00BC6035"/>
    <w:rsid w:val="00BD0560"/>
    <w:rsid w:val="00BD0EB2"/>
    <w:rsid w:val="00BD2CBD"/>
    <w:rsid w:val="00BD590A"/>
    <w:rsid w:val="00BD61AF"/>
    <w:rsid w:val="00BE2E06"/>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27D2"/>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91A"/>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C7CAF"/>
    <w:rsid w:val="00DD1610"/>
    <w:rsid w:val="00DD1B05"/>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6ED6"/>
    <w:rsid w:val="00E9011C"/>
    <w:rsid w:val="00E90B60"/>
    <w:rsid w:val="00E91546"/>
    <w:rsid w:val="00E915F7"/>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24F"/>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00FF5EDA"/>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6B6"/>
    <w:pPr>
      <w:autoSpaceDE w:val="0"/>
      <w:autoSpaceDN w:val="0"/>
      <w:adjustRightInd w:val="0"/>
    </w:pPr>
    <w:rPr>
      <w:rFonts w:ascii="Arial" w:hAnsi="Arial" w:cs="Arial"/>
      <w:color w:val="000000"/>
      <w:lang w:val="en-AU"/>
    </w:rPr>
  </w:style>
  <w:style w:type="paragraph" w:customStyle="1" w:styleId="CBodyLight">
    <w:name w:val="C/ Body Light"/>
    <w:basedOn w:val="Normal"/>
    <w:link w:val="CBodyLightChar1"/>
    <w:qFormat/>
    <w:rsid w:val="00B926B6"/>
    <w:pPr>
      <w:suppressAutoHyphens/>
      <w:spacing w:before="60" w:line="300" w:lineRule="auto"/>
    </w:pPr>
    <w:rPr>
      <w:rFonts w:ascii="Arial" w:eastAsia="Times New Roman" w:hAnsi="Arial" w:cs="Arial"/>
      <w:color w:val="000000" w:themeColor="text1"/>
      <w:sz w:val="20"/>
      <w:szCs w:val="18"/>
      <w:lang w:val="en-AU" w:eastAsia="en-AU"/>
    </w:rPr>
  </w:style>
  <w:style w:type="character" w:customStyle="1" w:styleId="CBodyLightChar1">
    <w:name w:val="C/ Body Light Char1"/>
    <w:link w:val="CBodyLight"/>
    <w:locked/>
    <w:rsid w:val="00B926B6"/>
    <w:rPr>
      <w:rFonts w:ascii="Arial" w:eastAsia="Times New Roman" w:hAnsi="Arial" w:cs="Arial"/>
      <w:color w:val="000000" w:themeColor="text1"/>
      <w:sz w:val="20"/>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496772523">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78501092">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07210033">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1446635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cid:image001.png@01D82A5F.0986AB7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Kingston_KISP_Signed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2CE552-5BCE-4B27-99CE-85711E20156A}"/>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080A7724-51C1-4C61-B31C-1CF27AD9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5724</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cp:revision>
  <dcterms:created xsi:type="dcterms:W3CDTF">2022-03-11T03:32:00Z</dcterms:created>
  <dcterms:modified xsi:type="dcterms:W3CDTF">2022-05-09T00:52:00Z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{bd316f08-7dd1-4158-ad84-093f4f2e9774}</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R20220181018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2022-03-17T14:40:46.8410334+11:00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