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5"/>
        <w:tblW w:w="15670" w:type="dxa"/>
        <w:tblInd w:w="-176" w:type="dxa"/>
        <w:tblLook w:val="04A0" w:firstRow="1" w:lastRow="0" w:firstColumn="1" w:lastColumn="0" w:noHBand="0" w:noVBand="1"/>
      </w:tblPr>
      <w:tblGrid>
        <w:gridCol w:w="2694"/>
        <w:gridCol w:w="11765"/>
        <w:gridCol w:w="1211"/>
      </w:tblGrid>
      <w:tr w:rsidR="00711725" w14:paraId="7F3941C3" w14:textId="08255036" w:rsidTr="0071172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459" w:type="dxa"/>
            <w:gridSpan w:val="2"/>
            <w:tcBorders>
              <w:top w:val="nil"/>
              <w:left w:val="nil"/>
              <w:bottom w:val="nil"/>
              <w:right w:val="nil"/>
            </w:tcBorders>
            <w:shd w:val="clear" w:color="auto" w:fill="auto"/>
          </w:tcPr>
          <w:p w14:paraId="3F66AFF8" w14:textId="16FD4F0F" w:rsidR="00CC7756" w:rsidRDefault="00711725" w:rsidP="00CC7756">
            <w:pPr>
              <w:spacing w:line="276" w:lineRule="auto"/>
              <w:rPr>
                <w:color w:val="31849B" w:themeColor="accent5" w:themeShade="BF"/>
                <w:sz w:val="36"/>
                <w:szCs w:val="36"/>
              </w:rPr>
            </w:pPr>
            <w:bookmarkStart w:id="0" w:name="_GoBack"/>
            <w:bookmarkEnd w:id="0"/>
            <w:r w:rsidRPr="003175B5">
              <w:rPr>
                <w:color w:val="31849B" w:themeColor="accent5" w:themeShade="BF"/>
                <w:sz w:val="36"/>
                <w:szCs w:val="36"/>
              </w:rPr>
              <w:t xml:space="preserve">Kindergarten </w:t>
            </w:r>
            <w:r w:rsidR="0002247A">
              <w:rPr>
                <w:color w:val="31849B" w:themeColor="accent5" w:themeShade="BF"/>
                <w:sz w:val="36"/>
                <w:szCs w:val="36"/>
              </w:rPr>
              <w:t xml:space="preserve">Funding </w:t>
            </w:r>
            <w:r w:rsidRPr="003175B5">
              <w:rPr>
                <w:color w:val="31849B" w:themeColor="accent5" w:themeShade="BF"/>
                <w:sz w:val="36"/>
                <w:szCs w:val="36"/>
              </w:rPr>
              <w:t xml:space="preserve">Guide </w:t>
            </w:r>
          </w:p>
          <w:p w14:paraId="7F3941C2" w14:textId="6179A2FA" w:rsidR="00711725" w:rsidRPr="00094B9D" w:rsidRDefault="004C1DF3" w:rsidP="00CC7756">
            <w:pPr>
              <w:spacing w:line="276" w:lineRule="auto"/>
            </w:pPr>
            <w:r w:rsidRPr="0002247A">
              <w:rPr>
                <w:color w:val="auto"/>
                <w:sz w:val="28"/>
              </w:rPr>
              <w:t>K</w:t>
            </w:r>
            <w:r w:rsidR="00711725" w:rsidRPr="0002247A">
              <w:rPr>
                <w:color w:val="auto"/>
                <w:sz w:val="28"/>
              </w:rPr>
              <w:t>ey policy changes and updates</w:t>
            </w:r>
          </w:p>
        </w:tc>
        <w:tc>
          <w:tcPr>
            <w:tcW w:w="1211" w:type="dxa"/>
            <w:tcBorders>
              <w:top w:val="nil"/>
              <w:left w:val="nil"/>
              <w:bottom w:val="nil"/>
              <w:right w:val="nil"/>
            </w:tcBorders>
            <w:shd w:val="clear" w:color="auto" w:fill="FFFFFF" w:themeFill="background1"/>
          </w:tcPr>
          <w:p w14:paraId="1A82D194" w14:textId="77777777" w:rsidR="00711725" w:rsidRPr="003175B5" w:rsidRDefault="00711725" w:rsidP="000150C0">
            <w:pPr>
              <w:cnfStyle w:val="100000000000" w:firstRow="1" w:lastRow="0" w:firstColumn="0" w:lastColumn="0" w:oddVBand="0" w:evenVBand="0" w:oddHBand="0" w:evenHBand="0" w:firstRowFirstColumn="0" w:firstRowLastColumn="0" w:lastRowFirstColumn="0" w:lastRowLastColumn="0"/>
              <w:rPr>
                <w:color w:val="31849B" w:themeColor="accent5" w:themeShade="BF"/>
                <w:sz w:val="36"/>
                <w:szCs w:val="36"/>
              </w:rPr>
            </w:pPr>
          </w:p>
        </w:tc>
      </w:tr>
      <w:tr w:rsidR="00711725" w14:paraId="7F3941C6" w14:textId="27D27952"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Height w:val="80"/>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single" w:sz="12" w:space="0" w:color="4BACC6" w:themeColor="accent5"/>
              <w:right w:val="nil"/>
            </w:tcBorders>
          </w:tcPr>
          <w:p w14:paraId="7F3941C4" w14:textId="77777777" w:rsidR="00711725" w:rsidRPr="00094B9D" w:rsidRDefault="00711725">
            <w:pPr>
              <w:rPr>
                <w:b w:val="0"/>
              </w:rPr>
            </w:pPr>
          </w:p>
        </w:tc>
        <w:tc>
          <w:tcPr>
            <w:cnfStyle w:val="000010000000" w:firstRow="0" w:lastRow="0" w:firstColumn="0" w:lastColumn="0" w:oddVBand="1" w:evenVBand="0" w:oddHBand="0" w:evenHBand="0" w:firstRowFirstColumn="0" w:firstRowLastColumn="0" w:lastRowFirstColumn="0" w:lastRowLastColumn="0"/>
            <w:tcW w:w="11765" w:type="dxa"/>
            <w:tcBorders>
              <w:top w:val="nil"/>
              <w:left w:val="nil"/>
              <w:bottom w:val="single" w:sz="12" w:space="0" w:color="4BACC6" w:themeColor="accent5"/>
              <w:right w:val="nil"/>
            </w:tcBorders>
          </w:tcPr>
          <w:p w14:paraId="7F3941C5" w14:textId="77777777" w:rsidR="00711725" w:rsidRPr="00094B9D" w:rsidRDefault="00711725">
            <w:pPr>
              <w:rPr>
                <w:b/>
              </w:rPr>
            </w:pPr>
          </w:p>
        </w:tc>
        <w:tc>
          <w:tcPr>
            <w:tcW w:w="1211" w:type="dxa"/>
            <w:tcBorders>
              <w:top w:val="nil"/>
              <w:left w:val="nil"/>
              <w:bottom w:val="single" w:sz="12" w:space="0" w:color="4BACC6" w:themeColor="accent5"/>
              <w:right w:val="nil"/>
            </w:tcBorders>
            <w:shd w:val="clear" w:color="auto" w:fill="FFFFFF" w:themeFill="background1"/>
          </w:tcPr>
          <w:p w14:paraId="5084FD81" w14:textId="77777777" w:rsidR="00711725" w:rsidRPr="00094B9D" w:rsidRDefault="00711725">
            <w:pPr>
              <w:cnfStyle w:val="000000100000" w:firstRow="0" w:lastRow="0" w:firstColumn="0" w:lastColumn="0" w:oddVBand="0" w:evenVBand="0" w:oddHBand="1" w:evenHBand="0" w:firstRowFirstColumn="0" w:firstRowLastColumn="0" w:lastRowFirstColumn="0" w:lastRowLastColumn="0"/>
              <w:rPr>
                <w:b/>
              </w:rPr>
            </w:pPr>
          </w:p>
        </w:tc>
      </w:tr>
      <w:tr w:rsidR="00711725" w14:paraId="7F3941C9" w14:textId="12CE1559" w:rsidTr="0091624D">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92CDDC" w:themeFill="accent5" w:themeFillTint="99"/>
          </w:tcPr>
          <w:p w14:paraId="7F3941C7" w14:textId="1CF4A0AD" w:rsidR="00711725" w:rsidRPr="001D3271" w:rsidRDefault="00711725" w:rsidP="00977ADD">
            <w:pPr>
              <w:spacing w:line="276" w:lineRule="auto"/>
              <w:rPr>
                <w:sz w:val="24"/>
                <w:szCs w:val="24"/>
              </w:rPr>
            </w:pPr>
            <w:r w:rsidRPr="001D3271">
              <w:rPr>
                <w:sz w:val="24"/>
                <w:szCs w:val="24"/>
              </w:rPr>
              <w:t>Topic</w:t>
            </w:r>
          </w:p>
        </w:tc>
        <w:tc>
          <w:tcPr>
            <w:cnfStyle w:val="000010000000" w:firstRow="0" w:lastRow="0" w:firstColumn="0" w:lastColumn="0" w:oddVBand="1" w:evenVBand="0" w:oddHBand="0" w:evenHBand="0" w:firstRowFirstColumn="0" w:firstRowLastColumn="0" w:lastRowFirstColumn="0" w:lastRowLastColumn="0"/>
            <w:tcW w:w="11765"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92CDDC" w:themeFill="accent5" w:themeFillTint="99"/>
          </w:tcPr>
          <w:p w14:paraId="7F3941C8" w14:textId="77777777" w:rsidR="00711725" w:rsidRPr="001D3271" w:rsidRDefault="00711725" w:rsidP="00977ADD">
            <w:pPr>
              <w:spacing w:line="276" w:lineRule="auto"/>
              <w:rPr>
                <w:b/>
                <w:sz w:val="24"/>
                <w:szCs w:val="24"/>
              </w:rPr>
            </w:pPr>
            <w:r w:rsidRPr="001D3271">
              <w:rPr>
                <w:b/>
                <w:sz w:val="24"/>
                <w:szCs w:val="24"/>
              </w:rPr>
              <w:t>Change/update</w:t>
            </w:r>
          </w:p>
        </w:tc>
        <w:tc>
          <w:tcPr>
            <w:tcW w:w="1211"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92CDDC" w:themeFill="accent5" w:themeFillTint="99"/>
          </w:tcPr>
          <w:p w14:paraId="0715A591" w14:textId="629F0515" w:rsidR="00711725" w:rsidRPr="001D3271" w:rsidRDefault="00711725" w:rsidP="00977ADD">
            <w:pPr>
              <w:cnfStyle w:val="000000000000" w:firstRow="0" w:lastRow="0" w:firstColumn="0" w:lastColumn="0" w:oddVBand="0" w:evenVBand="0" w:oddHBand="0" w:evenHBand="0" w:firstRowFirstColumn="0" w:firstRowLastColumn="0" w:lastRowFirstColumn="0" w:lastRowLastColumn="0"/>
              <w:rPr>
                <w:b/>
                <w:sz w:val="24"/>
                <w:szCs w:val="24"/>
              </w:rPr>
            </w:pPr>
            <w:r w:rsidRPr="001D3271">
              <w:rPr>
                <w:b/>
                <w:sz w:val="24"/>
                <w:szCs w:val="24"/>
              </w:rPr>
              <w:t>Page ref.</w:t>
            </w:r>
          </w:p>
        </w:tc>
      </w:tr>
      <w:tr w:rsidR="00711725" w14:paraId="7F3941CC" w14:textId="7CCA5B72"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Height w:val="533"/>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4BACC6" w:themeColor="accent5"/>
            </w:tcBorders>
          </w:tcPr>
          <w:p w14:paraId="7F3941CA" w14:textId="4BFFEC90" w:rsidR="00711725" w:rsidRPr="00094B9D" w:rsidRDefault="00C22605" w:rsidP="00C22605">
            <w:pPr>
              <w:spacing w:line="276" w:lineRule="auto"/>
            </w:pPr>
            <w:r>
              <w:t xml:space="preserve">Compliance with National Quality Framework </w:t>
            </w:r>
          </w:p>
        </w:tc>
        <w:tc>
          <w:tcPr>
            <w:cnfStyle w:val="000010000000" w:firstRow="0" w:lastRow="0" w:firstColumn="0" w:lastColumn="0" w:oddVBand="1" w:evenVBand="0" w:oddHBand="0" w:evenHBand="0" w:firstRowFirstColumn="0" w:firstRowLastColumn="0" w:lastRowFirstColumn="0" w:lastRowLastColumn="0"/>
            <w:tcW w:w="11765" w:type="dxa"/>
            <w:tcBorders>
              <w:top w:val="single" w:sz="12" w:space="0" w:color="4BACC6" w:themeColor="accent5"/>
            </w:tcBorders>
          </w:tcPr>
          <w:p w14:paraId="7F3941CB" w14:textId="3E5E08F6" w:rsidR="00711725" w:rsidRPr="00B30956" w:rsidRDefault="00711725" w:rsidP="00977ADD">
            <w:pPr>
              <w:spacing w:line="276" w:lineRule="auto"/>
            </w:pPr>
            <w:r>
              <w:t>Services are required to work to</w:t>
            </w:r>
            <w:r w:rsidR="009364EE">
              <w:t xml:space="preserve">wards achieving an </w:t>
            </w:r>
            <w:r w:rsidRPr="00094B9D">
              <w:t>exceeding rating instead of a high quality ra</w:t>
            </w:r>
            <w:r>
              <w:t>ting</w:t>
            </w:r>
            <w:r w:rsidR="009364EE">
              <w:t xml:space="preserve"> for National Quality Standard</w:t>
            </w:r>
            <w:r>
              <w:t>.</w:t>
            </w:r>
          </w:p>
        </w:tc>
        <w:tc>
          <w:tcPr>
            <w:tcW w:w="1211" w:type="dxa"/>
            <w:tcBorders>
              <w:top w:val="single" w:sz="12" w:space="0" w:color="4BACC6" w:themeColor="accent5"/>
            </w:tcBorders>
          </w:tcPr>
          <w:p w14:paraId="7A2326DC" w14:textId="448DE823" w:rsidR="00711725" w:rsidRDefault="007B4C79" w:rsidP="00977ADD">
            <w:pPr>
              <w:cnfStyle w:val="000000100000" w:firstRow="0" w:lastRow="0" w:firstColumn="0" w:lastColumn="0" w:oddVBand="0" w:evenVBand="0" w:oddHBand="1" w:evenHBand="0" w:firstRowFirstColumn="0" w:firstRowLastColumn="0" w:lastRowFirstColumn="0" w:lastRowLastColumn="0"/>
            </w:pPr>
            <w:r>
              <w:t>37</w:t>
            </w:r>
          </w:p>
        </w:tc>
      </w:tr>
      <w:tr w:rsidR="00711725" w14:paraId="7F3941CF" w14:textId="14ED1289" w:rsidTr="0091624D">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vMerge w:val="restart"/>
          </w:tcPr>
          <w:p w14:paraId="487EBAF4" w14:textId="77777777" w:rsidR="00711725" w:rsidRPr="00094B9D" w:rsidRDefault="00711725" w:rsidP="00977ADD">
            <w:pPr>
              <w:spacing w:line="276" w:lineRule="auto"/>
              <w:rPr>
                <w:b w:val="0"/>
                <w:bCs w:val="0"/>
              </w:rPr>
            </w:pPr>
            <w:r w:rsidRPr="00094B9D">
              <w:t>Types of kindergarten funding</w:t>
            </w:r>
          </w:p>
          <w:p w14:paraId="7F3941CD" w14:textId="6443C8CD" w:rsidR="00711725" w:rsidRPr="00094B9D" w:rsidRDefault="00711725" w:rsidP="00977ADD">
            <w:pPr>
              <w:spacing w:line="276" w:lineRule="auto"/>
            </w:pPr>
          </w:p>
        </w:tc>
        <w:tc>
          <w:tcPr>
            <w:cnfStyle w:val="000010000000" w:firstRow="0" w:lastRow="0" w:firstColumn="0" w:lastColumn="0" w:oddVBand="1" w:evenVBand="0" w:oddHBand="0" w:evenHBand="0" w:firstRowFirstColumn="0" w:firstRowLastColumn="0" w:lastRowFirstColumn="0" w:lastRowLastColumn="0"/>
            <w:tcW w:w="11765" w:type="dxa"/>
          </w:tcPr>
          <w:p w14:paraId="7F3941CE" w14:textId="77777777" w:rsidR="00711725" w:rsidRDefault="00711725" w:rsidP="00977ADD">
            <w:pPr>
              <w:spacing w:line="276" w:lineRule="auto"/>
            </w:pPr>
            <w:r>
              <w:t>Ratio supplement funding added as a new funding type.</w:t>
            </w:r>
          </w:p>
        </w:tc>
        <w:tc>
          <w:tcPr>
            <w:tcW w:w="1211" w:type="dxa"/>
          </w:tcPr>
          <w:p w14:paraId="65ECBCDA" w14:textId="1C9BAC4A" w:rsidR="00711725" w:rsidRDefault="007B4C79" w:rsidP="00977ADD">
            <w:pPr>
              <w:cnfStyle w:val="000000000000" w:firstRow="0" w:lastRow="0" w:firstColumn="0" w:lastColumn="0" w:oddVBand="0" w:evenVBand="0" w:oddHBand="0" w:evenHBand="0" w:firstRowFirstColumn="0" w:firstRowLastColumn="0" w:lastRowFirstColumn="0" w:lastRowLastColumn="0"/>
            </w:pPr>
            <w:r>
              <w:t>24</w:t>
            </w:r>
          </w:p>
        </w:tc>
      </w:tr>
      <w:tr w:rsidR="00711725" w14:paraId="7043D27C" w14:textId="02AA2547" w:rsidTr="0002247A">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2694" w:type="dxa"/>
            <w:vMerge/>
          </w:tcPr>
          <w:p w14:paraId="75535FB4" w14:textId="3D5414A0" w:rsidR="00711725" w:rsidRPr="00094B9D" w:rsidRDefault="00711725" w:rsidP="00977ADD">
            <w:pPr>
              <w:spacing w:line="276" w:lineRule="auto"/>
            </w:pPr>
          </w:p>
        </w:tc>
        <w:tc>
          <w:tcPr>
            <w:cnfStyle w:val="000010000000" w:firstRow="0" w:lastRow="0" w:firstColumn="0" w:lastColumn="0" w:oddVBand="1" w:evenVBand="0" w:oddHBand="0" w:evenHBand="0" w:firstRowFirstColumn="0" w:firstRowLastColumn="0" w:lastRowFirstColumn="0" w:lastRowLastColumn="0"/>
            <w:tcW w:w="11765" w:type="dxa"/>
          </w:tcPr>
          <w:p w14:paraId="1A8B6239" w14:textId="3BC93296" w:rsidR="00711725" w:rsidRDefault="00BA06F5" w:rsidP="00977ADD">
            <w:pPr>
              <w:spacing w:line="276" w:lineRule="auto"/>
            </w:pPr>
            <w:r>
              <w:t>Small r</w:t>
            </w:r>
            <w:r w:rsidR="00711725">
              <w:t xml:space="preserve">ural funding has been </w:t>
            </w:r>
            <w:r w:rsidR="00EC056F">
              <w:t>updated to reflect the new</w:t>
            </w:r>
            <w:r w:rsidR="00711725">
              <w:t xml:space="preserve"> rural kindergarten funding model</w:t>
            </w:r>
            <w:r w:rsidR="00EC056F">
              <w:t xml:space="preserve"> for 2017</w:t>
            </w:r>
            <w:r w:rsidR="00711725">
              <w:t>.</w:t>
            </w:r>
          </w:p>
        </w:tc>
        <w:tc>
          <w:tcPr>
            <w:tcW w:w="1211" w:type="dxa"/>
          </w:tcPr>
          <w:p w14:paraId="5464C2DF" w14:textId="1868E874" w:rsidR="00711725" w:rsidRDefault="007B4C79" w:rsidP="00977ADD">
            <w:pPr>
              <w:cnfStyle w:val="000000100000" w:firstRow="0" w:lastRow="0" w:firstColumn="0" w:lastColumn="0" w:oddVBand="0" w:evenVBand="0" w:oddHBand="1" w:evenHBand="0" w:firstRowFirstColumn="0" w:firstRowLastColumn="0" w:lastRowFirstColumn="0" w:lastRowLastColumn="0"/>
            </w:pPr>
            <w:r>
              <w:t>22</w:t>
            </w:r>
          </w:p>
        </w:tc>
      </w:tr>
      <w:tr w:rsidR="00711725" w14:paraId="7F3941D2" w14:textId="1B75F6A6" w:rsidTr="0091624D">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vMerge w:val="restart"/>
          </w:tcPr>
          <w:p w14:paraId="7F3941D0" w14:textId="40F2697F" w:rsidR="00711725" w:rsidRPr="00D73A2E" w:rsidRDefault="00711725" w:rsidP="00977ADD">
            <w:pPr>
              <w:spacing w:line="276" w:lineRule="auto"/>
              <w:rPr>
                <w:b w:val="0"/>
                <w:bCs w:val="0"/>
              </w:rPr>
            </w:pPr>
            <w:r w:rsidRPr="00094B9D">
              <w:t>Core eligibility criteria for applying for kindergarten funding from the Department</w:t>
            </w:r>
          </w:p>
        </w:tc>
        <w:tc>
          <w:tcPr>
            <w:cnfStyle w:val="000010000000" w:firstRow="0" w:lastRow="0" w:firstColumn="0" w:lastColumn="0" w:oddVBand="1" w:evenVBand="0" w:oddHBand="0" w:evenHBand="0" w:firstRowFirstColumn="0" w:firstRowLastColumn="0" w:lastRowFirstColumn="0" w:lastRowLastColumn="0"/>
            <w:tcW w:w="11765" w:type="dxa"/>
          </w:tcPr>
          <w:p w14:paraId="7F3941D1" w14:textId="77777777" w:rsidR="00711725" w:rsidRDefault="00711725" w:rsidP="00977ADD">
            <w:pPr>
              <w:spacing w:line="276" w:lineRule="auto"/>
            </w:pPr>
            <w:r>
              <w:t>Services no longer require a minimum of 20 enrolments in order to receive kindergarten funding.</w:t>
            </w:r>
          </w:p>
        </w:tc>
        <w:tc>
          <w:tcPr>
            <w:tcW w:w="1211" w:type="dxa"/>
          </w:tcPr>
          <w:p w14:paraId="1783FBE6" w14:textId="37B09B27" w:rsidR="00711725" w:rsidRDefault="003150F8" w:rsidP="006E1148">
            <w:pPr>
              <w:cnfStyle w:val="000000000000" w:firstRow="0" w:lastRow="0" w:firstColumn="0" w:lastColumn="0" w:oddVBand="0" w:evenVBand="0" w:oddHBand="0" w:evenHBand="0" w:firstRowFirstColumn="0" w:firstRowLastColumn="0" w:lastRowFirstColumn="0" w:lastRowLastColumn="0"/>
            </w:pPr>
            <w:r>
              <w:t>Removed</w:t>
            </w:r>
            <w:r w:rsidR="006E1148">
              <w:t xml:space="preserve"> </w:t>
            </w:r>
          </w:p>
        </w:tc>
      </w:tr>
      <w:tr w:rsidR="00711725" w14:paraId="5F5F0751" w14:textId="45BB7FE1"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Height w:val="577"/>
        </w:trPr>
        <w:tc>
          <w:tcPr>
            <w:cnfStyle w:val="001000000000" w:firstRow="0" w:lastRow="0" w:firstColumn="1" w:lastColumn="0" w:oddVBand="0" w:evenVBand="0" w:oddHBand="0" w:evenHBand="0" w:firstRowFirstColumn="0" w:firstRowLastColumn="0" w:lastRowFirstColumn="0" w:lastRowLastColumn="0"/>
            <w:tcW w:w="2694" w:type="dxa"/>
            <w:vMerge/>
          </w:tcPr>
          <w:p w14:paraId="7C8673FD" w14:textId="7F2EE2AE" w:rsidR="00711725" w:rsidRPr="00094B9D" w:rsidRDefault="00711725" w:rsidP="00977ADD">
            <w:pPr>
              <w:spacing w:line="276" w:lineRule="auto"/>
            </w:pPr>
          </w:p>
        </w:tc>
        <w:tc>
          <w:tcPr>
            <w:cnfStyle w:val="000010000000" w:firstRow="0" w:lastRow="0" w:firstColumn="0" w:lastColumn="0" w:oddVBand="1" w:evenVBand="0" w:oddHBand="0" w:evenHBand="0" w:firstRowFirstColumn="0" w:firstRowLastColumn="0" w:lastRowFirstColumn="0" w:lastRowLastColumn="0"/>
            <w:tcW w:w="11765" w:type="dxa"/>
          </w:tcPr>
          <w:p w14:paraId="4D1CA7D2" w14:textId="36F7C613" w:rsidR="00711725" w:rsidRDefault="00711725" w:rsidP="00977ADD">
            <w:pPr>
              <w:spacing w:line="276" w:lineRule="auto"/>
            </w:pPr>
            <w:r w:rsidRPr="00262C93">
              <w:t>From 1 January 2016, all early childhood services are required to comply with new child safe standards</w:t>
            </w:r>
            <w:r>
              <w:t>.</w:t>
            </w:r>
          </w:p>
        </w:tc>
        <w:tc>
          <w:tcPr>
            <w:tcW w:w="1211" w:type="dxa"/>
          </w:tcPr>
          <w:p w14:paraId="4525BDCB" w14:textId="584CDFB1" w:rsidR="00711725" w:rsidRPr="00262C93" w:rsidRDefault="007B4C79" w:rsidP="00977ADD">
            <w:pPr>
              <w:cnfStyle w:val="000000100000" w:firstRow="0" w:lastRow="0" w:firstColumn="0" w:lastColumn="0" w:oddVBand="0" w:evenVBand="0" w:oddHBand="1" w:evenHBand="0" w:firstRowFirstColumn="0" w:firstRowLastColumn="0" w:lastRowFirstColumn="0" w:lastRowLastColumn="0"/>
            </w:pPr>
            <w:r>
              <w:t>41</w:t>
            </w:r>
          </w:p>
        </w:tc>
      </w:tr>
      <w:tr w:rsidR="00711725" w14:paraId="7F3941D5" w14:textId="00A3EB6F" w:rsidTr="0091624D">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tcPr>
          <w:p w14:paraId="7F3941D3" w14:textId="004502C2" w:rsidR="00711725" w:rsidRPr="00094B9D" w:rsidRDefault="00711725" w:rsidP="00977ADD">
            <w:pPr>
              <w:spacing w:line="276" w:lineRule="auto"/>
            </w:pPr>
            <w:r w:rsidRPr="00094B9D">
              <w:t xml:space="preserve">Requirement to have a </w:t>
            </w:r>
            <w:r>
              <w:t>VIT registered</w:t>
            </w:r>
            <w:r w:rsidRPr="00094B9D">
              <w:t xml:space="preserve"> early childhood teacher</w:t>
            </w:r>
          </w:p>
        </w:tc>
        <w:tc>
          <w:tcPr>
            <w:cnfStyle w:val="000010000000" w:firstRow="0" w:lastRow="0" w:firstColumn="0" w:lastColumn="0" w:oddVBand="1" w:evenVBand="0" w:oddHBand="0" w:evenHBand="0" w:firstRowFirstColumn="0" w:firstRowLastColumn="0" w:lastRowFirstColumn="0" w:lastRowLastColumn="0"/>
            <w:tcW w:w="11765" w:type="dxa"/>
          </w:tcPr>
          <w:p w14:paraId="7F3941D4" w14:textId="77777777" w:rsidR="00711725" w:rsidRDefault="00711725" w:rsidP="00977ADD">
            <w:pPr>
              <w:spacing w:line="276" w:lineRule="auto"/>
            </w:pPr>
            <w:r>
              <w:t>A qualified teacher employed in a Victorian licensed children’s service must be registered with the Victorian Institute of Teaching (VIT), or in the case of graduate teachers, be provisionally registered with the VIT and working towards full registration by demonstrating that they have met the required standards of professional practice and conduct.</w:t>
            </w:r>
          </w:p>
        </w:tc>
        <w:tc>
          <w:tcPr>
            <w:tcW w:w="1211" w:type="dxa"/>
          </w:tcPr>
          <w:p w14:paraId="2B8BC1EA" w14:textId="355C5897" w:rsidR="00711725" w:rsidRDefault="007B4C79" w:rsidP="00977ADD">
            <w:pPr>
              <w:cnfStyle w:val="000000000000" w:firstRow="0" w:lastRow="0" w:firstColumn="0" w:lastColumn="0" w:oddVBand="0" w:evenVBand="0" w:oddHBand="0" w:evenHBand="0" w:firstRowFirstColumn="0" w:firstRowLastColumn="0" w:lastRowFirstColumn="0" w:lastRowLastColumn="0"/>
            </w:pPr>
            <w:r>
              <w:t>8</w:t>
            </w:r>
          </w:p>
        </w:tc>
      </w:tr>
      <w:tr w:rsidR="00711725" w14:paraId="7F3941D8" w14:textId="3902FB3D"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4" w:type="dxa"/>
          </w:tcPr>
          <w:p w14:paraId="7F3941D6" w14:textId="77777777" w:rsidR="00711725" w:rsidRPr="00094B9D" w:rsidRDefault="00711725" w:rsidP="00977ADD">
            <w:pPr>
              <w:spacing w:line="276" w:lineRule="auto"/>
            </w:pPr>
            <w:r>
              <w:t>New e</w:t>
            </w:r>
            <w:r w:rsidRPr="00094B9D">
              <w:t>ducator to child ratio requirements</w:t>
            </w:r>
          </w:p>
        </w:tc>
        <w:tc>
          <w:tcPr>
            <w:cnfStyle w:val="000010000000" w:firstRow="0" w:lastRow="0" w:firstColumn="0" w:lastColumn="0" w:oddVBand="1" w:evenVBand="0" w:oddHBand="0" w:evenHBand="0" w:firstRowFirstColumn="0" w:firstRowLastColumn="0" w:lastRowFirstColumn="0" w:lastRowLastColumn="0"/>
            <w:tcW w:w="11765" w:type="dxa"/>
          </w:tcPr>
          <w:p w14:paraId="7F3941D7" w14:textId="77777777" w:rsidR="00711725" w:rsidRDefault="00711725" w:rsidP="00977ADD">
            <w:pPr>
              <w:spacing w:line="276" w:lineRule="auto"/>
            </w:pPr>
            <w:r w:rsidRPr="00EB6086">
              <w:rPr>
                <w:rFonts w:ascii="Calibri" w:eastAsia="Calibri" w:hAnsi="Calibri"/>
              </w:rPr>
              <w:t xml:space="preserve">In accordance with the </w:t>
            </w:r>
            <w:r>
              <w:rPr>
                <w:rFonts w:ascii="Calibri" w:eastAsia="Calibri" w:hAnsi="Calibri"/>
              </w:rPr>
              <w:t>National Quality Framework</w:t>
            </w:r>
            <w:r w:rsidRPr="00EB6086">
              <w:rPr>
                <w:rFonts w:ascii="Calibri" w:eastAsia="Calibri" w:hAnsi="Calibri"/>
              </w:rPr>
              <w:t xml:space="preserve">, the educator to child ratio that applies in </w:t>
            </w:r>
            <w:r>
              <w:rPr>
                <w:rFonts w:ascii="Calibri" w:eastAsia="Calibri" w:hAnsi="Calibri"/>
              </w:rPr>
              <w:t>all centre-based services is</w:t>
            </w:r>
            <w:r w:rsidRPr="00EB6086">
              <w:rPr>
                <w:rFonts w:ascii="Calibri" w:eastAsia="Calibri" w:hAnsi="Calibri"/>
              </w:rPr>
              <w:t xml:space="preserve"> 1 educator to 11 children</w:t>
            </w:r>
            <w:r>
              <w:rPr>
                <w:rFonts w:ascii="Calibri" w:eastAsia="Calibri" w:hAnsi="Calibri"/>
              </w:rPr>
              <w:t xml:space="preserve">, </w:t>
            </w:r>
            <w:r w:rsidRPr="001A7473">
              <w:t>for children from 36 months up to and including kindergarten age</w:t>
            </w:r>
            <w:r>
              <w:t>.</w:t>
            </w:r>
          </w:p>
        </w:tc>
        <w:tc>
          <w:tcPr>
            <w:tcW w:w="1211" w:type="dxa"/>
          </w:tcPr>
          <w:p w14:paraId="426D1CD1" w14:textId="143FF7F0" w:rsidR="00711725" w:rsidRPr="00EB6086" w:rsidRDefault="007B4C79" w:rsidP="00977ADD">
            <w:pPr>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8</w:t>
            </w:r>
          </w:p>
        </w:tc>
      </w:tr>
      <w:tr w:rsidR="00711725" w14:paraId="7F3941DB" w14:textId="3C1370E1" w:rsidTr="0091624D">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tcPr>
          <w:p w14:paraId="7F3941D9" w14:textId="77777777" w:rsidR="00711725" w:rsidRPr="00094B9D" w:rsidRDefault="00711725" w:rsidP="00977ADD">
            <w:pPr>
              <w:spacing w:line="276" w:lineRule="auto"/>
            </w:pPr>
            <w:r w:rsidRPr="00094B9D">
              <w:t>Children less than four years of age</w:t>
            </w:r>
          </w:p>
        </w:tc>
        <w:tc>
          <w:tcPr>
            <w:cnfStyle w:val="000010000000" w:firstRow="0" w:lastRow="0" w:firstColumn="0" w:lastColumn="0" w:oddVBand="1" w:evenVBand="0" w:oddHBand="0" w:evenHBand="0" w:firstRowFirstColumn="0" w:firstRowLastColumn="0" w:lastRowFirstColumn="0" w:lastRowLastColumn="0"/>
            <w:tcW w:w="11765" w:type="dxa"/>
          </w:tcPr>
          <w:p w14:paraId="7F3941DA" w14:textId="5155DD81" w:rsidR="00711725" w:rsidRDefault="00711725" w:rsidP="00977ADD">
            <w:pPr>
              <w:spacing w:line="276" w:lineRule="auto"/>
            </w:pPr>
            <w:r>
              <w:t>A copy of the written request for early entry to school must accompany the child’s application for kindergarten enrolment. The service must include a copy of this request in the child’s enrolment re</w:t>
            </w:r>
            <w:r w:rsidRPr="00094B9D">
              <w:t xml:space="preserve">cord and upload the request to KIM. </w:t>
            </w:r>
          </w:p>
        </w:tc>
        <w:tc>
          <w:tcPr>
            <w:tcW w:w="1211" w:type="dxa"/>
          </w:tcPr>
          <w:p w14:paraId="50DE33DD" w14:textId="33689456" w:rsidR="00711725" w:rsidRDefault="0002247A" w:rsidP="00977ADD">
            <w:pPr>
              <w:cnfStyle w:val="000000000000" w:firstRow="0" w:lastRow="0" w:firstColumn="0" w:lastColumn="0" w:oddVBand="0" w:evenVBand="0" w:oddHBand="0" w:evenHBand="0" w:firstRowFirstColumn="0" w:firstRowLastColumn="0" w:lastRowFirstColumn="0" w:lastRowLastColumn="0"/>
            </w:pPr>
            <w:r>
              <w:t>44</w:t>
            </w:r>
          </w:p>
        </w:tc>
      </w:tr>
      <w:tr w:rsidR="00711725" w14:paraId="7F3941E2" w14:textId="2F2ECE63" w:rsidTr="00167FD7">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4" w:type="dxa"/>
          </w:tcPr>
          <w:p w14:paraId="7F3941DC" w14:textId="661F7959" w:rsidR="00711725" w:rsidRPr="00094B9D" w:rsidRDefault="00711725" w:rsidP="00977ADD">
            <w:pPr>
              <w:spacing w:line="276" w:lineRule="auto"/>
            </w:pPr>
            <w:r w:rsidRPr="00094B9D">
              <w:t xml:space="preserve">No Jab No Play </w:t>
            </w:r>
          </w:p>
        </w:tc>
        <w:tc>
          <w:tcPr>
            <w:cnfStyle w:val="000010000000" w:firstRow="0" w:lastRow="0" w:firstColumn="0" w:lastColumn="0" w:oddVBand="1" w:evenVBand="0" w:oddHBand="0" w:evenHBand="0" w:firstRowFirstColumn="0" w:firstRowLastColumn="0" w:lastRowFirstColumn="0" w:lastRowLastColumn="0"/>
            <w:tcW w:w="11765" w:type="dxa"/>
          </w:tcPr>
          <w:p w14:paraId="7F3941DD" w14:textId="77777777" w:rsidR="00711725" w:rsidRDefault="00711725" w:rsidP="00977ADD">
            <w:pPr>
              <w:spacing w:line="276" w:lineRule="auto"/>
            </w:pPr>
            <w:r>
              <w:t>Before confirming a child’s enrolment, early childhood services are required to obtain evidence that the child:</w:t>
            </w:r>
          </w:p>
          <w:p w14:paraId="7F3941DE" w14:textId="77777777" w:rsidR="00711725" w:rsidRDefault="00711725" w:rsidP="00977ADD">
            <w:pPr>
              <w:spacing w:line="276" w:lineRule="auto"/>
            </w:pPr>
            <w:r>
              <w:t>•</w:t>
            </w:r>
            <w:r>
              <w:tab/>
              <w:t>is fully vaccinated for their age, or</w:t>
            </w:r>
          </w:p>
          <w:p w14:paraId="7F3941DF" w14:textId="122B095C" w:rsidR="00711725" w:rsidRDefault="00711725" w:rsidP="00977ADD">
            <w:pPr>
              <w:spacing w:line="276" w:lineRule="auto"/>
            </w:pPr>
            <w:r>
              <w:t>•</w:t>
            </w:r>
            <w:r>
              <w:tab/>
              <w:t>is on a recognised catch-up schedule if the child has fallen behind with their vaccinations, or</w:t>
            </w:r>
          </w:p>
          <w:p w14:paraId="7F3941E0" w14:textId="77777777" w:rsidR="00711725" w:rsidRDefault="00711725" w:rsidP="00977ADD">
            <w:pPr>
              <w:spacing w:line="276" w:lineRule="auto"/>
            </w:pPr>
            <w:r>
              <w:t>•</w:t>
            </w:r>
            <w:r>
              <w:tab/>
              <w:t>has a medical reason not to be vaccinated.</w:t>
            </w:r>
          </w:p>
          <w:p w14:paraId="7F3941E1" w14:textId="77777777" w:rsidR="00711725" w:rsidRDefault="00711725" w:rsidP="00977ADD">
            <w:pPr>
              <w:spacing w:line="276" w:lineRule="auto"/>
            </w:pPr>
            <w:r>
              <w:t>Services must keep a copy of this evidence with the child’s enrolment record.</w:t>
            </w:r>
          </w:p>
        </w:tc>
        <w:tc>
          <w:tcPr>
            <w:tcW w:w="1211" w:type="dxa"/>
          </w:tcPr>
          <w:p w14:paraId="31B07000" w14:textId="3F340F5C" w:rsidR="00711725" w:rsidRDefault="001E473A" w:rsidP="00977ADD">
            <w:pPr>
              <w:cnfStyle w:val="000000100000" w:firstRow="0" w:lastRow="0" w:firstColumn="0" w:lastColumn="0" w:oddVBand="0" w:evenVBand="0" w:oddHBand="1" w:evenHBand="0" w:firstRowFirstColumn="0" w:firstRowLastColumn="0" w:lastRowFirstColumn="0" w:lastRowLastColumn="0"/>
            </w:pPr>
            <w:r>
              <w:t>44</w:t>
            </w:r>
          </w:p>
        </w:tc>
      </w:tr>
      <w:tr w:rsidR="00711725" w14:paraId="7F3941E5" w14:textId="68339D9E" w:rsidTr="001D3271">
        <w:tblPrEx>
          <w:tblLook w:val="00A0" w:firstRow="1" w:lastRow="0" w:firstColumn="1" w:lastColumn="0" w:noHBand="0" w:noVBand="0"/>
        </w:tblPrEx>
        <w:trPr>
          <w:cantSplit/>
          <w:trHeight w:val="570"/>
        </w:trPr>
        <w:tc>
          <w:tcPr>
            <w:cnfStyle w:val="001000000000" w:firstRow="0" w:lastRow="0" w:firstColumn="1" w:lastColumn="0" w:oddVBand="0" w:evenVBand="0" w:oddHBand="0" w:evenHBand="0" w:firstRowFirstColumn="0" w:firstRowLastColumn="0" w:lastRowFirstColumn="0" w:lastRowLastColumn="0"/>
            <w:tcW w:w="2694" w:type="dxa"/>
            <w:vMerge w:val="restart"/>
          </w:tcPr>
          <w:p w14:paraId="7F3941E3" w14:textId="77777777" w:rsidR="00711725" w:rsidRPr="00094B9D" w:rsidRDefault="00711725" w:rsidP="00977ADD">
            <w:pPr>
              <w:spacing w:line="276" w:lineRule="auto"/>
            </w:pPr>
            <w:r w:rsidRPr="00094B9D">
              <w:t>Managing teachers</w:t>
            </w:r>
          </w:p>
        </w:tc>
        <w:tc>
          <w:tcPr>
            <w:cnfStyle w:val="000010000000" w:firstRow="0" w:lastRow="0" w:firstColumn="0" w:lastColumn="0" w:oddVBand="1" w:evenVBand="0" w:oddHBand="0" w:evenHBand="0" w:firstRowFirstColumn="0" w:firstRowLastColumn="0" w:lastRowFirstColumn="0" w:lastRowLastColumn="0"/>
            <w:tcW w:w="11765" w:type="dxa"/>
            <w:tcBorders>
              <w:top w:val="single" w:sz="8" w:space="0" w:color="4BACC6" w:themeColor="accent5"/>
              <w:bottom w:val="single" w:sz="4" w:space="0" w:color="4BACC6" w:themeColor="accent5"/>
            </w:tcBorders>
          </w:tcPr>
          <w:p w14:paraId="7F3941E4" w14:textId="05A548A1" w:rsidR="00711725" w:rsidRDefault="00711725" w:rsidP="00977ADD">
            <w:pPr>
              <w:spacing w:line="276" w:lineRule="auto"/>
            </w:pPr>
            <w:r w:rsidRPr="00094B9D">
              <w:t>Early childhood teachers are required to be registered with</w:t>
            </w:r>
            <w:r>
              <w:t xml:space="preserve"> VIT</w:t>
            </w:r>
            <w:r w:rsidRPr="00094B9D">
              <w:t>. Employers are obliged to ensure that the</w:t>
            </w:r>
            <w:r>
              <w:t xml:space="preserve"> teacher/s employed in services </w:t>
            </w:r>
            <w:r w:rsidRPr="00094B9D">
              <w:t>are registered.</w:t>
            </w:r>
          </w:p>
        </w:tc>
        <w:tc>
          <w:tcPr>
            <w:tcW w:w="1211" w:type="dxa"/>
            <w:tcBorders>
              <w:bottom w:val="single" w:sz="4" w:space="0" w:color="4BACC6" w:themeColor="accent5"/>
            </w:tcBorders>
          </w:tcPr>
          <w:p w14:paraId="1F329D81" w14:textId="5FD9FE85" w:rsidR="00711725" w:rsidRPr="00094B9D" w:rsidRDefault="001E473A" w:rsidP="00977ADD">
            <w:pPr>
              <w:cnfStyle w:val="000000000000" w:firstRow="0" w:lastRow="0" w:firstColumn="0" w:lastColumn="0" w:oddVBand="0" w:evenVBand="0" w:oddHBand="0" w:evenHBand="0" w:firstRowFirstColumn="0" w:firstRowLastColumn="0" w:lastRowFirstColumn="0" w:lastRowLastColumn="0"/>
            </w:pPr>
            <w:r>
              <w:t>37</w:t>
            </w:r>
          </w:p>
        </w:tc>
      </w:tr>
      <w:tr w:rsidR="00711725" w14:paraId="7F3941E8" w14:textId="78E428AE"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Height w:val="1065"/>
        </w:trPr>
        <w:tc>
          <w:tcPr>
            <w:cnfStyle w:val="001000000000" w:firstRow="0" w:lastRow="0" w:firstColumn="1" w:lastColumn="0" w:oddVBand="0" w:evenVBand="0" w:oddHBand="0" w:evenHBand="0" w:firstRowFirstColumn="0" w:firstRowLastColumn="0" w:lastRowFirstColumn="0" w:lastRowLastColumn="0"/>
            <w:tcW w:w="2694" w:type="dxa"/>
            <w:vMerge/>
          </w:tcPr>
          <w:p w14:paraId="7F3941E6" w14:textId="77777777" w:rsidR="00711725" w:rsidRPr="00094B9D" w:rsidRDefault="00711725" w:rsidP="00977ADD">
            <w:pPr>
              <w:spacing w:line="276" w:lineRule="auto"/>
            </w:pPr>
          </w:p>
        </w:tc>
        <w:tc>
          <w:tcPr>
            <w:cnfStyle w:val="000010000000" w:firstRow="0" w:lastRow="0" w:firstColumn="0" w:lastColumn="0" w:oddVBand="1" w:evenVBand="0" w:oddHBand="0" w:evenHBand="0" w:firstRowFirstColumn="0" w:firstRowLastColumn="0" w:lastRowFirstColumn="0" w:lastRowLastColumn="0"/>
            <w:tcW w:w="11765" w:type="dxa"/>
            <w:tcBorders>
              <w:top w:val="single" w:sz="4" w:space="0" w:color="4BACC6" w:themeColor="accent5"/>
              <w:bottom w:val="single" w:sz="4" w:space="0" w:color="4BACC6" w:themeColor="accent5"/>
            </w:tcBorders>
          </w:tcPr>
          <w:p w14:paraId="7F3941E7" w14:textId="0E175C10" w:rsidR="00711725" w:rsidRPr="00094B9D" w:rsidRDefault="00711725" w:rsidP="00977ADD">
            <w:pPr>
              <w:spacing w:line="276" w:lineRule="auto"/>
            </w:pPr>
            <w:r w:rsidRPr="00094B9D">
              <w:t xml:space="preserve">Graduate teachers are required to </w:t>
            </w:r>
            <w:r>
              <w:t>be provisionally registered</w:t>
            </w:r>
            <w:r w:rsidRPr="00094B9D">
              <w:t xml:space="preserve"> with </w:t>
            </w:r>
            <w:r>
              <w:t>VIT. S</w:t>
            </w:r>
            <w:r w:rsidRPr="00094B9D">
              <w:t>ervice prov</w:t>
            </w:r>
            <w:r>
              <w:t xml:space="preserve">iders are required to ensure a </w:t>
            </w:r>
            <w:r w:rsidRPr="00094B9D">
              <w:t>provisionally registered early childhood</w:t>
            </w:r>
            <w:r>
              <w:t xml:space="preserve"> </w:t>
            </w:r>
            <w:r w:rsidRPr="00094B9D">
              <w:t>teacher has the support of a trained VIT m</w:t>
            </w:r>
            <w:r>
              <w:t xml:space="preserve">entor teacher in order </w:t>
            </w:r>
            <w:r w:rsidRPr="00094B9D">
              <w:t>to achieve the Proficient</w:t>
            </w:r>
            <w:r>
              <w:t xml:space="preserve"> Teacher level of the </w:t>
            </w:r>
            <w:r w:rsidRPr="00094B9D">
              <w:t>Australian Professional Standards for Teachers</w:t>
            </w:r>
            <w:r>
              <w:t>.</w:t>
            </w:r>
            <w:r w:rsidR="007F647F">
              <w:t xml:space="preserve">                                        </w:t>
            </w:r>
          </w:p>
        </w:tc>
        <w:tc>
          <w:tcPr>
            <w:tcW w:w="1211" w:type="dxa"/>
            <w:tcBorders>
              <w:top w:val="single" w:sz="4" w:space="0" w:color="4BACC6" w:themeColor="accent5"/>
              <w:bottom w:val="single" w:sz="4" w:space="0" w:color="4BACC6" w:themeColor="accent5"/>
            </w:tcBorders>
          </w:tcPr>
          <w:p w14:paraId="63F983CF" w14:textId="488D5A42" w:rsidR="00711725" w:rsidRPr="00094B9D" w:rsidRDefault="001E473A" w:rsidP="00977ADD">
            <w:pPr>
              <w:cnfStyle w:val="000000100000" w:firstRow="0" w:lastRow="0" w:firstColumn="0" w:lastColumn="0" w:oddVBand="0" w:evenVBand="0" w:oddHBand="1" w:evenHBand="0" w:firstRowFirstColumn="0" w:firstRowLastColumn="0" w:lastRowFirstColumn="0" w:lastRowLastColumn="0"/>
            </w:pPr>
            <w:r>
              <w:t>37</w:t>
            </w:r>
          </w:p>
        </w:tc>
      </w:tr>
      <w:tr w:rsidR="00711725" w14:paraId="7F3941EB" w14:textId="4CEF64CC" w:rsidTr="00167FD7">
        <w:tblPrEx>
          <w:tblLook w:val="00A0" w:firstRow="1" w:lastRow="0" w:firstColumn="1" w:lastColumn="0" w:noHBand="0" w:noVBand="0"/>
        </w:tblPrEx>
        <w:trPr>
          <w:cantSplit/>
          <w:trHeight w:val="1035"/>
        </w:trPr>
        <w:tc>
          <w:tcPr>
            <w:cnfStyle w:val="001000000000" w:firstRow="0" w:lastRow="0" w:firstColumn="1" w:lastColumn="0" w:oddVBand="0" w:evenVBand="0" w:oddHBand="0" w:evenHBand="0" w:firstRowFirstColumn="0" w:firstRowLastColumn="0" w:lastRowFirstColumn="0" w:lastRowLastColumn="0"/>
            <w:tcW w:w="2694" w:type="dxa"/>
            <w:vMerge/>
          </w:tcPr>
          <w:p w14:paraId="7F3941E9" w14:textId="77777777" w:rsidR="00711725" w:rsidRPr="00094B9D" w:rsidRDefault="00711725" w:rsidP="00977ADD">
            <w:pPr>
              <w:spacing w:line="276" w:lineRule="auto"/>
            </w:pPr>
          </w:p>
        </w:tc>
        <w:tc>
          <w:tcPr>
            <w:cnfStyle w:val="000010000000" w:firstRow="0" w:lastRow="0" w:firstColumn="0" w:lastColumn="0" w:oddVBand="1" w:evenVBand="0" w:oddHBand="0" w:evenHBand="0" w:firstRowFirstColumn="0" w:firstRowLastColumn="0" w:lastRowFirstColumn="0" w:lastRowLastColumn="0"/>
            <w:tcW w:w="11765" w:type="dxa"/>
            <w:tcBorders>
              <w:top w:val="single" w:sz="4" w:space="0" w:color="4BACC6" w:themeColor="accent5"/>
              <w:bottom w:val="single" w:sz="8" w:space="0" w:color="4BACC6" w:themeColor="accent5"/>
            </w:tcBorders>
          </w:tcPr>
          <w:p w14:paraId="7F3941EA" w14:textId="4844F667" w:rsidR="00711725" w:rsidRPr="00094B9D" w:rsidRDefault="00711725" w:rsidP="00977ADD">
            <w:pPr>
              <w:spacing w:line="276" w:lineRule="auto"/>
            </w:pPr>
            <w:r w:rsidRPr="005578FA">
              <w:t xml:space="preserve">Service providers are </w:t>
            </w:r>
            <w:r>
              <w:t xml:space="preserve">required to support registered </w:t>
            </w:r>
            <w:r w:rsidRPr="005578FA">
              <w:t>teachers to complete professional development each year to maintain their VIT registr</w:t>
            </w:r>
            <w:r>
              <w:t>ation.</w:t>
            </w:r>
            <w:r w:rsidRPr="005578FA">
              <w:t xml:space="preserve"> Professional development also needs to link to the teacher’s professional development plan in accordance with applicable employment agreements.</w:t>
            </w:r>
            <w:r w:rsidR="006E1148">
              <w:t xml:space="preserve">  </w:t>
            </w:r>
          </w:p>
        </w:tc>
        <w:tc>
          <w:tcPr>
            <w:tcW w:w="1211" w:type="dxa"/>
            <w:tcBorders>
              <w:top w:val="single" w:sz="4" w:space="0" w:color="4BACC6" w:themeColor="accent5"/>
              <w:bottom w:val="single" w:sz="4" w:space="0" w:color="4BACC6" w:themeColor="accent5"/>
            </w:tcBorders>
          </w:tcPr>
          <w:p w14:paraId="16FAD515" w14:textId="67E5DFE9" w:rsidR="00711725" w:rsidRPr="005578FA" w:rsidRDefault="001E473A" w:rsidP="00977ADD">
            <w:pPr>
              <w:cnfStyle w:val="000000000000" w:firstRow="0" w:lastRow="0" w:firstColumn="0" w:lastColumn="0" w:oddVBand="0" w:evenVBand="0" w:oddHBand="0" w:evenHBand="0" w:firstRowFirstColumn="0" w:firstRowLastColumn="0" w:lastRowFirstColumn="0" w:lastRowLastColumn="0"/>
            </w:pPr>
            <w:r>
              <w:t>37</w:t>
            </w:r>
          </w:p>
        </w:tc>
      </w:tr>
      <w:tr w:rsidR="00711725" w14:paraId="7F3941F1" w14:textId="6A622C86" w:rsidTr="00167FD7">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4" w:type="dxa"/>
          </w:tcPr>
          <w:p w14:paraId="7F3941EF" w14:textId="62F4FA7F" w:rsidR="00711725" w:rsidRPr="00094B9D" w:rsidRDefault="00711725" w:rsidP="00977ADD">
            <w:pPr>
              <w:spacing w:line="276" w:lineRule="auto"/>
            </w:pPr>
            <w:r w:rsidRPr="00094B9D">
              <w:t>Notifying the Department of a change in teacher</w:t>
            </w:r>
          </w:p>
        </w:tc>
        <w:tc>
          <w:tcPr>
            <w:cnfStyle w:val="000010000000" w:firstRow="0" w:lastRow="0" w:firstColumn="0" w:lastColumn="0" w:oddVBand="1" w:evenVBand="0" w:oddHBand="0" w:evenHBand="0" w:firstRowFirstColumn="0" w:firstRowLastColumn="0" w:lastRowFirstColumn="0" w:lastRowLastColumn="0"/>
            <w:tcW w:w="11765" w:type="dxa"/>
          </w:tcPr>
          <w:p w14:paraId="7F3941F0" w14:textId="77777777" w:rsidR="00711725" w:rsidRPr="00094B9D" w:rsidRDefault="00711725" w:rsidP="00977ADD">
            <w:pPr>
              <w:spacing w:line="276" w:lineRule="auto"/>
            </w:pPr>
            <w:r>
              <w:t>When there is a change in the early childhood teacher delivering the funded kindergarten program, the service provider must confirm that the new teacher is VIT registered and update teacher details for the applicable service/s in the KIM system.</w:t>
            </w:r>
          </w:p>
        </w:tc>
        <w:tc>
          <w:tcPr>
            <w:tcW w:w="1211" w:type="dxa"/>
          </w:tcPr>
          <w:p w14:paraId="53530724" w14:textId="2AA98F69" w:rsidR="00711725" w:rsidRDefault="001E473A" w:rsidP="00977ADD">
            <w:pPr>
              <w:cnfStyle w:val="000000100000" w:firstRow="0" w:lastRow="0" w:firstColumn="0" w:lastColumn="0" w:oddVBand="0" w:evenVBand="0" w:oddHBand="1" w:evenHBand="0" w:firstRowFirstColumn="0" w:firstRowLastColumn="0" w:lastRowFirstColumn="0" w:lastRowLastColumn="0"/>
            </w:pPr>
            <w:r>
              <w:t>50</w:t>
            </w:r>
          </w:p>
        </w:tc>
      </w:tr>
      <w:tr w:rsidR="00711725" w14:paraId="7F3941F6" w14:textId="318265A8" w:rsidTr="001D3271">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tcPr>
          <w:p w14:paraId="7F3941F2" w14:textId="77777777" w:rsidR="00711725" w:rsidRPr="00094B9D" w:rsidRDefault="00711725" w:rsidP="00977ADD">
            <w:pPr>
              <w:spacing w:line="276" w:lineRule="auto"/>
            </w:pPr>
            <w:r w:rsidRPr="00094B9D">
              <w:t>Workforce strategies</w:t>
            </w:r>
          </w:p>
        </w:tc>
        <w:tc>
          <w:tcPr>
            <w:cnfStyle w:val="000010000000" w:firstRow="0" w:lastRow="0" w:firstColumn="0" w:lastColumn="0" w:oddVBand="1" w:evenVBand="0" w:oddHBand="0" w:evenHBand="0" w:firstRowFirstColumn="0" w:firstRowLastColumn="0" w:lastRowFirstColumn="0" w:lastRowLastColumn="0"/>
            <w:tcW w:w="11765" w:type="dxa"/>
            <w:tcBorders>
              <w:bottom w:val="single" w:sz="8" w:space="0" w:color="4BACC6" w:themeColor="accent5"/>
            </w:tcBorders>
          </w:tcPr>
          <w:p w14:paraId="7F3941F3" w14:textId="77777777" w:rsidR="00711725" w:rsidRDefault="00711725" w:rsidP="00977ADD">
            <w:pPr>
              <w:spacing w:line="276" w:lineRule="auto"/>
            </w:pPr>
            <w:r>
              <w:t>New workforce strategies in 2016:</w:t>
            </w:r>
          </w:p>
          <w:p w14:paraId="7F3941F4" w14:textId="77777777" w:rsidR="00711725" w:rsidRDefault="00711725" w:rsidP="00977ADD">
            <w:pPr>
              <w:pStyle w:val="ListParagraph"/>
              <w:numPr>
                <w:ilvl w:val="0"/>
                <w:numId w:val="1"/>
              </w:numPr>
              <w:spacing w:line="276" w:lineRule="auto"/>
            </w:pPr>
            <w:r>
              <w:t>mentor training to support experienced early childhood teachers to develop skills and knowledge in preparation for mentoring beginning early childhood teachers, and</w:t>
            </w:r>
          </w:p>
          <w:p w14:paraId="7F3941F5" w14:textId="77777777" w:rsidR="00711725" w:rsidRPr="00094B9D" w:rsidRDefault="00711725" w:rsidP="00977ADD">
            <w:pPr>
              <w:pStyle w:val="ListParagraph"/>
              <w:numPr>
                <w:ilvl w:val="0"/>
                <w:numId w:val="1"/>
              </w:numPr>
              <w:spacing w:line="276" w:lineRule="auto"/>
            </w:pPr>
            <w:r>
              <w:t>support for all professionals in early childhood settings to meet their responsibilities as mandatory reporters of child abuse.</w:t>
            </w:r>
          </w:p>
        </w:tc>
        <w:tc>
          <w:tcPr>
            <w:tcW w:w="1211" w:type="dxa"/>
          </w:tcPr>
          <w:p w14:paraId="7282A73C" w14:textId="47A468BF" w:rsidR="00711725" w:rsidRDefault="001E473A" w:rsidP="00977ADD">
            <w:pPr>
              <w:cnfStyle w:val="000000000000" w:firstRow="0" w:lastRow="0" w:firstColumn="0" w:lastColumn="0" w:oddVBand="0" w:evenVBand="0" w:oddHBand="0" w:evenHBand="0" w:firstRowFirstColumn="0" w:firstRowLastColumn="0" w:lastRowFirstColumn="0" w:lastRowLastColumn="0"/>
            </w:pPr>
            <w:r>
              <w:t>48</w:t>
            </w:r>
          </w:p>
        </w:tc>
      </w:tr>
      <w:tr w:rsidR="00711725" w14:paraId="7F3941F9" w14:textId="57007DF1" w:rsidTr="001D3271">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4" w:type="dxa"/>
          </w:tcPr>
          <w:p w14:paraId="7F3941F7" w14:textId="77777777" w:rsidR="00711725" w:rsidRPr="00094B9D" w:rsidRDefault="00711725" w:rsidP="00977ADD">
            <w:pPr>
              <w:spacing w:line="276" w:lineRule="auto"/>
            </w:pPr>
            <w:r w:rsidRPr="00094B9D">
              <w:t xml:space="preserve">Children in out-of-home care: The </w:t>
            </w:r>
            <w:r w:rsidRPr="00094B9D">
              <w:rPr>
                <w:i/>
              </w:rPr>
              <w:t>Early Childhood Agreement for Children in Out-of-Home Care</w:t>
            </w:r>
          </w:p>
        </w:tc>
        <w:tc>
          <w:tcPr>
            <w:cnfStyle w:val="000010000000" w:firstRow="0" w:lastRow="0" w:firstColumn="0" w:lastColumn="0" w:oddVBand="1" w:evenVBand="0" w:oddHBand="0" w:evenHBand="0" w:firstRowFirstColumn="0" w:firstRowLastColumn="0" w:lastRowFirstColumn="0" w:lastRowLastColumn="0"/>
            <w:tcW w:w="11765" w:type="dxa"/>
          </w:tcPr>
          <w:p w14:paraId="7F3941F8" w14:textId="77777777" w:rsidR="00711725" w:rsidRPr="00094B9D" w:rsidRDefault="00711725" w:rsidP="00977ADD">
            <w:pPr>
              <w:spacing w:line="276" w:lineRule="auto"/>
            </w:pPr>
            <w:r w:rsidRPr="00094B9D">
              <w:t>The Agreement describes a new role for a local government to assist case workers to find suitable early childhood educat</w:t>
            </w:r>
            <w:r>
              <w:t>ion and care services in the local government area</w:t>
            </w:r>
            <w:r w:rsidRPr="00094B9D">
              <w:t>. Secure information sharing to locate children can be provided to the local government contact on a case by case basis.</w:t>
            </w:r>
          </w:p>
        </w:tc>
        <w:tc>
          <w:tcPr>
            <w:tcW w:w="1211" w:type="dxa"/>
          </w:tcPr>
          <w:p w14:paraId="48EC60D7" w14:textId="2A7FD44D" w:rsidR="00711725" w:rsidRPr="00094B9D" w:rsidRDefault="00CA5A51" w:rsidP="00977ADD">
            <w:pPr>
              <w:cnfStyle w:val="000000100000" w:firstRow="0" w:lastRow="0" w:firstColumn="0" w:lastColumn="0" w:oddVBand="0" w:evenVBand="0" w:oddHBand="1" w:evenHBand="0" w:firstRowFirstColumn="0" w:firstRowLastColumn="0" w:lastRowFirstColumn="0" w:lastRowLastColumn="0"/>
            </w:pPr>
            <w:r>
              <w:t>51</w:t>
            </w:r>
          </w:p>
        </w:tc>
      </w:tr>
      <w:tr w:rsidR="00711725" w14:paraId="7F3941FF" w14:textId="244F1EC6" w:rsidTr="0091624D">
        <w:tblPrEx>
          <w:tblLook w:val="00A0" w:firstRow="1" w:lastRow="0" w:firstColumn="1" w:lastColumn="0" w:noHBand="0" w:noVBand="0"/>
        </w:tblPrEx>
        <w:trPr>
          <w:cantSplit/>
          <w:trHeight w:val="515"/>
        </w:trPr>
        <w:tc>
          <w:tcPr>
            <w:cnfStyle w:val="001000000000" w:firstRow="0" w:lastRow="0" w:firstColumn="1" w:lastColumn="0" w:oddVBand="0" w:evenVBand="0" w:oddHBand="0" w:evenHBand="0" w:firstRowFirstColumn="0" w:firstRowLastColumn="0" w:lastRowFirstColumn="0" w:lastRowLastColumn="0"/>
            <w:tcW w:w="2694" w:type="dxa"/>
            <w:tcBorders>
              <w:bottom w:val="single" w:sz="8" w:space="0" w:color="4BACC6" w:themeColor="accent5"/>
            </w:tcBorders>
          </w:tcPr>
          <w:p w14:paraId="7F3941FD" w14:textId="7AEEEC48" w:rsidR="00711725" w:rsidRPr="00094B9D" w:rsidRDefault="00711725" w:rsidP="00977ADD">
            <w:pPr>
              <w:spacing w:line="276" w:lineRule="auto"/>
            </w:pPr>
            <w:r>
              <w:t>Early Start Kindergarten grants:</w:t>
            </w:r>
            <w:r w:rsidRPr="00094B9D">
              <w:t xml:space="preserve"> eligibility</w:t>
            </w:r>
          </w:p>
        </w:tc>
        <w:tc>
          <w:tcPr>
            <w:cnfStyle w:val="000010000000" w:firstRow="0" w:lastRow="0" w:firstColumn="0" w:lastColumn="0" w:oddVBand="1" w:evenVBand="0" w:oddHBand="0" w:evenHBand="0" w:firstRowFirstColumn="0" w:firstRowLastColumn="0" w:lastRowFirstColumn="0" w:lastRowLastColumn="0"/>
            <w:tcW w:w="11765" w:type="dxa"/>
            <w:tcBorders>
              <w:bottom w:val="single" w:sz="8" w:space="0" w:color="4BACC6" w:themeColor="accent5"/>
            </w:tcBorders>
          </w:tcPr>
          <w:p w14:paraId="7F3941FE" w14:textId="2ECC74D4" w:rsidR="00711725" w:rsidRPr="00094B9D" w:rsidRDefault="00711725" w:rsidP="00977ADD">
            <w:pPr>
              <w:spacing w:line="276" w:lineRule="auto"/>
            </w:pPr>
            <w:r>
              <w:t>Families who have been referred to a services connect case worker have been added to the list of those eligible for an Early Start Kindergarten grant.</w:t>
            </w:r>
          </w:p>
        </w:tc>
        <w:tc>
          <w:tcPr>
            <w:tcW w:w="1211" w:type="dxa"/>
            <w:tcBorders>
              <w:bottom w:val="single" w:sz="8" w:space="0" w:color="4BACC6" w:themeColor="accent5"/>
            </w:tcBorders>
          </w:tcPr>
          <w:p w14:paraId="0A5C488E" w14:textId="727B9F2F" w:rsidR="00711725" w:rsidRDefault="00CA5A51" w:rsidP="00977ADD">
            <w:pPr>
              <w:cnfStyle w:val="000000000000" w:firstRow="0" w:lastRow="0" w:firstColumn="0" w:lastColumn="0" w:oddVBand="0" w:evenVBand="0" w:oddHBand="0" w:evenHBand="0" w:firstRowFirstColumn="0" w:firstRowLastColumn="0" w:lastRowFirstColumn="0" w:lastRowLastColumn="0"/>
            </w:pPr>
            <w:r>
              <w:t>27</w:t>
            </w:r>
          </w:p>
        </w:tc>
      </w:tr>
      <w:tr w:rsidR="00711725" w14:paraId="7F394214" w14:textId="3F70FF26"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4" w:type="dxa"/>
          </w:tcPr>
          <w:p w14:paraId="7F394212" w14:textId="77777777" w:rsidR="00711725" w:rsidRPr="00094B9D" w:rsidRDefault="00711725" w:rsidP="00977ADD">
            <w:pPr>
              <w:spacing w:line="276" w:lineRule="auto"/>
            </w:pPr>
            <w:r w:rsidRPr="00094B9D">
              <w:t>Kindergarten Fee Subsidy</w:t>
            </w:r>
          </w:p>
        </w:tc>
        <w:tc>
          <w:tcPr>
            <w:cnfStyle w:val="000010000000" w:firstRow="0" w:lastRow="0" w:firstColumn="0" w:lastColumn="0" w:oddVBand="1" w:evenVBand="0" w:oddHBand="0" w:evenHBand="0" w:firstRowFirstColumn="0" w:firstRowLastColumn="0" w:lastRowFirstColumn="0" w:lastRowLastColumn="0"/>
            <w:tcW w:w="11765" w:type="dxa"/>
          </w:tcPr>
          <w:p w14:paraId="7F394213" w14:textId="4D159800" w:rsidR="00711725" w:rsidRPr="00094B9D" w:rsidRDefault="00711725" w:rsidP="00977ADD">
            <w:pPr>
              <w:spacing w:line="276" w:lineRule="auto"/>
            </w:pPr>
            <w:r>
              <w:t>Delays in obtaining health care cards should not provide a barrier to accessing the Kindergarten Fee Subsidy if a carer identifies that the child is in out of home care. An application should proceed with a note entered in KIM. Information in KIM should then be updated once the health care card is sighted.</w:t>
            </w:r>
          </w:p>
        </w:tc>
        <w:tc>
          <w:tcPr>
            <w:tcW w:w="1211" w:type="dxa"/>
          </w:tcPr>
          <w:p w14:paraId="6CF92619" w14:textId="50B02651" w:rsidR="00711725" w:rsidRDefault="00CA5A51" w:rsidP="00977ADD">
            <w:pPr>
              <w:cnfStyle w:val="000000100000" w:firstRow="0" w:lastRow="0" w:firstColumn="0" w:lastColumn="0" w:oddVBand="0" w:evenVBand="0" w:oddHBand="1" w:evenHBand="0" w:firstRowFirstColumn="0" w:firstRowLastColumn="0" w:lastRowFirstColumn="0" w:lastRowLastColumn="0"/>
            </w:pPr>
            <w:r>
              <w:t>25</w:t>
            </w:r>
          </w:p>
        </w:tc>
      </w:tr>
      <w:tr w:rsidR="00711725" w14:paraId="7A8E5C5E" w14:textId="597F55B5" w:rsidTr="00910F8A">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tcBorders>
              <w:top w:val="single" w:sz="8" w:space="0" w:color="4BACC6" w:themeColor="accent5"/>
              <w:bottom w:val="single" w:sz="8" w:space="0" w:color="4BACC6" w:themeColor="accent5"/>
            </w:tcBorders>
          </w:tcPr>
          <w:p w14:paraId="77E628D2" w14:textId="120BAD0C" w:rsidR="00711725" w:rsidRPr="00094B9D" w:rsidRDefault="00711725" w:rsidP="00977ADD">
            <w:pPr>
              <w:spacing w:line="276" w:lineRule="auto"/>
            </w:pPr>
            <w:r>
              <w:t xml:space="preserve">Early Years Management </w:t>
            </w:r>
          </w:p>
        </w:tc>
        <w:tc>
          <w:tcPr>
            <w:cnfStyle w:val="000010000000" w:firstRow="0" w:lastRow="0" w:firstColumn="0" w:lastColumn="0" w:oddVBand="1" w:evenVBand="0" w:oddHBand="0" w:evenHBand="0" w:firstRowFirstColumn="0" w:firstRowLastColumn="0" w:lastRowFirstColumn="0" w:lastRowLastColumn="0"/>
            <w:tcW w:w="11765" w:type="dxa"/>
            <w:tcBorders>
              <w:top w:val="single" w:sz="8" w:space="0" w:color="4BACC6" w:themeColor="accent5"/>
              <w:bottom w:val="single" w:sz="8" w:space="0" w:color="4BACC6" w:themeColor="accent5"/>
            </w:tcBorders>
          </w:tcPr>
          <w:p w14:paraId="53B8FB52" w14:textId="0C6D61D5" w:rsidR="00711725" w:rsidRDefault="00711725" w:rsidP="00977ADD">
            <w:pPr>
              <w:spacing w:line="276" w:lineRule="auto"/>
            </w:pPr>
            <w:r>
              <w:t>The former Kindergarten Cluster Management has transitioned into Early Years Management, in line with the launch</w:t>
            </w:r>
            <w:r w:rsidR="00F56D08">
              <w:t xml:space="preserve"> of the Early Years Management F</w:t>
            </w:r>
            <w:r>
              <w:t>ramework.</w:t>
            </w:r>
          </w:p>
        </w:tc>
        <w:tc>
          <w:tcPr>
            <w:tcW w:w="1211" w:type="dxa"/>
            <w:tcBorders>
              <w:top w:val="single" w:sz="8" w:space="0" w:color="4BACC6" w:themeColor="accent5"/>
              <w:bottom w:val="single" w:sz="8" w:space="0" w:color="4BACC6" w:themeColor="accent5"/>
            </w:tcBorders>
          </w:tcPr>
          <w:p w14:paraId="0507DE58" w14:textId="61A7D672" w:rsidR="00711725" w:rsidRDefault="00CA5A51" w:rsidP="00977ADD">
            <w:pPr>
              <w:cnfStyle w:val="000000000000" w:firstRow="0" w:lastRow="0" w:firstColumn="0" w:lastColumn="0" w:oddVBand="0" w:evenVBand="0" w:oddHBand="0" w:evenHBand="0" w:firstRowFirstColumn="0" w:firstRowLastColumn="0" w:lastRowFirstColumn="0" w:lastRowLastColumn="0"/>
            </w:pPr>
            <w:r>
              <w:t>57</w:t>
            </w:r>
          </w:p>
        </w:tc>
      </w:tr>
      <w:tr w:rsidR="00910F8A" w14:paraId="591D7096" w14:textId="77777777" w:rsidTr="0091624D">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4" w:type="dxa"/>
          </w:tcPr>
          <w:p w14:paraId="691B1341" w14:textId="03674091" w:rsidR="00910F8A" w:rsidRDefault="00910F8A" w:rsidP="00977ADD">
            <w:r>
              <w:t>V</w:t>
            </w:r>
            <w:r w:rsidR="00185AF6">
              <w:t xml:space="preserve">ictorian </w:t>
            </w:r>
            <w:r>
              <w:t>E</w:t>
            </w:r>
            <w:r w:rsidR="00185AF6">
              <w:t xml:space="preserve">arly </w:t>
            </w:r>
            <w:r>
              <w:t>Y</w:t>
            </w:r>
            <w:r w:rsidR="00185AF6">
              <w:t xml:space="preserve">ears </w:t>
            </w:r>
            <w:r>
              <w:t>L</w:t>
            </w:r>
            <w:r w:rsidR="00185AF6">
              <w:t xml:space="preserve">earning and Development </w:t>
            </w:r>
            <w:r>
              <w:t>F</w:t>
            </w:r>
            <w:r w:rsidR="00185AF6">
              <w:t>ramework (VEYLDF)</w:t>
            </w:r>
          </w:p>
        </w:tc>
        <w:tc>
          <w:tcPr>
            <w:cnfStyle w:val="000010000000" w:firstRow="0" w:lastRow="0" w:firstColumn="0" w:lastColumn="0" w:oddVBand="1" w:evenVBand="0" w:oddHBand="0" w:evenHBand="0" w:firstRowFirstColumn="0" w:firstRowLastColumn="0" w:lastRowFirstColumn="0" w:lastRowLastColumn="0"/>
            <w:tcW w:w="11765" w:type="dxa"/>
          </w:tcPr>
          <w:p w14:paraId="4EBE8FD6" w14:textId="137E072D" w:rsidR="00910F8A" w:rsidRDefault="00185AF6" w:rsidP="00185AF6">
            <w:r w:rsidRPr="00185AF6">
              <w:t>The revised VEYLDF was launched in May 2016</w:t>
            </w:r>
            <w:r>
              <w:t xml:space="preserve"> and is an approved framework that guides practice for all professionals working in Victoria with children from birth to eight and their families, as declared in the Education and Care Services National Law. </w:t>
            </w:r>
            <w:r w:rsidR="003F7A7D">
              <w:t>As a core funding requirement, services must deliver a program that adheres to the VEYLDF.</w:t>
            </w:r>
          </w:p>
        </w:tc>
        <w:tc>
          <w:tcPr>
            <w:tcW w:w="1211" w:type="dxa"/>
          </w:tcPr>
          <w:p w14:paraId="7FA0DBCE" w14:textId="63DF1F05" w:rsidR="00910F8A" w:rsidRDefault="003F7A7D" w:rsidP="00977ADD">
            <w:pPr>
              <w:cnfStyle w:val="000000100000" w:firstRow="0" w:lastRow="0" w:firstColumn="0" w:lastColumn="0" w:oddVBand="0" w:evenVBand="0" w:oddHBand="1" w:evenHBand="0" w:firstRowFirstColumn="0" w:firstRowLastColumn="0" w:lastRowFirstColumn="0" w:lastRowLastColumn="0"/>
            </w:pPr>
            <w:r>
              <w:t>8</w:t>
            </w:r>
          </w:p>
        </w:tc>
      </w:tr>
      <w:tr w:rsidR="00E41D36" w14:paraId="2CBA20CE" w14:textId="77777777" w:rsidTr="0091624D">
        <w:tblPrEx>
          <w:tblLook w:val="00A0" w:firstRow="1" w:lastRow="0" w:firstColumn="1" w:lastColumn="0" w:noHBand="0" w:noVBand="0"/>
        </w:tblPrEx>
        <w:trPr>
          <w:cantSplit/>
        </w:trPr>
        <w:tc>
          <w:tcPr>
            <w:cnfStyle w:val="001000000000" w:firstRow="0" w:lastRow="0" w:firstColumn="1" w:lastColumn="0" w:oddVBand="0" w:evenVBand="0" w:oddHBand="0" w:evenHBand="0" w:firstRowFirstColumn="0" w:firstRowLastColumn="0" w:lastRowFirstColumn="0" w:lastRowLastColumn="0"/>
            <w:tcW w:w="2694" w:type="dxa"/>
          </w:tcPr>
          <w:p w14:paraId="78A900C1" w14:textId="55A42949" w:rsidR="00E41D36" w:rsidRDefault="00E41D36" w:rsidP="00977ADD">
            <w:r>
              <w:t>Early Childhood Teacher Supplement</w:t>
            </w:r>
          </w:p>
        </w:tc>
        <w:tc>
          <w:tcPr>
            <w:cnfStyle w:val="000010000000" w:firstRow="0" w:lastRow="0" w:firstColumn="0" w:lastColumn="0" w:oddVBand="1" w:evenVBand="0" w:oddHBand="0" w:evenHBand="0" w:firstRowFirstColumn="0" w:firstRowLastColumn="0" w:lastRowFirstColumn="0" w:lastRowLastColumn="0"/>
            <w:tcW w:w="11765" w:type="dxa"/>
          </w:tcPr>
          <w:p w14:paraId="068EF0E4" w14:textId="397AFCED" w:rsidR="00E41D36" w:rsidRDefault="00E603BC" w:rsidP="0033562E">
            <w:r w:rsidRPr="00E603BC">
              <w:t>The Early Childhood Teacher Supplement</w:t>
            </w:r>
            <w:r>
              <w:t xml:space="preserve"> (ECTS)</w:t>
            </w:r>
            <w:r w:rsidRPr="00E603BC">
              <w:t xml:space="preserve"> is paid for permanent staff members or relief teachers engaged for periods of three months or more. It is not payable for staff covering lunch breaks </w:t>
            </w:r>
            <w:r w:rsidR="0033562E">
              <w:t xml:space="preserve">(ie </w:t>
            </w:r>
            <w:r w:rsidRPr="00E603BC">
              <w:t>those who are not primarily responsible for the caseload in a gro</w:t>
            </w:r>
            <w:r w:rsidR="0033562E">
              <w:t>up)</w:t>
            </w:r>
            <w:r w:rsidRPr="00E603BC">
              <w:t>.</w:t>
            </w:r>
            <w:r>
              <w:t xml:space="preserve"> The starting point for ECTS eligibility has increased to level 2.3 to reflect the level changes introduced in the 2016 EBA.</w:t>
            </w:r>
          </w:p>
        </w:tc>
        <w:tc>
          <w:tcPr>
            <w:tcW w:w="1211" w:type="dxa"/>
          </w:tcPr>
          <w:p w14:paraId="34BC0936" w14:textId="316C9D73" w:rsidR="00E41D36" w:rsidRDefault="00CA5A51" w:rsidP="00977ADD">
            <w:pPr>
              <w:cnfStyle w:val="000000000000" w:firstRow="0" w:lastRow="0" w:firstColumn="0" w:lastColumn="0" w:oddVBand="0" w:evenVBand="0" w:oddHBand="0" w:evenHBand="0" w:firstRowFirstColumn="0" w:firstRowLastColumn="0" w:lastRowFirstColumn="0" w:lastRowLastColumn="0"/>
            </w:pPr>
            <w:r>
              <w:t>17</w:t>
            </w:r>
          </w:p>
        </w:tc>
      </w:tr>
    </w:tbl>
    <w:p w14:paraId="7F39421A" w14:textId="6DAEE748" w:rsidR="00094B9D" w:rsidRDefault="00094B9D" w:rsidP="00977ADD"/>
    <w:sectPr w:rsidR="00094B9D" w:rsidSect="001D5F35">
      <w:headerReference w:type="default" r:id="rId13"/>
      <w:pgSz w:w="16838" w:h="11906" w:orient="landscape"/>
      <w:pgMar w:top="178" w:right="993" w:bottom="426" w:left="567" w:header="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A71D6" w14:textId="77777777" w:rsidR="00CC7756" w:rsidRDefault="00CC7756" w:rsidP="00CC7756">
      <w:pPr>
        <w:spacing w:after="0" w:line="240" w:lineRule="auto"/>
      </w:pPr>
      <w:r>
        <w:separator/>
      </w:r>
    </w:p>
  </w:endnote>
  <w:endnote w:type="continuationSeparator" w:id="0">
    <w:p w14:paraId="6B22DE79" w14:textId="77777777" w:rsidR="00CC7756" w:rsidRDefault="00CC7756" w:rsidP="00CC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ED7B" w14:textId="77777777" w:rsidR="00CC7756" w:rsidRDefault="00CC7756" w:rsidP="00CC7756">
      <w:pPr>
        <w:spacing w:after="0" w:line="240" w:lineRule="auto"/>
      </w:pPr>
      <w:r>
        <w:separator/>
      </w:r>
    </w:p>
  </w:footnote>
  <w:footnote w:type="continuationSeparator" w:id="0">
    <w:p w14:paraId="3447E614" w14:textId="77777777" w:rsidR="00CC7756" w:rsidRDefault="00CC7756" w:rsidP="00CC7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AB58" w14:textId="3E37D143" w:rsidR="00CC7756" w:rsidRDefault="001D5F35">
    <w:pPr>
      <w:pStyle w:val="Header"/>
    </w:pPr>
    <w:r>
      <w:rPr>
        <w:noProof/>
        <w:lang w:eastAsia="en-AU"/>
      </w:rPr>
      <w:drawing>
        <wp:anchor distT="0" distB="0" distL="114300" distR="114300" simplePos="0" relativeHeight="251658240" behindDoc="1" locked="0" layoutInCell="1" allowOverlap="1" wp14:anchorId="23470EA6" wp14:editId="60D92B69">
          <wp:simplePos x="0" y="0"/>
          <wp:positionH relativeFrom="column">
            <wp:posOffset>4020185</wp:posOffset>
          </wp:positionH>
          <wp:positionV relativeFrom="paragraph">
            <wp:posOffset>27940</wp:posOffset>
          </wp:positionV>
          <wp:extent cx="5741035" cy="594995"/>
          <wp:effectExtent l="0" t="0" r="0" b="0"/>
          <wp:wrapThrough wrapText="bothSides">
            <wp:wrapPolygon edited="0">
              <wp:start x="0" y="0"/>
              <wp:lineTo x="0" y="20747"/>
              <wp:lineTo x="21502" y="20747"/>
              <wp:lineTo x="2150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035" cy="594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42D16"/>
    <w:multiLevelType w:val="hybridMultilevel"/>
    <w:tmpl w:val="D6366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85967AC"/>
    <w:multiLevelType w:val="hybridMultilevel"/>
    <w:tmpl w:val="AEE88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56"/>
    <w:rsid w:val="000150C0"/>
    <w:rsid w:val="0002247A"/>
    <w:rsid w:val="00094B9D"/>
    <w:rsid w:val="00167FD7"/>
    <w:rsid w:val="00185AF6"/>
    <w:rsid w:val="001A2630"/>
    <w:rsid w:val="001D3271"/>
    <w:rsid w:val="001D5F35"/>
    <w:rsid w:val="001E473A"/>
    <w:rsid w:val="00223C32"/>
    <w:rsid w:val="00262C93"/>
    <w:rsid w:val="00290784"/>
    <w:rsid w:val="0029182D"/>
    <w:rsid w:val="002D2772"/>
    <w:rsid w:val="003150F8"/>
    <w:rsid w:val="003175B5"/>
    <w:rsid w:val="0033562E"/>
    <w:rsid w:val="003F7A7D"/>
    <w:rsid w:val="004109F1"/>
    <w:rsid w:val="00436E27"/>
    <w:rsid w:val="004C1DF3"/>
    <w:rsid w:val="005069DA"/>
    <w:rsid w:val="005A383F"/>
    <w:rsid w:val="005C7768"/>
    <w:rsid w:val="006E1148"/>
    <w:rsid w:val="00711725"/>
    <w:rsid w:val="007B4C79"/>
    <w:rsid w:val="007E131E"/>
    <w:rsid w:val="007F647F"/>
    <w:rsid w:val="00876A73"/>
    <w:rsid w:val="008B4006"/>
    <w:rsid w:val="00910F8A"/>
    <w:rsid w:val="0091624D"/>
    <w:rsid w:val="009364EE"/>
    <w:rsid w:val="0097057E"/>
    <w:rsid w:val="00977ADD"/>
    <w:rsid w:val="00AA4EB6"/>
    <w:rsid w:val="00AE1184"/>
    <w:rsid w:val="00B30956"/>
    <w:rsid w:val="00BA06F5"/>
    <w:rsid w:val="00C22605"/>
    <w:rsid w:val="00CA5A51"/>
    <w:rsid w:val="00CC7756"/>
    <w:rsid w:val="00CE7210"/>
    <w:rsid w:val="00D73A2E"/>
    <w:rsid w:val="00E41D36"/>
    <w:rsid w:val="00E603BC"/>
    <w:rsid w:val="00EA7228"/>
    <w:rsid w:val="00EC056F"/>
    <w:rsid w:val="00F56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9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309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50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9DA"/>
    <w:rPr>
      <w:rFonts w:ascii="Tahoma" w:hAnsi="Tahoma" w:cs="Tahoma"/>
      <w:sz w:val="16"/>
      <w:szCs w:val="16"/>
    </w:rPr>
  </w:style>
  <w:style w:type="paragraph" w:styleId="ListParagraph">
    <w:name w:val="List Paragraph"/>
    <w:basedOn w:val="Normal"/>
    <w:uiPriority w:val="34"/>
    <w:qFormat/>
    <w:rsid w:val="00094B9D"/>
    <w:pPr>
      <w:ind w:left="720"/>
      <w:contextualSpacing/>
    </w:pPr>
  </w:style>
  <w:style w:type="table" w:styleId="LightList-Accent5">
    <w:name w:val="Light List Accent 5"/>
    <w:basedOn w:val="TableNormal"/>
    <w:uiPriority w:val="61"/>
    <w:rsid w:val="00094B9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CC7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756"/>
  </w:style>
  <w:style w:type="paragraph" w:styleId="Footer">
    <w:name w:val="footer"/>
    <w:basedOn w:val="Normal"/>
    <w:link w:val="FooterChar"/>
    <w:uiPriority w:val="99"/>
    <w:unhideWhenUsed/>
    <w:rsid w:val="00CC7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309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50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9DA"/>
    <w:rPr>
      <w:rFonts w:ascii="Tahoma" w:hAnsi="Tahoma" w:cs="Tahoma"/>
      <w:sz w:val="16"/>
      <w:szCs w:val="16"/>
    </w:rPr>
  </w:style>
  <w:style w:type="paragraph" w:styleId="ListParagraph">
    <w:name w:val="List Paragraph"/>
    <w:basedOn w:val="Normal"/>
    <w:uiPriority w:val="34"/>
    <w:qFormat/>
    <w:rsid w:val="00094B9D"/>
    <w:pPr>
      <w:ind w:left="720"/>
      <w:contextualSpacing/>
    </w:pPr>
  </w:style>
  <w:style w:type="table" w:styleId="LightList-Accent5">
    <w:name w:val="Light List Accent 5"/>
    <w:basedOn w:val="TableNormal"/>
    <w:uiPriority w:val="61"/>
    <w:rsid w:val="00094B9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CC7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756"/>
  </w:style>
  <w:style w:type="paragraph" w:styleId="Footer">
    <w:name w:val="footer"/>
    <w:basedOn w:val="Normal"/>
    <w:link w:val="FooterChar"/>
    <w:uiPriority w:val="99"/>
    <w:unhideWhenUsed/>
    <w:rsid w:val="00CC7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8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key policy changes and updates, kindergarten funding guide</DEECD_Keywords>
    <PublishingExpirationDate xmlns="http://schemas.microsoft.com/sharepoint/v3" xsi:nil="true"/>
    <DEECD_Description xmlns="http://schemas.microsoft.com/sharepoint/v3">Key policy changes and updates for Kindergarten Funding Guide published in October 2016.</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EEE25-2EE7-4C8D-96E4-5F6C68B9F94F}"/>
</file>

<file path=customXml/itemProps2.xml><?xml version="1.0" encoding="utf-8"?>
<ds:datastoreItem xmlns:ds="http://schemas.openxmlformats.org/officeDocument/2006/customXml" ds:itemID="{40C321DF-343F-471A-AA01-2A9DFE28FF69}"/>
</file>

<file path=customXml/itemProps3.xml><?xml version="1.0" encoding="utf-8"?>
<ds:datastoreItem xmlns:ds="http://schemas.openxmlformats.org/officeDocument/2006/customXml" ds:itemID="{A0646340-045C-4B8F-894D-C2CF9EC32B69}"/>
</file>

<file path=customXml/itemProps4.xml><?xml version="1.0" encoding="utf-8"?>
<ds:datastoreItem xmlns:ds="http://schemas.openxmlformats.org/officeDocument/2006/customXml" ds:itemID="{FA14C8B2-CD7B-4AFE-9667-316FD330D5C3}">
  <ds:schemaRefs>
    <ds:schemaRef ds:uri="http://schemas.microsoft.com/sharepoint/events"/>
  </ds:schemaRefs>
</ds:datastoreItem>
</file>

<file path=customXml/itemProps5.xml><?xml version="1.0" encoding="utf-8"?>
<ds:datastoreItem xmlns:ds="http://schemas.openxmlformats.org/officeDocument/2006/customXml" ds:itemID="{43743D2D-87F5-43B4-B283-770C4625ACED}"/>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 Funding Guide key policy changes and updates</dc:title>
  <dc:creator>Lawson, Kelly A</dc:creator>
  <cp:lastModifiedBy>Lawson, Janelle J</cp:lastModifiedBy>
  <cp:revision>2</cp:revision>
  <cp:lastPrinted>2016-11-07T22:32:00Z</cp:lastPrinted>
  <dcterms:created xsi:type="dcterms:W3CDTF">2016-11-14T00:50:00Z</dcterms:created>
  <dcterms:modified xsi:type="dcterms:W3CDTF">2016-11-14T00:50:00Z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{9d5eb98c-660b-4332-8358-ff3cf8d64c9a}</vt:lpwstr>
  </property>
  <property fmtid="{D5CDD505-2E9C-101B-9397-08002B2CF9AE}" pid="8" name="RecordPoint_ActiveItemUniqueId">
    <vt:lpwstr>{69847333-61e7-4001-be90-5da49bd611c0}</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SubmissionCompleted">
    <vt:lpwstr>2016-11-11T15:42:15.6056272+11:00</vt:lpwstr>
  </property>
  <property fmtid="{D5CDD505-2E9C-101B-9397-08002B2CF9AE}" pid="12" name="RecordPoint_RecordNumberSubmitted">
    <vt:lpwstr>R0000147587</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