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64E2" w14:textId="77777777" w:rsidR="005D295A" w:rsidRPr="00935210" w:rsidRDefault="008515B3" w:rsidP="001C50B0">
      <w:pPr>
        <w:pStyle w:val="Title"/>
      </w:pPr>
      <w:r w:rsidRPr="008515B3">
        <w:t xml:space="preserve">Fact </w:t>
      </w:r>
      <w:r w:rsidRPr="001C50B0">
        <w:t>sheet</w:t>
      </w:r>
      <w:r>
        <w:t xml:space="preserve"> </w:t>
      </w:r>
      <w:r>
        <w:br/>
      </w:r>
      <w:r w:rsidR="003A449E" w:rsidRPr="00CF139A">
        <w:rPr>
          <w:color w:val="B4292D" w:themeColor="accent4"/>
          <w:sz w:val="46"/>
          <w:szCs w:val="46"/>
        </w:rPr>
        <w:t xml:space="preserve">Capacity building Stream </w:t>
      </w:r>
      <w:r w:rsidR="003A449E">
        <w:rPr>
          <w:color w:val="B4292D" w:themeColor="accent4"/>
          <w:sz w:val="46"/>
          <w:szCs w:val="46"/>
        </w:rPr>
        <w:t>Overview</w:t>
      </w:r>
    </w:p>
    <w:p w14:paraId="60ED1322" w14:textId="77777777" w:rsidR="00935210" w:rsidRPr="00935210" w:rsidRDefault="00935210" w:rsidP="00935210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158"/>
      </w:tblGrid>
      <w:tr w:rsidR="00935210" w14:paraId="669D76D6" w14:textId="77777777" w:rsidTr="00AC10B8">
        <w:tc>
          <w:tcPr>
            <w:tcW w:w="3402" w:type="dxa"/>
          </w:tcPr>
          <w:p w14:paraId="0203E1D0" w14:textId="77777777" w:rsidR="003A449E" w:rsidRDefault="003A449E" w:rsidP="003A449E">
            <w:pPr>
              <w:rPr>
                <w:iCs/>
                <w:color w:val="808285" w:themeColor="accent2"/>
                <w:sz w:val="24"/>
              </w:rPr>
            </w:pPr>
            <w:r w:rsidRPr="00760E5F">
              <w:rPr>
                <w:iCs/>
                <w:color w:val="808285" w:themeColor="accent2"/>
                <w:sz w:val="24"/>
              </w:rPr>
              <w:t xml:space="preserve">Building Blocks is critical to support the roll out of funded Three-Year-Old Kindergarten across the </w:t>
            </w:r>
            <w:r w:rsidR="009D47D0">
              <w:rPr>
                <w:iCs/>
                <w:color w:val="808285" w:themeColor="accent2"/>
                <w:sz w:val="24"/>
              </w:rPr>
              <w:t>s</w:t>
            </w:r>
            <w:r w:rsidRPr="00760E5F">
              <w:rPr>
                <w:iCs/>
                <w:color w:val="808285" w:themeColor="accent2"/>
                <w:sz w:val="24"/>
              </w:rPr>
              <w:t>tate and to help meet the growing demand for Four-Year-</w:t>
            </w:r>
            <w:r w:rsidR="009D47D0">
              <w:rPr>
                <w:iCs/>
                <w:color w:val="808285" w:themeColor="accent2"/>
                <w:sz w:val="24"/>
              </w:rPr>
              <w:t>O</w:t>
            </w:r>
            <w:r w:rsidRPr="00760E5F">
              <w:rPr>
                <w:iCs/>
                <w:color w:val="808285" w:themeColor="accent2"/>
                <w:sz w:val="24"/>
              </w:rPr>
              <w:t>ld Kindergarten</w:t>
            </w:r>
            <w:r>
              <w:rPr>
                <w:iCs/>
                <w:color w:val="808285" w:themeColor="accent2"/>
                <w:sz w:val="24"/>
              </w:rPr>
              <w:t>.</w:t>
            </w:r>
          </w:p>
          <w:p w14:paraId="69FA8F99" w14:textId="77777777" w:rsidR="003A449E" w:rsidRDefault="003A449E" w:rsidP="003A449E">
            <w:pPr>
              <w:rPr>
                <w:iCs/>
                <w:color w:val="808285" w:themeColor="accent2"/>
                <w:sz w:val="24"/>
              </w:rPr>
            </w:pPr>
          </w:p>
          <w:p w14:paraId="4C63D2C6" w14:textId="758B8B56" w:rsidR="003A449E" w:rsidRDefault="003A449E" w:rsidP="003A449E">
            <w:pPr>
              <w:rPr>
                <w:iCs/>
                <w:color w:val="808285" w:themeColor="accent2"/>
                <w:sz w:val="24"/>
              </w:rPr>
            </w:pPr>
            <w:r>
              <w:rPr>
                <w:iCs/>
                <w:color w:val="808285" w:themeColor="accent2"/>
                <w:sz w:val="24"/>
              </w:rPr>
              <w:t xml:space="preserve">Grants support local councils and early learning providers </w:t>
            </w:r>
            <w:r w:rsidR="008A1565">
              <w:rPr>
                <w:iCs/>
                <w:color w:val="808285" w:themeColor="accent2"/>
                <w:sz w:val="24"/>
              </w:rPr>
              <w:t xml:space="preserve">to </w:t>
            </w:r>
            <w:bookmarkStart w:id="0" w:name="_GoBack"/>
            <w:bookmarkEnd w:id="0"/>
            <w:r>
              <w:rPr>
                <w:iCs/>
                <w:color w:val="808285" w:themeColor="accent2"/>
                <w:sz w:val="24"/>
              </w:rPr>
              <w:t>build, expand and improve kindergartens or make them more inclusive.</w:t>
            </w:r>
          </w:p>
          <w:p w14:paraId="2C99DFE1" w14:textId="77777777" w:rsidR="00935210" w:rsidRDefault="00935210" w:rsidP="001C50B0">
            <w:pPr>
              <w:pStyle w:val="Quote"/>
            </w:pPr>
          </w:p>
        </w:tc>
        <w:tc>
          <w:tcPr>
            <w:tcW w:w="5158" w:type="dxa"/>
          </w:tcPr>
          <w:p w14:paraId="262E8E6F" w14:textId="77777777" w:rsidR="003A449E" w:rsidRPr="00760E5F" w:rsidRDefault="003A449E" w:rsidP="003A449E">
            <w:pPr>
              <w:pStyle w:val="Heading3"/>
              <w:outlineLvl w:val="2"/>
            </w:pPr>
            <w:r>
              <w:t xml:space="preserve">Introducing </w:t>
            </w:r>
            <w:r w:rsidRPr="00760E5F">
              <w:t>Building blocks</w:t>
            </w:r>
          </w:p>
          <w:p w14:paraId="631B0E0A" w14:textId="77777777" w:rsidR="003A449E" w:rsidRDefault="003A449E" w:rsidP="003A449E">
            <w:r w:rsidRPr="00760E5F">
              <w:t xml:space="preserve">Building Blocks is a planning and funding program run by the </w:t>
            </w:r>
            <w:r>
              <w:t>Victorian Government</w:t>
            </w:r>
            <w:r w:rsidRPr="00760E5F">
              <w:t xml:space="preserve"> to help deliver the early childhood infrastructure Victoria needs over this decade.  </w:t>
            </w:r>
          </w:p>
          <w:p w14:paraId="1FF68E0B" w14:textId="77777777" w:rsidR="003A449E" w:rsidRDefault="003A449E" w:rsidP="003A449E">
            <w:r>
              <w:t xml:space="preserve">Building Blocks grants </w:t>
            </w:r>
            <w:r w:rsidRPr="00760E5F">
              <w:t>simplif</w:t>
            </w:r>
            <w:r w:rsidR="009D47D0">
              <w:t>y</w:t>
            </w:r>
            <w:r w:rsidRPr="00760E5F">
              <w:t xml:space="preserve"> and replace previous </w:t>
            </w:r>
            <w:r>
              <w:t>grant schemes - the</w:t>
            </w:r>
            <w:r w:rsidRPr="00760E5F">
              <w:t xml:space="preserve"> Children’s Facilities Capital Program and the Inclusive Kindergartens Facilities Program – used to upgrade our kinder</w:t>
            </w:r>
            <w:r>
              <w:t>garten</w:t>
            </w:r>
            <w:r w:rsidR="00A00C72">
              <w:t xml:space="preserve"> service</w:t>
            </w:r>
            <w:r>
              <w:t>s</w:t>
            </w:r>
            <w:r w:rsidRPr="00760E5F">
              <w:t xml:space="preserve"> and make them more inclusive.</w:t>
            </w:r>
          </w:p>
          <w:p w14:paraId="50B411DD" w14:textId="77777777" w:rsidR="003A449E" w:rsidRDefault="003A449E" w:rsidP="003A449E">
            <w:r>
              <w:t>Those programs funded upgrades to buildings and playgrounds and invested in equipment that made a big difference to how Victorian kindergarten</w:t>
            </w:r>
            <w:r w:rsidR="00A00C72">
              <w:t xml:space="preserve"> </w:t>
            </w:r>
            <w:r>
              <w:t>s</w:t>
            </w:r>
            <w:r w:rsidR="00A00C72">
              <w:t>ervices</w:t>
            </w:r>
            <w:r>
              <w:t xml:space="preserve"> meet the educational and social needs of children with disabilities. </w:t>
            </w:r>
          </w:p>
          <w:p w14:paraId="271E2B45" w14:textId="77777777" w:rsidR="003A449E" w:rsidRDefault="003A449E" w:rsidP="003A449E">
            <w:r>
              <w:t>Building Blocks grants will still achieve those goals, while being better equipped to create the extra kindergarten places we need for the future.</w:t>
            </w:r>
          </w:p>
          <w:p w14:paraId="4B6EC3B1" w14:textId="55FD35E3" w:rsidR="003A449E" w:rsidRDefault="003A449E" w:rsidP="003A449E">
            <w:r w:rsidRPr="00C23EB7">
              <w:t>There are three grant streams – capacity building,</w:t>
            </w:r>
            <w:r>
              <w:t xml:space="preserve"> </w:t>
            </w:r>
            <w:r w:rsidRPr="00C23EB7">
              <w:t>improvement and inclusion</w:t>
            </w:r>
            <w:r>
              <w:t>.</w:t>
            </w:r>
          </w:p>
          <w:p w14:paraId="6E091C28" w14:textId="0EB631F7" w:rsidR="00CE44E1" w:rsidRDefault="00CE44E1" w:rsidP="003A449E">
            <w:r>
              <w:t>Improvement</w:t>
            </w:r>
            <w:r w:rsidR="001642D6">
              <w:t xml:space="preserve"> grants provide funding for upgrades and minor expansions to early learning facilities, or investment in IT equipment. </w:t>
            </w:r>
          </w:p>
          <w:p w14:paraId="6C77B41D" w14:textId="4C45A2CD" w:rsidR="00DA3207" w:rsidRDefault="00DA3207" w:rsidP="003A449E">
            <w:r>
              <w:t>Inclusion grants</w:t>
            </w:r>
            <w:r w:rsidR="00E004BE">
              <w:t xml:space="preserve"> </w:t>
            </w:r>
            <w:r w:rsidR="00093DF6">
              <w:t xml:space="preserve">provide funding to upgrade facilities, or purchase equipment, to provide safe and inclusive environments for children of all needs </w:t>
            </w:r>
            <w:proofErr w:type="gramStart"/>
            <w:r w:rsidR="00093DF6">
              <w:t>a</w:t>
            </w:r>
            <w:proofErr w:type="gramEnd"/>
            <w:r w:rsidR="00093DF6">
              <w:t xml:space="preserve"> abilities. </w:t>
            </w:r>
            <w:r>
              <w:t xml:space="preserve"> </w:t>
            </w:r>
          </w:p>
          <w:p w14:paraId="73563E08" w14:textId="77777777" w:rsidR="00935210" w:rsidRDefault="00935210" w:rsidP="008515B3"/>
          <w:p w14:paraId="4E96A5DA" w14:textId="77777777" w:rsidR="003A449E" w:rsidRPr="00760E5F" w:rsidRDefault="003A449E" w:rsidP="003A449E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asciiTheme="majorHAnsi" w:eastAsiaTheme="majorEastAsia" w:hAnsiTheme="majorHAnsi" w:cstheme="majorBidi"/>
                <w:caps/>
                <w:color w:val="B4292D" w:themeColor="text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B4292D" w:themeColor="text2"/>
                <w:sz w:val="21"/>
                <w:szCs w:val="21"/>
              </w:rPr>
              <w:t xml:space="preserve">Capacity </w:t>
            </w:r>
            <w:r w:rsidRPr="00760E5F">
              <w:rPr>
                <w:rFonts w:asciiTheme="majorHAnsi" w:eastAsiaTheme="majorEastAsia" w:hAnsiTheme="majorHAnsi" w:cstheme="majorBidi"/>
                <w:caps/>
                <w:color w:val="B4292D" w:themeColor="text2"/>
                <w:sz w:val="21"/>
                <w:szCs w:val="21"/>
              </w:rPr>
              <w:t>Building</w:t>
            </w:r>
            <w:r>
              <w:rPr>
                <w:rFonts w:asciiTheme="majorHAnsi" w:eastAsiaTheme="majorEastAsia" w:hAnsiTheme="majorHAnsi" w:cstheme="majorBidi"/>
                <w:caps/>
                <w:color w:val="B4292D" w:themeColor="text2"/>
                <w:sz w:val="21"/>
                <w:szCs w:val="21"/>
              </w:rPr>
              <w:t xml:space="preserve"> Stream</w:t>
            </w:r>
          </w:p>
          <w:p w14:paraId="04657A3C" w14:textId="77777777" w:rsidR="003A449E" w:rsidRDefault="003A449E" w:rsidP="003A449E">
            <w:r w:rsidRPr="00C23EB7">
              <w:t>Funding</w:t>
            </w:r>
            <w:r>
              <w:t xml:space="preserve"> </w:t>
            </w:r>
            <w:r w:rsidR="009D47D0">
              <w:t xml:space="preserve">is </w:t>
            </w:r>
            <w:r>
              <w:t>available</w:t>
            </w:r>
            <w:r w:rsidRPr="00C23EB7">
              <w:t xml:space="preserve"> for projects that create additional places for </w:t>
            </w:r>
            <w:r>
              <w:t>funded T</w:t>
            </w:r>
            <w:r w:rsidRPr="00C23EB7">
              <w:t xml:space="preserve">hree and </w:t>
            </w:r>
            <w:r>
              <w:t>F</w:t>
            </w:r>
            <w:r w:rsidRPr="00C23EB7">
              <w:t>our-</w:t>
            </w:r>
            <w:r>
              <w:t>Y</w:t>
            </w:r>
            <w:r w:rsidRPr="00C23EB7">
              <w:t>ear-</w:t>
            </w:r>
            <w:r>
              <w:t>O</w:t>
            </w:r>
            <w:r w:rsidRPr="00C23EB7">
              <w:t>ld</w:t>
            </w:r>
            <w:r>
              <w:t xml:space="preserve"> </w:t>
            </w:r>
            <w:r w:rsidR="009D47D0">
              <w:t>K</w:t>
            </w:r>
            <w:r>
              <w:t>indergarten</w:t>
            </w:r>
            <w:r w:rsidRPr="00C23EB7">
              <w:t xml:space="preserve"> by building </w:t>
            </w:r>
            <w:proofErr w:type="gramStart"/>
            <w:r w:rsidRPr="00C23EB7">
              <w:t>new, or</w:t>
            </w:r>
            <w:proofErr w:type="gramEnd"/>
            <w:r w:rsidRPr="00C23EB7">
              <w:t xml:space="preserve"> expanding existing infrastructure</w:t>
            </w:r>
            <w:r w:rsidR="00DE5466">
              <w:t>.</w:t>
            </w:r>
          </w:p>
          <w:p w14:paraId="440F01B3" w14:textId="77777777" w:rsidR="003A449E" w:rsidRPr="00760E5F" w:rsidRDefault="003A449E" w:rsidP="003A449E">
            <w:r>
              <w:t>There are f</w:t>
            </w:r>
            <w:r w:rsidRPr="00760E5F">
              <w:t>our gran</w:t>
            </w:r>
            <w:r>
              <w:t>t categories available:</w:t>
            </w:r>
            <w:r w:rsidRPr="00760E5F">
              <w:t xml:space="preserve"> </w:t>
            </w:r>
          </w:p>
          <w:p w14:paraId="0EC108D2" w14:textId="77777777" w:rsidR="003A449E" w:rsidRPr="00760E5F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I</w:t>
            </w:r>
            <w:r w:rsidRPr="00760E5F">
              <w:t>ntegrated Children’s Centre Grant</w:t>
            </w:r>
          </w:p>
          <w:p w14:paraId="1E7C1D22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lastRenderedPageBreak/>
              <w:t>N</w:t>
            </w:r>
            <w:r w:rsidRPr="00760E5F">
              <w:t>ew Early Learning Facility Grant</w:t>
            </w:r>
          </w:p>
          <w:p w14:paraId="1A7667B6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Modular Kindergarten Facility Grant</w:t>
            </w:r>
          </w:p>
          <w:p w14:paraId="74D9E7C5" w14:textId="26ED1D25" w:rsidR="003A449E" w:rsidRDefault="003A449E" w:rsidP="00762B5B">
            <w:pPr>
              <w:pStyle w:val="ListBullet"/>
              <w:numPr>
                <w:ilvl w:val="0"/>
                <w:numId w:val="2"/>
              </w:numPr>
            </w:pPr>
            <w:r>
              <w:t>Expansion Upgrades Grant</w:t>
            </w:r>
          </w:p>
        </w:tc>
      </w:tr>
    </w:tbl>
    <w:p w14:paraId="41E4DCC3" w14:textId="77777777" w:rsidR="003A449E" w:rsidRDefault="003A449E" w:rsidP="003A449E">
      <w:pPr>
        <w:pStyle w:val="TableHeading"/>
      </w:pPr>
      <w:r>
        <w:lastRenderedPageBreak/>
        <w:t>Table 1: Overview of Capacity Building Stream Grants</w:t>
      </w:r>
    </w:p>
    <w:tbl>
      <w:tblPr>
        <w:tblStyle w:val="TableGrid"/>
        <w:tblW w:w="8539" w:type="dxa"/>
        <w:tblLook w:val="04A0" w:firstRow="1" w:lastRow="0" w:firstColumn="1" w:lastColumn="0" w:noHBand="0" w:noVBand="1"/>
      </w:tblPr>
      <w:tblGrid>
        <w:gridCol w:w="1633"/>
        <w:gridCol w:w="2309"/>
        <w:gridCol w:w="4597"/>
      </w:tblGrid>
      <w:tr w:rsidR="003A449E" w:rsidRPr="00CF6059" w14:paraId="0F2F32CF" w14:textId="77777777" w:rsidTr="00AF0ED3">
        <w:tc>
          <w:tcPr>
            <w:tcW w:w="1633" w:type="dxa"/>
          </w:tcPr>
          <w:p w14:paraId="03F609B3" w14:textId="77777777" w:rsidR="003A449E" w:rsidRPr="00CF6059" w:rsidRDefault="003A449E" w:rsidP="00AF0ED3">
            <w:pPr>
              <w:pStyle w:val="TableHdg"/>
            </w:pPr>
            <w:r>
              <w:t>Grant Type</w:t>
            </w:r>
          </w:p>
        </w:tc>
        <w:tc>
          <w:tcPr>
            <w:tcW w:w="2309" w:type="dxa"/>
          </w:tcPr>
          <w:p w14:paraId="10DEB7E0" w14:textId="77777777" w:rsidR="003A449E" w:rsidRPr="00CF6059" w:rsidRDefault="003A449E" w:rsidP="00AF0ED3">
            <w:pPr>
              <w:pStyle w:val="TableHdg"/>
            </w:pPr>
            <w:r>
              <w:t xml:space="preserve">Maximum grant </w:t>
            </w:r>
          </w:p>
        </w:tc>
        <w:tc>
          <w:tcPr>
            <w:tcW w:w="4597" w:type="dxa"/>
          </w:tcPr>
          <w:p w14:paraId="4B40C76B" w14:textId="77777777" w:rsidR="003A449E" w:rsidRPr="00CF6059" w:rsidRDefault="003A449E" w:rsidP="00AF0ED3">
            <w:pPr>
              <w:pStyle w:val="TableHdg"/>
            </w:pPr>
            <w:r>
              <w:t>Minimum requirements</w:t>
            </w:r>
          </w:p>
        </w:tc>
      </w:tr>
      <w:tr w:rsidR="003A449E" w:rsidRPr="00CF6059" w14:paraId="06F0043B" w14:textId="77777777" w:rsidTr="00AF0ED3">
        <w:tc>
          <w:tcPr>
            <w:tcW w:w="1633" w:type="dxa"/>
          </w:tcPr>
          <w:p w14:paraId="20BCE7FF" w14:textId="77777777" w:rsidR="003A449E" w:rsidRPr="00D72183" w:rsidRDefault="003A449E" w:rsidP="00AF0ED3">
            <w:pPr>
              <w:rPr>
                <w:b/>
                <w:bCs/>
              </w:rPr>
            </w:pPr>
            <w:r w:rsidRPr="00D72183">
              <w:rPr>
                <w:b/>
                <w:bCs/>
              </w:rPr>
              <w:t xml:space="preserve">Integrated </w:t>
            </w:r>
            <w:r w:rsidR="00DE5466">
              <w:rPr>
                <w:b/>
                <w:bCs/>
              </w:rPr>
              <w:t>C</w:t>
            </w:r>
            <w:r w:rsidRPr="00D72183">
              <w:rPr>
                <w:b/>
                <w:bCs/>
              </w:rPr>
              <w:t xml:space="preserve">hildren’s Centre </w:t>
            </w:r>
          </w:p>
        </w:tc>
        <w:tc>
          <w:tcPr>
            <w:tcW w:w="2309" w:type="dxa"/>
          </w:tcPr>
          <w:p w14:paraId="0A1CEF57" w14:textId="77777777" w:rsidR="003A449E" w:rsidRDefault="003A449E" w:rsidP="00AF0ED3">
            <w:r>
              <w:t>$2 million (ex GST)</w:t>
            </w:r>
          </w:p>
          <w:p w14:paraId="13169DF2" w14:textId="77777777" w:rsidR="003A449E" w:rsidRDefault="003A449E" w:rsidP="00AF0ED3"/>
          <w:p w14:paraId="65B60F60" w14:textId="77777777" w:rsidR="003A449E" w:rsidRDefault="003A449E" w:rsidP="00AF0ED3">
            <w:r>
              <w:t>For projects seeking a smaller increase to licenced places, the maximum grant allocation may be reduced.</w:t>
            </w:r>
          </w:p>
          <w:p w14:paraId="1478B423" w14:textId="77777777" w:rsidR="003A449E" w:rsidRPr="00CF6059" w:rsidRDefault="003A449E" w:rsidP="00AF0ED3"/>
        </w:tc>
        <w:tc>
          <w:tcPr>
            <w:tcW w:w="4597" w:type="dxa"/>
          </w:tcPr>
          <w:p w14:paraId="75A36985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At least 66 licensed places, based on two rooms for three and four-year-old children.  This can be sessional or integrated</w:t>
            </w:r>
          </w:p>
          <w:p w14:paraId="1914061C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Long day care (unless evidence shows there is no projected local demand)</w:t>
            </w:r>
          </w:p>
          <w:p w14:paraId="303B1E24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Maternal and child health services</w:t>
            </w:r>
          </w:p>
          <w:p w14:paraId="670006DE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Allied health services for early years</w:t>
            </w:r>
          </w:p>
          <w:p w14:paraId="071470E8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Family services</w:t>
            </w:r>
          </w:p>
          <w:p w14:paraId="363C2A3B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Flexible, multi-purpose spaces and services to meet local community needs, including one or more of the following:</w:t>
            </w:r>
          </w:p>
          <w:p w14:paraId="3D2CEAE2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supported playgroups or community parent-led playgroups</w:t>
            </w:r>
          </w:p>
          <w:p w14:paraId="7F3BA495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parenting groups or programs</w:t>
            </w:r>
          </w:p>
          <w:p w14:paraId="2E25E915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occasional care</w:t>
            </w:r>
          </w:p>
          <w:p w14:paraId="7F6B9554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family day care program coordination</w:t>
            </w:r>
          </w:p>
          <w:p w14:paraId="5D4CBB63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counselling services</w:t>
            </w:r>
          </w:p>
          <w:p w14:paraId="63BDB92D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community meeting spaces</w:t>
            </w:r>
          </w:p>
          <w:p w14:paraId="0075E8FD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outside school hours care</w:t>
            </w:r>
          </w:p>
          <w:p w14:paraId="4677EC21" w14:textId="77777777" w:rsidR="003A449E" w:rsidRDefault="003A449E" w:rsidP="003A449E">
            <w:pPr>
              <w:pStyle w:val="ListBullet2"/>
              <w:numPr>
                <w:ilvl w:val="1"/>
                <w:numId w:val="2"/>
              </w:numPr>
            </w:pPr>
            <w:r>
              <w:t>adult education programs</w:t>
            </w:r>
          </w:p>
          <w:p w14:paraId="01AA8D01" w14:textId="77777777" w:rsidR="003A449E" w:rsidRPr="00CF6059" w:rsidRDefault="003A449E" w:rsidP="00AF0ED3">
            <w:pPr>
              <w:pStyle w:val="ListBullet2"/>
              <w:numPr>
                <w:ilvl w:val="0"/>
                <w:numId w:val="0"/>
              </w:numPr>
              <w:ind w:left="567"/>
            </w:pPr>
          </w:p>
        </w:tc>
      </w:tr>
      <w:tr w:rsidR="003A449E" w:rsidRPr="00CF6059" w14:paraId="3E72B114" w14:textId="77777777" w:rsidTr="00AF0ED3">
        <w:tc>
          <w:tcPr>
            <w:tcW w:w="1633" w:type="dxa"/>
          </w:tcPr>
          <w:p w14:paraId="40DF0D00" w14:textId="77777777" w:rsidR="003A449E" w:rsidRPr="00D72183" w:rsidRDefault="003A449E" w:rsidP="00AF0ED3">
            <w:pPr>
              <w:rPr>
                <w:b/>
                <w:bCs/>
              </w:rPr>
            </w:pPr>
            <w:r w:rsidRPr="00D72183">
              <w:rPr>
                <w:b/>
                <w:bCs/>
              </w:rPr>
              <w:t xml:space="preserve">New Early Learning Facility </w:t>
            </w:r>
          </w:p>
          <w:p w14:paraId="480280FF" w14:textId="77777777" w:rsidR="003A449E" w:rsidRPr="00D72183" w:rsidRDefault="003A449E" w:rsidP="00AF0ED3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14:paraId="231B968C" w14:textId="77777777" w:rsidR="003A449E" w:rsidRDefault="003A449E" w:rsidP="00AF0ED3">
            <w:r>
              <w:t>$1.5 million (ex GST)</w:t>
            </w:r>
          </w:p>
          <w:p w14:paraId="746B3F84" w14:textId="77777777" w:rsidR="003A449E" w:rsidRDefault="003A449E" w:rsidP="00AF0ED3"/>
          <w:p w14:paraId="51708FCE" w14:textId="77777777" w:rsidR="003A449E" w:rsidRPr="00CF6059" w:rsidRDefault="003A449E" w:rsidP="00AF0ED3">
            <w:r>
              <w:t>For projects seeking a smaller increase to licenced places, the maximum grant allocation may be reduced.</w:t>
            </w:r>
          </w:p>
        </w:tc>
        <w:tc>
          <w:tcPr>
            <w:tcW w:w="4597" w:type="dxa"/>
          </w:tcPr>
          <w:p w14:paraId="6649BE8E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 xml:space="preserve">At least 66 licensed places, based on two rooms for three and four-year-old children </w:t>
            </w:r>
            <w:r w:rsidR="009D47D0">
              <w:t>(t</w:t>
            </w:r>
            <w:r>
              <w:t>his can be sessional or integrated</w:t>
            </w:r>
            <w:r w:rsidR="009D47D0">
              <w:t>)</w:t>
            </w:r>
          </w:p>
          <w:p w14:paraId="36203CEE" w14:textId="77777777" w:rsidR="003A449E" w:rsidRPr="00637125" w:rsidRDefault="003A449E" w:rsidP="003A449E">
            <w:pPr>
              <w:pStyle w:val="ListBullet"/>
              <w:numPr>
                <w:ilvl w:val="0"/>
                <w:numId w:val="2"/>
              </w:numPr>
            </w:pPr>
            <w:r w:rsidRPr="00637125">
              <w:t>Must be a completely new building</w:t>
            </w:r>
          </w:p>
          <w:p w14:paraId="0DCE4D28" w14:textId="77777777" w:rsidR="003A449E" w:rsidRPr="00CF6059" w:rsidRDefault="003A449E" w:rsidP="003A449E">
            <w:pPr>
              <w:pStyle w:val="ListBullet"/>
              <w:numPr>
                <w:ilvl w:val="0"/>
                <w:numId w:val="2"/>
              </w:numPr>
            </w:pPr>
            <w:r w:rsidRPr="00712978">
              <w:t xml:space="preserve">Proposals may also support the delivery of other services, including long day care, </w:t>
            </w:r>
            <w:r w:rsidR="009D47D0">
              <w:t>m</w:t>
            </w:r>
            <w:r w:rsidRPr="00712978">
              <w:t xml:space="preserve">aternal and </w:t>
            </w:r>
            <w:r w:rsidR="009D47D0">
              <w:t>c</w:t>
            </w:r>
            <w:r w:rsidRPr="00712978">
              <w:t xml:space="preserve">hild </w:t>
            </w:r>
            <w:r w:rsidR="009D47D0">
              <w:t>h</w:t>
            </w:r>
            <w:r w:rsidRPr="00712978">
              <w:t xml:space="preserve">ealth </w:t>
            </w:r>
            <w:r w:rsidR="009D47D0">
              <w:t>s</w:t>
            </w:r>
            <w:r w:rsidRPr="00712978">
              <w:t>ervices, or playgroups</w:t>
            </w:r>
            <w:r>
              <w:t>.</w:t>
            </w:r>
            <w:r w:rsidRPr="00CF6059">
              <w:t xml:space="preserve"> </w:t>
            </w:r>
          </w:p>
        </w:tc>
      </w:tr>
      <w:tr w:rsidR="003A449E" w:rsidRPr="00CF6059" w14:paraId="26C6B72A" w14:textId="77777777" w:rsidTr="00AF0ED3">
        <w:tc>
          <w:tcPr>
            <w:tcW w:w="1633" w:type="dxa"/>
          </w:tcPr>
          <w:p w14:paraId="510012EC" w14:textId="77777777" w:rsidR="003A449E" w:rsidRPr="00D72183" w:rsidRDefault="003A449E" w:rsidP="00AF0ED3">
            <w:pPr>
              <w:rPr>
                <w:b/>
                <w:bCs/>
              </w:rPr>
            </w:pPr>
            <w:r w:rsidRPr="00D72183">
              <w:rPr>
                <w:b/>
                <w:bCs/>
              </w:rPr>
              <w:t xml:space="preserve">Modular Kindergarten Facility </w:t>
            </w:r>
          </w:p>
          <w:p w14:paraId="0AE2CC97" w14:textId="77777777" w:rsidR="003A449E" w:rsidRPr="00D72183" w:rsidRDefault="003A449E" w:rsidP="00AF0ED3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14:paraId="39CF8310" w14:textId="77777777" w:rsidR="003A449E" w:rsidRDefault="003A449E" w:rsidP="00AF0ED3">
            <w:r>
              <w:t xml:space="preserve">Up to $750,000 (ex GST) for one room. </w:t>
            </w:r>
          </w:p>
          <w:p w14:paraId="68E3DE38" w14:textId="77777777" w:rsidR="003A449E" w:rsidRDefault="003A449E" w:rsidP="00AF0ED3"/>
          <w:p w14:paraId="08D0E948" w14:textId="77777777" w:rsidR="003A449E" w:rsidRDefault="003A449E" w:rsidP="00AF0ED3">
            <w:r>
              <w:t>Up to $1.5 million (ex GST) for two rooms.</w:t>
            </w:r>
          </w:p>
          <w:p w14:paraId="519227F3" w14:textId="77777777" w:rsidR="003A449E" w:rsidRPr="00CF6059" w:rsidRDefault="003A449E" w:rsidP="00AF0ED3"/>
        </w:tc>
        <w:tc>
          <w:tcPr>
            <w:tcW w:w="4597" w:type="dxa"/>
          </w:tcPr>
          <w:p w14:paraId="6F138957" w14:textId="77777777" w:rsidR="003A449E" w:rsidRDefault="003A449E" w:rsidP="003A449E">
            <w:pPr>
              <w:pStyle w:val="ListBullet"/>
              <w:numPr>
                <w:ilvl w:val="0"/>
                <w:numId w:val="2"/>
              </w:numPr>
            </w:pPr>
            <w:r>
              <w:t>At least 33 licensed places, based on one room, or at least 66 places based on two rooms for three and four-year-old children.  This can be sessional or integrated.</w:t>
            </w:r>
          </w:p>
          <w:p w14:paraId="5B88B64E" w14:textId="0B3142E4" w:rsidR="003A449E" w:rsidRPr="00CF6059" w:rsidRDefault="003A449E" w:rsidP="003A449E">
            <w:pPr>
              <w:pStyle w:val="ListBullet"/>
              <w:numPr>
                <w:ilvl w:val="0"/>
                <w:numId w:val="2"/>
              </w:numPr>
            </w:pPr>
            <w:r w:rsidRPr="00223A46">
              <w:t xml:space="preserve">Proposals may also support the delivery of other services, including long day care, </w:t>
            </w:r>
            <w:r w:rsidR="009D47D0">
              <w:t>m</w:t>
            </w:r>
            <w:r w:rsidRPr="00223A46">
              <w:t xml:space="preserve">aternal and </w:t>
            </w:r>
            <w:r w:rsidR="009D47D0">
              <w:t>c</w:t>
            </w:r>
            <w:r w:rsidRPr="00223A46">
              <w:t xml:space="preserve">hild </w:t>
            </w:r>
            <w:r w:rsidR="009D47D0">
              <w:t>h</w:t>
            </w:r>
            <w:r w:rsidRPr="00223A46">
              <w:t xml:space="preserve">ealth </w:t>
            </w:r>
            <w:r w:rsidR="00CB2051">
              <w:t>s</w:t>
            </w:r>
            <w:r w:rsidRPr="00223A46">
              <w:t>ervices, or playgroups</w:t>
            </w:r>
            <w:r>
              <w:t>.</w:t>
            </w:r>
            <w:r w:rsidRPr="00CF6059">
              <w:t xml:space="preserve"> </w:t>
            </w:r>
          </w:p>
        </w:tc>
      </w:tr>
      <w:tr w:rsidR="003A449E" w:rsidRPr="00CF6059" w14:paraId="5F2E07AD" w14:textId="77777777" w:rsidTr="00AF0ED3">
        <w:tc>
          <w:tcPr>
            <w:tcW w:w="1633" w:type="dxa"/>
          </w:tcPr>
          <w:p w14:paraId="306D7E28" w14:textId="77777777" w:rsidR="003A449E" w:rsidRPr="00D72183" w:rsidRDefault="003A449E" w:rsidP="00AF0ED3">
            <w:pPr>
              <w:rPr>
                <w:b/>
                <w:bCs/>
              </w:rPr>
            </w:pPr>
            <w:r w:rsidRPr="00D72183">
              <w:rPr>
                <w:b/>
                <w:bCs/>
              </w:rPr>
              <w:t xml:space="preserve">Expansion Upgrades </w:t>
            </w:r>
          </w:p>
          <w:p w14:paraId="738D8B56" w14:textId="77777777" w:rsidR="003A449E" w:rsidRPr="00D72183" w:rsidRDefault="003A449E" w:rsidP="00AF0ED3">
            <w:pPr>
              <w:rPr>
                <w:b/>
                <w:bCs/>
              </w:rPr>
            </w:pPr>
          </w:p>
        </w:tc>
        <w:tc>
          <w:tcPr>
            <w:tcW w:w="2309" w:type="dxa"/>
          </w:tcPr>
          <w:p w14:paraId="18275509" w14:textId="6F39D822" w:rsidR="003A449E" w:rsidRDefault="003A449E" w:rsidP="00AF0ED3">
            <w:pPr>
              <w:rPr>
                <w:u w:color="000000"/>
              </w:rPr>
            </w:pPr>
            <w:r>
              <w:t>$</w:t>
            </w:r>
            <w:r w:rsidR="000F5707">
              <w:t>6</w:t>
            </w:r>
            <w:r>
              <w:t>00,000 (ex GST)</w:t>
            </w:r>
            <w:r w:rsidRPr="00302E8C">
              <w:rPr>
                <w:u w:color="000000"/>
              </w:rPr>
              <w:t xml:space="preserve"> </w:t>
            </w:r>
          </w:p>
          <w:p w14:paraId="37F5F83C" w14:textId="77777777" w:rsidR="003A449E" w:rsidRDefault="003A449E" w:rsidP="00AF0ED3">
            <w:pPr>
              <w:rPr>
                <w:u w:color="000000"/>
              </w:rPr>
            </w:pPr>
          </w:p>
          <w:p w14:paraId="7240F7F3" w14:textId="77777777" w:rsidR="003A449E" w:rsidRDefault="009D47D0" w:rsidP="00AF0ED3">
            <w:r>
              <w:rPr>
                <w:u w:color="000000"/>
              </w:rPr>
              <w:t>P</w:t>
            </w:r>
            <w:r w:rsidR="003A449E" w:rsidRPr="00302E8C">
              <w:rPr>
                <w:u w:color="000000"/>
              </w:rPr>
              <w:t xml:space="preserve">rojects seeking the maximum grant contribution </w:t>
            </w:r>
            <w:r>
              <w:rPr>
                <w:u w:color="000000"/>
              </w:rPr>
              <w:t>sh</w:t>
            </w:r>
            <w:r w:rsidR="003A449E" w:rsidRPr="00302E8C">
              <w:rPr>
                <w:u w:color="000000"/>
              </w:rPr>
              <w:t>ould increase</w:t>
            </w:r>
            <w:r w:rsidR="003A449E">
              <w:rPr>
                <w:u w:color="000000"/>
              </w:rPr>
              <w:t xml:space="preserve"> </w:t>
            </w:r>
            <w:r w:rsidR="003A449E" w:rsidRPr="00302E8C">
              <w:rPr>
                <w:u w:color="000000"/>
              </w:rPr>
              <w:t xml:space="preserve">licensed capacity by </w:t>
            </w:r>
            <w:r w:rsidR="003A449E">
              <w:rPr>
                <w:u w:color="000000"/>
              </w:rPr>
              <w:t xml:space="preserve">22 approved places. </w:t>
            </w:r>
          </w:p>
          <w:p w14:paraId="41752388" w14:textId="77777777" w:rsidR="003A449E" w:rsidRPr="00CF6059" w:rsidRDefault="003A449E" w:rsidP="00AF0ED3"/>
        </w:tc>
        <w:tc>
          <w:tcPr>
            <w:tcW w:w="4597" w:type="dxa"/>
          </w:tcPr>
          <w:p w14:paraId="45E0F4CB" w14:textId="77777777" w:rsidR="003A449E" w:rsidRPr="00366C4D" w:rsidRDefault="003A449E" w:rsidP="003A449E">
            <w:pPr>
              <w:pStyle w:val="ListBulle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color="000000"/>
              </w:rPr>
              <w:t xml:space="preserve">An </w:t>
            </w:r>
            <w:r w:rsidRPr="00366C4D">
              <w:rPr>
                <w:rFonts w:ascii="Century Gothic" w:hAnsi="Century Gothic"/>
                <w:u w:color="000000"/>
              </w:rPr>
              <w:t xml:space="preserve">increase </w:t>
            </w:r>
            <w:r>
              <w:rPr>
                <w:rFonts w:ascii="Century Gothic" w:hAnsi="Century Gothic"/>
                <w:u w:color="000000"/>
              </w:rPr>
              <w:t xml:space="preserve">in </w:t>
            </w:r>
            <w:r w:rsidRPr="00366C4D">
              <w:rPr>
                <w:rFonts w:ascii="Century Gothic" w:hAnsi="Century Gothic"/>
                <w:u w:color="000000"/>
              </w:rPr>
              <w:t xml:space="preserve">the number of </w:t>
            </w:r>
            <w:r w:rsidRPr="00302E8C">
              <w:rPr>
                <w:rFonts w:ascii="Century Gothic" w:hAnsi="Century Gothic"/>
                <w:u w:color="000000"/>
              </w:rPr>
              <w:t>licenced places</w:t>
            </w:r>
            <w:r w:rsidRPr="00366C4D">
              <w:rPr>
                <w:rFonts w:ascii="Century Gothic" w:hAnsi="Century Gothic"/>
                <w:u w:color="000000"/>
              </w:rPr>
              <w:t xml:space="preserve"> for</w:t>
            </w:r>
            <w:r>
              <w:rPr>
                <w:rFonts w:ascii="Century Gothic" w:hAnsi="Century Gothic"/>
                <w:u w:color="000000"/>
              </w:rPr>
              <w:t xml:space="preserve"> </w:t>
            </w:r>
            <w:r w:rsidRPr="00366C4D">
              <w:rPr>
                <w:rFonts w:ascii="Century Gothic" w:hAnsi="Century Gothic"/>
                <w:u w:color="000000"/>
              </w:rPr>
              <w:t>a funded three and/or four-year-old kindergarten program</w:t>
            </w:r>
            <w:r>
              <w:rPr>
                <w:rFonts w:ascii="Century Gothic" w:hAnsi="Century Gothic"/>
                <w:u w:color="000000"/>
              </w:rPr>
              <w:t>.</w:t>
            </w:r>
          </w:p>
          <w:p w14:paraId="621BE829" w14:textId="77777777" w:rsidR="003A449E" w:rsidRPr="00366C4D" w:rsidRDefault="003A449E" w:rsidP="003A449E">
            <w:pPr>
              <w:pStyle w:val="ListBulle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entury Gothic" w:hAnsi="Century Gothic"/>
              </w:rPr>
            </w:pPr>
            <w:r w:rsidRPr="00366C4D">
              <w:rPr>
                <w:rFonts w:ascii="Century Gothic" w:hAnsi="Century Gothic"/>
                <w:u w:color="000000"/>
              </w:rPr>
              <w:t>Improve the quality of the learning environment at existing facilities.</w:t>
            </w:r>
          </w:p>
          <w:p w14:paraId="63A6539F" w14:textId="77777777" w:rsidR="003A449E" w:rsidRPr="00D72183" w:rsidRDefault="003A449E" w:rsidP="003A449E">
            <w:pPr>
              <w:pStyle w:val="ListBulle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366C4D">
              <w:rPr>
                <w:rFonts w:ascii="Century Gothic" w:hAnsi="Century Gothic"/>
                <w:u w:color="000000"/>
              </w:rPr>
              <w:t xml:space="preserve">Renovated and refurbished facilities must be used to deliver a funded three and four-year-old kindergarten program. </w:t>
            </w:r>
          </w:p>
          <w:p w14:paraId="7EE2D5B9" w14:textId="77777777" w:rsidR="003A449E" w:rsidRPr="00CF6059" w:rsidRDefault="003A449E" w:rsidP="00AF0ED3">
            <w:pPr>
              <w:pStyle w:val="ListBulle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/>
              <w:jc w:val="both"/>
            </w:pPr>
          </w:p>
        </w:tc>
      </w:tr>
    </w:tbl>
    <w:p w14:paraId="03E9603A" w14:textId="77777777" w:rsidR="003A449E" w:rsidRPr="00637125" w:rsidRDefault="003A449E" w:rsidP="003A449E"/>
    <w:p w14:paraId="1D00DEDA" w14:textId="75A190AA" w:rsidR="00935210" w:rsidRDefault="003A449E" w:rsidP="00762B5B">
      <w:r>
        <w:t xml:space="preserve">The funding levels provided in the table are based on services containing two 33-place kindergarten rooms. Larger services may be eligible for additional </w:t>
      </w:r>
      <w:r w:rsidR="009D47D0">
        <w:t>s</w:t>
      </w:r>
      <w:r>
        <w:t xml:space="preserve">tate funding beyond the specified amounts. This will be considered on a case-by-case basis. </w:t>
      </w:r>
    </w:p>
    <w:sectPr w:rsidR="00935210" w:rsidSect="00CF60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16" w:right="1985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362C" w14:textId="77777777" w:rsidR="00256DED" w:rsidRDefault="00256DED" w:rsidP="008515B3">
      <w:pPr>
        <w:spacing w:before="0" w:after="0" w:line="240" w:lineRule="auto"/>
      </w:pPr>
      <w:r>
        <w:separator/>
      </w:r>
    </w:p>
  </w:endnote>
  <w:endnote w:type="continuationSeparator" w:id="0">
    <w:p w14:paraId="6FA03F75" w14:textId="77777777" w:rsidR="00256DED" w:rsidRDefault="00256DED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AE51" w14:textId="77777777" w:rsidR="00262DD0" w:rsidRDefault="00201DCF" w:rsidP="00262DD0">
    <w:pPr>
      <w:pStyle w:val="Footer"/>
    </w:pPr>
    <w:r>
      <w:rPr>
        <w:lang w:eastAsia="en-AU"/>
      </w:rPr>
      <w:drawing>
        <wp:anchor distT="0" distB="0" distL="114300" distR="114300" simplePos="0" relativeHeight="251672576" behindDoc="1" locked="0" layoutInCell="1" allowOverlap="1" wp14:anchorId="0355995B" wp14:editId="05E8ED09">
          <wp:simplePos x="0" y="0"/>
          <wp:positionH relativeFrom="column">
            <wp:posOffset>-864235</wp:posOffset>
          </wp:positionH>
          <wp:positionV relativeFrom="paragraph">
            <wp:posOffset>-673735</wp:posOffset>
          </wp:positionV>
          <wp:extent cx="7574945" cy="1438885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0221_BB_Template Headers_v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45" cy="14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DD0"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53DA35DB" wp14:editId="7550E640">
              <wp:simplePos x="0" y="0"/>
              <wp:positionH relativeFrom="column">
                <wp:posOffset>-864235</wp:posOffset>
              </wp:positionH>
              <wp:positionV relativeFrom="page">
                <wp:posOffset>9743440</wp:posOffset>
              </wp:positionV>
              <wp:extent cx="7555865" cy="9518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951865"/>
                        <a:chOff x="0" y="142504"/>
                        <a:chExt cx="7555857" cy="953176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331F4" id="Group 7" o:spid="_x0000_s1026" style="position:absolute;margin-left:-68.05pt;margin-top:767.2pt;width:594.95pt;height:74.95pt;z-index:-251649024;mso-position-vertical-relative:page;mso-width-relative:margin;mso-height-relative:margin" coordorigin=",1425" coordsize="75558,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MjQ4MTwvZXhpZjpQaXhlbFhEaW1l&#10;bnNpb24+CiAgICAgICAgIDxleGlmOlBpeGVsWURpbWVuc2lvbj4zMTI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rect id="Rectangle 6" o:spid="_x0000_s1028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8FFB" w14:textId="77777777" w:rsidR="00262DD0" w:rsidRDefault="00160AD6" w:rsidP="00262DD0">
    <w:pPr>
      <w:pStyle w:val="Footer"/>
    </w:pPr>
    <w:r>
      <w:rPr>
        <w:lang w:eastAsia="en-AU"/>
      </w:rPr>
      <w:drawing>
        <wp:anchor distT="0" distB="0" distL="114300" distR="114300" simplePos="0" relativeHeight="251673600" behindDoc="1" locked="0" layoutInCell="1" allowOverlap="1" wp14:anchorId="6B11D8F7" wp14:editId="26BD5BB7">
          <wp:simplePos x="0" y="0"/>
          <wp:positionH relativeFrom="column">
            <wp:posOffset>-864236</wp:posOffset>
          </wp:positionH>
          <wp:positionV relativeFrom="paragraph">
            <wp:posOffset>-848995</wp:posOffset>
          </wp:positionV>
          <wp:extent cx="7571731" cy="143827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306_BB_Template Headers_v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35" cy="144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A5DF" w14:textId="77777777" w:rsidR="00256DED" w:rsidRDefault="00256DED" w:rsidP="008515B3">
      <w:pPr>
        <w:spacing w:before="0" w:after="0" w:line="240" w:lineRule="auto"/>
      </w:pPr>
      <w:r>
        <w:separator/>
      </w:r>
    </w:p>
  </w:footnote>
  <w:footnote w:type="continuationSeparator" w:id="0">
    <w:p w14:paraId="6C23D6CF" w14:textId="77777777" w:rsidR="00256DED" w:rsidRDefault="00256DED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562D" w14:textId="77777777" w:rsidR="00FC5C9E" w:rsidRDefault="00201DCF" w:rsidP="00FC5C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278D8407" wp14:editId="7B0ED6DB">
          <wp:simplePos x="0" y="0"/>
          <wp:positionH relativeFrom="column">
            <wp:posOffset>-864235</wp:posOffset>
          </wp:positionH>
          <wp:positionV relativeFrom="paragraph">
            <wp:posOffset>-462915</wp:posOffset>
          </wp:positionV>
          <wp:extent cx="7555014" cy="1435100"/>
          <wp:effectExtent l="0" t="0" r="1905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0221_BB_Template Headers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014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E17D" w14:textId="77777777" w:rsidR="00935210" w:rsidRDefault="006A45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3B9E2155" wp14:editId="3C718BED">
          <wp:simplePos x="0" y="0"/>
          <wp:positionH relativeFrom="column">
            <wp:posOffset>-881380</wp:posOffset>
          </wp:positionH>
          <wp:positionV relativeFrom="paragraph">
            <wp:posOffset>-437515</wp:posOffset>
          </wp:positionV>
          <wp:extent cx="7555802" cy="3047919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306_BB_Template Headers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02" cy="3047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03C98" w14:textId="77777777" w:rsidR="00935210" w:rsidRDefault="00935210">
    <w:pPr>
      <w:pStyle w:val="Header"/>
    </w:pPr>
  </w:p>
  <w:p w14:paraId="4A61784C" w14:textId="77777777" w:rsidR="00935210" w:rsidRDefault="00935210">
    <w:pPr>
      <w:pStyle w:val="Header"/>
    </w:pPr>
  </w:p>
  <w:p w14:paraId="1850D6BA" w14:textId="77777777" w:rsidR="00935210" w:rsidRDefault="00935210">
    <w:pPr>
      <w:pStyle w:val="Header"/>
    </w:pPr>
  </w:p>
  <w:p w14:paraId="704A4C3F" w14:textId="77777777" w:rsidR="00935210" w:rsidRDefault="00935210">
    <w:pPr>
      <w:pStyle w:val="Header"/>
    </w:pPr>
  </w:p>
  <w:p w14:paraId="6D5C134E" w14:textId="77777777" w:rsidR="00935210" w:rsidRDefault="00935210">
    <w:pPr>
      <w:pStyle w:val="Header"/>
    </w:pPr>
  </w:p>
  <w:p w14:paraId="005D9273" w14:textId="77777777" w:rsidR="00935210" w:rsidRDefault="00935210">
    <w:pPr>
      <w:pStyle w:val="Header"/>
    </w:pPr>
  </w:p>
  <w:p w14:paraId="20C7E3AD" w14:textId="77777777" w:rsidR="00935210" w:rsidRDefault="00935210">
    <w:pPr>
      <w:pStyle w:val="Header"/>
    </w:pPr>
  </w:p>
  <w:p w14:paraId="2F762989" w14:textId="77777777" w:rsidR="00935210" w:rsidRDefault="00935210">
    <w:pPr>
      <w:pStyle w:val="Header"/>
    </w:pPr>
  </w:p>
  <w:p w14:paraId="63242BC8" w14:textId="77777777" w:rsidR="00935210" w:rsidRDefault="00935210">
    <w:pPr>
      <w:pStyle w:val="Header"/>
    </w:pPr>
  </w:p>
  <w:p w14:paraId="7DB08EA4" w14:textId="77777777" w:rsidR="00935210" w:rsidRDefault="00935210">
    <w:pPr>
      <w:pStyle w:val="Header"/>
    </w:pPr>
  </w:p>
  <w:p w14:paraId="795D147F" w14:textId="77777777" w:rsidR="00935210" w:rsidRDefault="00935210">
    <w:pPr>
      <w:pStyle w:val="Header"/>
    </w:pPr>
  </w:p>
  <w:p w14:paraId="02E85423" w14:textId="77777777" w:rsidR="00935210" w:rsidRDefault="00935210">
    <w:pPr>
      <w:pStyle w:val="Header"/>
    </w:pPr>
  </w:p>
  <w:p w14:paraId="25F069E7" w14:textId="77777777" w:rsidR="00935210" w:rsidRDefault="00935210">
    <w:pPr>
      <w:pStyle w:val="Header"/>
    </w:pPr>
  </w:p>
  <w:p w14:paraId="131B9CB0" w14:textId="77777777" w:rsidR="00935210" w:rsidRDefault="00935210">
    <w:pPr>
      <w:pStyle w:val="Header"/>
    </w:pPr>
  </w:p>
  <w:p w14:paraId="2556C748" w14:textId="77777777" w:rsidR="00935210" w:rsidRDefault="00935210">
    <w:pPr>
      <w:pStyle w:val="Header"/>
    </w:pPr>
  </w:p>
  <w:p w14:paraId="0D27E99B" w14:textId="77777777" w:rsidR="00935210" w:rsidRDefault="00935210">
    <w:pPr>
      <w:pStyle w:val="Header"/>
    </w:pPr>
  </w:p>
  <w:p w14:paraId="4F39879F" w14:textId="77777777" w:rsidR="00935210" w:rsidRDefault="00935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20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D0"/>
    <w:rsid w:val="00093DF6"/>
    <w:rsid w:val="000F422B"/>
    <w:rsid w:val="000F5707"/>
    <w:rsid w:val="00101140"/>
    <w:rsid w:val="00160AD6"/>
    <w:rsid w:val="001642D6"/>
    <w:rsid w:val="001937C3"/>
    <w:rsid w:val="001C50B0"/>
    <w:rsid w:val="001F0F8D"/>
    <w:rsid w:val="00201DCF"/>
    <w:rsid w:val="00223164"/>
    <w:rsid w:val="00224763"/>
    <w:rsid w:val="0022560D"/>
    <w:rsid w:val="00256DED"/>
    <w:rsid w:val="00262DD0"/>
    <w:rsid w:val="0027684D"/>
    <w:rsid w:val="0028568F"/>
    <w:rsid w:val="003037E0"/>
    <w:rsid w:val="00310F57"/>
    <w:rsid w:val="003A0436"/>
    <w:rsid w:val="003A449E"/>
    <w:rsid w:val="003E18DD"/>
    <w:rsid w:val="003E42FA"/>
    <w:rsid w:val="0040338E"/>
    <w:rsid w:val="00492304"/>
    <w:rsid w:val="004D6A47"/>
    <w:rsid w:val="00573025"/>
    <w:rsid w:val="005D295A"/>
    <w:rsid w:val="00680EBF"/>
    <w:rsid w:val="006A450D"/>
    <w:rsid w:val="006F05E4"/>
    <w:rsid w:val="00760C3E"/>
    <w:rsid w:val="00762B5B"/>
    <w:rsid w:val="00806F7F"/>
    <w:rsid w:val="008515B3"/>
    <w:rsid w:val="00851F6F"/>
    <w:rsid w:val="00852EE8"/>
    <w:rsid w:val="008A1565"/>
    <w:rsid w:val="00925C26"/>
    <w:rsid w:val="00935210"/>
    <w:rsid w:val="009D47D0"/>
    <w:rsid w:val="00A00C72"/>
    <w:rsid w:val="00AC10B8"/>
    <w:rsid w:val="00AD3FF6"/>
    <w:rsid w:val="00B5186E"/>
    <w:rsid w:val="00B8490A"/>
    <w:rsid w:val="00B86DB4"/>
    <w:rsid w:val="00BC4CD0"/>
    <w:rsid w:val="00C6302E"/>
    <w:rsid w:val="00C91401"/>
    <w:rsid w:val="00CB0E0C"/>
    <w:rsid w:val="00CB2051"/>
    <w:rsid w:val="00CE44E1"/>
    <w:rsid w:val="00CF6059"/>
    <w:rsid w:val="00D10938"/>
    <w:rsid w:val="00DA3207"/>
    <w:rsid w:val="00DC0C0A"/>
    <w:rsid w:val="00DE5466"/>
    <w:rsid w:val="00E004BE"/>
    <w:rsid w:val="00F43F99"/>
    <w:rsid w:val="00F94567"/>
    <w:rsid w:val="00FA11E3"/>
    <w:rsid w:val="00FB1440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6355B"/>
  <w15:chartTrackingRefBased/>
  <w15:docId w15:val="{9C3A0C7A-31C2-4219-B968-201C619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0B0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7354\OneDrive%20-%20VIC%20-%20Department%20of%20Education%20and%20Training\Documents\Capacity%20Building%20Stream%20Overview%20Factsheet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Building Overview Factsheet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42042-F55C-429D-9797-5204E1748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1D9E6-1A60-4E6A-8601-AC46E8877796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0590d34-406e-4ed1-8d50-4d360e7c6d67"/>
    <ds:schemaRef ds:uri="http://schemas.microsoft.com/office/infopath/2007/PartnerControls"/>
    <ds:schemaRef ds:uri="http://www.w3.org/XML/1998/namespace"/>
    <ds:schemaRef ds:uri="260684f0-3073-4088-aef6-6d262ce4b51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466057-732E-4AF4-BDC9-582BD197D2D7}"/>
</file>

<file path=docProps/app.xml><?xml version="1.0" encoding="utf-8"?>
<Properties xmlns="http://schemas.openxmlformats.org/officeDocument/2006/extended-properties" xmlns:vt="http://schemas.openxmlformats.org/officeDocument/2006/docPropsVTypes">
  <Template>Capacity Building Stream Overview Factsheet.dotx</Template>
  <TotalTime>0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Overview Factsheet </dc:title>
  <dc:subject/>
  <dc:creator>Baker-Underhill, Kalia T</dc:creator>
  <cp:keywords/>
  <dc:description/>
  <cp:lastModifiedBy>Baker-Underhill, Kalia T</cp:lastModifiedBy>
  <cp:revision>2</cp:revision>
  <dcterms:created xsi:type="dcterms:W3CDTF">2020-03-12T00:49:00Z</dcterms:created>
  <dcterms:modified xsi:type="dcterms:W3CDTF">2020-03-12T00:49:00Z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