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F0" w:rsidRPr="00FC11D3" w:rsidRDefault="009F2AEC">
      <w:pPr>
        <w:rPr>
          <w:b/>
        </w:rPr>
      </w:pPr>
      <w:bookmarkStart w:id="0" w:name="_GoBack"/>
      <w:bookmarkEnd w:id="0"/>
      <w:r w:rsidRPr="00FC11D3">
        <w:rPr>
          <w:b/>
        </w:rPr>
        <w:t>Children in Out</w:t>
      </w:r>
      <w:r w:rsidR="00D42545">
        <w:rPr>
          <w:b/>
        </w:rPr>
        <w:t>-</w:t>
      </w:r>
      <w:r w:rsidRPr="00FC11D3">
        <w:rPr>
          <w:b/>
        </w:rPr>
        <w:t>of</w:t>
      </w:r>
      <w:r w:rsidR="00D42545">
        <w:rPr>
          <w:b/>
        </w:rPr>
        <w:t>-</w:t>
      </w:r>
      <w:r w:rsidRPr="00FC11D3">
        <w:rPr>
          <w:b/>
        </w:rPr>
        <w:t>Home Care – Informa</w:t>
      </w:r>
      <w:r w:rsidR="00344FD9">
        <w:rPr>
          <w:b/>
        </w:rPr>
        <w:t>tion for Long Day Care Centres</w:t>
      </w:r>
      <w:r w:rsidR="00EE6492">
        <w:rPr>
          <w:b/>
        </w:rPr>
        <w:t xml:space="preserve">  </w:t>
      </w:r>
    </w:p>
    <w:p w:rsidR="009F2AEC" w:rsidRPr="00FC11D3" w:rsidRDefault="009F2AEC">
      <w:pPr>
        <w:rPr>
          <w:b/>
        </w:rPr>
      </w:pPr>
      <w:r w:rsidRPr="00FC11D3">
        <w:rPr>
          <w:b/>
        </w:rPr>
        <w:t xml:space="preserve">What is </w:t>
      </w:r>
      <w:r w:rsidR="00840DC8">
        <w:rPr>
          <w:b/>
        </w:rPr>
        <w:t>Out-of-Home Care</w:t>
      </w:r>
      <w:r w:rsidRPr="00FC11D3">
        <w:rPr>
          <w:b/>
        </w:rPr>
        <w:t>?</w:t>
      </w:r>
    </w:p>
    <w:p w:rsidR="009C3DFC" w:rsidRDefault="00F61799">
      <w:r>
        <w:t>Out</w:t>
      </w:r>
      <w:r w:rsidR="00581BEC">
        <w:t>-</w:t>
      </w:r>
      <w:r>
        <w:t>of</w:t>
      </w:r>
      <w:r w:rsidR="00581BEC">
        <w:t>-H</w:t>
      </w:r>
      <w:r>
        <w:t>ome</w:t>
      </w:r>
      <w:r w:rsidR="009F2AEC">
        <w:t xml:space="preserve"> </w:t>
      </w:r>
      <w:r w:rsidR="00581BEC">
        <w:t>C</w:t>
      </w:r>
      <w:r w:rsidR="009F2AEC">
        <w:t>are</w:t>
      </w:r>
      <w:r w:rsidR="00DA25D7">
        <w:t xml:space="preserve"> (OoHC)</w:t>
      </w:r>
      <w:r w:rsidR="009F2AEC">
        <w:t xml:space="preserve"> is the term used in Victoria </w:t>
      </w:r>
      <w:r w:rsidR="00D42545">
        <w:t xml:space="preserve">to describe the living </w:t>
      </w:r>
      <w:r w:rsidR="00DB0156">
        <w:t>arrangement of</w:t>
      </w:r>
      <w:r w:rsidR="00D42545">
        <w:t xml:space="preserve"> </w:t>
      </w:r>
      <w:r w:rsidR="009F2AEC">
        <w:t xml:space="preserve">a child </w:t>
      </w:r>
      <w:r w:rsidR="00D42545">
        <w:t xml:space="preserve">who </w:t>
      </w:r>
      <w:r w:rsidR="009F2AEC">
        <w:t>is placed i</w:t>
      </w:r>
      <w:r w:rsidR="00D73184">
        <w:t xml:space="preserve">n care away from their </w:t>
      </w:r>
      <w:r w:rsidR="00DB0156">
        <w:t>parent</w:t>
      </w:r>
      <w:r w:rsidR="002871F2">
        <w:t>s</w:t>
      </w:r>
      <w:r w:rsidR="00D73184">
        <w:t xml:space="preserve">. </w:t>
      </w:r>
      <w:r w:rsidR="009F2AEC">
        <w:t>It includes placement in kinship care, foster care and residential care.</w:t>
      </w:r>
      <w:r w:rsidR="00D73184">
        <w:t xml:space="preserve"> Children are </w:t>
      </w:r>
      <w:r w:rsidR="00D42545">
        <w:t xml:space="preserve">placed </w:t>
      </w:r>
      <w:r w:rsidR="00D73184">
        <w:t xml:space="preserve">in </w:t>
      </w:r>
      <w:r w:rsidR="00DA25D7">
        <w:t>OoHC</w:t>
      </w:r>
      <w:r w:rsidR="00D73184">
        <w:t xml:space="preserve"> for a </w:t>
      </w:r>
      <w:r w:rsidR="005C30B5">
        <w:t>range</w:t>
      </w:r>
      <w:r w:rsidR="00D73184">
        <w:t xml:space="preserve"> of </w:t>
      </w:r>
      <w:r w:rsidR="005C30B5">
        <w:t>reasons</w:t>
      </w:r>
      <w:r w:rsidR="00D73184">
        <w:t xml:space="preserve"> oft</w:t>
      </w:r>
      <w:r w:rsidR="005C30B5">
        <w:t>en related</w:t>
      </w:r>
      <w:r w:rsidR="000D3E0E">
        <w:t xml:space="preserve"> to abuse or neglect and </w:t>
      </w:r>
      <w:r w:rsidR="002871F2">
        <w:t xml:space="preserve">are </w:t>
      </w:r>
      <w:r w:rsidR="000D3E0E">
        <w:t>usually</w:t>
      </w:r>
      <w:r w:rsidR="005C30B5">
        <w:t xml:space="preserve"> </w:t>
      </w:r>
      <w:r w:rsidR="002871F2">
        <w:t xml:space="preserve">subject </w:t>
      </w:r>
      <w:r w:rsidR="009E0790">
        <w:t xml:space="preserve">to </w:t>
      </w:r>
      <w:r w:rsidR="00F3024B">
        <w:t xml:space="preserve">a </w:t>
      </w:r>
      <w:r w:rsidR="009E0790">
        <w:t>protection</w:t>
      </w:r>
      <w:r w:rsidR="005C30B5">
        <w:t xml:space="preserve"> order</w:t>
      </w:r>
      <w:r w:rsidR="005C30B5" w:rsidRPr="005C30B5">
        <w:t xml:space="preserve"> </w:t>
      </w:r>
      <w:r w:rsidR="005C30B5">
        <w:t>under the Children Youth and Families Act 2005.</w:t>
      </w:r>
      <w:r w:rsidR="005E1D6A">
        <w:t xml:space="preserve"> The </w:t>
      </w:r>
      <w:r w:rsidR="005E1D6A" w:rsidRPr="00635926">
        <w:t xml:space="preserve">Secretary, Department of Health and Human Services </w:t>
      </w:r>
      <w:r w:rsidR="00BF28E9">
        <w:t>(DHHS)</w:t>
      </w:r>
      <w:r w:rsidR="00BF28E9" w:rsidRPr="00635926">
        <w:t xml:space="preserve"> has</w:t>
      </w:r>
      <w:r w:rsidR="005E1D6A" w:rsidRPr="00635926">
        <w:t xml:space="preserve"> parental responsibility for these children</w:t>
      </w:r>
      <w:r w:rsidR="00F27EA1" w:rsidRPr="00635926">
        <w:t>.</w:t>
      </w:r>
      <w:r w:rsidR="00D73184" w:rsidRPr="00635926">
        <w:t xml:space="preserve"> </w:t>
      </w:r>
      <w:r w:rsidR="006401C8" w:rsidRPr="00635926">
        <w:t>As at 30 June 201</w:t>
      </w:r>
      <w:r w:rsidR="00A2624D">
        <w:t>5</w:t>
      </w:r>
      <w:r w:rsidR="006401C8" w:rsidRPr="00635926">
        <w:t xml:space="preserve">, there were </w:t>
      </w:r>
      <w:r w:rsidR="00A2624D">
        <w:t xml:space="preserve">8,567 </w:t>
      </w:r>
      <w:r w:rsidR="006401C8" w:rsidRPr="00635926">
        <w:t>children i</w:t>
      </w:r>
      <w:r w:rsidR="009C3DFC" w:rsidRPr="00635926">
        <w:t xml:space="preserve">n </w:t>
      </w:r>
      <w:r w:rsidR="00DA25D7" w:rsidRPr="00635926">
        <w:t>OoHC</w:t>
      </w:r>
      <w:r w:rsidR="003B7EF8" w:rsidRPr="00635926">
        <w:t xml:space="preserve"> in Victoria</w:t>
      </w:r>
      <w:r w:rsidR="00B818DF">
        <w:t xml:space="preserve">. </w:t>
      </w:r>
      <w:r w:rsidR="00F967B7">
        <w:t>Aboriginal and Torres Strait Islander children</w:t>
      </w:r>
      <w:r w:rsidR="006F1F6C">
        <w:t xml:space="preserve"> </w:t>
      </w:r>
      <w:r w:rsidR="006F1F6C" w:rsidRPr="00635926">
        <w:t>are</w:t>
      </w:r>
      <w:r w:rsidR="007C4F36" w:rsidRPr="00635926">
        <w:t xml:space="preserve"> </w:t>
      </w:r>
      <w:r w:rsidR="00981C63">
        <w:t>approximately</w:t>
      </w:r>
      <w:r w:rsidR="00B818DF">
        <w:t xml:space="preserve"> twelve</w:t>
      </w:r>
      <w:r w:rsidR="009C3DFC" w:rsidRPr="00635926">
        <w:t xml:space="preserve"> times </w:t>
      </w:r>
      <w:r w:rsidR="00457C3C" w:rsidRPr="00635926">
        <w:t xml:space="preserve">more </w:t>
      </w:r>
      <w:r w:rsidR="009C3DFC" w:rsidRPr="00635926">
        <w:t>l</w:t>
      </w:r>
      <w:r w:rsidR="003B7EF8" w:rsidRPr="00635926">
        <w:t xml:space="preserve">ikely to be in </w:t>
      </w:r>
      <w:r w:rsidR="00DA25D7" w:rsidRPr="00635926">
        <w:t>OoHC</w:t>
      </w:r>
      <w:r w:rsidR="003B7EF8" w:rsidRPr="00635926">
        <w:t xml:space="preserve">, in Victoria </w:t>
      </w:r>
      <w:r w:rsidR="00B818DF">
        <w:t>than non-indigenous children (</w:t>
      </w:r>
      <w:r w:rsidR="000C601C">
        <w:t>Report on Government Services</w:t>
      </w:r>
      <w:r w:rsidR="00B818DF">
        <w:t>, 2016).</w:t>
      </w:r>
    </w:p>
    <w:p w:rsidR="00AE36BA" w:rsidRDefault="00AE36BA" w:rsidP="00AE36BA">
      <w:pPr>
        <w:rPr>
          <w:b/>
        </w:rPr>
      </w:pPr>
      <w:r w:rsidRPr="001628FB">
        <w:rPr>
          <w:b/>
        </w:rPr>
        <w:t>Who</w:t>
      </w:r>
      <w:r w:rsidR="00562EDE">
        <w:rPr>
          <w:b/>
        </w:rPr>
        <w:t xml:space="preserve"> is responsible for </w:t>
      </w:r>
      <w:r w:rsidRPr="001628FB">
        <w:rPr>
          <w:b/>
        </w:rPr>
        <w:t xml:space="preserve">children in </w:t>
      </w:r>
      <w:r w:rsidR="00840DC8">
        <w:rPr>
          <w:b/>
        </w:rPr>
        <w:t>Out-of-Home Care</w:t>
      </w:r>
      <w:r w:rsidRPr="001628FB">
        <w:rPr>
          <w:b/>
        </w:rPr>
        <w:t>?</w:t>
      </w:r>
    </w:p>
    <w:p w:rsidR="00A912F1" w:rsidRPr="00A912F1" w:rsidRDefault="00A912F1" w:rsidP="00AE36BA">
      <w:r w:rsidRPr="00A912F1">
        <w:t xml:space="preserve">Each child in </w:t>
      </w:r>
      <w:r w:rsidR="00840DC8">
        <w:t>Out-of-Home Care</w:t>
      </w:r>
      <w:r w:rsidRPr="00A912F1">
        <w:t xml:space="preserve"> has a</w:t>
      </w:r>
      <w:r>
        <w:t xml:space="preserve"> </w:t>
      </w:r>
      <w:r w:rsidRPr="00A912F1">
        <w:t xml:space="preserve">team of people who work together to </w:t>
      </w:r>
      <w:r w:rsidR="005769D0">
        <w:t xml:space="preserve">support them </w:t>
      </w:r>
      <w:r w:rsidR="002C6B04">
        <w:t>including</w:t>
      </w:r>
      <w:r w:rsidR="005769D0">
        <w:t>:</w:t>
      </w:r>
    </w:p>
    <w:p w:rsidR="00AE36BA" w:rsidRDefault="00A912F1" w:rsidP="00AE36BA">
      <w:pPr>
        <w:pStyle w:val="ListParagraph"/>
        <w:numPr>
          <w:ilvl w:val="0"/>
          <w:numId w:val="7"/>
        </w:numPr>
      </w:pPr>
      <w:r>
        <w:rPr>
          <w:b/>
        </w:rPr>
        <w:t xml:space="preserve">A </w:t>
      </w:r>
      <w:r w:rsidR="003819F4">
        <w:rPr>
          <w:b/>
        </w:rPr>
        <w:t>f</w:t>
      </w:r>
      <w:r w:rsidR="00A46B1E" w:rsidRPr="00AE36BA">
        <w:rPr>
          <w:b/>
        </w:rPr>
        <w:t>oster, kinship or residential carer</w:t>
      </w:r>
      <w:r w:rsidR="00AE36BA">
        <w:t xml:space="preserve"> who</w:t>
      </w:r>
      <w:r w:rsidR="001628FB">
        <w:t xml:space="preserve"> </w:t>
      </w:r>
      <w:r w:rsidR="00BF28E9">
        <w:t>they live</w:t>
      </w:r>
      <w:r w:rsidR="00AE36BA">
        <w:t xml:space="preserve"> with and who </w:t>
      </w:r>
      <w:r w:rsidR="00BF28E9">
        <w:t>has day</w:t>
      </w:r>
      <w:r w:rsidR="00AE36BA">
        <w:t xml:space="preserve"> to day responsibility for their </w:t>
      </w:r>
      <w:r w:rsidR="00B818DF">
        <w:t xml:space="preserve">wellbeing. </w:t>
      </w:r>
      <w:r w:rsidR="00BF28E9">
        <w:t xml:space="preserve">The term carer used in this Resource Sheet refers to all of these carer categories. </w:t>
      </w:r>
    </w:p>
    <w:p w:rsidR="00D1515C" w:rsidRDefault="00A912F1" w:rsidP="00635926">
      <w:pPr>
        <w:pStyle w:val="ListParagraph"/>
        <w:numPr>
          <w:ilvl w:val="0"/>
          <w:numId w:val="6"/>
        </w:numPr>
      </w:pPr>
      <w:r w:rsidRPr="00635926">
        <w:rPr>
          <w:b/>
        </w:rPr>
        <w:t>A</w:t>
      </w:r>
      <w:r w:rsidR="00D473AA">
        <w:rPr>
          <w:b/>
        </w:rPr>
        <w:t xml:space="preserve"> DHHS</w:t>
      </w:r>
      <w:r w:rsidR="005E1D6A" w:rsidRPr="00635926">
        <w:rPr>
          <w:b/>
        </w:rPr>
        <w:t xml:space="preserve"> child protection</w:t>
      </w:r>
      <w:r w:rsidRPr="00635926">
        <w:rPr>
          <w:b/>
        </w:rPr>
        <w:t xml:space="preserve"> </w:t>
      </w:r>
      <w:r w:rsidR="003819F4" w:rsidRPr="00635926">
        <w:rPr>
          <w:b/>
        </w:rPr>
        <w:t>c</w:t>
      </w:r>
      <w:r w:rsidR="00A46B1E" w:rsidRPr="00635926">
        <w:rPr>
          <w:b/>
        </w:rPr>
        <w:t xml:space="preserve">ase </w:t>
      </w:r>
      <w:r w:rsidR="005E1D6A" w:rsidRPr="00635926">
        <w:rPr>
          <w:b/>
        </w:rPr>
        <w:t>manager or a contracted case manager from a community service organisation</w:t>
      </w:r>
      <w:r w:rsidR="00F3024B">
        <w:t>, who</w:t>
      </w:r>
      <w:r w:rsidR="00981C63">
        <w:t xml:space="preserve"> </w:t>
      </w:r>
      <w:r w:rsidR="005E1D6A">
        <w:t xml:space="preserve">is </w:t>
      </w:r>
      <w:r w:rsidR="00D42545">
        <w:t>responsible for</w:t>
      </w:r>
      <w:r w:rsidR="005E1D6A">
        <w:t xml:space="preserve"> developing and</w:t>
      </w:r>
      <w:r w:rsidR="00DB0156">
        <w:t xml:space="preserve"> implementing </w:t>
      </w:r>
      <w:r w:rsidR="005E1D6A">
        <w:t xml:space="preserve">a case </w:t>
      </w:r>
      <w:r w:rsidR="003819F4">
        <w:t>plan</w:t>
      </w:r>
      <w:r w:rsidR="00866598">
        <w:t xml:space="preserve"> for a child in out-of-home care</w:t>
      </w:r>
      <w:r w:rsidR="003819F4">
        <w:t xml:space="preserve">. </w:t>
      </w:r>
      <w:r w:rsidR="00344FD9">
        <w:t xml:space="preserve">Long day care centres will have regular contact with the carer and will be also given the contact details for the case </w:t>
      </w:r>
      <w:r w:rsidR="00635926">
        <w:t xml:space="preserve">manager. </w:t>
      </w:r>
      <w:r w:rsidR="0000452D">
        <w:t>Case managers are expected to</w:t>
      </w:r>
      <w:r w:rsidR="0000452D" w:rsidRPr="00635926">
        <w:rPr>
          <w:lang w:val="en-US"/>
        </w:rPr>
        <w:t xml:space="preserve"> include participation in quality early childhood services in the case plan, and the case plan for all</w:t>
      </w:r>
      <w:r w:rsidR="00175241">
        <w:rPr>
          <w:lang w:val="en-US"/>
        </w:rPr>
        <w:t xml:space="preserve"> </w:t>
      </w:r>
      <w:r w:rsidR="0000452D">
        <w:t xml:space="preserve">Aboriginal children in OoHC must address the cultural support needs of the child and encourage connection to their Aboriginal community and culture. </w:t>
      </w:r>
    </w:p>
    <w:p w:rsidR="00604F10" w:rsidRPr="00604F10" w:rsidRDefault="00604F10" w:rsidP="00175241">
      <w:pPr>
        <w:pStyle w:val="ListParagraph"/>
      </w:pPr>
    </w:p>
    <w:p w:rsidR="00D1515C" w:rsidRPr="005769D0" w:rsidRDefault="00D1515C" w:rsidP="00D1515C">
      <w:pPr>
        <w:rPr>
          <w:b/>
          <w:lang w:val="en-US"/>
        </w:rPr>
      </w:pPr>
      <w:r w:rsidRPr="005769D0">
        <w:rPr>
          <w:b/>
          <w:lang w:val="en-US"/>
        </w:rPr>
        <w:t xml:space="preserve">Who can make decisions for children in </w:t>
      </w:r>
      <w:r w:rsidR="00840DC8">
        <w:rPr>
          <w:b/>
          <w:lang w:val="en-US"/>
        </w:rPr>
        <w:t>Out-of-Home Care</w:t>
      </w:r>
      <w:r w:rsidRPr="005769D0">
        <w:rPr>
          <w:b/>
          <w:lang w:val="en-US"/>
        </w:rPr>
        <w:t>?</w:t>
      </w:r>
    </w:p>
    <w:p w:rsidR="00D1515C" w:rsidRDefault="00BF28E9" w:rsidP="00D1515C">
      <w:pPr>
        <w:rPr>
          <w:lang w:val="en-US"/>
        </w:rPr>
      </w:pPr>
      <w:r>
        <w:rPr>
          <w:lang w:val="en-US"/>
        </w:rPr>
        <w:t xml:space="preserve">Case Managers can make decisions for children in OoHC. </w:t>
      </w:r>
      <w:r w:rsidR="00D1515C" w:rsidRPr="005769D0">
        <w:rPr>
          <w:lang w:val="en-US"/>
        </w:rPr>
        <w:t xml:space="preserve">Carers are provided with an </w:t>
      </w:r>
      <w:r w:rsidR="00D1515C" w:rsidRPr="005769D0">
        <w:rPr>
          <w:b/>
          <w:i/>
          <w:lang w:val="en-US"/>
        </w:rPr>
        <w:t>authorisation instrument</w:t>
      </w:r>
      <w:r w:rsidR="00D1515C" w:rsidRPr="005769D0">
        <w:rPr>
          <w:lang w:val="en-US"/>
        </w:rPr>
        <w:t xml:space="preserve"> by the child’s case manager which sets out what decisions the carer can make. They will give a copy of this to the long day care centre. </w:t>
      </w:r>
    </w:p>
    <w:p w:rsidR="00D1515C" w:rsidRPr="005769D0" w:rsidRDefault="00D1515C" w:rsidP="00D1515C">
      <w:pPr>
        <w:rPr>
          <w:lang w:val="en-US"/>
        </w:rPr>
      </w:pPr>
      <w:r w:rsidRPr="005769D0">
        <w:rPr>
          <w:lang w:val="en-US"/>
        </w:rPr>
        <w:t xml:space="preserve">For the purposes of long day care, the child’s carer will make most care decisions about their day to day needs and wellbeing </w:t>
      </w:r>
      <w:r w:rsidR="00620FA0" w:rsidRPr="005769D0">
        <w:rPr>
          <w:lang w:val="en-US"/>
        </w:rPr>
        <w:t>e.g.</w:t>
      </w:r>
      <w:r w:rsidRPr="005769D0">
        <w:rPr>
          <w:lang w:val="en-US"/>
        </w:rPr>
        <w:t xml:space="preserve"> clothing, diet and routines. The</w:t>
      </w:r>
      <w:r>
        <w:rPr>
          <w:lang w:val="en-US"/>
        </w:rPr>
        <w:t>y are also likely to</w:t>
      </w:r>
      <w:r w:rsidRPr="005769D0">
        <w:rPr>
          <w:lang w:val="en-US"/>
        </w:rPr>
        <w:t xml:space="preserve"> be authorised to make short term decisions for a child such as consenting to child care activities and excursions and routine medical care. </w:t>
      </w:r>
    </w:p>
    <w:p w:rsidR="00D1515C" w:rsidRDefault="00D1515C" w:rsidP="00D1515C">
      <w:pPr>
        <w:rPr>
          <w:lang w:val="en-US"/>
        </w:rPr>
      </w:pPr>
      <w:r w:rsidRPr="005769D0">
        <w:rPr>
          <w:lang w:val="en-US"/>
        </w:rPr>
        <w:t xml:space="preserve">Services can contact the child’s case </w:t>
      </w:r>
      <w:r w:rsidR="00014259">
        <w:rPr>
          <w:lang w:val="en-US"/>
        </w:rPr>
        <w:t xml:space="preserve">manager </w:t>
      </w:r>
      <w:r w:rsidR="00014259" w:rsidRPr="005769D0">
        <w:rPr>
          <w:lang w:val="en-US"/>
        </w:rPr>
        <w:t>for</w:t>
      </w:r>
      <w:r w:rsidRPr="005769D0">
        <w:rPr>
          <w:lang w:val="en-US"/>
        </w:rPr>
        <w:t xml:space="preserve"> </w:t>
      </w:r>
      <w:r>
        <w:rPr>
          <w:lang w:val="en-US"/>
        </w:rPr>
        <w:t xml:space="preserve">more information </w:t>
      </w:r>
      <w:r w:rsidRPr="005769D0">
        <w:rPr>
          <w:lang w:val="en-US"/>
        </w:rPr>
        <w:t xml:space="preserve">about carer authorisations. </w:t>
      </w:r>
    </w:p>
    <w:p w:rsidR="00D1515C" w:rsidRDefault="00D1515C" w:rsidP="00D1515C">
      <w:pPr>
        <w:rPr>
          <w:b/>
          <w:lang w:val="en-US"/>
        </w:rPr>
      </w:pPr>
      <w:r w:rsidRPr="00014259">
        <w:rPr>
          <w:b/>
          <w:lang w:val="en-US"/>
        </w:rPr>
        <w:t>Who is responsible for enrolling the child in long day care and for payment of the fees?</w:t>
      </w:r>
    </w:p>
    <w:p w:rsidR="00014259" w:rsidRDefault="00BF28E9" w:rsidP="00F90760">
      <w:r>
        <w:rPr>
          <w:lang w:val="en-US"/>
        </w:rPr>
        <w:t>Depending on the order in p</w:t>
      </w:r>
      <w:r w:rsidR="00E913AF">
        <w:rPr>
          <w:lang w:val="en-US"/>
        </w:rPr>
        <w:t>lace, enrolment of children in Oo</w:t>
      </w:r>
      <w:r>
        <w:rPr>
          <w:lang w:val="en-US"/>
        </w:rPr>
        <w:t xml:space="preserve">HC may be </w:t>
      </w:r>
      <w:r w:rsidR="00E913AF">
        <w:rPr>
          <w:lang w:val="en-US"/>
        </w:rPr>
        <w:t>completed by</w:t>
      </w:r>
      <w:r>
        <w:rPr>
          <w:lang w:val="en-US"/>
        </w:rPr>
        <w:t xml:space="preserve"> the child’s case manager, a carer or a parent or jointly </w:t>
      </w:r>
      <w:r w:rsidR="00E913AF">
        <w:rPr>
          <w:lang w:val="en-US"/>
        </w:rPr>
        <w:t>by a combination of these parties. P</w:t>
      </w:r>
      <w:r w:rsidR="001167FA">
        <w:rPr>
          <w:lang w:val="en-US"/>
        </w:rPr>
        <w:t xml:space="preserve">ayment of fees </w:t>
      </w:r>
      <w:r w:rsidR="00CA3ACF">
        <w:rPr>
          <w:lang w:val="en-US"/>
        </w:rPr>
        <w:t>is d</w:t>
      </w:r>
      <w:r w:rsidR="002871F2">
        <w:rPr>
          <w:lang w:val="en-US"/>
        </w:rPr>
        <w:t>etermined on a case by case basis</w:t>
      </w:r>
      <w:r w:rsidR="00CA3ACF">
        <w:rPr>
          <w:lang w:val="en-US"/>
        </w:rPr>
        <w:t xml:space="preserve">. </w:t>
      </w:r>
      <w:r w:rsidR="00E913AF">
        <w:rPr>
          <w:lang w:val="en-US"/>
        </w:rPr>
        <w:t xml:space="preserve">It is important that </w:t>
      </w:r>
      <w:r w:rsidR="00973C47" w:rsidRPr="0007589D">
        <w:rPr>
          <w:i/>
          <w:lang w:val="en-US"/>
        </w:rPr>
        <w:t>who</w:t>
      </w:r>
      <w:r w:rsidR="00973C47">
        <w:rPr>
          <w:lang w:val="en-US"/>
        </w:rPr>
        <w:t xml:space="preserve"> is responsible for paying the fees is</w:t>
      </w:r>
      <w:r w:rsidR="00E913AF">
        <w:rPr>
          <w:lang w:val="en-US"/>
        </w:rPr>
        <w:t xml:space="preserve"> clarified at enrolment</w:t>
      </w:r>
      <w:r w:rsidR="00DD4046">
        <w:rPr>
          <w:lang w:val="en-US"/>
        </w:rPr>
        <w:t>. Noting, this will affect eligibility for Australian Government assistance</w:t>
      </w:r>
      <w:r w:rsidR="00E913AF">
        <w:rPr>
          <w:lang w:val="en-US"/>
        </w:rPr>
        <w:t>. Services should contact the child’s case manager for advice and confirmation of arrangements.</w:t>
      </w:r>
    </w:p>
    <w:p w:rsidR="00A1723D" w:rsidRDefault="00A1723D" w:rsidP="00F90760">
      <w:pPr>
        <w:rPr>
          <w:b/>
        </w:rPr>
      </w:pPr>
      <w:r>
        <w:rPr>
          <w:b/>
        </w:rPr>
        <w:lastRenderedPageBreak/>
        <w:t xml:space="preserve">What obligations do long day care </w:t>
      </w:r>
      <w:r w:rsidR="005B5F3B">
        <w:rPr>
          <w:b/>
        </w:rPr>
        <w:t>centres</w:t>
      </w:r>
      <w:r>
        <w:rPr>
          <w:b/>
        </w:rPr>
        <w:t xml:space="preserve"> have towards children in </w:t>
      </w:r>
      <w:r w:rsidR="00840DC8">
        <w:rPr>
          <w:b/>
        </w:rPr>
        <w:t>Out-of-Home Care</w:t>
      </w:r>
      <w:r>
        <w:rPr>
          <w:b/>
        </w:rPr>
        <w:t>?</w:t>
      </w:r>
    </w:p>
    <w:p w:rsidR="00F90760" w:rsidRPr="00D1515C" w:rsidRDefault="00F90760" w:rsidP="00F90760">
      <w:pPr>
        <w:rPr>
          <w:b/>
          <w:i/>
        </w:rPr>
      </w:pPr>
      <w:r w:rsidRPr="00D1515C">
        <w:rPr>
          <w:b/>
          <w:i/>
        </w:rPr>
        <w:t>Priority of Access</w:t>
      </w:r>
    </w:p>
    <w:p w:rsidR="00F90760" w:rsidRPr="00457C3C" w:rsidRDefault="00F90760" w:rsidP="00F90760">
      <w:r>
        <w:t>Long day care centres have an obligation to provide priority of access to children in OoHC. The Australian Government Priority of Access Guidelines</w:t>
      </w:r>
      <w:r w:rsidR="004427E3">
        <w:t xml:space="preserve">, as outlined in the </w:t>
      </w:r>
      <w:r w:rsidR="004427E3" w:rsidRPr="00F3024B">
        <w:t xml:space="preserve">Child Care Service Handbook </w:t>
      </w:r>
      <w:r>
        <w:t xml:space="preserve">requires that </w:t>
      </w:r>
      <w:r w:rsidR="005B5F3B">
        <w:t>centres</w:t>
      </w:r>
      <w:r>
        <w:t xml:space="preserve"> </w:t>
      </w:r>
      <w:r w:rsidR="00686B3E">
        <w:t xml:space="preserve">offer any vacant places </w:t>
      </w:r>
      <w:r w:rsidR="00562EDE">
        <w:t>first to</w:t>
      </w:r>
      <w:r w:rsidR="00686B3E">
        <w:t xml:space="preserve"> </w:t>
      </w:r>
      <w:r>
        <w:t xml:space="preserve">children at risk of abuse or neglect. </w:t>
      </w:r>
      <w:r w:rsidR="005B5F3B">
        <w:t>Centres</w:t>
      </w:r>
      <w:r w:rsidR="00686B3E">
        <w:t xml:space="preserve"> </w:t>
      </w:r>
      <w:r>
        <w:t xml:space="preserve">in receipt of kindergarten funding by the Victorian Government are required to prioritise children at risk of abuse or neglect, including children in OoHC. </w:t>
      </w:r>
    </w:p>
    <w:p w:rsidR="007A50A8" w:rsidRPr="007A50A8" w:rsidRDefault="00F25456" w:rsidP="002A68CE">
      <w:pPr>
        <w:rPr>
          <w:b/>
          <w:i/>
        </w:rPr>
      </w:pPr>
      <w:r w:rsidRPr="007A50A8">
        <w:rPr>
          <w:b/>
          <w:i/>
        </w:rPr>
        <w:t xml:space="preserve">Early Childhood Agreement for Children in </w:t>
      </w:r>
      <w:r w:rsidR="00840DC8">
        <w:rPr>
          <w:b/>
          <w:i/>
        </w:rPr>
        <w:t>Out-of-Home Care</w:t>
      </w:r>
      <w:r w:rsidRPr="007A50A8">
        <w:rPr>
          <w:b/>
          <w:i/>
        </w:rPr>
        <w:t xml:space="preserve"> </w:t>
      </w:r>
    </w:p>
    <w:p w:rsidR="007A50A8" w:rsidRDefault="007A50A8" w:rsidP="002A68CE">
      <w:r>
        <w:t>Under t</w:t>
      </w:r>
      <w:r w:rsidR="00B32F3D">
        <w:t xml:space="preserve">he </w:t>
      </w:r>
      <w:r w:rsidR="00B32F3D" w:rsidRPr="00F3024B">
        <w:rPr>
          <w:i/>
        </w:rPr>
        <w:t>Early</w:t>
      </w:r>
      <w:r w:rsidR="00E43D57" w:rsidRPr="00F3024B">
        <w:rPr>
          <w:i/>
        </w:rPr>
        <w:t xml:space="preserve"> Childhood Agreement for Children in </w:t>
      </w:r>
      <w:r w:rsidR="00840DC8">
        <w:rPr>
          <w:i/>
        </w:rPr>
        <w:t>Out-of-Home Care</w:t>
      </w:r>
      <w:r w:rsidR="00E33284" w:rsidRPr="00E33284">
        <w:t xml:space="preserve"> (</w:t>
      </w:r>
      <w:r w:rsidR="00660262" w:rsidRPr="00E33284">
        <w:t>Agree</w:t>
      </w:r>
      <w:r w:rsidR="00660262">
        <w:t>ment)</w:t>
      </w:r>
      <w:r w:rsidRPr="007A50A8">
        <w:t xml:space="preserve"> </w:t>
      </w:r>
      <w:r>
        <w:t>there is an expectation that long day care services will</w:t>
      </w:r>
      <w:r w:rsidR="00072B65">
        <w:t xml:space="preserve"> </w:t>
      </w:r>
      <w:r w:rsidR="00E33284">
        <w:t xml:space="preserve">support the well-being and development of children in OoHC and that they will </w:t>
      </w:r>
      <w:r w:rsidR="00F25456">
        <w:t>take all reasonable</w:t>
      </w:r>
      <w:r w:rsidR="00B32F3D">
        <w:t xml:space="preserve"> </w:t>
      </w:r>
      <w:r w:rsidR="00F25456">
        <w:t>steps to make place</w:t>
      </w:r>
      <w:r w:rsidR="00E33284">
        <w:t>s</w:t>
      </w:r>
      <w:r w:rsidR="00F25456">
        <w:t xml:space="preserve"> available for children in </w:t>
      </w:r>
      <w:r>
        <w:t>OoHC</w:t>
      </w:r>
      <w:r w:rsidR="002C738C">
        <w:t>.</w:t>
      </w:r>
    </w:p>
    <w:p w:rsidR="007A50A8" w:rsidRDefault="007A50A8" w:rsidP="007A50A8">
      <w:r w:rsidRPr="00F25456">
        <w:t>T</w:t>
      </w:r>
      <w:r w:rsidRPr="0095184C">
        <w:t>he</w:t>
      </w:r>
      <w:r>
        <w:t xml:space="preserve"> </w:t>
      </w:r>
      <w:r w:rsidRPr="0095184C">
        <w:t xml:space="preserve">Agreement </w:t>
      </w:r>
      <w:r w:rsidRPr="00F25456">
        <w:t>is a shared commitment between Department of Education and Early Childhood Development (now the Department of Education &amp; Training), Department of Human Services (now the Department of Health and Human Services), Municipal Association of Victoria and Early Learning Association Aust</w:t>
      </w:r>
      <w:r w:rsidRPr="007A50A8">
        <w:t>ralia.</w:t>
      </w:r>
      <w:r>
        <w:t xml:space="preserve"> It aims to increase the participation and engagement of children in OoHC in </w:t>
      </w:r>
      <w:r w:rsidR="002A0941">
        <w:t xml:space="preserve">high </w:t>
      </w:r>
      <w:r>
        <w:t xml:space="preserve">quality early childhood services and to improve coordination between services and agencies working with the child.  </w:t>
      </w:r>
    </w:p>
    <w:p w:rsidR="007A50A8" w:rsidRDefault="00E33284" w:rsidP="002A68CE">
      <w:r>
        <w:rPr>
          <w:rFonts w:eastAsia="Times New Roman" w:cs="OfficinaSansOSITCTTBook"/>
          <w:lang w:eastAsia="en-AU"/>
        </w:rPr>
        <w:t xml:space="preserve">The Agreement </w:t>
      </w:r>
      <w:r w:rsidR="007A50A8" w:rsidRPr="00C42AE2">
        <w:t xml:space="preserve">outlines the requirements and responsibilities of all parties to </w:t>
      </w:r>
      <w:r w:rsidR="007A50A8">
        <w:t xml:space="preserve">collaborate to ensure that these children have access to </w:t>
      </w:r>
      <w:r w:rsidR="002C738C">
        <w:t>high quality</w:t>
      </w:r>
      <w:r w:rsidR="007A50A8">
        <w:t xml:space="preserve"> early childhood</w:t>
      </w:r>
      <w:r w:rsidR="002A0941">
        <w:t xml:space="preserve"> education and care experiences that support their development and wellbeing. While the Agreement focuses on </w:t>
      </w:r>
      <w:r w:rsidR="007A50A8">
        <w:t>Maternal and Child Health ser</w:t>
      </w:r>
      <w:r w:rsidR="002A0941">
        <w:t xml:space="preserve">vices and kindergarten programs, it recognises the important role that all long day care </w:t>
      </w:r>
      <w:r w:rsidR="005B5F3B">
        <w:t>centres</w:t>
      </w:r>
      <w:r w:rsidR="002A0941">
        <w:t xml:space="preserve"> can play.</w:t>
      </w:r>
      <w:r>
        <w:t xml:space="preserve"> </w:t>
      </w:r>
      <w:r w:rsidR="002A0941">
        <w:t xml:space="preserve">The roles and responsibilities set out in the Agreement for all early childhood education and care </w:t>
      </w:r>
      <w:r w:rsidR="005B5F3B">
        <w:t>centres</w:t>
      </w:r>
      <w:r w:rsidR="002A0941">
        <w:t xml:space="preserve"> </w:t>
      </w:r>
      <w:r w:rsidR="002A0941" w:rsidRPr="002A0941">
        <w:t xml:space="preserve">are in line with the National Quality Framework and </w:t>
      </w:r>
      <w:r w:rsidR="002A0941">
        <w:t xml:space="preserve">with </w:t>
      </w:r>
      <w:r w:rsidR="002A0941" w:rsidRPr="002A0941">
        <w:t xml:space="preserve">practices required by </w:t>
      </w:r>
      <w:r w:rsidR="005B5F3B">
        <w:t>centres</w:t>
      </w:r>
      <w:r w:rsidR="002A0941" w:rsidRPr="002A0941">
        <w:t xml:space="preserve"> </w:t>
      </w:r>
      <w:r w:rsidRPr="002A0941">
        <w:t>as outlined</w:t>
      </w:r>
      <w:r w:rsidR="002A0941" w:rsidRPr="002A0941">
        <w:t xml:space="preserve"> in the National Quality Standards.</w:t>
      </w:r>
      <w:r w:rsidR="00175241">
        <w:t xml:space="preserve"> </w:t>
      </w:r>
    </w:p>
    <w:p w:rsidR="00A9382A" w:rsidRPr="00A9382A" w:rsidRDefault="00A9382A" w:rsidP="00D1515C">
      <w:pPr>
        <w:rPr>
          <w:i/>
          <w:lang w:val="en-US"/>
        </w:rPr>
      </w:pPr>
      <w:r w:rsidRPr="00A9382A">
        <w:rPr>
          <w:i/>
          <w:lang w:val="en-US"/>
        </w:rPr>
        <w:t>Refer to the Early Childhood Agreement for more information</w:t>
      </w:r>
      <w:r>
        <w:rPr>
          <w:i/>
          <w:lang w:val="en-US"/>
        </w:rPr>
        <w:t>.</w:t>
      </w:r>
    </w:p>
    <w:p w:rsidR="00D1515C" w:rsidRPr="00D1515C" w:rsidRDefault="00D1515C" w:rsidP="00D1515C">
      <w:pPr>
        <w:rPr>
          <w:b/>
          <w:i/>
          <w:lang w:val="en-US"/>
        </w:rPr>
      </w:pPr>
      <w:r w:rsidRPr="00D1515C">
        <w:rPr>
          <w:b/>
          <w:i/>
          <w:lang w:val="en-US"/>
        </w:rPr>
        <w:t xml:space="preserve">Information Sharing </w:t>
      </w:r>
    </w:p>
    <w:p w:rsidR="00D1515C" w:rsidRDefault="00D1515C" w:rsidP="00D1515C">
      <w:pPr>
        <w:pStyle w:val="ListParagraph"/>
        <w:numPr>
          <w:ilvl w:val="0"/>
          <w:numId w:val="13"/>
        </w:numPr>
        <w:rPr>
          <w:lang w:val="en-US"/>
        </w:rPr>
      </w:pPr>
      <w:r w:rsidRPr="00B80A54">
        <w:rPr>
          <w:lang w:val="en-US"/>
        </w:rPr>
        <w:t xml:space="preserve">Services must comply with </w:t>
      </w:r>
      <w:r w:rsidRPr="00F3024B">
        <w:rPr>
          <w:i/>
          <w:lang w:val="en-US"/>
        </w:rPr>
        <w:t>The Protecting the Safety of Wellbeing and Young People Protocol</w:t>
      </w:r>
      <w:r w:rsidRPr="00B80A54">
        <w:rPr>
          <w:i/>
          <w:lang w:val="en-US"/>
        </w:rPr>
        <w:t xml:space="preserve"> </w:t>
      </w:r>
      <w:r w:rsidRPr="00B80A54">
        <w:rPr>
          <w:lang w:val="en-US"/>
        </w:rPr>
        <w:t xml:space="preserve">and other relevant privacy legislation.  </w:t>
      </w:r>
    </w:p>
    <w:p w:rsidR="00D1515C" w:rsidRDefault="00D1515C" w:rsidP="00D1515C">
      <w:pPr>
        <w:pStyle w:val="ListParagraph"/>
        <w:numPr>
          <w:ilvl w:val="0"/>
          <w:numId w:val="13"/>
        </w:numPr>
        <w:rPr>
          <w:lang w:val="en-US"/>
        </w:rPr>
      </w:pPr>
      <w:r>
        <w:rPr>
          <w:lang w:val="en-US"/>
        </w:rPr>
        <w:t>S</w:t>
      </w:r>
      <w:r w:rsidRPr="00B80A54">
        <w:rPr>
          <w:lang w:val="en-US"/>
        </w:rPr>
        <w:t xml:space="preserve">ervices </w:t>
      </w:r>
      <w:r w:rsidR="005C3D2C">
        <w:rPr>
          <w:lang w:val="en-US"/>
        </w:rPr>
        <w:t xml:space="preserve">are </w:t>
      </w:r>
      <w:r w:rsidRPr="00B80A54">
        <w:rPr>
          <w:lang w:val="en-US"/>
        </w:rPr>
        <w:t>required to regularly share information with the child’s carer and case worker</w:t>
      </w:r>
      <w:r w:rsidR="002C738C">
        <w:rPr>
          <w:lang w:val="en-US"/>
        </w:rPr>
        <w:t>.</w:t>
      </w:r>
      <w:r w:rsidRPr="00B80A54">
        <w:rPr>
          <w:lang w:val="en-US"/>
        </w:rPr>
        <w:t xml:space="preserve"> </w:t>
      </w:r>
    </w:p>
    <w:p w:rsidR="007E3E12" w:rsidRDefault="007E3E12" w:rsidP="007E3E12">
      <w:pPr>
        <w:pStyle w:val="ListParagraph"/>
        <w:numPr>
          <w:ilvl w:val="0"/>
          <w:numId w:val="13"/>
        </w:numPr>
        <w:rPr>
          <w:lang w:val="en-US"/>
        </w:rPr>
      </w:pPr>
      <w:r w:rsidRPr="00B80A54">
        <w:rPr>
          <w:lang w:val="en-US"/>
        </w:rPr>
        <w:t>Information about individual children</w:t>
      </w:r>
      <w:r>
        <w:rPr>
          <w:lang w:val="en-US"/>
        </w:rPr>
        <w:t xml:space="preserve"> </w:t>
      </w:r>
      <w:r w:rsidR="00CA3ACF">
        <w:rPr>
          <w:lang w:val="en-US"/>
        </w:rPr>
        <w:t xml:space="preserve">in </w:t>
      </w:r>
      <w:r w:rsidR="00081671">
        <w:rPr>
          <w:lang w:val="en-US"/>
        </w:rPr>
        <w:t>OoHC</w:t>
      </w:r>
      <w:r w:rsidR="00CA3ACF">
        <w:rPr>
          <w:lang w:val="en-US"/>
        </w:rPr>
        <w:t xml:space="preserve"> </w:t>
      </w:r>
      <w:r>
        <w:rPr>
          <w:lang w:val="en-US"/>
        </w:rPr>
        <w:t xml:space="preserve">may be shared </w:t>
      </w:r>
      <w:r w:rsidR="00CA3ACF">
        <w:rPr>
          <w:lang w:val="en-US"/>
        </w:rPr>
        <w:t>between services, when</w:t>
      </w:r>
      <w:r w:rsidRPr="00B80A54">
        <w:rPr>
          <w:lang w:val="en-US"/>
        </w:rPr>
        <w:t xml:space="preserve"> </w:t>
      </w:r>
      <w:r>
        <w:rPr>
          <w:lang w:val="en-US"/>
        </w:rPr>
        <w:t>in the best interests of the child</w:t>
      </w:r>
      <w:r w:rsidR="000D0B64">
        <w:rPr>
          <w:lang w:val="en-US"/>
        </w:rPr>
        <w:t>,</w:t>
      </w:r>
      <w:r>
        <w:rPr>
          <w:lang w:val="en-US"/>
        </w:rPr>
        <w:t xml:space="preserve"> </w:t>
      </w:r>
      <w:r w:rsidRPr="00B80A54">
        <w:rPr>
          <w:lang w:val="en-US"/>
        </w:rPr>
        <w:t xml:space="preserve">and </w:t>
      </w:r>
      <w:r>
        <w:rPr>
          <w:lang w:val="en-US"/>
        </w:rPr>
        <w:t xml:space="preserve">must </w:t>
      </w:r>
      <w:r w:rsidRPr="00B80A54">
        <w:rPr>
          <w:lang w:val="en-US"/>
        </w:rPr>
        <w:t xml:space="preserve">be treated sensitively and confidentially. </w:t>
      </w:r>
    </w:p>
    <w:p w:rsidR="00240E2E" w:rsidRPr="00686B3E" w:rsidRDefault="00240E2E" w:rsidP="00240E2E">
      <w:pPr>
        <w:rPr>
          <w:b/>
          <w:lang w:val="en-US"/>
        </w:rPr>
      </w:pPr>
      <w:r w:rsidRPr="00686B3E">
        <w:rPr>
          <w:b/>
          <w:lang w:val="en-US"/>
        </w:rPr>
        <w:t>How can l</w:t>
      </w:r>
      <w:r w:rsidR="00734E0B" w:rsidRPr="00686B3E">
        <w:rPr>
          <w:b/>
          <w:lang w:val="en-US"/>
        </w:rPr>
        <w:t xml:space="preserve">ong day care </w:t>
      </w:r>
      <w:r w:rsidR="005B5F3B">
        <w:rPr>
          <w:b/>
          <w:lang w:val="en-US"/>
        </w:rPr>
        <w:t>centres</w:t>
      </w:r>
      <w:r w:rsidRPr="00686B3E">
        <w:rPr>
          <w:b/>
          <w:lang w:val="en-US"/>
        </w:rPr>
        <w:t xml:space="preserve"> support</w:t>
      </w:r>
      <w:r w:rsidR="00734E0B" w:rsidRPr="00686B3E">
        <w:rPr>
          <w:b/>
          <w:lang w:val="en-US"/>
        </w:rPr>
        <w:t xml:space="preserve"> </w:t>
      </w:r>
      <w:r w:rsidRPr="00686B3E">
        <w:rPr>
          <w:b/>
          <w:lang w:val="en-US"/>
        </w:rPr>
        <w:t xml:space="preserve">children in </w:t>
      </w:r>
      <w:r w:rsidR="00840DC8">
        <w:rPr>
          <w:b/>
          <w:lang w:val="en-US"/>
        </w:rPr>
        <w:t>Out-of-Home Care</w:t>
      </w:r>
      <w:r w:rsidR="00014259">
        <w:rPr>
          <w:b/>
          <w:lang w:val="en-US"/>
        </w:rPr>
        <w:t xml:space="preserve">? </w:t>
      </w:r>
    </w:p>
    <w:p w:rsidR="00734E0B" w:rsidRPr="00240E2E" w:rsidRDefault="00B32F3D" w:rsidP="00240E2E">
      <w:pPr>
        <w:pStyle w:val="ListParagraph"/>
        <w:numPr>
          <w:ilvl w:val="0"/>
          <w:numId w:val="9"/>
        </w:numPr>
        <w:rPr>
          <w:lang w:val="en-US"/>
        </w:rPr>
      </w:pPr>
      <w:r>
        <w:rPr>
          <w:lang w:val="en-US"/>
        </w:rPr>
        <w:t xml:space="preserve">Do everything possible </w:t>
      </w:r>
      <w:r w:rsidR="00240E2E">
        <w:rPr>
          <w:lang w:val="en-US"/>
        </w:rPr>
        <w:t xml:space="preserve">to </w:t>
      </w:r>
      <w:r w:rsidR="00734E0B" w:rsidRPr="00240E2E">
        <w:rPr>
          <w:lang w:val="en-US"/>
        </w:rPr>
        <w:t>make a place available, even where usual enrolment processes cannot be followed</w:t>
      </w:r>
    </w:p>
    <w:p w:rsidR="00734E0B" w:rsidRDefault="00240E2E" w:rsidP="00734E0B">
      <w:pPr>
        <w:pStyle w:val="ListParagraph"/>
        <w:numPr>
          <w:ilvl w:val="0"/>
          <w:numId w:val="2"/>
        </w:numPr>
        <w:rPr>
          <w:lang w:val="en-US"/>
        </w:rPr>
      </w:pPr>
      <w:r>
        <w:rPr>
          <w:lang w:val="en-US"/>
        </w:rPr>
        <w:t>I</w:t>
      </w:r>
      <w:r w:rsidR="00734E0B">
        <w:rPr>
          <w:lang w:val="en-US"/>
        </w:rPr>
        <w:t xml:space="preserve">f a child </w:t>
      </w:r>
      <w:r>
        <w:rPr>
          <w:lang w:val="en-US"/>
        </w:rPr>
        <w:t xml:space="preserve">in </w:t>
      </w:r>
      <w:r w:rsidR="00840DC8">
        <w:rPr>
          <w:lang w:val="en-US"/>
        </w:rPr>
        <w:t>Out-of-Home Care</w:t>
      </w:r>
      <w:r>
        <w:rPr>
          <w:lang w:val="en-US"/>
        </w:rPr>
        <w:t xml:space="preserve"> leaves your service and </w:t>
      </w:r>
      <w:r w:rsidR="00734E0B">
        <w:rPr>
          <w:lang w:val="en-US"/>
        </w:rPr>
        <w:t xml:space="preserve">later returns to </w:t>
      </w:r>
      <w:r w:rsidR="003C3816">
        <w:rPr>
          <w:lang w:val="en-US"/>
        </w:rPr>
        <w:t xml:space="preserve">the </w:t>
      </w:r>
      <w:r>
        <w:rPr>
          <w:lang w:val="en-US"/>
        </w:rPr>
        <w:t>a</w:t>
      </w:r>
      <w:r w:rsidR="00734E0B">
        <w:rPr>
          <w:lang w:val="en-US"/>
        </w:rPr>
        <w:t>rea</w:t>
      </w:r>
      <w:r>
        <w:rPr>
          <w:lang w:val="en-US"/>
        </w:rPr>
        <w:t xml:space="preserve">, do everything </w:t>
      </w:r>
      <w:r w:rsidR="00B32F3D">
        <w:rPr>
          <w:lang w:val="en-US"/>
        </w:rPr>
        <w:t xml:space="preserve">possible </w:t>
      </w:r>
      <w:r>
        <w:rPr>
          <w:lang w:val="en-US"/>
        </w:rPr>
        <w:t>to make a place available again</w:t>
      </w:r>
    </w:p>
    <w:p w:rsidR="00734E0B" w:rsidRDefault="00240E2E" w:rsidP="00734E0B">
      <w:pPr>
        <w:pStyle w:val="ListParagraph"/>
        <w:numPr>
          <w:ilvl w:val="0"/>
          <w:numId w:val="2"/>
        </w:numPr>
        <w:rPr>
          <w:lang w:val="en-US"/>
        </w:rPr>
      </w:pPr>
      <w:r>
        <w:rPr>
          <w:lang w:val="en-US"/>
        </w:rPr>
        <w:lastRenderedPageBreak/>
        <w:t>Provide</w:t>
      </w:r>
      <w:r w:rsidR="00734E0B">
        <w:rPr>
          <w:lang w:val="en-US"/>
        </w:rPr>
        <w:t xml:space="preserve"> inclusive and culturally appropriate environments and practices, responsive to each child’s needs</w:t>
      </w:r>
    </w:p>
    <w:p w:rsidR="00686B3E" w:rsidRPr="00014259" w:rsidRDefault="00240E2E" w:rsidP="00734E0B">
      <w:pPr>
        <w:pStyle w:val="ListParagraph"/>
        <w:numPr>
          <w:ilvl w:val="0"/>
          <w:numId w:val="2"/>
        </w:numPr>
        <w:rPr>
          <w:lang w:val="en-US"/>
        </w:rPr>
      </w:pPr>
      <w:r w:rsidRPr="00014259">
        <w:rPr>
          <w:lang w:val="en-US"/>
        </w:rPr>
        <w:t>Work</w:t>
      </w:r>
      <w:r w:rsidR="00734E0B" w:rsidRPr="00014259">
        <w:rPr>
          <w:lang w:val="en-US"/>
        </w:rPr>
        <w:t xml:space="preserve"> </w:t>
      </w:r>
      <w:r w:rsidRPr="00014259">
        <w:rPr>
          <w:lang w:val="en-US"/>
        </w:rPr>
        <w:t xml:space="preserve">in partnership with </w:t>
      </w:r>
      <w:r w:rsidR="00734E0B" w:rsidRPr="00014259">
        <w:rPr>
          <w:lang w:val="en-US"/>
        </w:rPr>
        <w:t>carers</w:t>
      </w:r>
    </w:p>
    <w:p w:rsidR="003537A4" w:rsidRPr="00014259" w:rsidRDefault="003537A4" w:rsidP="003537A4">
      <w:pPr>
        <w:pStyle w:val="ListParagraph"/>
        <w:numPr>
          <w:ilvl w:val="1"/>
          <w:numId w:val="2"/>
        </w:numPr>
        <w:rPr>
          <w:lang w:val="en-US"/>
        </w:rPr>
      </w:pPr>
      <w:r w:rsidRPr="00014259">
        <w:rPr>
          <w:lang w:val="en-US"/>
        </w:rPr>
        <w:t>Make them feel welcome, listen, and take a flexible</w:t>
      </w:r>
      <w:r w:rsidR="00C865A4" w:rsidRPr="00014259">
        <w:rPr>
          <w:lang w:val="en-US"/>
        </w:rPr>
        <w:t xml:space="preserve"> and</w:t>
      </w:r>
      <w:r w:rsidRPr="00014259">
        <w:rPr>
          <w:lang w:val="en-US"/>
        </w:rPr>
        <w:t xml:space="preserve"> </w:t>
      </w:r>
      <w:r w:rsidR="00C25665" w:rsidRPr="00014259">
        <w:rPr>
          <w:lang w:val="en-US"/>
        </w:rPr>
        <w:t xml:space="preserve">compassionate </w:t>
      </w:r>
      <w:r w:rsidRPr="00014259">
        <w:rPr>
          <w:lang w:val="en-US"/>
        </w:rPr>
        <w:t>approach to supporting them and the child</w:t>
      </w:r>
    </w:p>
    <w:p w:rsidR="003537A4" w:rsidRPr="00014259" w:rsidRDefault="003537A4" w:rsidP="003537A4">
      <w:pPr>
        <w:pStyle w:val="ListParagraph"/>
        <w:numPr>
          <w:ilvl w:val="1"/>
          <w:numId w:val="2"/>
        </w:numPr>
        <w:rPr>
          <w:lang w:val="en-US"/>
        </w:rPr>
      </w:pPr>
      <w:r w:rsidRPr="00014259">
        <w:rPr>
          <w:lang w:val="en-US"/>
        </w:rPr>
        <w:t xml:space="preserve">Remember the child and family are likely to be going through a stressful time and it may not always be </w:t>
      </w:r>
      <w:r w:rsidR="00C25665" w:rsidRPr="00014259">
        <w:rPr>
          <w:lang w:val="en-US"/>
        </w:rPr>
        <w:t xml:space="preserve">straight forward </w:t>
      </w:r>
      <w:r w:rsidRPr="00014259">
        <w:rPr>
          <w:lang w:val="en-US"/>
        </w:rPr>
        <w:t>for them to meet service requirements</w:t>
      </w:r>
    </w:p>
    <w:p w:rsidR="00686B3E" w:rsidRPr="00014259" w:rsidRDefault="00686B3E" w:rsidP="00686B3E">
      <w:pPr>
        <w:pStyle w:val="ListParagraph"/>
        <w:numPr>
          <w:ilvl w:val="1"/>
          <w:numId w:val="2"/>
        </w:numPr>
        <w:rPr>
          <w:lang w:val="en-US"/>
        </w:rPr>
      </w:pPr>
      <w:r w:rsidRPr="00014259">
        <w:rPr>
          <w:lang w:val="en-US"/>
        </w:rPr>
        <w:t xml:space="preserve">Communicate about the child’s learning and development </w:t>
      </w:r>
    </w:p>
    <w:p w:rsidR="00734E0B" w:rsidRPr="00014259" w:rsidRDefault="00686B3E" w:rsidP="00686B3E">
      <w:pPr>
        <w:pStyle w:val="ListParagraph"/>
        <w:numPr>
          <w:ilvl w:val="1"/>
          <w:numId w:val="2"/>
        </w:numPr>
        <w:rPr>
          <w:lang w:val="en-US"/>
        </w:rPr>
      </w:pPr>
      <w:r w:rsidRPr="00014259">
        <w:rPr>
          <w:lang w:val="en-US"/>
        </w:rPr>
        <w:t xml:space="preserve">Provide resources and information that  promote </w:t>
      </w:r>
      <w:r w:rsidR="00734E0B" w:rsidRPr="00014259">
        <w:rPr>
          <w:lang w:val="en-US"/>
        </w:rPr>
        <w:t xml:space="preserve">stimulating home learning environments </w:t>
      </w:r>
    </w:p>
    <w:p w:rsidR="00096210" w:rsidRDefault="00686B3E" w:rsidP="00734E0B">
      <w:pPr>
        <w:pStyle w:val="ListParagraph"/>
        <w:numPr>
          <w:ilvl w:val="0"/>
          <w:numId w:val="2"/>
        </w:numPr>
        <w:rPr>
          <w:lang w:val="en-US"/>
        </w:rPr>
      </w:pPr>
      <w:r>
        <w:rPr>
          <w:lang w:val="en-US"/>
        </w:rPr>
        <w:t xml:space="preserve">Support </w:t>
      </w:r>
      <w:r w:rsidR="00240E2E">
        <w:rPr>
          <w:lang w:val="en-US"/>
        </w:rPr>
        <w:t>effective</w:t>
      </w:r>
      <w:r w:rsidR="00096210">
        <w:rPr>
          <w:lang w:val="en-US"/>
        </w:rPr>
        <w:t xml:space="preserve"> transitions for children across other early childhood services and to school</w:t>
      </w:r>
    </w:p>
    <w:p w:rsidR="0004195B" w:rsidRDefault="00686B3E" w:rsidP="00734E0B">
      <w:pPr>
        <w:pStyle w:val="ListParagraph"/>
        <w:numPr>
          <w:ilvl w:val="0"/>
          <w:numId w:val="2"/>
        </w:numPr>
        <w:rPr>
          <w:lang w:val="en-US"/>
        </w:rPr>
      </w:pPr>
      <w:r>
        <w:rPr>
          <w:lang w:val="en-US"/>
        </w:rPr>
        <w:t xml:space="preserve">Actively communicate and collaborate </w:t>
      </w:r>
      <w:r w:rsidR="0004195B">
        <w:rPr>
          <w:lang w:val="en-US"/>
        </w:rPr>
        <w:t xml:space="preserve">with </w:t>
      </w:r>
      <w:r>
        <w:rPr>
          <w:lang w:val="en-US"/>
        </w:rPr>
        <w:t>the child’s case worker and other agencies</w:t>
      </w:r>
      <w:r w:rsidR="00B41615">
        <w:rPr>
          <w:lang w:val="en-US"/>
        </w:rPr>
        <w:t xml:space="preserve"> </w:t>
      </w:r>
      <w:r>
        <w:rPr>
          <w:lang w:val="en-US"/>
        </w:rPr>
        <w:t xml:space="preserve">that are working with the child </w:t>
      </w:r>
      <w:r w:rsidR="0004195B">
        <w:rPr>
          <w:lang w:val="en-US"/>
        </w:rPr>
        <w:t xml:space="preserve">to support </w:t>
      </w:r>
      <w:r>
        <w:rPr>
          <w:lang w:val="en-US"/>
        </w:rPr>
        <w:t xml:space="preserve">their </w:t>
      </w:r>
      <w:r w:rsidR="0094339F">
        <w:rPr>
          <w:lang w:val="en-US"/>
        </w:rPr>
        <w:t xml:space="preserve">enrolment </w:t>
      </w:r>
      <w:r w:rsidR="0004195B">
        <w:rPr>
          <w:lang w:val="en-US"/>
        </w:rPr>
        <w:t xml:space="preserve">and ongoing participation in </w:t>
      </w:r>
      <w:r w:rsidR="00C25665">
        <w:rPr>
          <w:lang w:val="en-US"/>
        </w:rPr>
        <w:t>your</w:t>
      </w:r>
      <w:r w:rsidR="0004195B">
        <w:rPr>
          <w:lang w:val="en-US"/>
        </w:rPr>
        <w:t xml:space="preserve"> serv</w:t>
      </w:r>
      <w:r w:rsidR="0004195B" w:rsidRPr="009106DC">
        <w:rPr>
          <w:lang w:val="en-US"/>
        </w:rPr>
        <w:t>ice.</w:t>
      </w:r>
      <w:r w:rsidR="00175241" w:rsidRPr="009106DC">
        <w:t xml:space="preserve"> This includes your local </w:t>
      </w:r>
      <w:r w:rsidR="00175241" w:rsidRPr="009106DC">
        <w:rPr>
          <w:lang w:val="en-US"/>
        </w:rPr>
        <w:t xml:space="preserve">council who will have a designated OoHC contact and </w:t>
      </w:r>
      <w:r w:rsidR="009106DC" w:rsidRPr="009106DC">
        <w:rPr>
          <w:lang w:val="en-US"/>
        </w:rPr>
        <w:t xml:space="preserve">the </w:t>
      </w:r>
      <w:r w:rsidR="009106DC" w:rsidRPr="009106DC">
        <w:t>local</w:t>
      </w:r>
      <w:r w:rsidR="00175241" w:rsidRPr="009106DC">
        <w:t xml:space="preserve"> government Maternal and Child Health nur</w:t>
      </w:r>
      <w:r w:rsidR="00175241" w:rsidRPr="00604F10">
        <w:t xml:space="preserve">se </w:t>
      </w:r>
      <w:r w:rsidR="00A636EC">
        <w:t xml:space="preserve">who </w:t>
      </w:r>
      <w:r w:rsidR="00175241">
        <w:t xml:space="preserve">may </w:t>
      </w:r>
      <w:r w:rsidR="00A636EC">
        <w:t>be</w:t>
      </w:r>
      <w:r w:rsidR="00175241" w:rsidRPr="00604F10">
        <w:t xml:space="preserve"> involved in the planning for a child in OoHC</w:t>
      </w:r>
      <w:r w:rsidR="00456F0C">
        <w:t>, where appropriate</w:t>
      </w:r>
      <w:r w:rsidR="000B22DC">
        <w:t>.</w:t>
      </w:r>
    </w:p>
    <w:p w:rsidR="009E0790" w:rsidRPr="009E0790" w:rsidRDefault="009E0790" w:rsidP="009E0790">
      <w:pPr>
        <w:rPr>
          <w:b/>
        </w:rPr>
      </w:pPr>
      <w:r w:rsidRPr="009E0790">
        <w:rPr>
          <w:b/>
        </w:rPr>
        <w:t xml:space="preserve">What are the immunisation requirements for children </w:t>
      </w:r>
      <w:r>
        <w:rPr>
          <w:b/>
        </w:rPr>
        <w:t xml:space="preserve">in </w:t>
      </w:r>
      <w:r w:rsidR="00840DC8">
        <w:rPr>
          <w:b/>
        </w:rPr>
        <w:t>Out-of-Home Care</w:t>
      </w:r>
      <w:r w:rsidR="00E33284">
        <w:rPr>
          <w:b/>
        </w:rPr>
        <w:t xml:space="preserve"> attending long day care </w:t>
      </w:r>
      <w:r w:rsidR="005B5F3B">
        <w:rPr>
          <w:b/>
        </w:rPr>
        <w:t>centres</w:t>
      </w:r>
      <w:r w:rsidRPr="009E0790">
        <w:rPr>
          <w:b/>
        </w:rPr>
        <w:t>?</w:t>
      </w:r>
    </w:p>
    <w:p w:rsidR="00E33284" w:rsidRDefault="009E0790" w:rsidP="009E0790">
      <w:r>
        <w:t xml:space="preserve">Victorian </w:t>
      </w:r>
      <w:r w:rsidRPr="00AC1998">
        <w:rPr>
          <w:i/>
          <w:iCs/>
        </w:rPr>
        <w:t>No Jab No Play</w:t>
      </w:r>
      <w:r>
        <w:t xml:space="preserve"> legislation requires services to obtain evidence before enro</w:t>
      </w:r>
      <w:r w:rsidR="00E33284">
        <w:t xml:space="preserve">lling a child that the child is </w:t>
      </w:r>
    </w:p>
    <w:p w:rsidR="009E0790" w:rsidRDefault="009E0790" w:rsidP="00E33284">
      <w:pPr>
        <w:pStyle w:val="ListParagraph"/>
        <w:numPr>
          <w:ilvl w:val="0"/>
          <w:numId w:val="14"/>
        </w:numPr>
        <w:spacing w:after="0"/>
      </w:pPr>
      <w:r>
        <w:t>fully immunised for their age, or</w:t>
      </w:r>
    </w:p>
    <w:p w:rsidR="009E0790" w:rsidRDefault="009E0790" w:rsidP="00E33284">
      <w:pPr>
        <w:pStyle w:val="ListParagraph"/>
        <w:numPr>
          <w:ilvl w:val="0"/>
          <w:numId w:val="14"/>
        </w:numPr>
        <w:spacing w:after="0"/>
      </w:pPr>
      <w:r>
        <w:t>on a vaccination catch-up program if they have fallen behind with their vaccinations, or</w:t>
      </w:r>
    </w:p>
    <w:p w:rsidR="009E0790" w:rsidRDefault="009E0790" w:rsidP="00E33284">
      <w:pPr>
        <w:pStyle w:val="ListParagraph"/>
        <w:numPr>
          <w:ilvl w:val="0"/>
          <w:numId w:val="14"/>
        </w:numPr>
        <w:spacing w:after="0"/>
      </w:pPr>
      <w:r>
        <w:t>unable to be fully immunised for medical reasons.</w:t>
      </w:r>
    </w:p>
    <w:p w:rsidR="006805CB" w:rsidRDefault="006805CB" w:rsidP="009E0790"/>
    <w:p w:rsidR="009E0790" w:rsidRDefault="009E0790" w:rsidP="009E0790">
      <w:r>
        <w:t xml:space="preserve">For </w:t>
      </w:r>
      <w:r w:rsidR="00604F10">
        <w:t>children known</w:t>
      </w:r>
      <w:r w:rsidR="005464AF">
        <w:t xml:space="preserve"> to child protection, including children in out-of-home care,</w:t>
      </w:r>
      <w:r>
        <w:t xml:space="preserve"> a 16 week grace period applies. During this time the child can attend and services are required to take reasonable steps to obtain the required documentation. This may mean providing information to the child’s carer about immunisation services or liaising with the child’s case</w:t>
      </w:r>
      <w:r w:rsidR="00E33284">
        <w:t xml:space="preserve"> manager</w:t>
      </w:r>
      <w:r>
        <w:t>. If the grace period has expired and the centre has been unable to obtain acceptable documentation, the child can continue to attend, except in the circumstance of an outbreak of an infectious disease, and the service should continue to work with the carer to address this issue.</w:t>
      </w:r>
    </w:p>
    <w:p w:rsidR="009E0790" w:rsidRDefault="009E0790" w:rsidP="009E0790">
      <w:r w:rsidRPr="00466171">
        <w:t xml:space="preserve">Refer to the </w:t>
      </w:r>
      <w:r>
        <w:t xml:space="preserve">DHHS </w:t>
      </w:r>
      <w:r w:rsidRPr="00F3024B">
        <w:t xml:space="preserve">Immunisation Enrolment </w:t>
      </w:r>
      <w:r w:rsidR="00F3024B" w:rsidRPr="00F3024B">
        <w:t xml:space="preserve">Toolkit </w:t>
      </w:r>
      <w:r w:rsidR="00F3024B" w:rsidRPr="00466171">
        <w:t>for</w:t>
      </w:r>
      <w:r w:rsidRPr="00466171">
        <w:t xml:space="preserve"> more detailed information and requirements. </w:t>
      </w:r>
    </w:p>
    <w:p w:rsidR="009E0790" w:rsidRDefault="009E0790" w:rsidP="009E0790">
      <w:r>
        <w:t xml:space="preserve">Under Australian Government </w:t>
      </w:r>
      <w:r w:rsidRPr="005F6DDC">
        <w:rPr>
          <w:i/>
        </w:rPr>
        <w:t>No Jab No Pay</w:t>
      </w:r>
      <w:r>
        <w:t xml:space="preserve">, financial assistance with the costs of child care including Child Care Benefit </w:t>
      </w:r>
      <w:r w:rsidR="00522464">
        <w:t>is</w:t>
      </w:r>
      <w:r>
        <w:t xml:space="preserve"> conditional on children meeting immunisation requirements. In Victoria, depending on their own internal policies, services can still allow children who are not eligible for Child Care Benefit because they do not meet immunisation requirements to attend. In this instance the service will need to immediately liaise with the child’s carer and case </w:t>
      </w:r>
      <w:r w:rsidR="00E33284">
        <w:t>manager</w:t>
      </w:r>
      <w:r>
        <w:t xml:space="preserve">, to make a plan about payment of </w:t>
      </w:r>
      <w:r w:rsidR="00F81DDF">
        <w:t xml:space="preserve">full </w:t>
      </w:r>
      <w:r>
        <w:t>child care fees.</w:t>
      </w:r>
    </w:p>
    <w:p w:rsidR="006841A7" w:rsidRPr="00686466" w:rsidRDefault="00DB5128" w:rsidP="006841A7">
      <w:pPr>
        <w:rPr>
          <w:b/>
          <w:lang w:val="en-US"/>
        </w:rPr>
      </w:pPr>
      <w:r w:rsidRPr="00686466">
        <w:rPr>
          <w:b/>
          <w:lang w:val="en-US"/>
        </w:rPr>
        <w:t xml:space="preserve">What fee assistance or funding is available for children in </w:t>
      </w:r>
      <w:r w:rsidR="00840DC8">
        <w:rPr>
          <w:b/>
          <w:lang w:val="en-US"/>
        </w:rPr>
        <w:t>Out-of-Home Care</w:t>
      </w:r>
      <w:r w:rsidR="00686466">
        <w:rPr>
          <w:b/>
          <w:lang w:val="en-US"/>
        </w:rPr>
        <w:t>?</w:t>
      </w:r>
    </w:p>
    <w:p w:rsidR="006841A7" w:rsidRPr="00686466" w:rsidRDefault="006841A7" w:rsidP="006841A7">
      <w:pPr>
        <w:rPr>
          <w:lang w:val="en-US"/>
        </w:rPr>
      </w:pPr>
      <w:r w:rsidRPr="00686466">
        <w:rPr>
          <w:lang w:val="en-US"/>
        </w:rPr>
        <w:lastRenderedPageBreak/>
        <w:t xml:space="preserve">The Australian Government provides a range of fee assistance to support the participation of children in </w:t>
      </w:r>
      <w:r w:rsidR="00F81DDF">
        <w:rPr>
          <w:lang w:val="en-US"/>
        </w:rPr>
        <w:t xml:space="preserve">approved </w:t>
      </w:r>
      <w:r w:rsidR="00AA4F51">
        <w:rPr>
          <w:lang w:val="en-US"/>
        </w:rPr>
        <w:t xml:space="preserve">child care, such as </w:t>
      </w:r>
      <w:r w:rsidRPr="00686466">
        <w:rPr>
          <w:lang w:val="en-US"/>
        </w:rPr>
        <w:t>long day care centres</w:t>
      </w:r>
      <w:r w:rsidR="00AA4F51">
        <w:rPr>
          <w:lang w:val="en-US"/>
        </w:rPr>
        <w:t>,</w:t>
      </w:r>
      <w:r w:rsidRPr="00686466">
        <w:rPr>
          <w:lang w:val="en-US"/>
        </w:rPr>
        <w:t xml:space="preserve"> including Child Care Benefit (CCB), Child Care Rebate (CCR), Grandparent Child Care Benefit (GCCB) and Special Child Care Benefit (SCCB). Eligibility for these forms of assistance will depend on the </w:t>
      </w:r>
      <w:r w:rsidR="009D69CF">
        <w:rPr>
          <w:lang w:val="en-US"/>
        </w:rPr>
        <w:t xml:space="preserve">parent or </w:t>
      </w:r>
      <w:r w:rsidR="00BD1C08">
        <w:rPr>
          <w:lang w:val="en-US"/>
        </w:rPr>
        <w:t xml:space="preserve">carer’s </w:t>
      </w:r>
      <w:r w:rsidRPr="00686466">
        <w:rPr>
          <w:lang w:val="en-US"/>
        </w:rPr>
        <w:t xml:space="preserve">particular circumstances. </w:t>
      </w:r>
    </w:p>
    <w:p w:rsidR="006841A7" w:rsidRPr="00686466" w:rsidRDefault="006841A7" w:rsidP="006841A7">
      <w:pPr>
        <w:rPr>
          <w:lang w:val="en-US"/>
        </w:rPr>
      </w:pPr>
      <w:r w:rsidRPr="00686466">
        <w:rPr>
          <w:lang w:val="en-US"/>
        </w:rPr>
        <w:t>SCCB can cover up to the full cost of child care and is available to assist children at risk of serious abuse or neglect</w:t>
      </w:r>
      <w:r w:rsidR="00A36DE5">
        <w:rPr>
          <w:lang w:val="en-US"/>
        </w:rPr>
        <w:t xml:space="preserve"> </w:t>
      </w:r>
      <w:r w:rsidR="004F2320">
        <w:rPr>
          <w:lang w:val="en-US"/>
        </w:rPr>
        <w:t>or</w:t>
      </w:r>
      <w:r w:rsidR="00A36DE5">
        <w:rPr>
          <w:lang w:val="en-US"/>
        </w:rPr>
        <w:t xml:space="preserve"> families in temporary financial hardship,</w:t>
      </w:r>
      <w:r w:rsidR="00F81DDF">
        <w:rPr>
          <w:lang w:val="en-US"/>
        </w:rPr>
        <w:t xml:space="preserve"> if the cost of care is a barrier to their participation in CCB approved child care</w:t>
      </w:r>
      <w:r w:rsidRPr="00686466">
        <w:rPr>
          <w:lang w:val="en-US"/>
        </w:rPr>
        <w:t xml:space="preserve">. It can be used to help a child at risk </w:t>
      </w:r>
      <w:r w:rsidR="00A36DE5">
        <w:rPr>
          <w:lang w:val="en-US"/>
        </w:rPr>
        <w:t xml:space="preserve">or in a hardship situation </w:t>
      </w:r>
      <w:r w:rsidRPr="00686466">
        <w:rPr>
          <w:lang w:val="en-US"/>
        </w:rPr>
        <w:t xml:space="preserve">enter CCB approved child care or to maintain or increase attendance. </w:t>
      </w:r>
    </w:p>
    <w:p w:rsidR="006841A7" w:rsidRPr="00686466" w:rsidRDefault="006841A7" w:rsidP="006841A7">
      <w:pPr>
        <w:rPr>
          <w:lang w:val="en-US"/>
        </w:rPr>
      </w:pPr>
      <w:r w:rsidRPr="00686466">
        <w:rPr>
          <w:lang w:val="en-US"/>
        </w:rPr>
        <w:t xml:space="preserve">Refer to the </w:t>
      </w:r>
      <w:r w:rsidRPr="00F3024B">
        <w:rPr>
          <w:lang w:val="en-US"/>
        </w:rPr>
        <w:t xml:space="preserve">Child Care Service </w:t>
      </w:r>
      <w:r w:rsidR="00B52085" w:rsidRPr="00F3024B">
        <w:rPr>
          <w:lang w:val="en-US"/>
        </w:rPr>
        <w:t xml:space="preserve">Handbook </w:t>
      </w:r>
      <w:r w:rsidRPr="00686466">
        <w:rPr>
          <w:lang w:val="en-US"/>
        </w:rPr>
        <w:t xml:space="preserve">for more information. </w:t>
      </w:r>
    </w:p>
    <w:p w:rsidR="005464AF" w:rsidRDefault="006841A7" w:rsidP="006841A7">
      <w:pPr>
        <w:rPr>
          <w:lang w:val="en-US"/>
        </w:rPr>
      </w:pPr>
      <w:r w:rsidRPr="00686466">
        <w:rPr>
          <w:lang w:val="en-US"/>
        </w:rPr>
        <w:t xml:space="preserve">The Victorian Government’s Department of Education and Training (DET) provides a range of funding that supports children in OoHC to participate in kindergarten programs in long day care centres. This includes kindergarten per capita grants for children attending a funded kindergarten program in the year before school, and Early Start Kindergarten </w:t>
      </w:r>
      <w:r w:rsidR="00F81DDF">
        <w:rPr>
          <w:lang w:val="en-US"/>
        </w:rPr>
        <w:t xml:space="preserve">(ESK) </w:t>
      </w:r>
      <w:r w:rsidRPr="00686466">
        <w:rPr>
          <w:lang w:val="en-US"/>
        </w:rPr>
        <w:t>grants.</w:t>
      </w:r>
      <w:r w:rsidR="00CF4AC7">
        <w:rPr>
          <w:lang w:val="en-US"/>
        </w:rPr>
        <w:t xml:space="preserve"> ESK grants support the participation of </w:t>
      </w:r>
      <w:r w:rsidR="009106DC">
        <w:rPr>
          <w:lang w:val="en-US"/>
        </w:rPr>
        <w:t xml:space="preserve">children </w:t>
      </w:r>
      <w:r w:rsidR="009106DC" w:rsidRPr="009106DC">
        <w:rPr>
          <w:lang w:val="en-US"/>
        </w:rPr>
        <w:t xml:space="preserve">known to child protection, including children in OoHC, </w:t>
      </w:r>
      <w:r w:rsidR="009106DC">
        <w:rPr>
          <w:lang w:val="en-US"/>
        </w:rPr>
        <w:t>who are 3 years old (by 30 April in the year in which they are enrolled to attend) in kindergarten</w:t>
      </w:r>
      <w:r w:rsidR="00CF4AC7">
        <w:rPr>
          <w:lang w:val="en-US"/>
        </w:rPr>
        <w:t xml:space="preserve"> programs</w:t>
      </w:r>
      <w:r w:rsidR="00421143">
        <w:rPr>
          <w:lang w:val="en-US"/>
        </w:rPr>
        <w:t xml:space="preserve"> </w:t>
      </w:r>
      <w:r w:rsidR="00421143" w:rsidRPr="00421143">
        <w:rPr>
          <w:lang w:val="en-US"/>
        </w:rPr>
        <w:t>and can include an ESK extension grant in their following year before school program.</w:t>
      </w:r>
      <w:r w:rsidR="00CF4AC7" w:rsidRPr="00421143">
        <w:rPr>
          <w:lang w:val="en-US"/>
        </w:rPr>
        <w:t xml:space="preserve"> </w:t>
      </w:r>
      <w:r w:rsidR="009106DC" w:rsidRPr="00421143">
        <w:rPr>
          <w:lang w:val="en-US"/>
        </w:rPr>
        <w:t>See the compan</w:t>
      </w:r>
      <w:r w:rsidR="009106DC">
        <w:rPr>
          <w:lang w:val="en-US"/>
        </w:rPr>
        <w:t xml:space="preserve">ion Resource Sheet </w:t>
      </w:r>
      <w:r w:rsidR="009106DC" w:rsidRPr="002513AA">
        <w:rPr>
          <w:i/>
          <w:lang w:val="en-US"/>
        </w:rPr>
        <w:t>Early</w:t>
      </w:r>
      <w:r w:rsidR="009106DC" w:rsidRPr="009106DC">
        <w:rPr>
          <w:i/>
        </w:rPr>
        <w:t xml:space="preserve"> Start Kindergarten Grants – How they work in long day care centres</w:t>
      </w:r>
      <w:r w:rsidR="009106DC">
        <w:t xml:space="preserve"> and </w:t>
      </w:r>
      <w:r w:rsidR="00C1232D">
        <w:t xml:space="preserve">the </w:t>
      </w:r>
      <w:r w:rsidR="00C1232D" w:rsidRPr="00F3024B">
        <w:t>Kindergarten</w:t>
      </w:r>
      <w:r w:rsidR="009106DC" w:rsidRPr="00F3024B">
        <w:t xml:space="preserve"> Guide</w:t>
      </w:r>
      <w:r w:rsidR="009106DC">
        <w:t xml:space="preserve"> </w:t>
      </w:r>
      <w:r w:rsidR="00314C24">
        <w:rPr>
          <w:lang w:val="en-US"/>
        </w:rPr>
        <w:t xml:space="preserve">for more details about these and other programs that long day care </w:t>
      </w:r>
      <w:r w:rsidR="005B5F3B">
        <w:rPr>
          <w:lang w:val="en-US"/>
        </w:rPr>
        <w:t>centres</w:t>
      </w:r>
      <w:r w:rsidR="00314C24">
        <w:rPr>
          <w:lang w:val="en-US"/>
        </w:rPr>
        <w:t xml:space="preserve"> may be able to access. </w:t>
      </w:r>
      <w:r w:rsidR="00E57F88">
        <w:rPr>
          <w:lang w:val="en-US"/>
        </w:rPr>
        <w:t xml:space="preserve"> </w:t>
      </w:r>
    </w:p>
    <w:p w:rsidR="00981C63" w:rsidRDefault="00981C63" w:rsidP="006841A7">
      <w:pPr>
        <w:rPr>
          <w:b/>
          <w:lang w:val="en-US"/>
        </w:rPr>
      </w:pPr>
      <w:r>
        <w:rPr>
          <w:b/>
          <w:lang w:val="en-US"/>
        </w:rPr>
        <w:t>Companion Resource Sheets:</w:t>
      </w:r>
    </w:p>
    <w:p w:rsidR="00981C63" w:rsidRDefault="00981C63" w:rsidP="00981C63">
      <w:pPr>
        <w:rPr>
          <w:lang w:val="en-US"/>
        </w:rPr>
      </w:pPr>
      <w:r w:rsidRPr="00981C63">
        <w:rPr>
          <w:i/>
          <w:lang w:val="en-US"/>
        </w:rPr>
        <w:t>Early</w:t>
      </w:r>
      <w:r w:rsidRPr="00981C63">
        <w:rPr>
          <w:i/>
        </w:rPr>
        <w:t xml:space="preserve"> Start Kindergarten Grants</w:t>
      </w:r>
      <w:r w:rsidR="00281A02">
        <w:rPr>
          <w:i/>
        </w:rPr>
        <w:t>:</w:t>
      </w:r>
      <w:r w:rsidRPr="00981C63">
        <w:rPr>
          <w:i/>
        </w:rPr>
        <w:t xml:space="preserve"> How they work in long day care centres</w:t>
      </w:r>
    </w:p>
    <w:p w:rsidR="00981C63" w:rsidRDefault="00981C63" w:rsidP="00981C63">
      <w:pPr>
        <w:rPr>
          <w:b/>
          <w:lang w:val="en-US"/>
        </w:rPr>
      </w:pPr>
      <w:r w:rsidRPr="00AD3393">
        <w:rPr>
          <w:b/>
          <w:lang w:val="en-US"/>
        </w:rPr>
        <w:t>More Information</w:t>
      </w:r>
      <w:r>
        <w:rPr>
          <w:b/>
          <w:lang w:val="en-US"/>
        </w:rPr>
        <w:t xml:space="preserve"> </w:t>
      </w:r>
    </w:p>
    <w:p w:rsidR="005A60F4" w:rsidRPr="001359E5" w:rsidRDefault="00FB361F" w:rsidP="005A60F4">
      <w:pPr>
        <w:spacing w:after="0"/>
        <w:rPr>
          <w:b/>
          <w:lang w:val="en-US"/>
        </w:rPr>
      </w:pPr>
      <w:hyperlink r:id="rId12" w:history="1">
        <w:r w:rsidR="005A60F4" w:rsidRPr="003A3B5F">
          <w:rPr>
            <w:rStyle w:val="Hyperlink"/>
            <w:rFonts w:cstheme="minorHAnsi"/>
            <w:b/>
          </w:rPr>
          <w:t>Child Care Service Handbook</w:t>
        </w:r>
      </w:hyperlink>
    </w:p>
    <w:p w:rsidR="005A60F4" w:rsidRPr="00D44A7D" w:rsidRDefault="005A60F4" w:rsidP="005A60F4">
      <w:pPr>
        <w:spacing w:after="0"/>
        <w:rPr>
          <w:rFonts w:eastAsia="Calibri" w:cstheme="minorHAnsi"/>
        </w:rPr>
      </w:pPr>
      <w:r w:rsidRPr="00552A71">
        <w:rPr>
          <w:rFonts w:eastAsia="Calibri" w:cstheme="minorHAnsi"/>
        </w:rPr>
        <w:t>Department of Education</w:t>
      </w:r>
      <w:r w:rsidRPr="00D44A7D">
        <w:rPr>
          <w:rFonts w:eastAsia="Calibri" w:cstheme="minorHAnsi"/>
        </w:rPr>
        <w:t xml:space="preserve"> and Training </w:t>
      </w:r>
      <w:r w:rsidRPr="00D44A7D">
        <w:rPr>
          <w:rFonts w:cstheme="minorHAnsi"/>
        </w:rPr>
        <w:t xml:space="preserve"> </w:t>
      </w:r>
    </w:p>
    <w:p w:rsidR="005A60F4" w:rsidRPr="00552A71" w:rsidRDefault="00FB361F" w:rsidP="005A60F4">
      <w:pPr>
        <w:spacing w:after="0" w:line="240" w:lineRule="auto"/>
        <w:rPr>
          <w:rFonts w:ascii="Times New Roman" w:hAnsi="Times New Roman"/>
        </w:rPr>
      </w:pPr>
      <w:hyperlink r:id="rId13" w:history="1">
        <w:r w:rsidR="005A60F4" w:rsidRPr="00D44A7D">
          <w:rPr>
            <w:rFonts w:cstheme="minorHAnsi"/>
            <w:color w:val="0000FF" w:themeColor="hyperlink"/>
            <w:u w:val="single"/>
          </w:rPr>
          <w:t>www.education.gov.au/child-care-service-handbook</w:t>
        </w:r>
      </w:hyperlink>
    </w:p>
    <w:p w:rsidR="005A60F4" w:rsidRDefault="005A60F4" w:rsidP="005A60F4">
      <w:pPr>
        <w:spacing w:after="0" w:line="240" w:lineRule="auto"/>
        <w:rPr>
          <w:rFonts w:ascii="Times New Roman" w:hAnsi="Times New Roman"/>
          <w:sz w:val="24"/>
        </w:rPr>
      </w:pPr>
    </w:p>
    <w:p w:rsidR="005A60F4" w:rsidRPr="00D44A7D" w:rsidRDefault="00FB361F" w:rsidP="005A60F4">
      <w:pPr>
        <w:spacing w:after="0"/>
        <w:rPr>
          <w:b/>
          <w:color w:val="0000FF" w:themeColor="hyperlink"/>
        </w:rPr>
      </w:pPr>
      <w:hyperlink r:id="rId14" w:history="1">
        <w:r w:rsidR="005A60F4" w:rsidRPr="00D44A7D">
          <w:rPr>
            <w:b/>
            <w:color w:val="0000FF" w:themeColor="hyperlink"/>
            <w:u w:val="single"/>
          </w:rPr>
          <w:t xml:space="preserve">Early Childhood Agreement for Children  in </w:t>
        </w:r>
        <w:r w:rsidR="00840DC8">
          <w:rPr>
            <w:b/>
            <w:color w:val="0000FF" w:themeColor="hyperlink"/>
            <w:u w:val="single"/>
          </w:rPr>
          <w:t>Out-of-Home Care</w:t>
        </w:r>
      </w:hyperlink>
      <w:r w:rsidR="005A60F4" w:rsidRPr="00D44A7D">
        <w:rPr>
          <w:b/>
          <w:color w:val="0000FF" w:themeColor="hyperlink"/>
        </w:rPr>
        <w:t xml:space="preserve"> </w:t>
      </w:r>
    </w:p>
    <w:p w:rsidR="005A60F4" w:rsidRDefault="005A60F4" w:rsidP="005A60F4">
      <w:pPr>
        <w:spacing w:after="0"/>
      </w:pPr>
      <w:r w:rsidRPr="00552A71">
        <w:t>Department of Education and Early Childhood Development</w:t>
      </w:r>
    </w:p>
    <w:p w:rsidR="005A60F4" w:rsidRPr="001359E5" w:rsidRDefault="00FB361F" w:rsidP="005A60F4">
      <w:pPr>
        <w:tabs>
          <w:tab w:val="num" w:pos="720"/>
        </w:tabs>
        <w:spacing w:after="0"/>
        <w:rPr>
          <w:color w:val="0000FF" w:themeColor="hyperlink"/>
        </w:rPr>
      </w:pPr>
      <w:hyperlink r:id="rId15" w:history="1">
        <w:r w:rsidR="005A60F4" w:rsidRPr="00987441">
          <w:rPr>
            <w:rStyle w:val="Hyperlink"/>
          </w:rPr>
          <w:t>www.education.vic.gov.au</w:t>
        </w:r>
      </w:hyperlink>
      <w:r w:rsidR="005A60F4">
        <w:rPr>
          <w:color w:val="0000FF" w:themeColor="hyperlink"/>
        </w:rPr>
        <w:t xml:space="preserve"> &gt; Early Childhood &gt; For Service Providers &gt;</w:t>
      </w:r>
      <w:r w:rsidR="005A60F4" w:rsidRPr="001359E5">
        <w:rPr>
          <w:color w:val="0000FF" w:themeColor="hyperlink"/>
        </w:rPr>
        <w:t xml:space="preserve"> </w:t>
      </w:r>
      <w:hyperlink r:id="rId16" w:history="1">
        <w:r w:rsidR="005A60F4" w:rsidRPr="001359E5">
          <w:rPr>
            <w:rStyle w:val="Hyperlink"/>
            <w:u w:val="none"/>
          </w:rPr>
          <w:t>Education and Care</w:t>
        </w:r>
      </w:hyperlink>
      <w:r w:rsidR="005A60F4" w:rsidRPr="001359E5">
        <w:rPr>
          <w:color w:val="0000FF" w:themeColor="hyperlink"/>
        </w:rPr>
        <w:t xml:space="preserve"> &gt; </w:t>
      </w:r>
      <w:r w:rsidR="005A60F4">
        <w:rPr>
          <w:color w:val="0000FF" w:themeColor="hyperlink"/>
        </w:rPr>
        <w:t>S</w:t>
      </w:r>
      <w:r w:rsidR="005A60F4" w:rsidRPr="001359E5">
        <w:rPr>
          <w:color w:val="0000FF" w:themeColor="hyperlink"/>
        </w:rPr>
        <w:t>upporting Children in Out-of-Home Care</w:t>
      </w:r>
    </w:p>
    <w:p w:rsidR="005A60F4" w:rsidRPr="00552A71" w:rsidRDefault="005A60F4" w:rsidP="005A60F4">
      <w:pPr>
        <w:spacing w:after="0" w:line="240" w:lineRule="auto"/>
        <w:rPr>
          <w:rFonts w:ascii="Times New Roman" w:hAnsi="Times New Roman"/>
          <w:sz w:val="24"/>
        </w:rPr>
      </w:pPr>
    </w:p>
    <w:p w:rsidR="005A60F4" w:rsidRPr="00D44A7D" w:rsidRDefault="00FB361F" w:rsidP="005A60F4">
      <w:pPr>
        <w:spacing w:after="0"/>
        <w:rPr>
          <w:b/>
          <w:color w:val="0000FF" w:themeColor="hyperlink"/>
          <w:u w:val="single"/>
          <w:lang w:val="en-US"/>
        </w:rPr>
      </w:pPr>
      <w:hyperlink r:id="rId17" w:history="1">
        <w:r w:rsidR="005A60F4" w:rsidRPr="00D44A7D">
          <w:rPr>
            <w:b/>
            <w:color w:val="0000FF" w:themeColor="hyperlink"/>
            <w:u w:val="single"/>
            <w:lang w:val="en-US"/>
          </w:rPr>
          <w:t xml:space="preserve">Early Start Kindergarten: Information for Early Childhood Education and Care services </w:t>
        </w:r>
      </w:hyperlink>
    </w:p>
    <w:p w:rsidR="005A60F4" w:rsidRPr="00D44A7D" w:rsidRDefault="005A60F4" w:rsidP="005A60F4">
      <w:pPr>
        <w:spacing w:after="0"/>
        <w:rPr>
          <w:color w:val="0000FF" w:themeColor="hyperlink"/>
          <w:u w:val="single"/>
          <w:lang w:val="en-US"/>
        </w:rPr>
      </w:pPr>
      <w:r w:rsidRPr="00552A71">
        <w:rPr>
          <w:rFonts w:cstheme="minorHAnsi"/>
        </w:rPr>
        <w:t>Depar</w:t>
      </w:r>
      <w:r w:rsidRPr="00D44A7D">
        <w:rPr>
          <w:rFonts w:cstheme="minorHAnsi"/>
        </w:rPr>
        <w:t>tment of Education and Training</w:t>
      </w:r>
    </w:p>
    <w:p w:rsidR="005A60F4" w:rsidRDefault="00FB361F" w:rsidP="005A60F4">
      <w:pPr>
        <w:rPr>
          <w:rFonts w:cstheme="minorHAnsi"/>
        </w:rPr>
      </w:pPr>
      <w:hyperlink r:id="rId18" w:history="1">
        <w:r w:rsidR="005A60F4" w:rsidRPr="00306ED0">
          <w:rPr>
            <w:rFonts w:cstheme="minorHAnsi"/>
            <w:color w:val="0000FF" w:themeColor="hyperlink"/>
            <w:u w:val="single"/>
          </w:rPr>
          <w:t>www.education.vic.gov.au</w:t>
        </w:r>
      </w:hyperlink>
      <w:r w:rsidR="005A60F4" w:rsidRPr="00306ED0">
        <w:rPr>
          <w:rFonts w:cstheme="minorHAnsi"/>
        </w:rPr>
        <w:t xml:space="preserve">  &gt;</w:t>
      </w:r>
      <w:r w:rsidR="005A60F4" w:rsidRPr="00306ED0">
        <w:rPr>
          <w:color w:val="0000FF" w:themeColor="hyperlink"/>
        </w:rPr>
        <w:t xml:space="preserve">Early Childhood &gt; For Service Providers &gt;Kindergarten Communication Material </w:t>
      </w:r>
      <w:r w:rsidR="005A60F4" w:rsidRPr="00306ED0">
        <w:rPr>
          <w:rFonts w:cstheme="minorHAnsi"/>
        </w:rPr>
        <w:t>&gt;For Kindergartens</w:t>
      </w:r>
    </w:p>
    <w:p w:rsidR="005A60F4" w:rsidRPr="00D44A7D" w:rsidRDefault="00FB361F" w:rsidP="005A60F4">
      <w:pPr>
        <w:spacing w:after="0" w:line="240" w:lineRule="auto"/>
        <w:rPr>
          <w:rFonts w:cstheme="minorHAnsi"/>
          <w:b/>
        </w:rPr>
      </w:pPr>
      <w:hyperlink r:id="rId19" w:history="1">
        <w:r w:rsidR="005A60F4" w:rsidRPr="00D44A7D">
          <w:rPr>
            <w:rFonts w:cstheme="minorHAnsi"/>
            <w:b/>
            <w:color w:val="0000FF" w:themeColor="hyperlink"/>
            <w:u w:val="single"/>
          </w:rPr>
          <w:t>Information sharing in OOHC</w:t>
        </w:r>
      </w:hyperlink>
    </w:p>
    <w:p w:rsidR="005A60F4" w:rsidRPr="00D44A7D" w:rsidRDefault="005A60F4" w:rsidP="005A60F4">
      <w:pPr>
        <w:spacing w:after="0" w:line="240" w:lineRule="auto"/>
        <w:rPr>
          <w:rFonts w:cstheme="minorHAnsi"/>
        </w:rPr>
      </w:pPr>
      <w:r w:rsidRPr="00552A71">
        <w:rPr>
          <w:rFonts w:cstheme="minorHAnsi"/>
        </w:rPr>
        <w:t>Department of Health and Human Services,</w:t>
      </w:r>
    </w:p>
    <w:p w:rsidR="005A60F4" w:rsidRPr="00552A71" w:rsidRDefault="00FB361F" w:rsidP="005A60F4">
      <w:pPr>
        <w:spacing w:after="0" w:line="240" w:lineRule="auto"/>
        <w:rPr>
          <w:rFonts w:cstheme="minorHAnsi"/>
        </w:rPr>
      </w:pPr>
      <w:hyperlink r:id="rId20" w:history="1">
        <w:r w:rsidR="005A60F4" w:rsidRPr="00D44A7D">
          <w:rPr>
            <w:rFonts w:cstheme="minorHAnsi"/>
            <w:color w:val="0000FF" w:themeColor="hyperlink"/>
            <w:u w:val="single"/>
          </w:rPr>
          <w:t>www.cpmanual.vic.gov.au</w:t>
        </w:r>
      </w:hyperlink>
      <w:r w:rsidR="005A60F4" w:rsidRPr="00552A71">
        <w:rPr>
          <w:rFonts w:cstheme="minorHAnsi"/>
        </w:rPr>
        <w:t xml:space="preserve"> &gt; Our Approach &gt; Privacy &gt; Information &gt; Information sharing in OOHC </w:t>
      </w:r>
    </w:p>
    <w:p w:rsidR="005A60F4" w:rsidRPr="00552A71" w:rsidRDefault="005A60F4" w:rsidP="005A60F4">
      <w:pPr>
        <w:spacing w:after="0" w:line="240" w:lineRule="auto"/>
        <w:rPr>
          <w:rFonts w:cstheme="minorHAnsi"/>
        </w:rPr>
      </w:pPr>
    </w:p>
    <w:p w:rsidR="005A60F4" w:rsidRPr="00D44A7D" w:rsidRDefault="00FB361F" w:rsidP="005A60F4">
      <w:pPr>
        <w:spacing w:after="0" w:line="240" w:lineRule="auto"/>
        <w:rPr>
          <w:rFonts w:cstheme="minorHAnsi"/>
          <w:b/>
        </w:rPr>
      </w:pPr>
      <w:hyperlink r:id="rId21" w:history="1">
        <w:r w:rsidR="005A60F4" w:rsidRPr="00D44A7D">
          <w:rPr>
            <w:rFonts w:cstheme="minorHAnsi"/>
            <w:b/>
            <w:color w:val="0000FF" w:themeColor="hyperlink"/>
            <w:u w:val="single"/>
          </w:rPr>
          <w:t>Immunisation enrolment toolkit for early childhood education and care services</w:t>
        </w:r>
      </w:hyperlink>
    </w:p>
    <w:p w:rsidR="005A60F4" w:rsidRDefault="005A60F4" w:rsidP="005A60F4">
      <w:pPr>
        <w:spacing w:after="0" w:line="240" w:lineRule="auto"/>
        <w:rPr>
          <w:rFonts w:cstheme="minorHAnsi"/>
        </w:rPr>
      </w:pPr>
      <w:r w:rsidRPr="00552A71">
        <w:rPr>
          <w:rFonts w:cstheme="minorHAnsi"/>
        </w:rPr>
        <w:lastRenderedPageBreak/>
        <w:t>Department of Health and Human Services</w:t>
      </w:r>
    </w:p>
    <w:p w:rsidR="005A60F4" w:rsidRPr="00B73133" w:rsidRDefault="005A60F4" w:rsidP="005A60F4">
      <w:pPr>
        <w:spacing w:after="0" w:line="240" w:lineRule="auto"/>
        <w:rPr>
          <w:rFonts w:cstheme="minorHAnsi"/>
        </w:rPr>
      </w:pPr>
      <w:r>
        <w:rPr>
          <w:rFonts w:cstheme="minorHAnsi"/>
        </w:rPr>
        <w:t xml:space="preserve">www2.health.vic.gov.au&gt;public health &gt; Immunisation &gt; Vaccination – infants and children &gt; No jab, no play </w:t>
      </w:r>
    </w:p>
    <w:p w:rsidR="005A60F4" w:rsidRDefault="005A60F4" w:rsidP="005A60F4">
      <w:pPr>
        <w:spacing w:after="0" w:line="240" w:lineRule="auto"/>
        <w:rPr>
          <w:rFonts w:cstheme="minorHAnsi"/>
        </w:rPr>
      </w:pPr>
    </w:p>
    <w:p w:rsidR="005A60F4" w:rsidRDefault="00FB361F" w:rsidP="00B52085">
      <w:pPr>
        <w:spacing w:after="0"/>
        <w:rPr>
          <w:rFonts w:cstheme="minorHAnsi"/>
          <w:b/>
        </w:rPr>
      </w:pPr>
      <w:hyperlink r:id="rId22" w:history="1">
        <w:r w:rsidR="005A60F4">
          <w:rPr>
            <w:rFonts w:cstheme="minorHAnsi"/>
            <w:b/>
            <w:color w:val="0000FF" w:themeColor="hyperlink"/>
            <w:u w:val="single"/>
          </w:rPr>
          <w:t xml:space="preserve">The Kindergarten Funding </w:t>
        </w:r>
        <w:r w:rsidR="005A60F4" w:rsidRPr="00D44A7D">
          <w:rPr>
            <w:rFonts w:cstheme="minorHAnsi"/>
            <w:b/>
            <w:color w:val="0000FF" w:themeColor="hyperlink"/>
            <w:u w:val="single"/>
          </w:rPr>
          <w:t>Guide</w:t>
        </w:r>
      </w:hyperlink>
    </w:p>
    <w:p w:rsidR="005A60F4" w:rsidRPr="00D44A7D" w:rsidRDefault="005A60F4" w:rsidP="00B52085">
      <w:pPr>
        <w:spacing w:after="0"/>
        <w:rPr>
          <w:rFonts w:cstheme="minorHAnsi"/>
        </w:rPr>
      </w:pPr>
      <w:r w:rsidRPr="00552A71">
        <w:rPr>
          <w:rFonts w:cstheme="minorHAnsi"/>
        </w:rPr>
        <w:t>Depar</w:t>
      </w:r>
      <w:r w:rsidRPr="00D44A7D">
        <w:rPr>
          <w:rFonts w:cstheme="minorHAnsi"/>
        </w:rPr>
        <w:t xml:space="preserve">tment of Education and Training </w:t>
      </w:r>
    </w:p>
    <w:p w:rsidR="005A60F4" w:rsidRPr="00552A71" w:rsidRDefault="00FB361F" w:rsidP="00B52085">
      <w:pPr>
        <w:spacing w:after="0"/>
        <w:rPr>
          <w:rFonts w:cstheme="minorHAnsi"/>
        </w:rPr>
      </w:pPr>
      <w:hyperlink r:id="rId23" w:history="1">
        <w:r w:rsidR="005A60F4" w:rsidRPr="00D44A7D">
          <w:rPr>
            <w:rFonts w:cstheme="minorHAnsi"/>
            <w:color w:val="0000FF" w:themeColor="hyperlink"/>
            <w:u w:val="single"/>
          </w:rPr>
          <w:t>www.education.vic.gov.au</w:t>
        </w:r>
      </w:hyperlink>
      <w:r w:rsidR="005A60F4" w:rsidRPr="00552A71">
        <w:rPr>
          <w:rFonts w:cstheme="minorHAnsi"/>
        </w:rPr>
        <w:t xml:space="preserve"> &gt; Early Childhood &gt; For Service Providers &gt;Funding and Grants</w:t>
      </w:r>
    </w:p>
    <w:p w:rsidR="00B52085" w:rsidRDefault="00B52085" w:rsidP="00B52085">
      <w:pPr>
        <w:spacing w:after="0"/>
      </w:pPr>
    </w:p>
    <w:p w:rsidR="005A60F4" w:rsidRPr="00D44A7D" w:rsidRDefault="00FB361F" w:rsidP="00B52085">
      <w:pPr>
        <w:spacing w:after="0"/>
        <w:rPr>
          <w:rFonts w:cstheme="minorHAnsi"/>
          <w:b/>
          <w:lang w:val="en-US"/>
        </w:rPr>
      </w:pPr>
      <w:hyperlink r:id="rId24" w:history="1">
        <w:r w:rsidR="005A60F4" w:rsidRPr="00306ED0">
          <w:rPr>
            <w:rStyle w:val="Hyperlink"/>
            <w:rFonts w:cstheme="minorHAnsi"/>
            <w:b/>
            <w:lang w:val="en-US"/>
          </w:rPr>
          <w:t>Protecting the safety and wellbeing of children and young people - A joint protocol of the Department of Human Services Child Protection, Department of Education and Early Childhood Development, Licensed Children’s Services and Victorian Schools</w:t>
        </w:r>
      </w:hyperlink>
    </w:p>
    <w:p w:rsidR="005A60F4" w:rsidRDefault="005A60F4" w:rsidP="00B52085">
      <w:pPr>
        <w:spacing w:after="0"/>
      </w:pPr>
      <w:r w:rsidRPr="00552A71">
        <w:t>Department of Education and Early Childhood Development an</w:t>
      </w:r>
      <w:r>
        <w:t>d Department of Human Services</w:t>
      </w:r>
    </w:p>
    <w:p w:rsidR="005A60F4" w:rsidRPr="00552A71" w:rsidRDefault="00FB361F" w:rsidP="00B52085">
      <w:pPr>
        <w:spacing w:after="0"/>
        <w:rPr>
          <w:rFonts w:ascii="Times New Roman" w:hAnsi="Times New Roman"/>
          <w:sz w:val="24"/>
          <w:lang w:val="en-US"/>
        </w:rPr>
      </w:pPr>
      <w:hyperlink r:id="rId25" w:history="1">
        <w:r w:rsidR="005A60F4" w:rsidRPr="00987441">
          <w:rPr>
            <w:rStyle w:val="Hyperlink"/>
          </w:rPr>
          <w:t>www.education.vic.gov.au</w:t>
        </w:r>
      </w:hyperlink>
      <w:r w:rsidR="005A60F4">
        <w:rPr>
          <w:color w:val="0000FF" w:themeColor="hyperlink"/>
        </w:rPr>
        <w:t xml:space="preserve"> &gt; Early Childhood &gt; For Service Providers &gt; Regulation and Quality Assessment &gt; Child Protection Protocol</w:t>
      </w:r>
    </w:p>
    <w:p w:rsidR="005A60F4" w:rsidRPr="00552A71" w:rsidRDefault="005A60F4" w:rsidP="00B52085">
      <w:pPr>
        <w:autoSpaceDE w:val="0"/>
        <w:autoSpaceDN w:val="0"/>
        <w:adjustRightInd w:val="0"/>
        <w:spacing w:after="0"/>
        <w:ind w:left="40" w:right="-20"/>
        <w:rPr>
          <w:rFonts w:cstheme="minorHAnsi"/>
        </w:rPr>
      </w:pPr>
    </w:p>
    <w:p w:rsidR="005A60F4" w:rsidRPr="00552A71" w:rsidRDefault="00FB361F" w:rsidP="00B52085">
      <w:pPr>
        <w:autoSpaceDE w:val="0"/>
        <w:autoSpaceDN w:val="0"/>
        <w:adjustRightInd w:val="0"/>
        <w:spacing w:after="0"/>
        <w:ind w:left="40" w:right="-20"/>
        <w:rPr>
          <w:rFonts w:ascii="Times New Roman" w:hAnsi="Times New Roman"/>
          <w:b/>
          <w:sz w:val="24"/>
        </w:rPr>
      </w:pPr>
      <w:hyperlink r:id="rId26" w:history="1">
        <w:r w:rsidR="005A60F4" w:rsidRPr="00D44A7D">
          <w:rPr>
            <w:rFonts w:cstheme="minorHAnsi"/>
            <w:b/>
            <w:iCs/>
            <w:color w:val="0000FF" w:themeColor="hyperlink"/>
            <w:spacing w:val="1"/>
            <w:u w:val="single"/>
          </w:rPr>
          <w:t>R</w:t>
        </w:r>
        <w:r w:rsidR="005A60F4" w:rsidRPr="00D44A7D">
          <w:rPr>
            <w:rFonts w:cstheme="minorHAnsi"/>
            <w:b/>
            <w:iCs/>
            <w:color w:val="0000FF" w:themeColor="hyperlink"/>
            <w:u w:val="single"/>
          </w:rPr>
          <w:t>e</w:t>
        </w:r>
        <w:r w:rsidR="005A60F4" w:rsidRPr="00D44A7D">
          <w:rPr>
            <w:rFonts w:cstheme="minorHAnsi"/>
            <w:b/>
            <w:iCs/>
            <w:color w:val="0000FF" w:themeColor="hyperlink"/>
            <w:spacing w:val="1"/>
            <w:u w:val="single"/>
          </w:rPr>
          <w:t>po</w:t>
        </w:r>
        <w:r w:rsidR="005A60F4" w:rsidRPr="00D44A7D">
          <w:rPr>
            <w:rFonts w:cstheme="minorHAnsi"/>
            <w:b/>
            <w:iCs/>
            <w:color w:val="0000FF" w:themeColor="hyperlink"/>
            <w:spacing w:val="-1"/>
            <w:u w:val="single"/>
          </w:rPr>
          <w:t>r</w:t>
        </w:r>
        <w:r w:rsidR="005A60F4">
          <w:rPr>
            <w:rFonts w:cstheme="minorHAnsi"/>
            <w:b/>
            <w:iCs/>
            <w:color w:val="0000FF" w:themeColor="hyperlink"/>
            <w:u w:val="single"/>
          </w:rPr>
          <w:t>t</w:t>
        </w:r>
        <w:r w:rsidR="005A60F4" w:rsidRPr="00D44A7D">
          <w:rPr>
            <w:rFonts w:cstheme="minorHAnsi"/>
            <w:b/>
            <w:iCs/>
            <w:color w:val="0000FF" w:themeColor="hyperlink"/>
            <w:spacing w:val="22"/>
            <w:u w:val="single"/>
          </w:rPr>
          <w:t xml:space="preserve"> </w:t>
        </w:r>
        <w:r w:rsidR="005A60F4" w:rsidRPr="00D44A7D">
          <w:rPr>
            <w:rFonts w:cstheme="minorHAnsi"/>
            <w:b/>
            <w:iCs/>
            <w:color w:val="0000FF" w:themeColor="hyperlink"/>
            <w:spacing w:val="1"/>
            <w:u w:val="single"/>
          </w:rPr>
          <w:t xml:space="preserve">on </w:t>
        </w:r>
        <w:r w:rsidR="005A60F4" w:rsidRPr="00D44A7D">
          <w:rPr>
            <w:rFonts w:cstheme="minorHAnsi"/>
            <w:b/>
            <w:iCs/>
            <w:color w:val="0000FF" w:themeColor="hyperlink"/>
            <w:u w:val="single"/>
          </w:rPr>
          <w:t>G</w:t>
        </w:r>
        <w:r w:rsidR="005A60F4" w:rsidRPr="00D44A7D">
          <w:rPr>
            <w:rFonts w:cstheme="minorHAnsi"/>
            <w:b/>
            <w:iCs/>
            <w:color w:val="0000FF" w:themeColor="hyperlink"/>
            <w:spacing w:val="1"/>
            <w:u w:val="single"/>
          </w:rPr>
          <w:t>o</w:t>
        </w:r>
        <w:r w:rsidR="005A60F4" w:rsidRPr="00D44A7D">
          <w:rPr>
            <w:rFonts w:cstheme="minorHAnsi"/>
            <w:b/>
            <w:iCs/>
            <w:color w:val="0000FF" w:themeColor="hyperlink"/>
            <w:u w:val="single"/>
          </w:rPr>
          <w:t>ve</w:t>
        </w:r>
        <w:r w:rsidR="005A60F4" w:rsidRPr="00D44A7D">
          <w:rPr>
            <w:rFonts w:cstheme="minorHAnsi"/>
            <w:b/>
            <w:iCs/>
            <w:color w:val="0000FF" w:themeColor="hyperlink"/>
            <w:spacing w:val="-1"/>
            <w:u w:val="single"/>
          </w:rPr>
          <w:t>r</w:t>
        </w:r>
        <w:r w:rsidR="005A60F4" w:rsidRPr="00D44A7D">
          <w:rPr>
            <w:rFonts w:cstheme="minorHAnsi"/>
            <w:b/>
            <w:iCs/>
            <w:color w:val="0000FF" w:themeColor="hyperlink"/>
            <w:spacing w:val="1"/>
            <w:u w:val="single"/>
          </w:rPr>
          <w:t>n</w:t>
        </w:r>
        <w:r w:rsidR="005A60F4" w:rsidRPr="00D44A7D">
          <w:rPr>
            <w:rFonts w:cstheme="minorHAnsi"/>
            <w:b/>
            <w:iCs/>
            <w:color w:val="0000FF" w:themeColor="hyperlink"/>
            <w:u w:val="single"/>
          </w:rPr>
          <w:t>me</w:t>
        </w:r>
        <w:r w:rsidR="005A60F4" w:rsidRPr="00D44A7D">
          <w:rPr>
            <w:rFonts w:cstheme="minorHAnsi"/>
            <w:b/>
            <w:iCs/>
            <w:color w:val="0000FF" w:themeColor="hyperlink"/>
            <w:spacing w:val="1"/>
            <w:u w:val="single"/>
          </w:rPr>
          <w:t>n</w:t>
        </w:r>
        <w:r w:rsidR="005A60F4" w:rsidRPr="00D44A7D">
          <w:rPr>
            <w:rFonts w:cstheme="minorHAnsi"/>
            <w:b/>
            <w:iCs/>
            <w:color w:val="0000FF" w:themeColor="hyperlink"/>
            <w:u w:val="single"/>
          </w:rPr>
          <w:t>t</w:t>
        </w:r>
        <w:r w:rsidR="005A60F4" w:rsidRPr="00D44A7D">
          <w:rPr>
            <w:rFonts w:cstheme="minorHAnsi"/>
            <w:b/>
            <w:iCs/>
            <w:color w:val="0000FF" w:themeColor="hyperlink"/>
            <w:spacing w:val="-10"/>
            <w:u w:val="single"/>
          </w:rPr>
          <w:t xml:space="preserve"> </w:t>
        </w:r>
        <w:r w:rsidR="005A60F4" w:rsidRPr="00D44A7D">
          <w:rPr>
            <w:rFonts w:cstheme="minorHAnsi"/>
            <w:b/>
            <w:iCs/>
            <w:color w:val="0000FF" w:themeColor="hyperlink"/>
            <w:spacing w:val="1"/>
            <w:u w:val="single"/>
          </w:rPr>
          <w:t>S</w:t>
        </w:r>
        <w:r w:rsidR="005A60F4" w:rsidRPr="00D44A7D">
          <w:rPr>
            <w:rFonts w:cstheme="minorHAnsi"/>
            <w:b/>
            <w:iCs/>
            <w:color w:val="0000FF" w:themeColor="hyperlink"/>
            <w:u w:val="single"/>
          </w:rPr>
          <w:t>e</w:t>
        </w:r>
        <w:r w:rsidR="005A60F4" w:rsidRPr="00D44A7D">
          <w:rPr>
            <w:rFonts w:cstheme="minorHAnsi"/>
            <w:b/>
            <w:iCs/>
            <w:color w:val="0000FF" w:themeColor="hyperlink"/>
            <w:spacing w:val="-1"/>
            <w:u w:val="single"/>
          </w:rPr>
          <w:t>r</w:t>
        </w:r>
        <w:r w:rsidR="005A60F4" w:rsidRPr="00D44A7D">
          <w:rPr>
            <w:rFonts w:cstheme="minorHAnsi"/>
            <w:b/>
            <w:iCs/>
            <w:color w:val="0000FF" w:themeColor="hyperlink"/>
            <w:u w:val="single"/>
          </w:rPr>
          <w:t>vices</w:t>
        </w:r>
        <w:r w:rsidR="005A60F4" w:rsidRPr="00D44A7D">
          <w:rPr>
            <w:rFonts w:cstheme="minorHAnsi"/>
            <w:b/>
            <w:iCs/>
            <w:color w:val="0000FF" w:themeColor="hyperlink"/>
            <w:spacing w:val="-7"/>
            <w:u w:val="single"/>
          </w:rPr>
          <w:t xml:space="preserve"> </w:t>
        </w:r>
        <w:r w:rsidR="005A60F4" w:rsidRPr="00D44A7D">
          <w:rPr>
            <w:rFonts w:cstheme="minorHAnsi"/>
            <w:b/>
            <w:iCs/>
            <w:color w:val="0000FF" w:themeColor="hyperlink"/>
            <w:spacing w:val="1"/>
            <w:u w:val="single"/>
          </w:rPr>
          <w:t>2016</w:t>
        </w:r>
      </w:hyperlink>
      <w:r w:rsidR="005A60F4" w:rsidRPr="00D44A7D">
        <w:rPr>
          <w:rFonts w:cstheme="minorHAnsi"/>
          <w:b/>
        </w:rPr>
        <w:t xml:space="preserve"> </w:t>
      </w:r>
    </w:p>
    <w:p w:rsidR="005A60F4" w:rsidRDefault="005A60F4" w:rsidP="00B52085">
      <w:pPr>
        <w:spacing w:after="0"/>
        <w:rPr>
          <w:rFonts w:cstheme="minorHAnsi"/>
        </w:rPr>
      </w:pPr>
      <w:r w:rsidRPr="00552A71">
        <w:rPr>
          <w:rFonts w:cstheme="minorHAnsi"/>
        </w:rPr>
        <w:t>S</w:t>
      </w:r>
      <w:r w:rsidRPr="00552A71">
        <w:rPr>
          <w:rFonts w:cstheme="minorHAnsi"/>
          <w:spacing w:val="2"/>
        </w:rPr>
        <w:t>C</w:t>
      </w:r>
      <w:r w:rsidRPr="00552A71">
        <w:rPr>
          <w:rFonts w:cstheme="minorHAnsi"/>
          <w:spacing w:val="-1"/>
        </w:rPr>
        <w:t>R</w:t>
      </w:r>
      <w:r w:rsidRPr="00552A71">
        <w:rPr>
          <w:rFonts w:cstheme="minorHAnsi"/>
        </w:rPr>
        <w:t xml:space="preserve">GSP </w:t>
      </w:r>
      <w:r w:rsidRPr="00552A71">
        <w:rPr>
          <w:rFonts w:cstheme="minorHAnsi"/>
          <w:spacing w:val="22"/>
        </w:rPr>
        <w:t>(</w:t>
      </w:r>
      <w:r w:rsidRPr="00552A71">
        <w:rPr>
          <w:rFonts w:cstheme="minorHAnsi"/>
        </w:rPr>
        <w:t>Stee</w:t>
      </w:r>
      <w:r w:rsidRPr="00552A71">
        <w:rPr>
          <w:rFonts w:cstheme="minorHAnsi"/>
          <w:spacing w:val="1"/>
        </w:rPr>
        <w:t>r</w:t>
      </w:r>
      <w:r w:rsidRPr="00552A71">
        <w:rPr>
          <w:rFonts w:cstheme="minorHAnsi"/>
          <w:spacing w:val="2"/>
        </w:rPr>
        <w:t>i</w:t>
      </w:r>
      <w:r w:rsidRPr="00552A71">
        <w:rPr>
          <w:rFonts w:cstheme="minorHAnsi"/>
          <w:spacing w:val="-1"/>
        </w:rPr>
        <w:t>n</w:t>
      </w:r>
      <w:r w:rsidRPr="00552A71">
        <w:rPr>
          <w:rFonts w:cstheme="minorHAnsi"/>
        </w:rPr>
        <w:t xml:space="preserve">g </w:t>
      </w:r>
      <w:r w:rsidRPr="00552A71">
        <w:rPr>
          <w:rFonts w:cstheme="minorHAnsi"/>
          <w:spacing w:val="21"/>
        </w:rPr>
        <w:t>Committee</w:t>
      </w:r>
      <w:r w:rsidRPr="00552A71">
        <w:rPr>
          <w:rFonts w:cstheme="minorHAnsi"/>
        </w:rPr>
        <w:t xml:space="preserve"> </w:t>
      </w:r>
      <w:r w:rsidRPr="00552A71">
        <w:rPr>
          <w:rFonts w:cstheme="minorHAnsi"/>
          <w:spacing w:val="19"/>
        </w:rPr>
        <w:t>for</w:t>
      </w:r>
      <w:r w:rsidRPr="00552A71">
        <w:rPr>
          <w:rFonts w:cstheme="minorHAnsi"/>
        </w:rPr>
        <w:t xml:space="preserve"> </w:t>
      </w:r>
      <w:r w:rsidRPr="00552A71">
        <w:rPr>
          <w:rFonts w:cstheme="minorHAnsi"/>
          <w:spacing w:val="26"/>
        </w:rPr>
        <w:t>the</w:t>
      </w:r>
      <w:r w:rsidRPr="00552A71">
        <w:rPr>
          <w:rFonts w:cstheme="minorHAnsi"/>
        </w:rPr>
        <w:t xml:space="preserve"> </w:t>
      </w:r>
      <w:r w:rsidRPr="00552A71">
        <w:rPr>
          <w:rFonts w:cstheme="minorHAnsi"/>
          <w:spacing w:val="28"/>
        </w:rPr>
        <w:t>Review</w:t>
      </w:r>
      <w:r w:rsidRPr="00552A71">
        <w:rPr>
          <w:rFonts w:cstheme="minorHAnsi"/>
        </w:rPr>
        <w:t xml:space="preserve"> </w:t>
      </w:r>
      <w:r w:rsidRPr="00552A71">
        <w:rPr>
          <w:rFonts w:cstheme="minorHAnsi"/>
          <w:spacing w:val="19"/>
        </w:rPr>
        <w:t>of</w:t>
      </w:r>
      <w:r w:rsidRPr="00552A71">
        <w:rPr>
          <w:rFonts w:cstheme="minorHAnsi"/>
        </w:rPr>
        <w:t xml:space="preserve"> </w:t>
      </w:r>
      <w:r w:rsidRPr="00552A71">
        <w:rPr>
          <w:rFonts w:cstheme="minorHAnsi"/>
          <w:spacing w:val="26"/>
        </w:rPr>
        <w:t>Government</w:t>
      </w:r>
      <w:r w:rsidRPr="00552A71">
        <w:rPr>
          <w:rFonts w:cstheme="minorHAnsi"/>
        </w:rPr>
        <w:t xml:space="preserve"> </w:t>
      </w:r>
      <w:r w:rsidRPr="00552A71">
        <w:rPr>
          <w:rFonts w:cstheme="minorHAnsi"/>
          <w:spacing w:val="19"/>
        </w:rPr>
        <w:t>Service</w:t>
      </w:r>
      <w:r w:rsidRPr="00552A71">
        <w:rPr>
          <w:rFonts w:cstheme="minorHAnsi"/>
        </w:rPr>
        <w:t xml:space="preserve"> </w:t>
      </w:r>
      <w:r w:rsidRPr="00552A71">
        <w:rPr>
          <w:rFonts w:cstheme="minorHAnsi"/>
          <w:spacing w:val="24"/>
        </w:rPr>
        <w:t>Provision</w:t>
      </w:r>
      <w:r w:rsidRPr="00552A71">
        <w:rPr>
          <w:rFonts w:cstheme="minorHAnsi"/>
        </w:rPr>
        <w:t>)</w:t>
      </w:r>
    </w:p>
    <w:p w:rsidR="005A60F4" w:rsidRPr="00D44A7D" w:rsidRDefault="00FB361F" w:rsidP="00B52085">
      <w:pPr>
        <w:spacing w:after="0"/>
      </w:pPr>
      <w:hyperlink r:id="rId27" w:history="1">
        <w:r w:rsidR="005A60F4" w:rsidRPr="00987441">
          <w:rPr>
            <w:rStyle w:val="Hyperlink"/>
          </w:rPr>
          <w:t>www.pc.gov.au</w:t>
        </w:r>
      </w:hyperlink>
      <w:r w:rsidR="005A60F4">
        <w:t xml:space="preserve">  &gt; Research &gt; Ongoing Reporting &gt;Report on Government Services &gt; Report on Government Services 2016 &gt; Community services &gt; Child protection</w:t>
      </w:r>
    </w:p>
    <w:p w:rsidR="005A60F4" w:rsidRDefault="005A60F4" w:rsidP="00B52085">
      <w:pPr>
        <w:rPr>
          <w:b/>
          <w:lang w:val="en-US"/>
        </w:rPr>
      </w:pPr>
    </w:p>
    <w:sectPr w:rsidR="005A60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61F" w:rsidRDefault="00FB361F" w:rsidP="00E92374">
      <w:pPr>
        <w:spacing w:after="0" w:line="240" w:lineRule="auto"/>
      </w:pPr>
      <w:r>
        <w:separator/>
      </w:r>
    </w:p>
  </w:endnote>
  <w:endnote w:type="continuationSeparator" w:id="0">
    <w:p w:rsidR="00FB361F" w:rsidRDefault="00FB361F" w:rsidP="00E9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OSITCT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61F" w:rsidRDefault="00FB361F" w:rsidP="00E92374">
      <w:pPr>
        <w:spacing w:after="0" w:line="240" w:lineRule="auto"/>
      </w:pPr>
      <w:r>
        <w:separator/>
      </w:r>
    </w:p>
  </w:footnote>
  <w:footnote w:type="continuationSeparator" w:id="0">
    <w:p w:rsidR="00FB361F" w:rsidRDefault="00FB361F" w:rsidP="00E9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CF"/>
    <w:multiLevelType w:val="hybridMultilevel"/>
    <w:tmpl w:val="EB000B0A"/>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B4915"/>
    <w:multiLevelType w:val="hybridMultilevel"/>
    <w:tmpl w:val="E08278A8"/>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265747"/>
    <w:multiLevelType w:val="hybridMultilevel"/>
    <w:tmpl w:val="10168876"/>
    <w:lvl w:ilvl="0" w:tplc="3228B18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A2279B"/>
    <w:multiLevelType w:val="hybridMultilevel"/>
    <w:tmpl w:val="1FC080AA"/>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024B8D"/>
    <w:multiLevelType w:val="hybridMultilevel"/>
    <w:tmpl w:val="35F20DBE"/>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95918"/>
    <w:multiLevelType w:val="hybridMultilevel"/>
    <w:tmpl w:val="78D4D9D4"/>
    <w:lvl w:ilvl="0" w:tplc="40E400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8B6760E"/>
    <w:multiLevelType w:val="hybridMultilevel"/>
    <w:tmpl w:val="6D40D2B6"/>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245ED"/>
    <w:multiLevelType w:val="hybridMultilevel"/>
    <w:tmpl w:val="B18A7A56"/>
    <w:lvl w:ilvl="0" w:tplc="3228B18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87255B"/>
    <w:multiLevelType w:val="hybridMultilevel"/>
    <w:tmpl w:val="ADECBF8E"/>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4B2660"/>
    <w:multiLevelType w:val="hybridMultilevel"/>
    <w:tmpl w:val="F1223222"/>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01EDF"/>
    <w:multiLevelType w:val="hybridMultilevel"/>
    <w:tmpl w:val="2FB8F462"/>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E60583"/>
    <w:multiLevelType w:val="hybridMultilevel"/>
    <w:tmpl w:val="395A8BF2"/>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3E4851"/>
    <w:multiLevelType w:val="hybridMultilevel"/>
    <w:tmpl w:val="3DD8E564"/>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7336E7"/>
    <w:multiLevelType w:val="hybridMultilevel"/>
    <w:tmpl w:val="12A0E482"/>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6"/>
  </w:num>
  <w:num w:numId="6">
    <w:abstractNumId w:val="0"/>
  </w:num>
  <w:num w:numId="7">
    <w:abstractNumId w:val="10"/>
  </w:num>
  <w:num w:numId="8">
    <w:abstractNumId w:val="11"/>
  </w:num>
  <w:num w:numId="9">
    <w:abstractNumId w:val="3"/>
  </w:num>
  <w:num w:numId="10">
    <w:abstractNumId w:val="9"/>
  </w:num>
  <w:num w:numId="11">
    <w:abstractNumId w:val="13"/>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EC"/>
    <w:rsid w:val="00001EEB"/>
    <w:rsid w:val="0000452D"/>
    <w:rsid w:val="00004AE5"/>
    <w:rsid w:val="00010149"/>
    <w:rsid w:val="000140CA"/>
    <w:rsid w:val="00014259"/>
    <w:rsid w:val="00014D26"/>
    <w:rsid w:val="000161B8"/>
    <w:rsid w:val="00021335"/>
    <w:rsid w:val="00030E54"/>
    <w:rsid w:val="0004195B"/>
    <w:rsid w:val="00072B65"/>
    <w:rsid w:val="0007589D"/>
    <w:rsid w:val="00080A70"/>
    <w:rsid w:val="00081671"/>
    <w:rsid w:val="00096210"/>
    <w:rsid w:val="000A676C"/>
    <w:rsid w:val="000B22DC"/>
    <w:rsid w:val="000C601C"/>
    <w:rsid w:val="000D0B64"/>
    <w:rsid w:val="000D3E0E"/>
    <w:rsid w:val="000D68A1"/>
    <w:rsid w:val="000D7D44"/>
    <w:rsid w:val="000E464F"/>
    <w:rsid w:val="000E5963"/>
    <w:rsid w:val="001167FA"/>
    <w:rsid w:val="00120E27"/>
    <w:rsid w:val="00132392"/>
    <w:rsid w:val="00132D3D"/>
    <w:rsid w:val="00154AC3"/>
    <w:rsid w:val="001628FB"/>
    <w:rsid w:val="00175241"/>
    <w:rsid w:val="001940B7"/>
    <w:rsid w:val="00196646"/>
    <w:rsid w:val="001A7F4C"/>
    <w:rsid w:val="001D48D6"/>
    <w:rsid w:val="002405F8"/>
    <w:rsid w:val="00240E2E"/>
    <w:rsid w:val="002513AA"/>
    <w:rsid w:val="00281A02"/>
    <w:rsid w:val="00282A2D"/>
    <w:rsid w:val="002871F2"/>
    <w:rsid w:val="002A0941"/>
    <w:rsid w:val="002A68CE"/>
    <w:rsid w:val="002B42F6"/>
    <w:rsid w:val="002C3C45"/>
    <w:rsid w:val="002C6B04"/>
    <w:rsid w:val="002C738C"/>
    <w:rsid w:val="002E2CD8"/>
    <w:rsid w:val="002F07E6"/>
    <w:rsid w:val="00300DEB"/>
    <w:rsid w:val="00314C24"/>
    <w:rsid w:val="00317684"/>
    <w:rsid w:val="00321302"/>
    <w:rsid w:val="00323CEB"/>
    <w:rsid w:val="00344FD9"/>
    <w:rsid w:val="003537A4"/>
    <w:rsid w:val="003819F4"/>
    <w:rsid w:val="00394E9D"/>
    <w:rsid w:val="003A3B5F"/>
    <w:rsid w:val="003B2249"/>
    <w:rsid w:val="003B6394"/>
    <w:rsid w:val="003B7EF8"/>
    <w:rsid w:val="003C2849"/>
    <w:rsid w:val="003C3816"/>
    <w:rsid w:val="003C4E18"/>
    <w:rsid w:val="003F3EBC"/>
    <w:rsid w:val="0041581E"/>
    <w:rsid w:val="00421143"/>
    <w:rsid w:val="00432C04"/>
    <w:rsid w:val="004427E3"/>
    <w:rsid w:val="00456F0C"/>
    <w:rsid w:val="00457C3C"/>
    <w:rsid w:val="004624AC"/>
    <w:rsid w:val="00466171"/>
    <w:rsid w:val="00471BC3"/>
    <w:rsid w:val="00482BAC"/>
    <w:rsid w:val="00486747"/>
    <w:rsid w:val="0049320A"/>
    <w:rsid w:val="004E61E6"/>
    <w:rsid w:val="004F15EF"/>
    <w:rsid w:val="004F2320"/>
    <w:rsid w:val="00522464"/>
    <w:rsid w:val="00524E08"/>
    <w:rsid w:val="00531EF2"/>
    <w:rsid w:val="005464AF"/>
    <w:rsid w:val="00562EDE"/>
    <w:rsid w:val="00573703"/>
    <w:rsid w:val="005769D0"/>
    <w:rsid w:val="0058067F"/>
    <w:rsid w:val="00581BEC"/>
    <w:rsid w:val="00597D54"/>
    <w:rsid w:val="005A4216"/>
    <w:rsid w:val="005A60F4"/>
    <w:rsid w:val="005B450E"/>
    <w:rsid w:val="005B5F3B"/>
    <w:rsid w:val="005C023A"/>
    <w:rsid w:val="005C30B5"/>
    <w:rsid w:val="005C3D2C"/>
    <w:rsid w:val="005C3F35"/>
    <w:rsid w:val="005C4927"/>
    <w:rsid w:val="005E1D6A"/>
    <w:rsid w:val="005F6DDC"/>
    <w:rsid w:val="00604F10"/>
    <w:rsid w:val="006202A3"/>
    <w:rsid w:val="00620FA0"/>
    <w:rsid w:val="00635926"/>
    <w:rsid w:val="006401C8"/>
    <w:rsid w:val="00660262"/>
    <w:rsid w:val="006805CB"/>
    <w:rsid w:val="006811F3"/>
    <w:rsid w:val="00682905"/>
    <w:rsid w:val="006841A7"/>
    <w:rsid w:val="00686466"/>
    <w:rsid w:val="00686B3E"/>
    <w:rsid w:val="006B2FED"/>
    <w:rsid w:val="006B359B"/>
    <w:rsid w:val="006B7392"/>
    <w:rsid w:val="006D12C8"/>
    <w:rsid w:val="006D35F5"/>
    <w:rsid w:val="006E5F8A"/>
    <w:rsid w:val="006F1F6C"/>
    <w:rsid w:val="00710733"/>
    <w:rsid w:val="00711618"/>
    <w:rsid w:val="007133C1"/>
    <w:rsid w:val="00734E0B"/>
    <w:rsid w:val="007744A4"/>
    <w:rsid w:val="007A4478"/>
    <w:rsid w:val="007A50A8"/>
    <w:rsid w:val="007C4F36"/>
    <w:rsid w:val="007E3E12"/>
    <w:rsid w:val="007F417C"/>
    <w:rsid w:val="00802B90"/>
    <w:rsid w:val="008055B7"/>
    <w:rsid w:val="00830AEA"/>
    <w:rsid w:val="008379EA"/>
    <w:rsid w:val="00840DC8"/>
    <w:rsid w:val="008602E7"/>
    <w:rsid w:val="008615BD"/>
    <w:rsid w:val="00864792"/>
    <w:rsid w:val="00866598"/>
    <w:rsid w:val="0087294F"/>
    <w:rsid w:val="008A7170"/>
    <w:rsid w:val="008C5CAD"/>
    <w:rsid w:val="008D77C9"/>
    <w:rsid w:val="008F4661"/>
    <w:rsid w:val="009066EC"/>
    <w:rsid w:val="009106DC"/>
    <w:rsid w:val="00917AE6"/>
    <w:rsid w:val="009238FA"/>
    <w:rsid w:val="0094339F"/>
    <w:rsid w:val="0095184C"/>
    <w:rsid w:val="00970979"/>
    <w:rsid w:val="00973C47"/>
    <w:rsid w:val="00981C63"/>
    <w:rsid w:val="00986E49"/>
    <w:rsid w:val="009973E9"/>
    <w:rsid w:val="009A7E2B"/>
    <w:rsid w:val="009C3DFC"/>
    <w:rsid w:val="009C754A"/>
    <w:rsid w:val="009D69CF"/>
    <w:rsid w:val="009E0790"/>
    <w:rsid w:val="009F2AEC"/>
    <w:rsid w:val="00A073D1"/>
    <w:rsid w:val="00A16862"/>
    <w:rsid w:val="00A1723D"/>
    <w:rsid w:val="00A2624D"/>
    <w:rsid w:val="00A36DE5"/>
    <w:rsid w:val="00A371C2"/>
    <w:rsid w:val="00A43113"/>
    <w:rsid w:val="00A46B1E"/>
    <w:rsid w:val="00A619A7"/>
    <w:rsid w:val="00A636EC"/>
    <w:rsid w:val="00A71659"/>
    <w:rsid w:val="00A8509E"/>
    <w:rsid w:val="00A912F1"/>
    <w:rsid w:val="00A9382A"/>
    <w:rsid w:val="00A976DB"/>
    <w:rsid w:val="00AA4F51"/>
    <w:rsid w:val="00AB6A62"/>
    <w:rsid w:val="00AC1998"/>
    <w:rsid w:val="00AC25F4"/>
    <w:rsid w:val="00AC5FFC"/>
    <w:rsid w:val="00AD3393"/>
    <w:rsid w:val="00AD4D32"/>
    <w:rsid w:val="00AE36BA"/>
    <w:rsid w:val="00AF454D"/>
    <w:rsid w:val="00B1605C"/>
    <w:rsid w:val="00B169B2"/>
    <w:rsid w:val="00B32F3D"/>
    <w:rsid w:val="00B36954"/>
    <w:rsid w:val="00B41615"/>
    <w:rsid w:val="00B42A6F"/>
    <w:rsid w:val="00B52085"/>
    <w:rsid w:val="00B60DA4"/>
    <w:rsid w:val="00B73597"/>
    <w:rsid w:val="00B80A54"/>
    <w:rsid w:val="00B818DF"/>
    <w:rsid w:val="00B8353D"/>
    <w:rsid w:val="00B867E6"/>
    <w:rsid w:val="00BD1C08"/>
    <w:rsid w:val="00BD5412"/>
    <w:rsid w:val="00BE66DA"/>
    <w:rsid w:val="00BF28E9"/>
    <w:rsid w:val="00C02B71"/>
    <w:rsid w:val="00C11276"/>
    <w:rsid w:val="00C1232D"/>
    <w:rsid w:val="00C14E45"/>
    <w:rsid w:val="00C25665"/>
    <w:rsid w:val="00C302C1"/>
    <w:rsid w:val="00C55BF5"/>
    <w:rsid w:val="00C865A4"/>
    <w:rsid w:val="00CA2A57"/>
    <w:rsid w:val="00CA36C5"/>
    <w:rsid w:val="00CA3ACF"/>
    <w:rsid w:val="00CB5FCD"/>
    <w:rsid w:val="00CC60B0"/>
    <w:rsid w:val="00CF4AC7"/>
    <w:rsid w:val="00CF7C74"/>
    <w:rsid w:val="00D11555"/>
    <w:rsid w:val="00D1515C"/>
    <w:rsid w:val="00D42545"/>
    <w:rsid w:val="00D473AA"/>
    <w:rsid w:val="00D56288"/>
    <w:rsid w:val="00D56BA0"/>
    <w:rsid w:val="00D56D35"/>
    <w:rsid w:val="00D73184"/>
    <w:rsid w:val="00DA25D7"/>
    <w:rsid w:val="00DB0156"/>
    <w:rsid w:val="00DB5128"/>
    <w:rsid w:val="00DC303B"/>
    <w:rsid w:val="00DD4046"/>
    <w:rsid w:val="00DD643B"/>
    <w:rsid w:val="00DE2A7C"/>
    <w:rsid w:val="00E10A66"/>
    <w:rsid w:val="00E259A7"/>
    <w:rsid w:val="00E33284"/>
    <w:rsid w:val="00E43D57"/>
    <w:rsid w:val="00E453EE"/>
    <w:rsid w:val="00E518AA"/>
    <w:rsid w:val="00E52F6E"/>
    <w:rsid w:val="00E57F88"/>
    <w:rsid w:val="00E913AF"/>
    <w:rsid w:val="00E92374"/>
    <w:rsid w:val="00EA6197"/>
    <w:rsid w:val="00EA6E94"/>
    <w:rsid w:val="00EB2A07"/>
    <w:rsid w:val="00EC3AAB"/>
    <w:rsid w:val="00EC5DBE"/>
    <w:rsid w:val="00ED0928"/>
    <w:rsid w:val="00ED20FE"/>
    <w:rsid w:val="00EE6492"/>
    <w:rsid w:val="00F20058"/>
    <w:rsid w:val="00F25456"/>
    <w:rsid w:val="00F27EA1"/>
    <w:rsid w:val="00F3024B"/>
    <w:rsid w:val="00F3398C"/>
    <w:rsid w:val="00F36361"/>
    <w:rsid w:val="00F52A3D"/>
    <w:rsid w:val="00F61799"/>
    <w:rsid w:val="00F660C0"/>
    <w:rsid w:val="00F7485F"/>
    <w:rsid w:val="00F81DDF"/>
    <w:rsid w:val="00F90760"/>
    <w:rsid w:val="00F967B7"/>
    <w:rsid w:val="00FB361F"/>
    <w:rsid w:val="00FB3EE6"/>
    <w:rsid w:val="00FC11D3"/>
    <w:rsid w:val="00FF19D7"/>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593AC-3DEE-4EB9-8F7D-1644B4C7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0B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40B7"/>
    <w:rPr>
      <w:color w:val="0000FF" w:themeColor="hyperlink"/>
      <w:u w:val="single"/>
    </w:rPr>
  </w:style>
  <w:style w:type="character" w:styleId="FollowedHyperlink">
    <w:name w:val="FollowedHyperlink"/>
    <w:basedOn w:val="DefaultParagraphFont"/>
    <w:uiPriority w:val="99"/>
    <w:semiHidden/>
    <w:unhideWhenUsed/>
    <w:rsid w:val="00F27EA1"/>
    <w:rPr>
      <w:color w:val="800080" w:themeColor="followedHyperlink"/>
      <w:u w:val="single"/>
    </w:rPr>
  </w:style>
  <w:style w:type="paragraph" w:styleId="ListParagraph">
    <w:name w:val="List Paragraph"/>
    <w:basedOn w:val="Normal"/>
    <w:uiPriority w:val="34"/>
    <w:qFormat/>
    <w:rsid w:val="009C3DFC"/>
    <w:pPr>
      <w:ind w:left="720"/>
      <w:contextualSpacing/>
    </w:pPr>
  </w:style>
  <w:style w:type="character" w:styleId="CommentReference">
    <w:name w:val="annotation reference"/>
    <w:basedOn w:val="DefaultParagraphFont"/>
    <w:uiPriority w:val="99"/>
    <w:semiHidden/>
    <w:unhideWhenUsed/>
    <w:rsid w:val="00BD5412"/>
    <w:rPr>
      <w:sz w:val="16"/>
      <w:szCs w:val="16"/>
    </w:rPr>
  </w:style>
  <w:style w:type="paragraph" w:styleId="CommentText">
    <w:name w:val="annotation text"/>
    <w:basedOn w:val="Normal"/>
    <w:link w:val="CommentTextChar"/>
    <w:uiPriority w:val="99"/>
    <w:semiHidden/>
    <w:unhideWhenUsed/>
    <w:rsid w:val="00BD5412"/>
    <w:pPr>
      <w:spacing w:line="240" w:lineRule="auto"/>
    </w:pPr>
    <w:rPr>
      <w:sz w:val="20"/>
      <w:szCs w:val="20"/>
    </w:rPr>
  </w:style>
  <w:style w:type="character" w:customStyle="1" w:styleId="CommentTextChar">
    <w:name w:val="Comment Text Char"/>
    <w:basedOn w:val="DefaultParagraphFont"/>
    <w:link w:val="CommentText"/>
    <w:uiPriority w:val="99"/>
    <w:semiHidden/>
    <w:rsid w:val="00BD5412"/>
    <w:rPr>
      <w:sz w:val="20"/>
      <w:szCs w:val="20"/>
    </w:rPr>
  </w:style>
  <w:style w:type="paragraph" w:styleId="CommentSubject">
    <w:name w:val="annotation subject"/>
    <w:basedOn w:val="CommentText"/>
    <w:next w:val="CommentText"/>
    <w:link w:val="CommentSubjectChar"/>
    <w:uiPriority w:val="99"/>
    <w:semiHidden/>
    <w:unhideWhenUsed/>
    <w:rsid w:val="00BD5412"/>
    <w:rPr>
      <w:b/>
      <w:bCs/>
    </w:rPr>
  </w:style>
  <w:style w:type="character" w:customStyle="1" w:styleId="CommentSubjectChar">
    <w:name w:val="Comment Subject Char"/>
    <w:basedOn w:val="CommentTextChar"/>
    <w:link w:val="CommentSubject"/>
    <w:uiPriority w:val="99"/>
    <w:semiHidden/>
    <w:rsid w:val="00BD5412"/>
    <w:rPr>
      <w:b/>
      <w:bCs/>
      <w:sz w:val="20"/>
      <w:szCs w:val="20"/>
    </w:rPr>
  </w:style>
  <w:style w:type="paragraph" w:styleId="BalloonText">
    <w:name w:val="Balloon Text"/>
    <w:basedOn w:val="Normal"/>
    <w:link w:val="BalloonTextChar"/>
    <w:uiPriority w:val="99"/>
    <w:semiHidden/>
    <w:unhideWhenUsed/>
    <w:rsid w:val="00BD5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12"/>
    <w:rPr>
      <w:rFonts w:ascii="Tahoma" w:hAnsi="Tahoma" w:cs="Tahoma"/>
      <w:sz w:val="16"/>
      <w:szCs w:val="16"/>
    </w:rPr>
  </w:style>
  <w:style w:type="character" w:customStyle="1" w:styleId="A3">
    <w:name w:val="A3"/>
    <w:uiPriority w:val="99"/>
    <w:rsid w:val="004F15EF"/>
    <w:rPr>
      <w:rFonts w:cs="Arial"/>
      <w:color w:val="000000"/>
      <w:sz w:val="17"/>
      <w:szCs w:val="17"/>
    </w:rPr>
  </w:style>
  <w:style w:type="paragraph" w:styleId="Header">
    <w:name w:val="header"/>
    <w:basedOn w:val="Normal"/>
    <w:link w:val="HeaderChar"/>
    <w:uiPriority w:val="99"/>
    <w:unhideWhenUsed/>
    <w:rsid w:val="00B867E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867E6"/>
    <w:rPr>
      <w:rFonts w:ascii="Calibri" w:eastAsia="Calibri" w:hAnsi="Calibri" w:cs="Times New Roman"/>
    </w:rPr>
  </w:style>
  <w:style w:type="paragraph" w:styleId="Footer">
    <w:name w:val="footer"/>
    <w:basedOn w:val="Normal"/>
    <w:link w:val="FooterChar"/>
    <w:uiPriority w:val="99"/>
    <w:unhideWhenUsed/>
    <w:rsid w:val="00E92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374"/>
  </w:style>
  <w:style w:type="paragraph" w:styleId="BodyText2">
    <w:name w:val="Body Text 2"/>
    <w:basedOn w:val="Normal"/>
    <w:link w:val="BodyText2Char"/>
    <w:uiPriority w:val="99"/>
    <w:unhideWhenUsed/>
    <w:rsid w:val="000D0B64"/>
    <w:pPr>
      <w:spacing w:after="120" w:line="240" w:lineRule="atLeast"/>
    </w:pPr>
    <w:rPr>
      <w:rFonts w:ascii="Calibri" w:eastAsia="Calibri" w:hAnsi="Calibri" w:cs="Times New Roman"/>
      <w:i/>
    </w:rPr>
  </w:style>
  <w:style w:type="character" w:customStyle="1" w:styleId="BodyText2Char">
    <w:name w:val="Body Text 2 Char"/>
    <w:basedOn w:val="DefaultParagraphFont"/>
    <w:link w:val="BodyText2"/>
    <w:uiPriority w:val="99"/>
    <w:rsid w:val="000D0B64"/>
    <w:rPr>
      <w:rFonts w:ascii="Calibri" w:eastAsia="Calibri" w:hAnsi="Calibri"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75294">
      <w:bodyDiv w:val="1"/>
      <w:marLeft w:val="0"/>
      <w:marRight w:val="0"/>
      <w:marTop w:val="0"/>
      <w:marBottom w:val="0"/>
      <w:divBdr>
        <w:top w:val="none" w:sz="0" w:space="0" w:color="auto"/>
        <w:left w:val="none" w:sz="0" w:space="0" w:color="auto"/>
        <w:bottom w:val="none" w:sz="0" w:space="0" w:color="auto"/>
        <w:right w:val="none" w:sz="0" w:space="0" w:color="auto"/>
      </w:divBdr>
      <w:divsChild>
        <w:div w:id="965237294">
          <w:marLeft w:val="0"/>
          <w:marRight w:val="0"/>
          <w:marTop w:val="0"/>
          <w:marBottom w:val="0"/>
          <w:divBdr>
            <w:top w:val="none" w:sz="0" w:space="0" w:color="auto"/>
            <w:left w:val="none" w:sz="0" w:space="0" w:color="auto"/>
            <w:bottom w:val="none" w:sz="0" w:space="0" w:color="auto"/>
            <w:right w:val="none" w:sz="0" w:space="0" w:color="auto"/>
          </w:divBdr>
          <w:divsChild>
            <w:div w:id="1308431803">
              <w:marLeft w:val="0"/>
              <w:marRight w:val="0"/>
              <w:marTop w:val="0"/>
              <w:marBottom w:val="0"/>
              <w:divBdr>
                <w:top w:val="none" w:sz="0" w:space="0" w:color="auto"/>
                <w:left w:val="none" w:sz="0" w:space="0" w:color="auto"/>
                <w:bottom w:val="none" w:sz="0" w:space="0" w:color="auto"/>
                <w:right w:val="none" w:sz="0" w:space="0" w:color="auto"/>
              </w:divBdr>
              <w:divsChild>
                <w:div w:id="404690641">
                  <w:marLeft w:val="0"/>
                  <w:marRight w:val="0"/>
                  <w:marTop w:val="0"/>
                  <w:marBottom w:val="0"/>
                  <w:divBdr>
                    <w:top w:val="none" w:sz="0" w:space="0" w:color="auto"/>
                    <w:left w:val="none" w:sz="0" w:space="0" w:color="auto"/>
                    <w:bottom w:val="none" w:sz="0" w:space="0" w:color="auto"/>
                    <w:right w:val="none" w:sz="0" w:space="0" w:color="auto"/>
                  </w:divBdr>
                  <w:divsChild>
                    <w:div w:id="1330715550">
                      <w:marLeft w:val="0"/>
                      <w:marRight w:val="0"/>
                      <w:marTop w:val="0"/>
                      <w:marBottom w:val="0"/>
                      <w:divBdr>
                        <w:top w:val="none" w:sz="0" w:space="0" w:color="auto"/>
                        <w:left w:val="none" w:sz="0" w:space="0" w:color="auto"/>
                        <w:bottom w:val="none" w:sz="0" w:space="0" w:color="auto"/>
                        <w:right w:val="none" w:sz="0" w:space="0" w:color="auto"/>
                      </w:divBdr>
                      <w:divsChild>
                        <w:div w:id="1789661164">
                          <w:marLeft w:val="0"/>
                          <w:marRight w:val="0"/>
                          <w:marTop w:val="0"/>
                          <w:marBottom w:val="0"/>
                          <w:divBdr>
                            <w:top w:val="none" w:sz="0" w:space="0" w:color="auto"/>
                            <w:left w:val="none" w:sz="0" w:space="0" w:color="auto"/>
                            <w:bottom w:val="none" w:sz="0" w:space="0" w:color="auto"/>
                            <w:right w:val="none" w:sz="0" w:space="0" w:color="auto"/>
                          </w:divBdr>
                        </w:div>
                        <w:div w:id="1763061143">
                          <w:marLeft w:val="0"/>
                          <w:marRight w:val="0"/>
                          <w:marTop w:val="0"/>
                          <w:marBottom w:val="0"/>
                          <w:divBdr>
                            <w:top w:val="none" w:sz="0" w:space="0" w:color="auto"/>
                            <w:left w:val="none" w:sz="0" w:space="0" w:color="auto"/>
                            <w:bottom w:val="none" w:sz="0" w:space="0" w:color="auto"/>
                            <w:right w:val="none" w:sz="0" w:space="0" w:color="auto"/>
                          </w:divBdr>
                        </w:div>
                        <w:div w:id="39483171">
                          <w:marLeft w:val="0"/>
                          <w:marRight w:val="0"/>
                          <w:marTop w:val="0"/>
                          <w:marBottom w:val="0"/>
                          <w:divBdr>
                            <w:top w:val="none" w:sz="0" w:space="0" w:color="auto"/>
                            <w:left w:val="none" w:sz="0" w:space="0" w:color="auto"/>
                            <w:bottom w:val="none" w:sz="0" w:space="0" w:color="auto"/>
                            <w:right w:val="none" w:sz="0" w:space="0" w:color="auto"/>
                          </w:divBdr>
                        </w:div>
                        <w:div w:id="932934794">
                          <w:marLeft w:val="0"/>
                          <w:marRight w:val="0"/>
                          <w:marTop w:val="0"/>
                          <w:marBottom w:val="0"/>
                          <w:divBdr>
                            <w:top w:val="none" w:sz="0" w:space="0" w:color="auto"/>
                            <w:left w:val="none" w:sz="0" w:space="0" w:color="auto"/>
                            <w:bottom w:val="none" w:sz="0" w:space="0" w:color="auto"/>
                            <w:right w:val="none" w:sz="0" w:space="0" w:color="auto"/>
                          </w:divBdr>
                        </w:div>
                        <w:div w:id="1942880266">
                          <w:marLeft w:val="0"/>
                          <w:marRight w:val="0"/>
                          <w:marTop w:val="0"/>
                          <w:marBottom w:val="0"/>
                          <w:divBdr>
                            <w:top w:val="none" w:sz="0" w:space="0" w:color="auto"/>
                            <w:left w:val="none" w:sz="0" w:space="0" w:color="auto"/>
                            <w:bottom w:val="none" w:sz="0" w:space="0" w:color="auto"/>
                            <w:right w:val="none" w:sz="0" w:space="0" w:color="auto"/>
                          </w:divBdr>
                        </w:div>
                        <w:div w:id="19404547">
                          <w:marLeft w:val="0"/>
                          <w:marRight w:val="0"/>
                          <w:marTop w:val="0"/>
                          <w:marBottom w:val="0"/>
                          <w:divBdr>
                            <w:top w:val="none" w:sz="0" w:space="0" w:color="auto"/>
                            <w:left w:val="none" w:sz="0" w:space="0" w:color="auto"/>
                            <w:bottom w:val="none" w:sz="0" w:space="0" w:color="auto"/>
                            <w:right w:val="none" w:sz="0" w:space="0" w:color="auto"/>
                          </w:divBdr>
                        </w:div>
                        <w:div w:id="1302689497">
                          <w:marLeft w:val="0"/>
                          <w:marRight w:val="0"/>
                          <w:marTop w:val="0"/>
                          <w:marBottom w:val="0"/>
                          <w:divBdr>
                            <w:top w:val="none" w:sz="0" w:space="0" w:color="auto"/>
                            <w:left w:val="none" w:sz="0" w:space="0" w:color="auto"/>
                            <w:bottom w:val="none" w:sz="0" w:space="0" w:color="auto"/>
                            <w:right w:val="none" w:sz="0" w:space="0" w:color="auto"/>
                          </w:divBdr>
                        </w:div>
                        <w:div w:id="302006654">
                          <w:marLeft w:val="0"/>
                          <w:marRight w:val="0"/>
                          <w:marTop w:val="0"/>
                          <w:marBottom w:val="0"/>
                          <w:divBdr>
                            <w:top w:val="none" w:sz="0" w:space="0" w:color="auto"/>
                            <w:left w:val="none" w:sz="0" w:space="0" w:color="auto"/>
                            <w:bottom w:val="none" w:sz="0" w:space="0" w:color="auto"/>
                            <w:right w:val="none" w:sz="0" w:space="0" w:color="auto"/>
                          </w:divBdr>
                        </w:div>
                        <w:div w:id="245117971">
                          <w:marLeft w:val="0"/>
                          <w:marRight w:val="0"/>
                          <w:marTop w:val="0"/>
                          <w:marBottom w:val="0"/>
                          <w:divBdr>
                            <w:top w:val="none" w:sz="0" w:space="0" w:color="auto"/>
                            <w:left w:val="none" w:sz="0" w:space="0" w:color="auto"/>
                            <w:bottom w:val="single" w:sz="6" w:space="6" w:color="F7F7F7"/>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gov.au/child-care-service-handbook" TargetMode="External"/><Relationship Id="rId18" Type="http://schemas.openxmlformats.org/officeDocument/2006/relationships/hyperlink" Target="http://www.education.vic.gov.au" TargetMode="External"/><Relationship Id="rId26" Type="http://schemas.openxmlformats.org/officeDocument/2006/relationships/hyperlink" Target="http://www.pc.gov.au/research/ongoing/report-on-government-services/2016/community-services/child-protection" TargetMode="External"/><Relationship Id="rId3" Type="http://schemas.openxmlformats.org/officeDocument/2006/relationships/customXml" Target="../customXml/item3.xml"/><Relationship Id="rId21" Type="http://schemas.openxmlformats.org/officeDocument/2006/relationships/hyperlink" Target="https://www2.health.vic.gov.au/about/publications/policiesandguidelines/immunisation-enrolment-toolkit" TargetMode="External"/><Relationship Id="rId7" Type="http://schemas.openxmlformats.org/officeDocument/2006/relationships/styles" Target="styles.xml"/><Relationship Id="rId12" Type="http://schemas.openxmlformats.org/officeDocument/2006/relationships/hyperlink" Target="http://www.education.gov.au/child-care-service-handbook" TargetMode="External"/><Relationship Id="rId17" Type="http://schemas.openxmlformats.org/officeDocument/2006/relationships/hyperlink" Target="http://www.education.vic.gov.au/Documents/childhood/providers/funding/eskforservices.pdf" TargetMode="External"/><Relationship Id="rId25"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hyperlink" Target="http://www.education.vic.gov.au/childhood/providers/edcare" TargetMode="External"/><Relationship Id="rId20" Type="http://schemas.openxmlformats.org/officeDocument/2006/relationships/hyperlink" Target="http://www.cpmanual.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childhood/providers/regulation/Pages/protectionprotocol.aspx" TargetMode="External"/><Relationship Id="rId5" Type="http://schemas.openxmlformats.org/officeDocument/2006/relationships/customXml" Target="../customXml/item5.xml"/><Relationship Id="rId15" Type="http://schemas.openxmlformats.org/officeDocument/2006/relationships/hyperlink" Target="http://www.education.vic.gov.au" TargetMode="External"/><Relationship Id="rId23" Type="http://schemas.openxmlformats.org/officeDocument/2006/relationships/hyperlink" Target="http://www.education.vic.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pmanual.vic.gov.au/our-approach/privacy/information-sharing/information-sharing-oohc" TargetMode="External"/><Relationship Id="rId27" Type="http://schemas.openxmlformats.org/officeDocument/2006/relationships/hyperlink" Target="http://www.pc.gov.au" TargetMode="External"/><Relationship Id="rId9" Type="http://schemas.openxmlformats.org/officeDocument/2006/relationships/webSettings" Target="webSettings.xml"/><Relationship Id="rId14" Type="http://schemas.openxmlformats.org/officeDocument/2006/relationships/hyperlink" Target="http://www.education.vic.gov.au/Documents/childhood/providers/edcare/ecagrchildrenoutofhomecare.PDF" TargetMode="External"/><Relationship Id="rId22" Type="http://schemas.openxmlformats.org/officeDocument/2006/relationships/hyperlink" Target="http://www.education.vic.gov.au/childhood/providers/funding/Pages/kinderfundingcriteri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124</Value>
      <Value>94</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out of home care
oohc
long day care
ldc</DEECD_Keywords>
    <PublishingExpirationDate xmlns="http://schemas.microsoft.com/sharepoint/v3" xsi:nil="true"/>
    <DEECD_Description xmlns="http://schemas.microsoft.com/sharepoint/v3">Information for long day care centres about children in out of home care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33CE5AFDD4DE624CB0A1319AA21FF3A2" ma:contentTypeVersion="14" ma:contentTypeDescription="" ma:contentTypeScope="" ma:versionID="48a0b8a6aea38c45bc995e46a5170c76">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7E013-8F9B-4FEC-8C80-741FCF06E1EB}"/>
</file>

<file path=customXml/itemProps2.xml><?xml version="1.0" encoding="utf-8"?>
<ds:datastoreItem xmlns:ds="http://schemas.openxmlformats.org/officeDocument/2006/customXml" ds:itemID="{AAC9AE89-A8E6-4F62-889A-135EE7F1EBA6}"/>
</file>

<file path=customXml/itemProps3.xml><?xml version="1.0" encoding="utf-8"?>
<ds:datastoreItem xmlns:ds="http://schemas.openxmlformats.org/officeDocument/2006/customXml" ds:itemID="{4DB71AA1-4D54-4E0B-B2C9-1127FCFC795A}"/>
</file>

<file path=customXml/itemProps4.xml><?xml version="1.0" encoding="utf-8"?>
<ds:datastoreItem xmlns:ds="http://schemas.openxmlformats.org/officeDocument/2006/customXml" ds:itemID="{E229EBCE-8452-484B-8920-F7744A72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2DC9F1-C121-4B38-B284-2C8892C8EB95}"/>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Out of Home Care - Information for Long Day Care Centres</dc:title>
  <dc:creator>Lynn Turner</dc:creator>
  <cp:lastModifiedBy>Hilton, Liz L</cp:lastModifiedBy>
  <cp:revision>2</cp:revision>
  <cp:lastPrinted>2016-04-26T00:18:00Z</cp:lastPrinted>
  <dcterms:created xsi:type="dcterms:W3CDTF">2017-06-29T00:35:00Z</dcterms:created>
  <dcterms:modified xsi:type="dcterms:W3CDTF">2017-06-29T00:35:00Z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{64b3ccd2-72b9-4e0b-b2b8-c8a3e3219747}</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{653cc435-ba4f-40b4-acdd-7bdece9cd81c}</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104;#Factsheet|4ed27b92-5062-455b-9739-b4dd34197d20</vt:lpwstr>
  </property>
  <property fmtid="{D5CDD505-2E9C-101B-9397-08002B2CF9AE}" pid="19" name="DEECD_Audience">
    <vt:lpwstr>124;#Early Childhood Providers|5aeb7e43-f384-446d-b1c9-d307032db323</vt:lpwstr>
  </property>
</Properties>
</file>