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1B787" w14:textId="77777777" w:rsidR="00C07C19" w:rsidRDefault="00C07C19" w:rsidP="00532650">
      <w:pPr>
        <w:pStyle w:val="VCAAHeading1"/>
      </w:pPr>
      <w:bookmarkStart w:id="0" w:name="_GoBack"/>
      <w:bookmarkEnd w:id="0"/>
      <w:r w:rsidRPr="00EB185F">
        <w:t xml:space="preserve">Appendix 3: </w:t>
      </w:r>
      <w:r>
        <w:t>Overview of resources to support best practice of early childhood professionals</w:t>
      </w:r>
    </w:p>
    <w:p w14:paraId="3DD1B788" w14:textId="77777777" w:rsidR="00DE5D24" w:rsidRDefault="00DE5D24" w:rsidP="00E30289">
      <w:pPr>
        <w:pStyle w:val="TOC1"/>
        <w:rPr>
          <w:rFonts w:asciiTheme="minorHAnsi" w:eastAsiaTheme="minorEastAsia" w:hAnsiTheme="minorHAnsi" w:cstheme="minorBidi"/>
          <w:noProof/>
          <w:color w:val="auto"/>
          <w:lang w:val="en-AU" w:eastAsia="en-AU"/>
        </w:rPr>
      </w:pPr>
      <w:r>
        <w:fldChar w:fldCharType="begin"/>
      </w:r>
      <w:r>
        <w:instrText xml:space="preserve"> TOC \n \h \z \t "VCAA numbers,1" </w:instrText>
      </w:r>
      <w:r>
        <w:fldChar w:fldCharType="separate"/>
      </w:r>
      <w:hyperlink w:anchor="_Toc462306086" w:history="1">
        <w:r w:rsidRPr="00AC0D23">
          <w:rPr>
            <w:rStyle w:val="Hyperlink"/>
            <w:noProof/>
          </w:rPr>
          <w:t>i)</w:t>
        </w:r>
        <w:r>
          <w:rPr>
            <w:rFonts w:asciiTheme="minorHAnsi" w:eastAsiaTheme="minorEastAsia" w:hAnsiTheme="minorHAnsi" w:cstheme="minorBidi"/>
            <w:noProof/>
            <w:color w:val="auto"/>
            <w:lang w:val="en-AU" w:eastAsia="en-AU"/>
          </w:rPr>
          <w:tab/>
        </w:r>
        <w:r w:rsidRPr="00AC0D23">
          <w:rPr>
            <w:rStyle w:val="Hyperlink"/>
            <w:noProof/>
          </w:rPr>
          <w:t>Approved Frameworks, Legislation and Standards</w:t>
        </w:r>
      </w:hyperlink>
    </w:p>
    <w:p w14:paraId="3DD1B789" w14:textId="77777777" w:rsidR="00DE5D24" w:rsidRDefault="007D59C1" w:rsidP="00E30289">
      <w:pPr>
        <w:pStyle w:val="TOC1"/>
        <w:rPr>
          <w:rFonts w:asciiTheme="minorHAnsi" w:eastAsiaTheme="minorEastAsia" w:hAnsiTheme="minorHAnsi" w:cstheme="minorBidi"/>
          <w:noProof/>
          <w:color w:val="auto"/>
          <w:lang w:val="en-AU" w:eastAsia="en-AU"/>
        </w:rPr>
      </w:pPr>
      <w:hyperlink w:anchor="_Toc462306087" w:history="1">
        <w:r w:rsidR="00DE5D24" w:rsidRPr="00AC0D23">
          <w:rPr>
            <w:rStyle w:val="Hyperlink"/>
            <w:noProof/>
          </w:rPr>
          <w:t>ii)</w:t>
        </w:r>
        <w:r w:rsidR="00DE5D24">
          <w:rPr>
            <w:rFonts w:asciiTheme="minorHAnsi" w:eastAsiaTheme="minorEastAsia" w:hAnsiTheme="minorHAnsi" w:cstheme="minorBidi"/>
            <w:noProof/>
            <w:color w:val="auto"/>
            <w:lang w:val="en-AU" w:eastAsia="en-AU"/>
          </w:rPr>
          <w:tab/>
        </w:r>
        <w:r w:rsidR="00DE5D24" w:rsidRPr="00AC0D23">
          <w:rPr>
            <w:rStyle w:val="Hyperlink"/>
            <w:noProof/>
          </w:rPr>
          <w:t>Information and Evidence to inform policy maker and practitioner responses and strategic decisions that make a difference to children’s lives.</w:t>
        </w:r>
      </w:hyperlink>
    </w:p>
    <w:p w14:paraId="3DD1B78A" w14:textId="77777777" w:rsidR="00DE5D24" w:rsidRDefault="007D59C1" w:rsidP="00E30289">
      <w:pPr>
        <w:pStyle w:val="TOC1"/>
        <w:rPr>
          <w:rFonts w:asciiTheme="minorHAnsi" w:eastAsiaTheme="minorEastAsia" w:hAnsiTheme="minorHAnsi" w:cstheme="minorBidi"/>
          <w:noProof/>
          <w:color w:val="auto"/>
          <w:lang w:val="en-AU" w:eastAsia="en-AU"/>
        </w:rPr>
      </w:pPr>
      <w:hyperlink w:anchor="_Toc462306088" w:history="1">
        <w:r w:rsidR="00DE5D24" w:rsidRPr="00AC0D23">
          <w:rPr>
            <w:rStyle w:val="Hyperlink"/>
            <w:iCs/>
            <w:noProof/>
          </w:rPr>
          <w:t>iii)</w:t>
        </w:r>
        <w:r w:rsidR="00DE5D24">
          <w:rPr>
            <w:rFonts w:asciiTheme="minorHAnsi" w:eastAsiaTheme="minorEastAsia" w:hAnsiTheme="minorHAnsi" w:cstheme="minorBidi"/>
            <w:noProof/>
            <w:color w:val="auto"/>
            <w:lang w:val="en-AU" w:eastAsia="en-AU"/>
          </w:rPr>
          <w:tab/>
        </w:r>
        <w:r w:rsidR="00DE5D24" w:rsidRPr="00AC0D23">
          <w:rPr>
            <w:rStyle w:val="Hyperlink"/>
            <w:noProof/>
          </w:rPr>
          <w:t>Victorian Early Years Learning and Development Framework resources</w:t>
        </w:r>
      </w:hyperlink>
    </w:p>
    <w:p w14:paraId="3DD1B78B" w14:textId="77777777" w:rsidR="00DE5D24" w:rsidRDefault="00DE5D24" w:rsidP="00DE5D24">
      <w:pPr>
        <w:pStyle w:val="VCAAbody"/>
        <w:tabs>
          <w:tab w:val="left" w:pos="1830"/>
        </w:tabs>
      </w:pPr>
      <w:r>
        <w:fldChar w:fldCharType="end"/>
      </w:r>
      <w:r>
        <w:tab/>
      </w:r>
    </w:p>
    <w:p w14:paraId="3DD1B78C" w14:textId="77777777" w:rsidR="00C07C19" w:rsidRPr="00EB185F" w:rsidRDefault="00C07C19" w:rsidP="00DE5D24">
      <w:pPr>
        <w:pStyle w:val="VCAAnumbers"/>
      </w:pPr>
      <w:bookmarkStart w:id="1" w:name="_Toc462306086"/>
      <w:r w:rsidRPr="00EB185F">
        <w:t>Approved Frameworks</w:t>
      </w:r>
      <w:r>
        <w:t>,</w:t>
      </w:r>
      <w:r w:rsidRPr="00EB185F">
        <w:t xml:space="preserve"> </w:t>
      </w:r>
      <w:r>
        <w:t>L</w:t>
      </w:r>
      <w:r w:rsidRPr="00EB185F">
        <w:t xml:space="preserve">egislation and </w:t>
      </w:r>
      <w:r>
        <w:t>S</w:t>
      </w:r>
      <w:r w:rsidRPr="00EB185F">
        <w:t>tandards</w:t>
      </w:r>
      <w:bookmarkEnd w:id="1"/>
    </w:p>
    <w:p w14:paraId="3DD1B78D" w14:textId="77777777" w:rsidR="00C07C19" w:rsidRPr="00BC0F83" w:rsidRDefault="00C07C19" w:rsidP="00776C53">
      <w:pPr>
        <w:pStyle w:val="VCAAHeading4"/>
      </w:pPr>
      <w:r w:rsidRPr="00BC0F83">
        <w:t>Approved Frameworks</w:t>
      </w:r>
    </w:p>
    <w:p w14:paraId="3DD1B78E" w14:textId="77777777" w:rsidR="00C07C19" w:rsidRPr="00B809AF" w:rsidRDefault="007D59C1" w:rsidP="00E52F90">
      <w:pPr>
        <w:pStyle w:val="VCAAbody"/>
        <w:rPr>
          <w:rStyle w:val="Hyperlink"/>
        </w:rPr>
      </w:pPr>
      <w:hyperlink r:id="rId13" w:history="1">
        <w:r w:rsidR="00C07C19" w:rsidRPr="00B809AF">
          <w:rPr>
            <w:rStyle w:val="Hyperlink"/>
          </w:rPr>
          <w:t>Belonging, Being and Becoming: The Early Years Learning Framework for Australia</w:t>
        </w:r>
      </w:hyperlink>
      <w:r w:rsidR="00C07C19" w:rsidRPr="00B809AF">
        <w:rPr>
          <w:rStyle w:val="Hyperlink"/>
        </w:rPr>
        <w:t xml:space="preserve"> </w:t>
      </w:r>
    </w:p>
    <w:p w14:paraId="3DD1B78F" w14:textId="77777777" w:rsidR="00C07C19" w:rsidRDefault="00C07C19" w:rsidP="00E52F90">
      <w:pPr>
        <w:pStyle w:val="VCAAbody"/>
      </w:pPr>
      <w:r w:rsidRPr="003E0B65">
        <w:t>This is the first national learning framework for all educators working with children from birth to five years.</w:t>
      </w:r>
    </w:p>
    <w:p w14:paraId="3DD1B790" w14:textId="77777777" w:rsidR="00C07C19" w:rsidRPr="00B809AF" w:rsidRDefault="007D59C1" w:rsidP="00E52F90">
      <w:pPr>
        <w:pStyle w:val="VCAAbody"/>
        <w:rPr>
          <w:rStyle w:val="Hyperlink"/>
        </w:rPr>
      </w:pPr>
      <w:hyperlink r:id="rId14" w:history="1">
        <w:r w:rsidR="00C07C19" w:rsidRPr="00B809AF">
          <w:rPr>
            <w:rStyle w:val="Hyperlink"/>
          </w:rPr>
          <w:t>My Time, Our Place: Framework for School Aged Care in Australia</w:t>
        </w:r>
      </w:hyperlink>
    </w:p>
    <w:p w14:paraId="3DD1B791" w14:textId="77777777" w:rsidR="00C07C19" w:rsidRDefault="00C07C19" w:rsidP="00E52F90">
      <w:pPr>
        <w:pStyle w:val="VCAAbody"/>
      </w:pPr>
      <w:r>
        <w:t xml:space="preserve">This is a national learning framework for </w:t>
      </w:r>
      <w:r w:rsidRPr="003E0B65">
        <w:t xml:space="preserve">Outside School Hours Care </w:t>
      </w:r>
      <w:r>
        <w:t xml:space="preserve">services, who provide programs for children aged five to twelve years. </w:t>
      </w:r>
    </w:p>
    <w:p w14:paraId="3DD1B792" w14:textId="77777777" w:rsidR="00C07C19" w:rsidRPr="003E0B65" w:rsidRDefault="00C07C19" w:rsidP="00E52F90">
      <w:pPr>
        <w:pStyle w:val="VCAAbody"/>
        <w:rPr>
          <w:color w:val="3A5A8B" w:themeColor="accent6" w:themeShade="BF"/>
        </w:rPr>
      </w:pPr>
      <w:r w:rsidRPr="00EF1215">
        <w:rPr>
          <w:i/>
        </w:rPr>
        <w:t>Victorian Early Years Lea</w:t>
      </w:r>
      <w:r w:rsidR="00B809AF">
        <w:rPr>
          <w:i/>
        </w:rPr>
        <w:t>r</w:t>
      </w:r>
      <w:r w:rsidRPr="00EF1215">
        <w:rPr>
          <w:i/>
        </w:rPr>
        <w:t>ning and Development</w:t>
      </w:r>
      <w:r>
        <w:t xml:space="preserve"> </w:t>
      </w:r>
      <w:r w:rsidRPr="00EF1215">
        <w:rPr>
          <w:i/>
        </w:rPr>
        <w:t>Framework</w:t>
      </w:r>
      <w:r>
        <w:t xml:space="preserve"> (VEYLDF) – these appendices form part of the VEYLDF. </w:t>
      </w:r>
      <w:r w:rsidRPr="003E0B65">
        <w:t xml:space="preserve"> </w:t>
      </w:r>
    </w:p>
    <w:p w14:paraId="3DD1B793" w14:textId="77777777" w:rsidR="00C07C19" w:rsidRPr="00B809AF" w:rsidRDefault="007D59C1" w:rsidP="00E52F90">
      <w:pPr>
        <w:pStyle w:val="VCAAbody"/>
        <w:rPr>
          <w:rStyle w:val="Hyperlink"/>
        </w:rPr>
      </w:pPr>
      <w:hyperlink r:id="rId15" w:history="1">
        <w:r w:rsidR="00C07C19" w:rsidRPr="00B809AF">
          <w:rPr>
            <w:rStyle w:val="Hyperlink"/>
          </w:rPr>
          <w:t>National Quality Framework (NQF)</w:t>
        </w:r>
      </w:hyperlink>
      <w:r w:rsidR="00C07C19" w:rsidRPr="00B809AF">
        <w:rPr>
          <w:rStyle w:val="Hyperlink"/>
        </w:rPr>
        <w:t xml:space="preserve"> </w:t>
      </w:r>
    </w:p>
    <w:p w14:paraId="3DD1B794" w14:textId="77777777" w:rsidR="00C07C19" w:rsidRPr="00F02CA6" w:rsidRDefault="00C07C19" w:rsidP="00E52F90">
      <w:pPr>
        <w:pStyle w:val="VCAAbody"/>
      </w:pPr>
      <w:r>
        <w:t>Education and Care services that provide</w:t>
      </w:r>
      <w:r w:rsidRPr="00E819EC">
        <w:t xml:space="preserve"> </w:t>
      </w:r>
      <w:r>
        <w:t xml:space="preserve">or intend </w:t>
      </w:r>
      <w:r w:rsidRPr="001C6C84">
        <w:t xml:space="preserve"> to provide education and care on a regular basis to children under the age of 13 years, including family day care services, long day care services, outside school hours care services and preschools (kindergartens), are generally required to operate under the National Quality Framework</w:t>
      </w:r>
      <w:r>
        <w:t>.</w:t>
      </w:r>
      <w:r w:rsidRPr="001C6C84">
        <w:t xml:space="preserve"> </w:t>
      </w:r>
    </w:p>
    <w:p w14:paraId="3DD1B795" w14:textId="77777777" w:rsidR="00C07C19" w:rsidRPr="0070532D" w:rsidRDefault="00C07C19" w:rsidP="00E52F90">
      <w:pPr>
        <w:pStyle w:val="VCAAbody"/>
      </w:pPr>
      <w:r>
        <w:t>The Framework helps children get the best start in life by raising quality and consistency in education and care services across Australia. E</w:t>
      </w:r>
      <w:r w:rsidRPr="003E0B65">
        <w:t xml:space="preserve">ducation and care services must meet the </w:t>
      </w:r>
      <w:r>
        <w:t xml:space="preserve">requirements of the NQF. Additional information to support services to implement the requirements of the NQF can be accessed at the </w:t>
      </w:r>
      <w:hyperlink r:id="rId16" w:history="1">
        <w:r w:rsidRPr="00B809AF">
          <w:rPr>
            <w:rStyle w:val="Hyperlink"/>
          </w:rPr>
          <w:t>Australian Children’s Education and Care Quality Authority</w:t>
        </w:r>
      </w:hyperlink>
      <w:r w:rsidRPr="003D67C8">
        <w:t xml:space="preserve"> (ACECQA)</w:t>
      </w:r>
      <w:r>
        <w:t>. This site also has information about other education and care services in the area and performance against the NQF Assessment and Rating instrument.</w:t>
      </w:r>
    </w:p>
    <w:p w14:paraId="3DD1B796" w14:textId="77777777" w:rsidR="00C07C19" w:rsidRPr="00B809AF" w:rsidRDefault="007D59C1" w:rsidP="00E52F90">
      <w:pPr>
        <w:pStyle w:val="VCAAbody"/>
        <w:rPr>
          <w:rStyle w:val="Hyperlink"/>
        </w:rPr>
      </w:pPr>
      <w:hyperlink r:id="rId17" w:history="1">
        <w:r w:rsidR="00C07C19" w:rsidRPr="00B809AF">
          <w:rPr>
            <w:rStyle w:val="Hyperlink"/>
          </w:rPr>
          <w:t>Victorian Curriculum</w:t>
        </w:r>
      </w:hyperlink>
      <w:r w:rsidR="00C07C19" w:rsidRPr="00B809AF">
        <w:rPr>
          <w:rStyle w:val="Hyperlink"/>
        </w:rPr>
        <w:t xml:space="preserve"> F</w:t>
      </w:r>
      <w:r w:rsidR="00B809AF" w:rsidRPr="00B809AF">
        <w:rPr>
          <w:rStyle w:val="Hyperlink"/>
        </w:rPr>
        <w:t>–</w:t>
      </w:r>
      <w:r w:rsidR="00C07C19" w:rsidRPr="00B809AF">
        <w:rPr>
          <w:rStyle w:val="Hyperlink"/>
        </w:rPr>
        <w:t>10</w:t>
      </w:r>
    </w:p>
    <w:p w14:paraId="3DD1B797" w14:textId="77777777" w:rsidR="00C07C19" w:rsidRPr="00456888" w:rsidRDefault="00C07C19" w:rsidP="00E52F90">
      <w:pPr>
        <w:pStyle w:val="VCAAbody"/>
      </w:pPr>
      <w:r w:rsidRPr="00456888">
        <w:t>The Victorian Curriculum</w:t>
      </w:r>
      <w:r>
        <w:t xml:space="preserve"> </w:t>
      </w:r>
      <w:r w:rsidRPr="00456888">
        <w:t xml:space="preserve">F–10 sets out what every student should learn during their first eleven years of schooling. The curriculum is the common set of knowledge and skills required by students for life-long learning, social development and active and informed citizenship. </w:t>
      </w:r>
    </w:p>
    <w:p w14:paraId="3DD1B798" w14:textId="77777777" w:rsidR="00C07C19" w:rsidRDefault="00C07C19" w:rsidP="00E52F90">
      <w:pPr>
        <w:pStyle w:val="VCAAbody"/>
      </w:pPr>
      <w:r w:rsidRPr="00456888">
        <w:t xml:space="preserve">The Outcomes from the Victorian Early Years Development Framework link to the first three levels </w:t>
      </w:r>
      <w:r>
        <w:t>of the Victorian Curriculum F–</w:t>
      </w:r>
      <w:r w:rsidRPr="00456888">
        <w:t xml:space="preserve">10 via illustrative </w:t>
      </w:r>
      <w:r>
        <w:t>maps</w:t>
      </w:r>
      <w:r w:rsidRPr="00456888">
        <w:t xml:space="preserve"> that support a continuity of learning. The outcomes provide a shared language for all early childhood professionals and families to use when planning for chil</w:t>
      </w:r>
      <w:r>
        <w:t>dren’s learning and development.</w:t>
      </w:r>
    </w:p>
    <w:p w14:paraId="3DD1B799" w14:textId="77777777" w:rsidR="003E1E0D" w:rsidRDefault="003E1E0D">
      <w:pPr>
        <w:rPr>
          <w:b/>
          <w:sz w:val="24"/>
          <w:szCs w:val="24"/>
        </w:rPr>
      </w:pPr>
      <w:r>
        <w:rPr>
          <w:b/>
          <w:sz w:val="24"/>
          <w:szCs w:val="24"/>
        </w:rPr>
        <w:br w:type="page"/>
      </w:r>
    </w:p>
    <w:p w14:paraId="3DD1B79A" w14:textId="77777777" w:rsidR="00C07C19" w:rsidRPr="00355640" w:rsidRDefault="00C07C19" w:rsidP="00776C53">
      <w:pPr>
        <w:pStyle w:val="VCAAHeading4"/>
      </w:pPr>
      <w:r w:rsidRPr="00355640">
        <w:lastRenderedPageBreak/>
        <w:t>Legislation and Standards</w:t>
      </w:r>
    </w:p>
    <w:p w14:paraId="3DD1B79B" w14:textId="77777777" w:rsidR="00C07C19" w:rsidRPr="00B809AF" w:rsidRDefault="007D59C1" w:rsidP="00E52F90">
      <w:pPr>
        <w:pStyle w:val="VCAAbody"/>
        <w:rPr>
          <w:rStyle w:val="Hyperlink"/>
        </w:rPr>
      </w:pPr>
      <w:hyperlink r:id="rId18" w:history="1">
        <w:r w:rsidR="00C07C19" w:rsidRPr="00B809AF">
          <w:rPr>
            <w:rStyle w:val="Hyperlink"/>
          </w:rPr>
          <w:t>Child Safe Standards</w:t>
        </w:r>
      </w:hyperlink>
    </w:p>
    <w:p w14:paraId="3DD1B79C" w14:textId="77777777" w:rsidR="00C07C19" w:rsidRPr="003E0B65" w:rsidRDefault="00C07C19" w:rsidP="00E52F90">
      <w:pPr>
        <w:pStyle w:val="VCAAbody"/>
      </w:pPr>
      <w:r w:rsidRPr="003E0B65">
        <w:t>This outlines the seven compulsory minimum standards that apply to all organisations providing services to children, to ensure that children are protected from all forms of abuse.</w:t>
      </w:r>
    </w:p>
    <w:p w14:paraId="3DD1B79D" w14:textId="77777777" w:rsidR="00C07C19" w:rsidRPr="00B809AF" w:rsidRDefault="007D59C1" w:rsidP="00E52F90">
      <w:pPr>
        <w:pStyle w:val="VCAAbody"/>
        <w:rPr>
          <w:rStyle w:val="Hyperlink"/>
        </w:rPr>
      </w:pPr>
      <w:hyperlink r:id="rId19" w:history="1">
        <w:r w:rsidR="00C07C19" w:rsidRPr="00B809AF">
          <w:rPr>
            <w:rStyle w:val="Hyperlink"/>
          </w:rPr>
          <w:t>Child Protection</w:t>
        </w:r>
      </w:hyperlink>
    </w:p>
    <w:p w14:paraId="3DD1B79E" w14:textId="77777777" w:rsidR="00C07C19" w:rsidRPr="003E0B65" w:rsidRDefault="00C07C19" w:rsidP="00E52F90">
      <w:pPr>
        <w:pStyle w:val="VCAAbody"/>
      </w:pPr>
      <w:r w:rsidRPr="003E0B65">
        <w:t xml:space="preserve">Defines child protection, and describes its main functions. </w:t>
      </w:r>
    </w:p>
    <w:p w14:paraId="3DD1B79F" w14:textId="77777777" w:rsidR="00C07C19" w:rsidRPr="00B809AF" w:rsidRDefault="007D59C1" w:rsidP="00E52F90">
      <w:pPr>
        <w:pStyle w:val="VCAAbody"/>
        <w:rPr>
          <w:rStyle w:val="Hyperlink"/>
        </w:rPr>
      </w:pPr>
      <w:hyperlink r:id="rId20" w:history="1">
        <w:r w:rsidR="00C07C19" w:rsidRPr="00B809AF">
          <w:rPr>
            <w:rStyle w:val="Hyperlink"/>
            <w:i/>
          </w:rPr>
          <w:t>Children’s Services Act 1996</w:t>
        </w:r>
        <w:r w:rsidR="00C07C19" w:rsidRPr="00B809AF">
          <w:rPr>
            <w:rStyle w:val="Hyperlink"/>
          </w:rPr>
          <w:t xml:space="preserve"> and the </w:t>
        </w:r>
        <w:r w:rsidR="00C07C19" w:rsidRPr="00B809AF">
          <w:rPr>
            <w:rStyle w:val="Hyperlink"/>
            <w:i/>
          </w:rPr>
          <w:t>Children’s Services Regulations 2009</w:t>
        </w:r>
      </w:hyperlink>
    </w:p>
    <w:p w14:paraId="3DD1B7A0" w14:textId="77777777" w:rsidR="00C07C19" w:rsidRPr="00AB45EF" w:rsidRDefault="00C07C19" w:rsidP="00E52F90">
      <w:pPr>
        <w:pStyle w:val="VCAAbody"/>
        <w:rPr>
          <w:rFonts w:eastAsia="Calibri"/>
          <w:i/>
          <w:iCs/>
        </w:rPr>
      </w:pPr>
      <w:r w:rsidRPr="001C6C84">
        <w:t xml:space="preserve">A number of services operate under the Victorian children’s </w:t>
      </w:r>
      <w:r>
        <w:t>services legislation</w:t>
      </w:r>
      <w:r w:rsidRPr="001C6C84">
        <w:rPr>
          <w:rFonts w:eastAsia="Calibri"/>
        </w:rPr>
        <w:t xml:space="preserve">. </w:t>
      </w:r>
      <w:r w:rsidRPr="001C6C84">
        <w:t>These services are generally occasional care services, mobile services, budget-based services not funded for Child Care Benefit o</w:t>
      </w:r>
      <w:r>
        <w:t>r school holiday care programs.</w:t>
      </w:r>
    </w:p>
    <w:p w14:paraId="3DD1B7A1" w14:textId="77777777" w:rsidR="00C07C19" w:rsidRPr="00B809AF" w:rsidRDefault="007D59C1" w:rsidP="00E52F90">
      <w:pPr>
        <w:pStyle w:val="VCAAbody"/>
        <w:rPr>
          <w:rStyle w:val="Hyperlink"/>
        </w:rPr>
      </w:pPr>
      <w:hyperlink r:id="rId21" w:history="1">
        <w:r w:rsidR="00C07C19" w:rsidRPr="00B809AF">
          <w:rPr>
            <w:rStyle w:val="Hyperlink"/>
          </w:rPr>
          <w:t xml:space="preserve">Disability Standards for Education. </w:t>
        </w:r>
      </w:hyperlink>
      <w:r w:rsidR="00C07C19" w:rsidRPr="00B809AF">
        <w:rPr>
          <w:rStyle w:val="Hyperlink"/>
        </w:rPr>
        <w:t xml:space="preserve"> </w:t>
      </w:r>
    </w:p>
    <w:p w14:paraId="3DD1B7A2" w14:textId="77777777" w:rsidR="00C07C19" w:rsidRPr="005D2B05" w:rsidRDefault="00C07C19" w:rsidP="00E52F90">
      <w:pPr>
        <w:pStyle w:val="VCAAbody"/>
      </w:pPr>
      <w:r w:rsidRPr="007C3B76">
        <w:t>All education providers must comply with the</w:t>
      </w:r>
      <w:r>
        <w:t>:</w:t>
      </w:r>
    </w:p>
    <w:p w14:paraId="3DD1B7A3" w14:textId="77777777" w:rsidR="00C07C19" w:rsidRPr="00B809AF" w:rsidRDefault="007D59C1" w:rsidP="00E52F90">
      <w:pPr>
        <w:pStyle w:val="VCAAbody"/>
      </w:pPr>
      <w:hyperlink r:id="rId22" w:history="1">
        <w:r w:rsidR="00C07C19" w:rsidRPr="00B809AF">
          <w:rPr>
            <w:rStyle w:val="Hyperlink"/>
            <w:i/>
          </w:rPr>
          <w:t>The Disability Discrimination Act (1992)</w:t>
        </w:r>
      </w:hyperlink>
      <w:r w:rsidR="00C07C19">
        <w:rPr>
          <w:rFonts w:eastAsia="Calibri"/>
          <w:i/>
          <w:sz w:val="24"/>
          <w:szCs w:val="24"/>
        </w:rPr>
        <w:t xml:space="preserve"> </w:t>
      </w:r>
      <w:r w:rsidR="00C07C19" w:rsidRPr="00B809AF">
        <w:t>(DDA)</w:t>
      </w:r>
    </w:p>
    <w:p w14:paraId="3DD1B7A4" w14:textId="77777777" w:rsidR="00C07C19" w:rsidRPr="003E0B65" w:rsidRDefault="00C07C19" w:rsidP="00E52F90">
      <w:pPr>
        <w:pStyle w:val="VCAAbody"/>
      </w:pPr>
      <w:r w:rsidRPr="003D67C8">
        <w:t>The DDA</w:t>
      </w:r>
      <w:r w:rsidRPr="003E0B65">
        <w:t xml:space="preserve"> is Commonwealth legislation that aims to eliminate, as far as possible, disability-based discrimination and promote equal rights, opportunity and access for people with disabilities.</w:t>
      </w:r>
    </w:p>
    <w:p w14:paraId="3DD1B7A5" w14:textId="77777777" w:rsidR="00C07C19" w:rsidRPr="003E0B65" w:rsidRDefault="00C07C19" w:rsidP="00E52F90">
      <w:pPr>
        <w:pStyle w:val="VCAAbody"/>
      </w:pPr>
      <w:r w:rsidRPr="003E0B65">
        <w:t xml:space="preserve">The DDA makes it against the law to discriminate against someone if they have a disability and </w:t>
      </w:r>
      <w:r w:rsidRPr="00E819EC">
        <w:t>applies to all early childhood education and care services and kindergartens programs</w:t>
      </w:r>
      <w:r>
        <w:t xml:space="preserve">. </w:t>
      </w:r>
    </w:p>
    <w:p w14:paraId="3DD1B7A6" w14:textId="77777777" w:rsidR="00C07C19" w:rsidRPr="00B809AF" w:rsidRDefault="007D59C1" w:rsidP="00E52F90">
      <w:pPr>
        <w:pStyle w:val="VCAAbody"/>
        <w:rPr>
          <w:rStyle w:val="Hyperlink"/>
        </w:rPr>
      </w:pPr>
      <w:hyperlink r:id="rId23" w:history="1">
        <w:r w:rsidR="00C07C19" w:rsidRPr="00B809AF">
          <w:rPr>
            <w:rStyle w:val="Hyperlink"/>
          </w:rPr>
          <w:t>The Disability Standards for Education 2005, ("the Standards")</w:t>
        </w:r>
      </w:hyperlink>
    </w:p>
    <w:p w14:paraId="3DD1B7A7" w14:textId="77777777" w:rsidR="00C07C19" w:rsidRDefault="00C07C19" w:rsidP="00E52F90">
      <w:pPr>
        <w:pStyle w:val="VCAAbody"/>
      </w:pPr>
      <w:r>
        <w:t>The Standards c</w:t>
      </w:r>
      <w:r w:rsidRPr="003E0B65">
        <w:t>larify the obligations of education providers under the DDA and the rights of people with disability in relation to education. They provide a framework for students with disability to access and participate in education on the same basis as other students. This includes government and non- government education providers including preschools/kindergartens (but not child care providers).</w:t>
      </w:r>
    </w:p>
    <w:p w14:paraId="3DD1B7A8" w14:textId="77777777" w:rsidR="00C07C19" w:rsidRPr="005D2B05" w:rsidRDefault="00C07C19" w:rsidP="00E52F90">
      <w:pPr>
        <w:pStyle w:val="VCAAbody"/>
        <w:rPr>
          <w:color w:val="3A5A8B" w:themeColor="accent6" w:themeShade="BF"/>
        </w:rPr>
      </w:pPr>
      <w:r w:rsidRPr="003E0B65">
        <w:t>Those working with young children are subject to a number of legal obligations aimed at protecting young children from abuse and safeguarding their wellbeing. These are detailed by the below websites:</w:t>
      </w:r>
    </w:p>
    <w:p w14:paraId="3DD1B7A9" w14:textId="77777777" w:rsidR="00C07C19" w:rsidRPr="00B809AF" w:rsidRDefault="007D59C1" w:rsidP="00E52F90">
      <w:pPr>
        <w:pStyle w:val="VCAAbody"/>
        <w:rPr>
          <w:rStyle w:val="Hyperlink"/>
        </w:rPr>
      </w:pPr>
      <w:hyperlink r:id="rId24" w:history="1">
        <w:r w:rsidR="00C07C19" w:rsidRPr="00B809AF">
          <w:rPr>
            <w:rStyle w:val="Hyperlink"/>
          </w:rPr>
          <w:t>Mandatory reporting</w:t>
        </w:r>
      </w:hyperlink>
    </w:p>
    <w:p w14:paraId="3DD1B7AA" w14:textId="77777777" w:rsidR="00C07C19" w:rsidRPr="003E0B65" w:rsidRDefault="00C07C19" w:rsidP="00E52F90">
      <w:pPr>
        <w:pStyle w:val="VCAAbody"/>
      </w:pPr>
      <w:r w:rsidRPr="003E0B65">
        <w:t>Details regarding professionals who are legally obligated to report suspected child abuse and neglect, a</w:t>
      </w:r>
      <w:r>
        <w:t>s well as how to make a report.</w:t>
      </w:r>
    </w:p>
    <w:p w14:paraId="3DD1B7AB" w14:textId="77777777" w:rsidR="00C07C19" w:rsidRDefault="00C07C19" w:rsidP="00E52F90">
      <w:pPr>
        <w:pStyle w:val="VCAAbody"/>
        <w:rPr>
          <w:rFonts w:ascii="Source Sans Pro" w:hAnsi="Source Sans Pro" w:cs="Helvetica"/>
          <w:sz w:val="21"/>
          <w:szCs w:val="21"/>
        </w:rPr>
      </w:pPr>
      <w:r w:rsidRPr="00AB45EF">
        <w:t xml:space="preserve">The </w:t>
      </w:r>
      <w:hyperlink r:id="rId25" w:history="1">
        <w:r w:rsidRPr="00B809AF">
          <w:rPr>
            <w:rStyle w:val="Hyperlink"/>
          </w:rPr>
          <w:t>National Quality Framework</w:t>
        </w:r>
      </w:hyperlink>
      <w:r w:rsidRPr="00AB45EF">
        <w:t xml:space="preserve"> (NQF) operates under an applied law system, comprising the Education and Care Services National Law Act 2010 and the Education and Care Services National Regulations. The NQF applies to most long day care, family day care, outside school hours care and preschools/kindergartens in Australia</w:t>
      </w:r>
      <w:r>
        <w:rPr>
          <w:rFonts w:ascii="Source Sans Pro" w:hAnsi="Source Sans Pro" w:cs="Helvetica"/>
          <w:sz w:val="21"/>
          <w:szCs w:val="21"/>
        </w:rPr>
        <w:t xml:space="preserve">. </w:t>
      </w:r>
    </w:p>
    <w:p w14:paraId="3DD1B7AC" w14:textId="77777777" w:rsidR="003E1E0D" w:rsidRDefault="003E1E0D">
      <w:pPr>
        <w:rPr>
          <w:rFonts w:ascii="Arial" w:eastAsia="Times New Roman" w:hAnsi="Arial" w:cs="Arial"/>
          <w:b/>
          <w:color w:val="000000" w:themeColor="text1"/>
          <w:kern w:val="22"/>
          <w:sz w:val="28"/>
          <w:lang w:val="en-US" w:eastAsia="ja-JP"/>
        </w:rPr>
      </w:pPr>
      <w:r>
        <w:br w:type="page"/>
      </w:r>
    </w:p>
    <w:p w14:paraId="3DD1B7AD" w14:textId="77777777" w:rsidR="00C07C19" w:rsidRPr="00DD1A46" w:rsidRDefault="00C07C19" w:rsidP="00DD1A46">
      <w:pPr>
        <w:pStyle w:val="VCAAnumbers"/>
      </w:pPr>
      <w:bookmarkStart w:id="2" w:name="_Toc462306087"/>
      <w:r w:rsidRPr="00DD1A46">
        <w:lastRenderedPageBreak/>
        <w:t>Information and Evidence to inform policy maker and practitioner responses and strategic decisions that make a difference to children’s lives.</w:t>
      </w:r>
      <w:bookmarkEnd w:id="2"/>
    </w:p>
    <w:p w14:paraId="3DD1B7AE" w14:textId="77777777" w:rsidR="00C07C19" w:rsidRPr="00B809AF" w:rsidRDefault="007D59C1" w:rsidP="00E52F90">
      <w:pPr>
        <w:pStyle w:val="VCAAbody"/>
        <w:rPr>
          <w:rStyle w:val="Hyperlink"/>
        </w:rPr>
      </w:pPr>
      <w:hyperlink r:id="rId26" w:history="1">
        <w:r w:rsidR="00C07C19" w:rsidRPr="00B809AF">
          <w:rPr>
            <w:rStyle w:val="Hyperlink"/>
          </w:rPr>
          <w:t>State of Victoria Children’s Report</w:t>
        </w:r>
      </w:hyperlink>
      <w:r w:rsidR="00C07C19" w:rsidRPr="00B809AF">
        <w:rPr>
          <w:rStyle w:val="Hyperlink"/>
        </w:rPr>
        <w:t xml:space="preserve"> </w:t>
      </w:r>
    </w:p>
    <w:p w14:paraId="3DD1B7AF" w14:textId="77777777" w:rsidR="00C07C19" w:rsidRPr="003E0B65" w:rsidRDefault="00C07C19" w:rsidP="00E52F90">
      <w:pPr>
        <w:pStyle w:val="VCAAbody"/>
      </w:pPr>
      <w:r>
        <w:t>The a</w:t>
      </w:r>
      <w:r w:rsidRPr="003E0B65">
        <w:t xml:space="preserve">nnual State of Victoria’s Children </w:t>
      </w:r>
      <w:r>
        <w:t>R</w:t>
      </w:r>
      <w:r w:rsidRPr="003E0B65">
        <w:t>eports provide a comprehensive picture of the health, wellbeing, learning, safety and development of Victoria’s children and young people.</w:t>
      </w:r>
    </w:p>
    <w:p w14:paraId="3DD1B7B0" w14:textId="77777777" w:rsidR="00C07C19" w:rsidRPr="00B809AF" w:rsidRDefault="007D59C1" w:rsidP="00E52F90">
      <w:pPr>
        <w:pStyle w:val="VCAAbody"/>
        <w:rPr>
          <w:rStyle w:val="Hyperlink"/>
        </w:rPr>
      </w:pPr>
      <w:hyperlink r:id="rId27" w:history="1">
        <w:r w:rsidR="00C07C19" w:rsidRPr="00B809AF">
          <w:rPr>
            <w:rStyle w:val="Hyperlink"/>
          </w:rPr>
          <w:t>Australian Early Development Census (AEDC)</w:t>
        </w:r>
      </w:hyperlink>
    </w:p>
    <w:p w14:paraId="3DD1B7B1" w14:textId="77777777" w:rsidR="00C07C19" w:rsidRPr="003E0B65" w:rsidRDefault="00C07C19" w:rsidP="00E52F90">
      <w:pPr>
        <w:pStyle w:val="VCAAbody"/>
      </w:pPr>
      <w:r w:rsidRPr="003E0B65">
        <w:t xml:space="preserve">The Australian Early Development Census, conducted nationally every three years, provides publicly available, population-level information regarding children’s development as they enter school. Professionals can access information regarding </w:t>
      </w:r>
      <w:r>
        <w:t>proportion</w:t>
      </w:r>
      <w:r w:rsidRPr="003E0B65">
        <w:t xml:space="preserve"> of children developmentally vulnerable or at risk in their local area, and use this to </w:t>
      </w:r>
      <w:r>
        <w:t xml:space="preserve">inform strategic </w:t>
      </w:r>
      <w:r w:rsidRPr="003E0B65">
        <w:t>plan</w:t>
      </w:r>
      <w:r>
        <w:t>ning</w:t>
      </w:r>
      <w:r w:rsidRPr="003E0B65">
        <w:t xml:space="preserve"> </w:t>
      </w:r>
      <w:r>
        <w:t>to best meet the</w:t>
      </w:r>
      <w:r w:rsidRPr="003E0B65">
        <w:t xml:space="preserve"> identified needs of their community. </w:t>
      </w:r>
    </w:p>
    <w:p w14:paraId="3DD1B7B2" w14:textId="77777777" w:rsidR="00C07C19" w:rsidRPr="00B809AF" w:rsidRDefault="007D59C1" w:rsidP="00E52F90">
      <w:pPr>
        <w:pStyle w:val="VCAAbody"/>
        <w:rPr>
          <w:rStyle w:val="Hyperlink"/>
        </w:rPr>
      </w:pPr>
      <w:hyperlink r:id="rId28" w:history="1">
        <w:r w:rsidR="00C07C19" w:rsidRPr="00B809AF">
          <w:rPr>
            <w:rStyle w:val="Hyperlink"/>
          </w:rPr>
          <w:t>The Victorian AEDC</w:t>
        </w:r>
      </w:hyperlink>
      <w:r w:rsidR="00C07C19" w:rsidRPr="00B809AF">
        <w:rPr>
          <w:rStyle w:val="Hyperlink"/>
        </w:rPr>
        <w:t xml:space="preserve"> </w:t>
      </w:r>
    </w:p>
    <w:p w14:paraId="3DD1B7B3" w14:textId="77777777" w:rsidR="00C07C19" w:rsidRDefault="00C07C19" w:rsidP="00E52F90">
      <w:pPr>
        <w:pStyle w:val="VCAAbody"/>
      </w:pPr>
      <w:r>
        <w:t xml:space="preserve">This </w:t>
      </w:r>
      <w:r w:rsidRPr="003E0B65">
        <w:t xml:space="preserve">website provides maps to assist in understanding the AEDC results for specific Victorian Communities. </w:t>
      </w:r>
    </w:p>
    <w:p w14:paraId="3DD1B7B4" w14:textId="77777777" w:rsidR="00C07C19" w:rsidRPr="00B809AF" w:rsidRDefault="007D59C1" w:rsidP="00E52F90">
      <w:pPr>
        <w:pStyle w:val="VCAAbody"/>
        <w:rPr>
          <w:rStyle w:val="Hyperlink"/>
        </w:rPr>
      </w:pPr>
      <w:hyperlink r:id="rId29" w:history="1">
        <w:r w:rsidR="00C07C19" w:rsidRPr="00B809AF">
          <w:rPr>
            <w:rStyle w:val="Hyperlink"/>
          </w:rPr>
          <w:t>P-12 Principles of Teaching and Learning</w:t>
        </w:r>
      </w:hyperlink>
    </w:p>
    <w:p w14:paraId="3DD1B7B5" w14:textId="77777777" w:rsidR="00C07C19" w:rsidRPr="003E0B65" w:rsidRDefault="00C07C19" w:rsidP="00E52F90">
      <w:pPr>
        <w:pStyle w:val="VCAAbody"/>
        <w:rPr>
          <w:bCs/>
        </w:rPr>
      </w:pPr>
      <w:r w:rsidRPr="003E0B65">
        <w:t xml:space="preserve">The P–12 Principles of Learning and Teaching articulate six principles that can be used by schools, teams of teachers and individuals to reflect on practice and support professional dialogue to strengthen pedagogical practices. </w:t>
      </w:r>
    </w:p>
    <w:p w14:paraId="3DD1B7B6" w14:textId="77777777" w:rsidR="00C07C19" w:rsidRDefault="00C07C19" w:rsidP="00B809AF">
      <w:pPr>
        <w:pStyle w:val="VCAAnumbers"/>
        <w:spacing w:before="240"/>
        <w:rPr>
          <w:iCs/>
          <w:sz w:val="24"/>
          <w:szCs w:val="24"/>
        </w:rPr>
      </w:pPr>
      <w:bookmarkStart w:id="3" w:name="_Toc462306088"/>
      <w:r w:rsidRPr="00EB185F">
        <w:t>V</w:t>
      </w:r>
      <w:r>
        <w:t xml:space="preserve">ictorian </w:t>
      </w:r>
      <w:r w:rsidRPr="00EB185F">
        <w:t>E</w:t>
      </w:r>
      <w:r>
        <w:t xml:space="preserve">arly </w:t>
      </w:r>
      <w:r w:rsidRPr="00EB185F">
        <w:t>Y</w:t>
      </w:r>
      <w:r>
        <w:t xml:space="preserve">ears </w:t>
      </w:r>
      <w:r w:rsidRPr="00EB185F">
        <w:t>L</w:t>
      </w:r>
      <w:r>
        <w:t xml:space="preserve">earning and </w:t>
      </w:r>
      <w:r w:rsidRPr="00EB185F">
        <w:t>D</w:t>
      </w:r>
      <w:r>
        <w:t xml:space="preserve">evelopment </w:t>
      </w:r>
      <w:r w:rsidRPr="00EB185F">
        <w:t>F</w:t>
      </w:r>
      <w:r>
        <w:t>ramework</w:t>
      </w:r>
      <w:r w:rsidRPr="00EB185F">
        <w:t xml:space="preserve"> resources</w:t>
      </w:r>
      <w:bookmarkEnd w:id="3"/>
      <w:r w:rsidRPr="00CC02F4">
        <w:rPr>
          <w:iCs/>
          <w:sz w:val="24"/>
          <w:szCs w:val="24"/>
        </w:rPr>
        <w:t xml:space="preserve"> </w:t>
      </w:r>
    </w:p>
    <w:p w14:paraId="3DD1B7B7" w14:textId="77777777" w:rsidR="00C07C19" w:rsidRPr="00B809AF" w:rsidRDefault="007D59C1" w:rsidP="00E52F90">
      <w:pPr>
        <w:pStyle w:val="VCAAbody"/>
        <w:rPr>
          <w:rStyle w:val="Hyperlink"/>
        </w:rPr>
      </w:pPr>
      <w:hyperlink r:id="rId30" w:history="1">
        <w:r w:rsidR="00C07C19" w:rsidRPr="00B809AF">
          <w:rPr>
            <w:rStyle w:val="Hyperlink"/>
          </w:rPr>
          <w:t>Professional Learning Resources</w:t>
        </w:r>
      </w:hyperlink>
    </w:p>
    <w:p w14:paraId="3DD1B7B8" w14:textId="77777777" w:rsidR="002647BB" w:rsidRPr="00B809AF" w:rsidRDefault="00C07C19" w:rsidP="00E52F90">
      <w:pPr>
        <w:pStyle w:val="VCAAbody"/>
      </w:pPr>
      <w:r w:rsidRPr="0006590F">
        <w:t xml:space="preserve">Links to Department of Education and Training site with connections to resources created since 2010 that support the implementation of the Victorian Early Years Learning and Development Framework. </w:t>
      </w:r>
    </w:p>
    <w:sectPr w:rsidR="002647BB" w:rsidRPr="00B809AF" w:rsidSect="00DD1A46">
      <w:headerReference w:type="default" r:id="rId31"/>
      <w:headerReference w:type="first" r:id="rId32"/>
      <w:pgSz w:w="11907" w:h="16840" w:code="9"/>
      <w:pgMar w:top="993" w:right="1134" w:bottom="1134"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B7BB" w14:textId="77777777" w:rsidR="00532650" w:rsidRDefault="00532650" w:rsidP="00304EA1">
      <w:pPr>
        <w:spacing w:after="0" w:line="240" w:lineRule="auto"/>
      </w:pPr>
      <w:r>
        <w:separator/>
      </w:r>
    </w:p>
  </w:endnote>
  <w:endnote w:type="continuationSeparator" w:id="0">
    <w:p w14:paraId="3DD1B7BC" w14:textId="77777777" w:rsidR="00532650" w:rsidRDefault="0053265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1B7B9" w14:textId="77777777" w:rsidR="00532650" w:rsidRDefault="00532650" w:rsidP="00304EA1">
      <w:pPr>
        <w:spacing w:after="0" w:line="240" w:lineRule="auto"/>
      </w:pPr>
      <w:r>
        <w:separator/>
      </w:r>
    </w:p>
  </w:footnote>
  <w:footnote w:type="continuationSeparator" w:id="0">
    <w:p w14:paraId="3DD1B7BA" w14:textId="77777777" w:rsidR="00532650" w:rsidRDefault="00532650"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1B7BD" w14:textId="77777777" w:rsidR="00532650" w:rsidRPr="00B86E87" w:rsidRDefault="00532650" w:rsidP="00D86DE4">
    <w:pPr>
      <w:pStyle w:val="VCAAcaptionsandfootnotes"/>
      <w:rPr>
        <w:color w:val="999999" w:themeColor="accent2"/>
        <w:lang w:val="en-AU"/>
      </w:rPr>
    </w:pPr>
    <w:r>
      <w:rPr>
        <w:color w:val="999999" w:themeColor="accent2"/>
        <w:lang w:val="en-AU"/>
      </w:rPr>
      <w:t>VEYLDF Appendix 3: Overview of resources to support best practice of early childhood professionals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1B7BE" w14:textId="77777777" w:rsidR="00532650" w:rsidRPr="009370BC" w:rsidRDefault="00532650" w:rsidP="00C804A2">
    <w:pPr>
      <w:spacing w:after="0"/>
      <w:ind w:right="-142"/>
      <w:jc w:val="right"/>
    </w:pPr>
    <w:r>
      <w:rPr>
        <w:noProof/>
        <w:lang w:eastAsia="en-AU"/>
      </w:rPr>
      <w:drawing>
        <wp:anchor distT="0" distB="0" distL="114300" distR="114300" simplePos="0" relativeHeight="251659264" behindDoc="0" locked="0" layoutInCell="1" allowOverlap="1" wp14:anchorId="3DD1B7C0" wp14:editId="3DD1B7C1">
          <wp:simplePos x="0" y="0"/>
          <wp:positionH relativeFrom="column">
            <wp:posOffset>4832985</wp:posOffset>
          </wp:positionH>
          <wp:positionV relativeFrom="paragraph">
            <wp:posOffset>1905</wp:posOffset>
          </wp:positionV>
          <wp:extent cx="1377315" cy="14109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15" cy="1410970"/>
                  </a:xfrm>
                  <a:prstGeom prst="rect">
                    <a:avLst/>
                  </a:prstGeom>
                </pic:spPr>
              </pic:pic>
            </a:graphicData>
          </a:graphic>
          <wp14:sizeRelH relativeFrom="page">
            <wp14:pctWidth>0</wp14:pctWidth>
          </wp14:sizeRelH>
          <wp14:sizeRelV relativeFrom="page">
            <wp14:pctHeight>0</wp14:pctHeight>
          </wp14:sizeRelV>
        </wp:anchor>
      </w:drawing>
    </w:r>
  </w:p>
  <w:p w14:paraId="3DD1B7BF" w14:textId="77777777" w:rsidR="00532650" w:rsidRDefault="00532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F17"/>
    <w:multiLevelType w:val="hybridMultilevel"/>
    <w:tmpl w:val="18386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B44139"/>
    <w:multiLevelType w:val="hybridMultilevel"/>
    <w:tmpl w:val="63CC1AD4"/>
    <w:lvl w:ilvl="0" w:tplc="815AB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8B3E4E"/>
    <w:multiLevelType w:val="multilevel"/>
    <w:tmpl w:val="D6B2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E2962"/>
    <w:multiLevelType w:val="hybridMultilevel"/>
    <w:tmpl w:val="8A6E0D8A"/>
    <w:lvl w:ilvl="0" w:tplc="50B81ECC">
      <w:start w:val="1"/>
      <w:numFmt w:val="lowerRoman"/>
      <w:lvlText w:val="%1)"/>
      <w:lvlJc w:val="left"/>
      <w:pPr>
        <w:ind w:left="72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24680"/>
    <w:multiLevelType w:val="hybridMultilevel"/>
    <w:tmpl w:val="63CC1AD4"/>
    <w:lvl w:ilvl="0" w:tplc="815AB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D621C"/>
    <w:multiLevelType w:val="hybridMultilevel"/>
    <w:tmpl w:val="F82C5550"/>
    <w:lvl w:ilvl="0" w:tplc="50B81ECC">
      <w:start w:val="1"/>
      <w:numFmt w:val="lowerRoman"/>
      <w:lvlText w:val="%1)"/>
      <w:lvlJc w:val="left"/>
      <w:pPr>
        <w:ind w:left="108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63B0A"/>
    <w:multiLevelType w:val="multilevel"/>
    <w:tmpl w:val="82047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1D4F5A"/>
    <w:multiLevelType w:val="hybridMultilevel"/>
    <w:tmpl w:val="6EB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33345"/>
    <w:multiLevelType w:val="multilevel"/>
    <w:tmpl w:val="485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001E9"/>
    <w:multiLevelType w:val="multilevel"/>
    <w:tmpl w:val="11F8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196FDF"/>
    <w:multiLevelType w:val="hybridMultilevel"/>
    <w:tmpl w:val="06DEDD84"/>
    <w:lvl w:ilvl="0" w:tplc="43AA2154">
      <w:start w:val="1"/>
      <w:numFmt w:val="lowerRoman"/>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62828F5"/>
    <w:multiLevelType w:val="hybridMultilevel"/>
    <w:tmpl w:val="C8A04D58"/>
    <w:lvl w:ilvl="0" w:tplc="1CE86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A31CF"/>
    <w:multiLevelType w:val="hybridMultilevel"/>
    <w:tmpl w:val="F5E036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B222DD"/>
    <w:multiLevelType w:val="hybridMultilevel"/>
    <w:tmpl w:val="61D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608E7A14"/>
    <w:multiLevelType w:val="hybridMultilevel"/>
    <w:tmpl w:val="F82C5550"/>
    <w:lvl w:ilvl="0" w:tplc="50B81ECC">
      <w:start w:val="1"/>
      <w:numFmt w:val="lowerRoman"/>
      <w:lvlText w:val="%1)"/>
      <w:lvlJc w:val="left"/>
      <w:pPr>
        <w:ind w:left="108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nsid w:val="69942E7C"/>
    <w:multiLevelType w:val="multilevel"/>
    <w:tmpl w:val="FAC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5D3B52"/>
    <w:multiLevelType w:val="multilevel"/>
    <w:tmpl w:val="D602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F3E97"/>
    <w:multiLevelType w:val="hybridMultilevel"/>
    <w:tmpl w:val="FC44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060DF"/>
    <w:multiLevelType w:val="hybridMultilevel"/>
    <w:tmpl w:val="527838E4"/>
    <w:lvl w:ilvl="0" w:tplc="33CC617A">
      <w:start w:val="1"/>
      <w:numFmt w:val="lowerLetter"/>
      <w:pStyle w:val="VCAA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AB3A0D"/>
    <w:multiLevelType w:val="hybridMultilevel"/>
    <w:tmpl w:val="97C0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2"/>
  </w:num>
  <w:num w:numId="5">
    <w:abstractNumId w:val="16"/>
  </w:num>
  <w:num w:numId="6">
    <w:abstractNumId w:val="4"/>
  </w:num>
  <w:num w:numId="7">
    <w:abstractNumId w:val="5"/>
  </w:num>
  <w:num w:numId="8">
    <w:abstractNumId w:val="6"/>
  </w:num>
  <w:num w:numId="9">
    <w:abstractNumId w:val="1"/>
  </w:num>
  <w:num w:numId="10">
    <w:abstractNumId w:val="21"/>
  </w:num>
  <w:num w:numId="11">
    <w:abstractNumId w:val="20"/>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0"/>
  </w:num>
  <w:num w:numId="15">
    <w:abstractNumId w:val="19"/>
  </w:num>
  <w:num w:numId="16">
    <w:abstractNumId w:val="12"/>
  </w:num>
  <w:num w:numId="17">
    <w:abstractNumId w:val="13"/>
  </w:num>
  <w:num w:numId="18">
    <w:abstractNumId w:val="10"/>
  </w:num>
  <w:num w:numId="19">
    <w:abstractNumId w:val="8"/>
  </w:num>
  <w:num w:numId="20">
    <w:abstractNumId w:val="17"/>
  </w:num>
  <w:num w:numId="21">
    <w:abstractNumId w:val="9"/>
  </w:num>
  <w:num w:numId="22">
    <w:abstractNumId w:val="23"/>
  </w:num>
  <w:num w:numId="23">
    <w:abstractNumId w:val="14"/>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SortMethod w:val="0000"/>
  <w:mailMerge>
    <w:mainDocumentType w:val="formLetters"/>
    <w:dataType w:val="textFile"/>
    <w:activeRecord w:val="-1"/>
    <w:odso/>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19"/>
    <w:rsid w:val="00003885"/>
    <w:rsid w:val="0005780E"/>
    <w:rsid w:val="00065CC6"/>
    <w:rsid w:val="000A71F7"/>
    <w:rsid w:val="000F09E4"/>
    <w:rsid w:val="000F16FD"/>
    <w:rsid w:val="002279BA"/>
    <w:rsid w:val="002329F3"/>
    <w:rsid w:val="00243F0D"/>
    <w:rsid w:val="002647BB"/>
    <w:rsid w:val="002754C1"/>
    <w:rsid w:val="002841C8"/>
    <w:rsid w:val="0028516B"/>
    <w:rsid w:val="002C6F90"/>
    <w:rsid w:val="002E4FB5"/>
    <w:rsid w:val="00302FB8"/>
    <w:rsid w:val="00304EA1"/>
    <w:rsid w:val="00314D81"/>
    <w:rsid w:val="00322FC6"/>
    <w:rsid w:val="0035293F"/>
    <w:rsid w:val="00355640"/>
    <w:rsid w:val="00391986"/>
    <w:rsid w:val="003A00B4"/>
    <w:rsid w:val="003C4E55"/>
    <w:rsid w:val="003E1E0D"/>
    <w:rsid w:val="00417AA3"/>
    <w:rsid w:val="00424532"/>
    <w:rsid w:val="00440B32"/>
    <w:rsid w:val="0046078D"/>
    <w:rsid w:val="004A2ED8"/>
    <w:rsid w:val="004F5BDA"/>
    <w:rsid w:val="0051631E"/>
    <w:rsid w:val="00532650"/>
    <w:rsid w:val="00537A1F"/>
    <w:rsid w:val="00562707"/>
    <w:rsid w:val="00566029"/>
    <w:rsid w:val="005923CB"/>
    <w:rsid w:val="005B391B"/>
    <w:rsid w:val="005D3D78"/>
    <w:rsid w:val="005E0D5E"/>
    <w:rsid w:val="005E2EF0"/>
    <w:rsid w:val="006402E4"/>
    <w:rsid w:val="0068471E"/>
    <w:rsid w:val="00684F98"/>
    <w:rsid w:val="00693FFD"/>
    <w:rsid w:val="006D2159"/>
    <w:rsid w:val="006F787C"/>
    <w:rsid w:val="00702636"/>
    <w:rsid w:val="00724507"/>
    <w:rsid w:val="00773E6C"/>
    <w:rsid w:val="00776C53"/>
    <w:rsid w:val="00781FB1"/>
    <w:rsid w:val="007D59C1"/>
    <w:rsid w:val="00813C37"/>
    <w:rsid w:val="008154B5"/>
    <w:rsid w:val="00823962"/>
    <w:rsid w:val="00852719"/>
    <w:rsid w:val="00860115"/>
    <w:rsid w:val="0088783C"/>
    <w:rsid w:val="008A145D"/>
    <w:rsid w:val="009370BC"/>
    <w:rsid w:val="00970580"/>
    <w:rsid w:val="0098739B"/>
    <w:rsid w:val="009B61E5"/>
    <w:rsid w:val="009D1E89"/>
    <w:rsid w:val="00A17661"/>
    <w:rsid w:val="00A24B2D"/>
    <w:rsid w:val="00A37851"/>
    <w:rsid w:val="00A40966"/>
    <w:rsid w:val="00A83B40"/>
    <w:rsid w:val="00A921E0"/>
    <w:rsid w:val="00AE6A92"/>
    <w:rsid w:val="00AF051B"/>
    <w:rsid w:val="00B01578"/>
    <w:rsid w:val="00B0738F"/>
    <w:rsid w:val="00B26601"/>
    <w:rsid w:val="00B41951"/>
    <w:rsid w:val="00B53229"/>
    <w:rsid w:val="00B62480"/>
    <w:rsid w:val="00B809AF"/>
    <w:rsid w:val="00B81B70"/>
    <w:rsid w:val="00B86E87"/>
    <w:rsid w:val="00BD0724"/>
    <w:rsid w:val="00BD2B91"/>
    <w:rsid w:val="00BE5521"/>
    <w:rsid w:val="00C07C19"/>
    <w:rsid w:val="00C41AB5"/>
    <w:rsid w:val="00C53263"/>
    <w:rsid w:val="00C75F1D"/>
    <w:rsid w:val="00C804A2"/>
    <w:rsid w:val="00CA6B04"/>
    <w:rsid w:val="00CB68E8"/>
    <w:rsid w:val="00D04F01"/>
    <w:rsid w:val="00D338E4"/>
    <w:rsid w:val="00D51947"/>
    <w:rsid w:val="00D532F0"/>
    <w:rsid w:val="00D77413"/>
    <w:rsid w:val="00D82759"/>
    <w:rsid w:val="00D86DE4"/>
    <w:rsid w:val="00DD1A46"/>
    <w:rsid w:val="00DE5D24"/>
    <w:rsid w:val="00E23F1D"/>
    <w:rsid w:val="00E30289"/>
    <w:rsid w:val="00E36361"/>
    <w:rsid w:val="00E52F90"/>
    <w:rsid w:val="00E55AE9"/>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D1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07C19"/>
    <w:rPr>
      <w:lang w:val="en-AU"/>
    </w:rPr>
  </w:style>
  <w:style w:type="paragraph" w:styleId="Heading1">
    <w:name w:val="heading 1"/>
    <w:basedOn w:val="Normal"/>
    <w:next w:val="Normal"/>
    <w:link w:val="Heading1Char"/>
    <w:uiPriority w:val="9"/>
    <w:semiHidden/>
    <w:qFormat/>
    <w:rsid w:val="00DE5D24"/>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DE5D24"/>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DE5D24"/>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532650"/>
    <w:pPr>
      <w:spacing w:before="360"/>
      <w:outlineLvl w:val="0"/>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532650"/>
    <w:pPr>
      <w:numPr>
        <w:numId w:val="3"/>
      </w:numPr>
      <w:spacing w:line="320" w:lineRule="exact"/>
      <w:ind w:left="357" w:hanging="357"/>
      <w:outlineLvl w:val="1"/>
    </w:pPr>
    <w:rPr>
      <w:b/>
      <w:sz w:val="28"/>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776C53"/>
    <w:pPr>
      <w:numPr>
        <w:numId w:val="27"/>
      </w:numPr>
      <w:spacing w:line="280" w:lineRule="exact"/>
      <w:ind w:left="357" w:hanging="357"/>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styleId="ListParagraph">
    <w:name w:val="List Paragraph"/>
    <w:basedOn w:val="Normal"/>
    <w:uiPriority w:val="34"/>
    <w:qFormat/>
    <w:rsid w:val="00C07C19"/>
    <w:pPr>
      <w:ind w:left="720"/>
      <w:contextualSpacing/>
    </w:pPr>
  </w:style>
  <w:style w:type="character" w:styleId="CommentReference">
    <w:name w:val="annotation reference"/>
    <w:basedOn w:val="DefaultParagraphFont"/>
    <w:uiPriority w:val="99"/>
    <w:semiHidden/>
    <w:unhideWhenUsed/>
    <w:rsid w:val="00C07C19"/>
    <w:rPr>
      <w:sz w:val="16"/>
      <w:szCs w:val="16"/>
    </w:rPr>
  </w:style>
  <w:style w:type="paragraph" w:styleId="CommentText">
    <w:name w:val="annotation text"/>
    <w:basedOn w:val="Normal"/>
    <w:link w:val="CommentTextChar"/>
    <w:uiPriority w:val="99"/>
    <w:unhideWhenUsed/>
    <w:rsid w:val="00C07C19"/>
    <w:pPr>
      <w:spacing w:line="240" w:lineRule="auto"/>
    </w:pPr>
    <w:rPr>
      <w:sz w:val="20"/>
      <w:szCs w:val="20"/>
    </w:rPr>
  </w:style>
  <w:style w:type="character" w:customStyle="1" w:styleId="CommentTextChar">
    <w:name w:val="Comment Text Char"/>
    <w:basedOn w:val="DefaultParagraphFont"/>
    <w:link w:val="CommentText"/>
    <w:uiPriority w:val="99"/>
    <w:rsid w:val="00C07C19"/>
    <w:rPr>
      <w:sz w:val="20"/>
      <w:szCs w:val="20"/>
      <w:lang w:val="en-AU"/>
    </w:rPr>
  </w:style>
  <w:style w:type="character" w:styleId="FollowedHyperlink">
    <w:name w:val="FollowedHyperlink"/>
    <w:basedOn w:val="DefaultParagraphFont"/>
    <w:uiPriority w:val="99"/>
    <w:semiHidden/>
    <w:unhideWhenUsed/>
    <w:rsid w:val="00C07C19"/>
    <w:rPr>
      <w:color w:val="8DB3E2" w:themeColor="followedHyperlink"/>
      <w:u w:val="single"/>
    </w:rPr>
  </w:style>
  <w:style w:type="paragraph" w:styleId="CommentSubject">
    <w:name w:val="annotation subject"/>
    <w:basedOn w:val="CommentText"/>
    <w:next w:val="CommentText"/>
    <w:link w:val="CommentSubjectChar"/>
    <w:uiPriority w:val="99"/>
    <w:semiHidden/>
    <w:unhideWhenUsed/>
    <w:rsid w:val="00C07C19"/>
    <w:rPr>
      <w:b/>
      <w:bCs/>
    </w:rPr>
  </w:style>
  <w:style w:type="character" w:customStyle="1" w:styleId="CommentSubjectChar">
    <w:name w:val="Comment Subject Char"/>
    <w:basedOn w:val="CommentTextChar"/>
    <w:link w:val="CommentSubject"/>
    <w:uiPriority w:val="99"/>
    <w:semiHidden/>
    <w:rsid w:val="00C07C19"/>
    <w:rPr>
      <w:b/>
      <w:bCs/>
      <w:sz w:val="20"/>
      <w:szCs w:val="20"/>
      <w:lang w:val="en-AU"/>
    </w:rPr>
  </w:style>
  <w:style w:type="character" w:styleId="Emphasis">
    <w:name w:val="Emphasis"/>
    <w:basedOn w:val="DefaultParagraphFont"/>
    <w:uiPriority w:val="20"/>
    <w:qFormat/>
    <w:rsid w:val="00C07C19"/>
    <w:rPr>
      <w:i/>
      <w:iCs/>
    </w:rPr>
  </w:style>
  <w:style w:type="character" w:customStyle="1" w:styleId="Heading1Char">
    <w:name w:val="Heading 1 Char"/>
    <w:basedOn w:val="DefaultParagraphFont"/>
    <w:link w:val="Heading1"/>
    <w:uiPriority w:val="9"/>
    <w:semiHidden/>
    <w:rsid w:val="00DE5D24"/>
    <w:rPr>
      <w:rFonts w:asciiTheme="majorHAnsi" w:eastAsiaTheme="majorEastAsia" w:hAnsiTheme="majorHAnsi" w:cstheme="majorBidi"/>
      <w:b/>
      <w:bCs/>
      <w:color w:val="0072AA" w:themeColor="accent1" w:themeShade="BF"/>
      <w:sz w:val="28"/>
      <w:szCs w:val="28"/>
      <w:lang w:val="en-AU"/>
    </w:rPr>
  </w:style>
  <w:style w:type="paragraph" w:styleId="TOC1">
    <w:name w:val="toc 1"/>
    <w:basedOn w:val="VCAAbody"/>
    <w:next w:val="Normal"/>
    <w:autoRedefine/>
    <w:uiPriority w:val="39"/>
    <w:unhideWhenUsed/>
    <w:rsid w:val="00E30289"/>
    <w:pPr>
      <w:tabs>
        <w:tab w:val="left" w:pos="440"/>
        <w:tab w:val="right" w:leader="dot" w:pos="9629"/>
      </w:tabs>
      <w:spacing w:after="100"/>
      <w:ind w:left="426" w:hanging="426"/>
    </w:pPr>
  </w:style>
  <w:style w:type="character" w:customStyle="1" w:styleId="Heading2Char">
    <w:name w:val="Heading 2 Char"/>
    <w:basedOn w:val="DefaultParagraphFont"/>
    <w:link w:val="Heading2"/>
    <w:uiPriority w:val="9"/>
    <w:semiHidden/>
    <w:rsid w:val="00DE5D24"/>
    <w:rPr>
      <w:rFonts w:asciiTheme="majorHAnsi" w:eastAsiaTheme="majorEastAsia" w:hAnsiTheme="majorHAnsi" w:cstheme="majorBidi"/>
      <w:b/>
      <w:bCs/>
      <w:color w:val="0099E3" w:themeColor="accent1"/>
      <w:sz w:val="26"/>
      <w:szCs w:val="26"/>
      <w:lang w:val="en-AU"/>
    </w:rPr>
  </w:style>
  <w:style w:type="character" w:customStyle="1" w:styleId="Heading3Char">
    <w:name w:val="Heading 3 Char"/>
    <w:basedOn w:val="DefaultParagraphFont"/>
    <w:link w:val="Heading3"/>
    <w:uiPriority w:val="9"/>
    <w:semiHidden/>
    <w:rsid w:val="00DE5D24"/>
    <w:rPr>
      <w:rFonts w:asciiTheme="majorHAnsi" w:eastAsiaTheme="majorEastAsia" w:hAnsiTheme="majorHAnsi" w:cstheme="majorBidi"/>
      <w:b/>
      <w:bCs/>
      <w:color w:val="0099E3" w:themeColor="accent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07C19"/>
    <w:rPr>
      <w:lang w:val="en-AU"/>
    </w:rPr>
  </w:style>
  <w:style w:type="paragraph" w:styleId="Heading1">
    <w:name w:val="heading 1"/>
    <w:basedOn w:val="Normal"/>
    <w:next w:val="Normal"/>
    <w:link w:val="Heading1Char"/>
    <w:uiPriority w:val="9"/>
    <w:semiHidden/>
    <w:qFormat/>
    <w:rsid w:val="00DE5D24"/>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DE5D24"/>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DE5D24"/>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532650"/>
    <w:pPr>
      <w:spacing w:before="360"/>
      <w:outlineLvl w:val="0"/>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532650"/>
    <w:pPr>
      <w:numPr>
        <w:numId w:val="3"/>
      </w:numPr>
      <w:spacing w:line="320" w:lineRule="exact"/>
      <w:ind w:left="357" w:hanging="357"/>
      <w:outlineLvl w:val="1"/>
    </w:pPr>
    <w:rPr>
      <w:b/>
      <w:sz w:val="28"/>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776C53"/>
    <w:pPr>
      <w:numPr>
        <w:numId w:val="27"/>
      </w:numPr>
      <w:spacing w:line="280" w:lineRule="exact"/>
      <w:ind w:left="357" w:hanging="357"/>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styleId="ListParagraph">
    <w:name w:val="List Paragraph"/>
    <w:basedOn w:val="Normal"/>
    <w:uiPriority w:val="34"/>
    <w:qFormat/>
    <w:rsid w:val="00C07C19"/>
    <w:pPr>
      <w:ind w:left="720"/>
      <w:contextualSpacing/>
    </w:pPr>
  </w:style>
  <w:style w:type="character" w:styleId="CommentReference">
    <w:name w:val="annotation reference"/>
    <w:basedOn w:val="DefaultParagraphFont"/>
    <w:uiPriority w:val="99"/>
    <w:semiHidden/>
    <w:unhideWhenUsed/>
    <w:rsid w:val="00C07C19"/>
    <w:rPr>
      <w:sz w:val="16"/>
      <w:szCs w:val="16"/>
    </w:rPr>
  </w:style>
  <w:style w:type="paragraph" w:styleId="CommentText">
    <w:name w:val="annotation text"/>
    <w:basedOn w:val="Normal"/>
    <w:link w:val="CommentTextChar"/>
    <w:uiPriority w:val="99"/>
    <w:unhideWhenUsed/>
    <w:rsid w:val="00C07C19"/>
    <w:pPr>
      <w:spacing w:line="240" w:lineRule="auto"/>
    </w:pPr>
    <w:rPr>
      <w:sz w:val="20"/>
      <w:szCs w:val="20"/>
    </w:rPr>
  </w:style>
  <w:style w:type="character" w:customStyle="1" w:styleId="CommentTextChar">
    <w:name w:val="Comment Text Char"/>
    <w:basedOn w:val="DefaultParagraphFont"/>
    <w:link w:val="CommentText"/>
    <w:uiPriority w:val="99"/>
    <w:rsid w:val="00C07C19"/>
    <w:rPr>
      <w:sz w:val="20"/>
      <w:szCs w:val="20"/>
      <w:lang w:val="en-AU"/>
    </w:rPr>
  </w:style>
  <w:style w:type="character" w:styleId="FollowedHyperlink">
    <w:name w:val="FollowedHyperlink"/>
    <w:basedOn w:val="DefaultParagraphFont"/>
    <w:uiPriority w:val="99"/>
    <w:semiHidden/>
    <w:unhideWhenUsed/>
    <w:rsid w:val="00C07C19"/>
    <w:rPr>
      <w:color w:val="8DB3E2" w:themeColor="followedHyperlink"/>
      <w:u w:val="single"/>
    </w:rPr>
  </w:style>
  <w:style w:type="paragraph" w:styleId="CommentSubject">
    <w:name w:val="annotation subject"/>
    <w:basedOn w:val="CommentText"/>
    <w:next w:val="CommentText"/>
    <w:link w:val="CommentSubjectChar"/>
    <w:uiPriority w:val="99"/>
    <w:semiHidden/>
    <w:unhideWhenUsed/>
    <w:rsid w:val="00C07C19"/>
    <w:rPr>
      <w:b/>
      <w:bCs/>
    </w:rPr>
  </w:style>
  <w:style w:type="character" w:customStyle="1" w:styleId="CommentSubjectChar">
    <w:name w:val="Comment Subject Char"/>
    <w:basedOn w:val="CommentTextChar"/>
    <w:link w:val="CommentSubject"/>
    <w:uiPriority w:val="99"/>
    <w:semiHidden/>
    <w:rsid w:val="00C07C19"/>
    <w:rPr>
      <w:b/>
      <w:bCs/>
      <w:sz w:val="20"/>
      <w:szCs w:val="20"/>
      <w:lang w:val="en-AU"/>
    </w:rPr>
  </w:style>
  <w:style w:type="character" w:styleId="Emphasis">
    <w:name w:val="Emphasis"/>
    <w:basedOn w:val="DefaultParagraphFont"/>
    <w:uiPriority w:val="20"/>
    <w:qFormat/>
    <w:rsid w:val="00C07C19"/>
    <w:rPr>
      <w:i/>
      <w:iCs/>
    </w:rPr>
  </w:style>
  <w:style w:type="character" w:customStyle="1" w:styleId="Heading1Char">
    <w:name w:val="Heading 1 Char"/>
    <w:basedOn w:val="DefaultParagraphFont"/>
    <w:link w:val="Heading1"/>
    <w:uiPriority w:val="9"/>
    <w:semiHidden/>
    <w:rsid w:val="00DE5D24"/>
    <w:rPr>
      <w:rFonts w:asciiTheme="majorHAnsi" w:eastAsiaTheme="majorEastAsia" w:hAnsiTheme="majorHAnsi" w:cstheme="majorBidi"/>
      <w:b/>
      <w:bCs/>
      <w:color w:val="0072AA" w:themeColor="accent1" w:themeShade="BF"/>
      <w:sz w:val="28"/>
      <w:szCs w:val="28"/>
      <w:lang w:val="en-AU"/>
    </w:rPr>
  </w:style>
  <w:style w:type="paragraph" w:styleId="TOC1">
    <w:name w:val="toc 1"/>
    <w:basedOn w:val="VCAAbody"/>
    <w:next w:val="Normal"/>
    <w:autoRedefine/>
    <w:uiPriority w:val="39"/>
    <w:unhideWhenUsed/>
    <w:rsid w:val="00E30289"/>
    <w:pPr>
      <w:tabs>
        <w:tab w:val="left" w:pos="440"/>
        <w:tab w:val="right" w:leader="dot" w:pos="9629"/>
      </w:tabs>
      <w:spacing w:after="100"/>
      <w:ind w:left="426" w:hanging="426"/>
    </w:pPr>
  </w:style>
  <w:style w:type="character" w:customStyle="1" w:styleId="Heading2Char">
    <w:name w:val="Heading 2 Char"/>
    <w:basedOn w:val="DefaultParagraphFont"/>
    <w:link w:val="Heading2"/>
    <w:uiPriority w:val="9"/>
    <w:semiHidden/>
    <w:rsid w:val="00DE5D24"/>
    <w:rPr>
      <w:rFonts w:asciiTheme="majorHAnsi" w:eastAsiaTheme="majorEastAsia" w:hAnsiTheme="majorHAnsi" w:cstheme="majorBidi"/>
      <w:b/>
      <w:bCs/>
      <w:color w:val="0099E3" w:themeColor="accent1"/>
      <w:sz w:val="26"/>
      <w:szCs w:val="26"/>
      <w:lang w:val="en-AU"/>
    </w:rPr>
  </w:style>
  <w:style w:type="character" w:customStyle="1" w:styleId="Heading3Char">
    <w:name w:val="Heading 3 Char"/>
    <w:basedOn w:val="DefaultParagraphFont"/>
    <w:link w:val="Heading3"/>
    <w:uiPriority w:val="9"/>
    <w:semiHidden/>
    <w:rsid w:val="00DE5D24"/>
    <w:rPr>
      <w:rFonts w:asciiTheme="majorHAnsi" w:eastAsiaTheme="majorEastAsia" w:hAnsiTheme="majorHAnsi" w:cstheme="majorBidi"/>
      <w:b/>
      <w:bCs/>
      <w:color w:val="0099E3"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v.au/early-years-learning-framework" TargetMode="External"/><Relationship Id="rId18" Type="http://schemas.openxmlformats.org/officeDocument/2006/relationships/hyperlink" Target="http://www.dhs.vic.gov.au/about-the-department/documents-and-resources/policies,-guidelines-and-legislation/child-safe-standards" TargetMode="External"/><Relationship Id="rId26" Type="http://schemas.openxmlformats.org/officeDocument/2006/relationships/hyperlink" Target="http://www.education.vic.gov.au/about/research/pages/reportdatachildren.aspx" TargetMode="External"/><Relationship Id="rId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dse.theeducationinstitute.edu.au/login/index.ph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victoriancurriculum.vcaa.vic.edu.au/" TargetMode="External"/><Relationship Id="rId25" Type="http://schemas.openxmlformats.org/officeDocument/2006/relationships/hyperlink" Target="http://www.education.vic.gov.au/childhood/providers/regulation/Pages/nqf.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hyperlink" Target="http://www.education.vic.gov.au/childhood/providers/regulation/Pages/vcs.aspx" TargetMode="External"/><Relationship Id="rId29" Type="http://schemas.openxmlformats.org/officeDocument/2006/relationships/hyperlink" Target="http://www.education.vic.gov.au/school/teachers/support/pages/principles12.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dhs.vic.gov.au/for-service-providers/children,-youth-and-families/child-protection/how-to-make-a-report-to-child-protection"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education.vic.gov.au/childhood/providers/regulation/Pages/nqf.aspx" TargetMode="External"/><Relationship Id="rId23" Type="http://schemas.openxmlformats.org/officeDocument/2006/relationships/hyperlink" Target="https://www.education.gov.au/disability-standards-education" TargetMode="External"/><Relationship Id="rId28" Type="http://schemas.openxmlformats.org/officeDocument/2006/relationships/hyperlink" Target="http://www.education.vic.gov.au/about/research/pages/aedi.aspx" TargetMode="External"/><Relationship Id="rId10" Type="http://schemas.openxmlformats.org/officeDocument/2006/relationships/webSettings" Target="webSettings.xml"/><Relationship Id="rId19" Type="http://schemas.openxmlformats.org/officeDocument/2006/relationships/hyperlink" Target="http://www.dhs.vic.gov.au/for-service-providers/children,-youth-and-families/child-protection" TargetMode="External"/><Relationship Id="rId31" Type="http://schemas.openxmlformats.org/officeDocument/2006/relationships/header" Target="header1.xml"/><Relationship Id="rId30" Type="http://schemas.openxmlformats.org/officeDocument/2006/relationships/hyperlink" Target="http://www.education.vic.gov.au/Documents/childhood/providers/edcare/veyldfresources.docx" TargetMode="External"/><Relationship Id="rId9" Type="http://schemas.openxmlformats.org/officeDocument/2006/relationships/settings" Target="settings.xml"/><Relationship Id="rId14" Type="http://schemas.openxmlformats.org/officeDocument/2006/relationships/hyperlink" Target="http://files.acecqa.gov.au/files/National-Quality-Framework-Resources-Kit/my_time_our_place_framework_for_school_age_care_in_australia.pdf" TargetMode="External"/><Relationship Id="rId22" Type="http://schemas.openxmlformats.org/officeDocument/2006/relationships/hyperlink" Target="https://www.humanrights.gov.au/dda-guide-whats-it-all-about" TargetMode="External"/><Relationship Id="rId27" Type="http://schemas.openxmlformats.org/officeDocument/2006/relationships/hyperlink" Target="https://www.aed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VEYLDF, Victorian Framework, Early childhood, practice resources, teachers, allied health, MCH, ECIS, birth to eight, school, curriculum</DEECD_Keywords>
    <PublishingExpirationDate xmlns="http://schemas.microsoft.com/sharepoint/v3" xsi:nil="true"/>
    <DEECD_Description xmlns="http://schemas.microsoft.com/sharepoint/v3">Overview of resources to support early childhood professional best practice birth to eight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6AC12-8F79-46A4-ADBF-D4D73F59444E}"/>
</file>

<file path=customXml/itemProps2.xml><?xml version="1.0" encoding="utf-8"?>
<ds:datastoreItem xmlns:ds="http://schemas.openxmlformats.org/officeDocument/2006/customXml" ds:itemID="{ACA9D663-7D3D-48B0-8B04-FEBBAA62FD72}"/>
</file>

<file path=customXml/itemProps3.xml><?xml version="1.0" encoding="utf-8"?>
<ds:datastoreItem xmlns:ds="http://schemas.openxmlformats.org/officeDocument/2006/customXml" ds:itemID="{CCFAA8B7-837F-4A48-84E6-A04FD62A3EE6}"/>
</file>

<file path=customXml/itemProps4.xml><?xml version="1.0" encoding="utf-8"?>
<ds:datastoreItem xmlns:ds="http://schemas.openxmlformats.org/officeDocument/2006/customXml" ds:itemID="{45A6AC12-8F79-46A4-ADBF-D4D73F59444E}">
  <ds:schemaRefs>
    <ds:schemaRef ds:uri="http://schemas.microsoft.com/sharepoint/v3/contenttype/forms"/>
  </ds:schemaRefs>
</ds:datastoreItem>
</file>

<file path=customXml/itemProps5.xml><?xml version="1.0" encoding="utf-8"?>
<ds:datastoreItem xmlns:ds="http://schemas.openxmlformats.org/officeDocument/2006/customXml" ds:itemID="{BACA8EEC-8D3B-4AF2-B9B7-F266F9FAA97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VEYLDF Appendix 3: Overview of resources to support best practice of early childhood professionals</vt:lpstr>
    </vt:vector>
  </TitlesOfParts>
  <Company>Victorian Curriculum and Assessment Authority</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VEYLDF Appendix 3: Overview of resources to support best practice of early childhood professionals</dc:title>
  <dc:subject>Early Years</dc:subject>
  <dc:creator>Scott, Robyn J;vcaa@edumail.vic.gov.au</dc:creator>
  <cp:lastModifiedBy>Randall, Michael MR</cp:lastModifiedBy>
  <cp:revision>2</cp:revision>
  <cp:lastPrinted>2016-09-22T01:45:00Z</cp:lastPrinted>
  <dcterms:created xsi:type="dcterms:W3CDTF">2016-09-22T23:46:00Z</dcterms:created>
  <dcterms:modified xsi:type="dcterms:W3CDTF">2016-09-22T23:46:00Z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{b8d3fa2b-0c79-4519-a01d-c73e739051be}</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R0000472240</vt:lpwstr>
  </property>
  <property fmtid="{D5CDD505-2E9C-101B-9397-08002B2CF9AE}" pid="12" name="RecordPoint_SubmissionCompleted">
    <vt:lpwstr>2016-09-22T15:11:40.3671584+10:00</vt:lpwstr>
  </property>
  <property fmtid="{D5CDD505-2E9C-101B-9397-08002B2CF9AE}" pid="13" name="DEECD_Author">
    <vt:lpwstr>94;#Education|5232e41c-5101-41fe-b638-7d41d1371531</vt:lpwstr>
  </property>
  <property fmtid="{D5CDD505-2E9C-101B-9397-08002B2CF9AE}" pid="14" name="RecordPoint_SubmissionDate">
    <vt:lpwstr/>
  </property>
  <property fmtid="{D5CDD505-2E9C-101B-9397-08002B2CF9AE}" pid="15" name="DEECD_SubjectCategory">
    <vt:lpwstr/>
  </property>
  <property fmtid="{D5CDD505-2E9C-101B-9397-08002B2CF9AE}" pid="16" name="DEECD_ItemType">
    <vt:lpwstr>101;#Page|eb523acf-a821-456c-a76b-7607578309d7</vt:lpwstr>
  </property>
  <property fmtid="{D5CDD505-2E9C-101B-9397-08002B2CF9AE}" pid="17" name="DEECD_Audience">
    <vt:lpwstr>105;#Early Childhood Professionals|8bc25fdb-3bda-407a-92d0-4b783a97986f</vt:lpwstr>
  </property>
  <property fmtid="{D5CDD505-2E9C-101B-9397-08002B2CF9AE}" pid="18" name="RecordPoint_ActiveItemMoved">
    <vt:lpwstr/>
  </property>
  <property fmtid="{D5CDD505-2E9C-101B-9397-08002B2CF9AE}" pid="19" name="RecordPoint_RecordFormat">
    <vt:lpwstr/>
  </property>
</Properties>
</file>