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</w:pPr>
      <w:bookmarkStart w:id="0" w:name="_GoBack"/>
      <w:bookmarkEnd w:id="0"/>
      <w:r>
        <w:t>PREPARACIÓN PARA EMPEZAR LA ESCUELA</w:t>
      </w:r>
    </w:p>
    <w:p w14:paraId="072D8FF3" w14:textId="502F06A0" w:rsidR="00D04563" w:rsidRDefault="00D04563" w:rsidP="00D04563">
      <w:pPr>
        <w:pStyle w:val="Intro"/>
        <w:spacing w:after="60"/>
        <w:jc w:val="both"/>
      </w:pPr>
      <w:bookmarkStart w:id="1" w:name="_Hlk83805152"/>
      <w:r>
        <w:t>Empezar la escuela es un gran cambio tanto para los niños y niñas como para las familias. Acostumbrarse a personas, lugares y rutinas nuevos puede ser emocionante</w:t>
      </w:r>
      <w:r w:rsidR="00DA5ABB">
        <w:rPr>
          <w:rFonts w:ascii="Symbol" w:hAnsi="Symbol"/>
        </w:rPr>
        <w:t></w:t>
      </w:r>
      <w:r>
        <w:t xml:space="preserve"> pero a la vez un reto. </w:t>
      </w:r>
      <w:bookmarkEnd w:id="1"/>
      <w:r>
        <w:t>Hay muchas cosas que puede hacer para ayudar a su hijo/a a tener un buen comienzo en la escuela.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</w:pPr>
      <w:r>
        <w:t>¿Qué es un buen comienzo en la escuela?</w:t>
      </w:r>
    </w:p>
    <w:p w14:paraId="6D26FC73" w14:textId="7B5CB7F7" w:rsidR="007172EB" w:rsidRDefault="007172EB" w:rsidP="00074240">
      <w:pPr>
        <w:jc w:val="both"/>
      </w:pPr>
      <w:r>
        <w:t xml:space="preserve">Las familias y los cuidadores son los primeros maestros de los niños.  Las cosas que hace en casa con su hijo/a ayudan a su aprendizaje y desarrollo y lo/a preparan para la escuela. La mejor manera de apoyar el aprendizaje y el desarrollo de su hijo/a es a través del </w:t>
      </w:r>
      <w:r w:rsidRPr="00557A38">
        <w:rPr>
          <w:b/>
          <w:bCs/>
          <w:color w:val="86189C" w:themeColor="accent2"/>
        </w:rPr>
        <w:t>juego</w:t>
      </w:r>
      <w:r>
        <w:t xml:space="preserve">. </w:t>
      </w:r>
    </w:p>
    <w:p w14:paraId="27321963" w14:textId="1C9A0EE2" w:rsidR="00F64B3E" w:rsidRPr="00074240" w:rsidRDefault="00F64B3E" w:rsidP="00074240">
      <w:pPr>
        <w:jc w:val="both"/>
      </w:pPr>
      <w:r>
        <w:t xml:space="preserve">Un buen comienzo en la escuela ayuda a que los niños aprendan bien y se sientan más felices. Y cuando los niños son felices en la escuela, quieren seguir aprendiendo. La escuela de su hijo/a se esforzará por satisfacer la necesidades individuales de este/a, con apoyo adicional si es necesario. Usted también puede apoyar a su hijo/a con actividades que le ayuden a adaptarse a la escuela y a sentirse seguro/a, con confianza y conectado/a.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>Jugar y aprender en casa</w:t>
      </w:r>
    </w:p>
    <w:p w14:paraId="3AB8561B" w14:textId="3CD5572F" w:rsidR="00865FD7" w:rsidRPr="00865FD7" w:rsidRDefault="00865FD7" w:rsidP="00AA0172">
      <w:pPr>
        <w:jc w:val="both"/>
      </w:pPr>
      <w:r>
        <w:t>El juego es la mejor manera de ayudar a su hijo/a a aprender. Jugar desarrolla habilidades matemáticas para toda la vida, como contar, clasificar, agrupar y medir. El juego ayuda a su hijo/a a descubrir la naturaleza y la ciencia y le permite ser creativo/a. Cuando su hijo/a juega, a la vez aprende sobre las emociones y desarrolla sus habilidades lingüísticas y de lectoescritura. Estas son algunas de las cosas que puede hacer en casa: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Actividades cotidianas:</w:t>
      </w:r>
      <w:r>
        <w:t xml:space="preserve"> Los niños y niñas aprenden a través de actividades cotidianas, como cocinar, ayudar a poner y recoger la mesa, separar la ropa para lavar, recoger la ropa y los juguetes y cuidar de las plantas y los animales domésticos. Puede ayudar a su hijo/a a aprender haciéndole preguntas como: </w:t>
      </w:r>
      <w:r>
        <w:rPr>
          <w:i/>
        </w:rPr>
        <w:t>«¿Cuántas tazas de harina necesitamos?»</w:t>
      </w:r>
      <w:r>
        <w:t xml:space="preserve"> o </w:t>
      </w:r>
      <w:r>
        <w:rPr>
          <w:i/>
        </w:rPr>
        <w:t>«¿Puedes encontrar los calcetines que hacen pareja?»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Juegos: </w:t>
      </w:r>
      <w:r>
        <w:t xml:space="preserve">Jugar a juegos sencillos como UNO, «snap», el juego de memoria, el veoveo y el escondite ayuda al aprendizaje de su hijo/a y le enseña a respetar los turnos. 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Bloques de construcción:</w:t>
      </w:r>
      <w:r>
        <w:t xml:space="preserve"> Construir con bloques como LEGO, bloques de madera o cajas de cartón desarrolla la motricidad fina del niño o niña y le permite ser creativo/a y resolver problemas. 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Manualidades</w:t>
      </w:r>
      <w:r>
        <w:rPr>
          <w:color w:val="86189C" w:themeColor="accent2"/>
        </w:rPr>
        <w:t xml:space="preserve">: </w:t>
      </w:r>
      <w:r>
        <w:t xml:space="preserve">Las actividades de arte y manualidades también fomentan la creatividad y desarrollan la motricidad fina y las habiliades para resolver problemas. 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Disfraces</w:t>
      </w:r>
      <w:r>
        <w:t xml:space="preserve">: Disfrazarse con ropa vieja y jugar a ser personajes diferentes fomenta la creatividad y las habilidades lingüísticas. 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Música, cuentos y baile:</w:t>
      </w:r>
      <w:r>
        <w:t xml:space="preserve"> Las actividades como leer, contar cuentos, escuchar y bailar al son de la música y organizar «búsquedas del tesoro» para encontrar objetos escondidos en la casa o en el jardín refuerzan las habilidades lingüísticas de su hijo/a.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lastRenderedPageBreak/>
        <w:t>Juegos al aire libre:</w:t>
      </w:r>
      <w:r>
        <w:t xml:space="preserve"> Caminar, trepar, montar en bicicleta o patinete, ir al parque de juegos infantiles, construir casitas con objetos, jugar a lanzar y atrapar una pelota, golpear pelotas blandas con una raqueta de tenis o un bate de criquet blando, escarbar en la tierra y en el barro... Todas estas actividades ayudan al aprendizaje y desarrollo de su hijo o hija. </w:t>
      </w:r>
      <w:r>
        <w:rPr>
          <w:b/>
          <w:color w:val="86189C" w:themeColor="accent2"/>
        </w:rPr>
        <w:t xml:space="preserve"> 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r>
        <w:rPr>
          <w:b/>
          <w:color w:val="86189C" w:themeColor="accent2"/>
        </w:rPr>
        <w:t xml:space="preserve">Investigar y preguntar: </w:t>
      </w:r>
      <w:r>
        <w:t xml:space="preserve">Cuando su hijo/a esté jugando, hágale preguntas como: </w:t>
      </w:r>
      <w:r>
        <w:rPr>
          <w:i/>
        </w:rPr>
        <w:t>«¿Me puedes describir…?»</w:t>
      </w:r>
      <w:r>
        <w:t xml:space="preserve">, </w:t>
      </w:r>
      <w:r>
        <w:rPr>
          <w:i/>
        </w:rPr>
        <w:t xml:space="preserve">«¿Qué pasaría si…?», «¿Cómo podrías responder a esa pregunta...?» 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Rutinas:</w:t>
      </w:r>
      <w:r>
        <w:t xml:space="preserve"> Hacer las cosas a la misma hora cada día permite a su hijo/a saber qué esperar y le ayuda a gestionar sus sentimientos. Las rutinas ayudan a los niños y niñas a afrontar los desafíos de la escuela. Es de especial importancia tener una rutina a la hora de irse a la cama, por ejemplo: cenar y bañarse, ponerse el pijama, cepillarse los dientes, leer cuentos y, por fin, acostarse. </w:t>
      </w:r>
    </w:p>
    <w:p w14:paraId="7908C430" w14:textId="5CA48307" w:rsidR="00446A98" w:rsidRDefault="002665C6" w:rsidP="00446A98">
      <w:pPr>
        <w:pStyle w:val="Heading2"/>
        <w:spacing w:before="240"/>
        <w:jc w:val="both"/>
      </w:pPr>
      <w:r>
        <w:t>Hacer que la escuela sea un lugar familiar</w:t>
      </w:r>
    </w:p>
    <w:p w14:paraId="39FC0BB5" w14:textId="1548F21C" w:rsidR="00074240" w:rsidRDefault="00074240" w:rsidP="00074240">
      <w:pPr>
        <w:jc w:val="both"/>
      </w:pPr>
      <w:r>
        <w:t>Estar «preparado/a para la escuela» no tiene que ver con el aprendizaje académico, sino con entender cómo será la escuela y tener unas expectativas positivas. Estas son algunas de las cosas que puede hacer para ayudar a su hijo/a: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r>
        <w:t xml:space="preserve">Participen en los programas de transición a la escuela que ofrezca el jardín de infantes o escuela de su hijo/a.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Practiquen el recorrido de ida y vuelta a la escuela.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>Deje que su hijo/a juegue con otros niños que vayan a ir a la misma escuela.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Fomente la independencia enseñando a su hijo/a a vestirse, a ir al baño, a lavarse las manos, a ponerse el protector solar y a preparar y llevar su mochila.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 xml:space="preserve">Hable sobre el comienzo de la escuela. Haga que su hijo/a se entusiasme con la escuela y hable sobre aquello que le pueda preocupar.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>Léale libros o cuéntele cuentos sobre ir a la escuela por primera vez.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Háblele de lo que sucederá cuando regrese de la escuela y practíquenlo.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r>
        <w:t>Prepárese para recoger y dejar a su hijo/a averiguando la hora de entrada y salida de la escuela y dónde dejarlo/a y recogerlo/a.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r>
        <w:t>Si es posible, empiece a mencionar el nombre del maestro o maestra.</w:t>
      </w:r>
    </w:p>
    <w:p w14:paraId="2E90FD76" w14:textId="259018FE" w:rsidR="00446A98" w:rsidRDefault="00D43A3D" w:rsidP="00446A98">
      <w:pPr>
        <w:pStyle w:val="Heading2"/>
        <w:spacing w:before="240"/>
        <w:jc w:val="both"/>
      </w:pPr>
      <w:r>
        <w:t>Cómo ayudará el jardín de infantes de su hijo/a</w:t>
      </w:r>
    </w:p>
    <w:p w14:paraId="4A3CEC30" w14:textId="5E224D1B" w:rsidR="001915B9" w:rsidRDefault="001915B9" w:rsidP="000877D1">
      <w:pPr>
        <w:jc w:val="both"/>
      </w:pPr>
      <w:r>
        <w:t xml:space="preserve">El jardín de infantes también ayuda a los niños y niñas a prepararse para comenzar la escuela. En el jardín de infantes, los niños desarrollan habilidades a través del juego, realizan actividades de trabajo colaborativo y hacen amigos. </w:t>
      </w:r>
    </w:p>
    <w:p w14:paraId="3D8D8D87" w14:textId="54DDAED2" w:rsidR="00AA0172" w:rsidRDefault="00F64B3E" w:rsidP="00446A98">
      <w:pPr>
        <w:jc w:val="both"/>
      </w:pPr>
      <w:r>
        <w:t xml:space="preserve">El maestro o la maestra del jardín de infantes de su hijo/a ayudará a este/a hacer la transición del jardín de infantes a la escuela preparando una </w:t>
      </w:r>
      <w:r>
        <w:rPr>
          <w:b/>
        </w:rPr>
        <w:t>Declaración de Aprendizaje y Desarrollo para la Transición (Declaración para la Transición)</w:t>
      </w:r>
      <w:r>
        <w:t>. La Declaración para la Transición se entregará a la futura escuela de su hijo/a. En ella se habla de las capacidades, fortalezas e intereses de su hijo/a, así como de la forma en que este/a aprende mejor. A usted se le pedirá que ayude a rellenar la Declaración para la Transición, y su hijo/a también puede participar diciendo lo que piensa y lo que siente.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</w:pPr>
      <w:r>
        <w:t>Para más información sobre la Declaración para la Transición, visite el sitio web del Departamento (véase más abajo).</w:t>
      </w:r>
    </w:p>
    <w:p w14:paraId="2611A1BE" w14:textId="06E5D0C1" w:rsidR="00446A98" w:rsidRDefault="00461862" w:rsidP="00446A98">
      <w:pPr>
        <w:pStyle w:val="Heading2"/>
        <w:spacing w:before="240"/>
        <w:jc w:val="both"/>
      </w:pPr>
      <w:r>
        <w:lastRenderedPageBreak/>
        <w:t>Más información</w:t>
      </w:r>
    </w:p>
    <w:p w14:paraId="0D76AC33" w14:textId="273FF7B8" w:rsidR="00446A98" w:rsidRPr="004660F2" w:rsidRDefault="00152D56" w:rsidP="00446A98">
      <w:pPr>
        <w:pStyle w:val="ListParagraph"/>
        <w:numPr>
          <w:ilvl w:val="0"/>
          <w:numId w:val="19"/>
        </w:numPr>
      </w:pPr>
      <w:hyperlink r:id="rId12" w:history="1">
        <w:r w:rsidR="00B02BA4">
          <w:rPr>
            <w:rStyle w:val="Hyperlink"/>
          </w:rPr>
          <w:t>Consejos para empezar la escuela (education.vic.gov.au)</w:t>
        </w:r>
      </w:hyperlink>
    </w:p>
    <w:p w14:paraId="1CB8E085" w14:textId="27BF7AA7" w:rsidR="00446A98" w:rsidRPr="004660F2" w:rsidRDefault="00152D56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>El salto del jardín de infantes a la escuela (education.vic.gov.au)</w:t>
        </w:r>
      </w:hyperlink>
    </w:p>
    <w:p w14:paraId="7B8A066F" w14:textId="7D11F8A6" w:rsidR="00446A98" w:rsidRDefault="00152D56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>Cómo elegir una escuela y hacer la matrícula (education.vic.gov.au)</w:t>
        </w:r>
      </w:hyperlink>
    </w:p>
    <w:p w14:paraId="7925D266" w14:textId="354E5527" w:rsidR="00446A98" w:rsidRPr="004660F2" w:rsidRDefault="00152D56" w:rsidP="00446A98">
      <w:pPr>
        <w:pStyle w:val="ListParagraph"/>
        <w:numPr>
          <w:ilvl w:val="0"/>
          <w:numId w:val="19"/>
        </w:numPr>
      </w:pPr>
      <w:hyperlink r:id="rId15" w:history="1">
        <w:r w:rsidR="00B02BA4">
          <w:rPr>
            <w:rStyle w:val="Hyperlink"/>
          </w:rPr>
          <w:t>El comienzo en la escuela: cómo preparar a su hijo/a | Raising Children Network</w:t>
        </w:r>
      </w:hyperlink>
    </w:p>
    <w:p w14:paraId="3B05797B" w14:textId="3D44010B" w:rsidR="00446A98" w:rsidRPr="009F58A6" w:rsidRDefault="00152D56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</w:rPr>
          <w:t>Un comienzo positivo en la escuela | Better Health Channel</w:t>
        </w:r>
      </w:hyperlink>
    </w:p>
    <w:p w14:paraId="6245601F" w14:textId="6AB94257" w:rsidR="009F58A6" w:rsidRPr="004660F2" w:rsidRDefault="00152D56" w:rsidP="00446A98">
      <w:pPr>
        <w:pStyle w:val="ListParagraph"/>
        <w:numPr>
          <w:ilvl w:val="0"/>
          <w:numId w:val="19"/>
        </w:numPr>
      </w:pPr>
      <w:hyperlink r:id="rId17" w:anchor="link87" w:history="1">
        <w:r w:rsidR="00B02BA4">
          <w:rPr>
            <w:rStyle w:val="Hyperlink"/>
          </w:rPr>
          <w:t>Recursos sobre la transición a la escuela para las familias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D5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2D56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s-E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24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Spanish_Transition_to_School_Factsheet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F838E5-BDBA-409A-A9C5-88EACDE583A9}"/>
</file>

<file path=customXml/itemProps3.xml><?xml version="1.0" encoding="utf-8"?>
<ds:datastoreItem xmlns:ds="http://schemas.openxmlformats.org/officeDocument/2006/customXml" ds:itemID="{3BE85A40-3C8D-4F6F-AC31-AAF6C4F44ACB}">
  <ds:schemaRefs>
    <ds:schemaRef ds:uri="http://schemas.microsoft.com/sharepoint/v4"/>
    <ds:schemaRef ds:uri="http://www.w3.org/XML/1998/namespace"/>
    <ds:schemaRef ds:uri="http://purl.org/dc/elements/1.1/"/>
    <ds:schemaRef ds:uri="http://purl.org/dc/terms/"/>
    <ds:schemaRef ds:uri="http://purl.org/dc/dcmitype/"/>
    <ds:schemaRef ds:uri="2cb12009-40d9-454b-bd16-8fe8fc19de2f"/>
    <ds:schemaRef ds:uri="f67e20a8-1684-4456-b768-e2d0e3d145ff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D0E5EE-2549-4B2B-B977-33D828B9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{d07c47b8-0b84-4f5f-bb60-7a1956724e08}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R20220291828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2022-05-19T14:12:08.0709075+10:00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