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rPr>
          <w:bCs/>
        </w:rPr>
        <w:t>RIAL IKÄ KƐ TUK DUËL GƆ̱RÄ</w:t>
      </w:r>
    </w:p>
    <w:p w14:paraId="072D8FF3" w14:textId="502F06A0" w:rsidR="00D04563" w:rsidRDefault="00D04563" w:rsidP="00D04563">
      <w:pPr>
        <w:pStyle w:val="Intro"/>
        <w:spacing w:after="60"/>
        <w:jc w:val="both"/>
      </w:pPr>
      <w:bookmarkStart w:id="0" w:name="_Hlk83805152"/>
      <w:r>
        <w:rPr>
          <w:bCs/>
        </w:rPr>
        <w:t xml:space="preserve">Tuk duël gɔ̱rä ɛ mi no̱ŋ gaat kɔn bikɛ rɔ̱ gɛr kɛ gër mi di̱i̱t ɛlɔ̱ŋ amäni dho̱r. Ŋäcdu kɛ rɔ kɛ nɛy kɔ̱kiɛn ti ji̱diɛɛtni, gua̱th ti gööl amäni lät derɛ la duŋ tɛthä lɔaac </w:t>
      </w:r>
      <w:r>
        <w:rPr>
          <w:rFonts w:ascii="Symbol" w:hAnsi="Symbol"/>
          <w:bCs/>
        </w:rPr>
        <w:t></w:t>
      </w:r>
      <w:r>
        <w:rPr>
          <w:bCs/>
        </w:rPr>
        <w:t xml:space="preserve"> kä derɛ buɔ̱m bä. </w:t>
      </w:r>
      <w:bookmarkEnd w:id="0"/>
      <w:r>
        <w:rPr>
          <w:bCs/>
        </w:rPr>
        <w:t>Tëëkɛ ti ŋuan ti deri la̱t kɛ kui̱ kä ɣöö dee gatdu duel gɔ̱rä tok ɛ gɔaa.</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rPr>
          <w:bCs/>
        </w:rPr>
        <w:t>Ɛŋu la tuk duël gɔ̱rä mi gɔa?</w:t>
      </w:r>
    </w:p>
    <w:p w14:paraId="6D26FC73" w14:textId="7B5CB7F7" w:rsidR="007172EB" w:rsidRDefault="007172EB" w:rsidP="00074240">
      <w:pPr>
        <w:jc w:val="both"/>
      </w:pPr>
      <w:r>
        <w:t>Dho̱r kɛ</w:t>
      </w:r>
      <w:bookmarkStart w:id="1" w:name="_GoBack"/>
      <w:bookmarkEnd w:id="1"/>
      <w:r>
        <w:t xml:space="preserve">nɛ yuɔ̱ɔ̱p gan kɛ kɛn ŋieec gan tin nhiam. Kɛn ŋɔak diaal tin lätdi cäŋ kɛ gatdu luäk kɛn ŋäcdɛ kɛ ŋɔani kɛnɛ piethdɛ amäni rialɛ ikä kɛ duel gɔ̱rä. Duɔ̱ɔ̱p in gɔa in deri ŋäc ŋɔani gatdu kɛnɛ piethdɛ rep kɛ jɛ ɛ </w:t>
      </w:r>
      <w:r>
        <w:rPr>
          <w:b/>
          <w:bCs/>
          <w:color w:val="86189C" w:themeColor="accent2"/>
        </w:rPr>
        <w:t>ŋar</w:t>
      </w:r>
      <w:r>
        <w:t xml:space="preserve">. </w:t>
      </w:r>
    </w:p>
    <w:p w14:paraId="27321963" w14:textId="1C9A0EE2" w:rsidR="00F64B3E" w:rsidRPr="00074240" w:rsidRDefault="00F64B3E" w:rsidP="00074240">
      <w:pPr>
        <w:jc w:val="both"/>
      </w:pPr>
      <w:r>
        <w:t xml:space="preserve">Tuk duël gɔ̱rä mi gɔa luäkɛ gaat kɛ ŋäc ŋɔani mi gɔa kɛnɛ tɛ̈thlɔaac. Kä mi tɛth lo̱c gan duel gɔ̱rä, la kɛnɛ la go̱o̱r ɛn ɣöö bikɛ wä nhiam kɛ ŋi̱i̱c. Duel gɔ̱rä gatdu bɛ lät a bum kɛ kui̱ kä tin go̱o̱r gatdu kɛ, kä bɛ luäk thöp mi görkɛ jɛ. Deri gatdu luäk bä kɛ lätnidu kɛ ŋɔani tin dee jɛ luäk kɛ pälɛ kɛ rɔ piny duel gɔ̱rä kä dee jɛ jakä mal, ɛ bɛ rɔ ŋäth, amäni ɣöö cɛ buɔ̱m. </w:t>
      </w:r>
    </w:p>
    <w:p w14:paraId="437BE2B1" w14:textId="104257F0" w:rsidR="00446A98" w:rsidRDefault="00D256C5" w:rsidP="00446A98">
      <w:pPr>
        <w:pStyle w:val="Heading2"/>
        <w:spacing w:before="240"/>
        <w:jc w:val="both"/>
      </w:pPr>
      <w:r>
        <w:rPr>
          <w:bCs/>
        </w:rPr>
        <w:t>Ŋari kä ŋäcni ŋɔak cäŋ</w:t>
      </w:r>
    </w:p>
    <w:p w14:paraId="3AB8561B" w14:textId="3CD5572F" w:rsidR="00865FD7" w:rsidRPr="00865FD7" w:rsidRDefault="00865FD7" w:rsidP="00AA0172">
      <w:pPr>
        <w:jc w:val="both"/>
      </w:pPr>
      <w:r>
        <w:t>Ŋar ɛ duɔ̱ɔ̱p kɛl mi gɔaa mi luäk gatdu kɛ ŋäc ŋɔani. Ŋar piithɛ gaat kä moocɛ kɛ kɛ ti̱thkiili mɛthä kɛ pek mi bäär, ce̱tkɛ kuën ŋɔani, dääk ŋɔani, lëydiɛn amäni di̱tdiɛn. Ŋar luäkɛ gatdu kɛ ŋäckä tin ca cak wi̱i̱ muɔ̱ɔ̱n amäni thaany kä jakɛ kɛ kä cär kɛ pɛ̈th. Gua̱th in ŋar gatdu, kɛn bä wä kɛn kɛ mi ŋa̱ckɛ ta̱a̱ jiɛthä lɔaac kɛnɛ pieth rieetnikiɛn amäni ti̱thkiili ŋäcä thuɔk kä kɛ. Ti̱ti̱ kɛ tha̱a̱ŋkä tin deri la̱t cäŋ.</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rPr>
        <w:t>Lät rɛy ni̱ni̱ ni ciaŋ:</w:t>
      </w:r>
      <w:r>
        <w:rPr>
          <w:color w:val="86189C" w:themeColor="accent2"/>
        </w:rPr>
        <w:t xml:space="preserve"> </w:t>
      </w:r>
      <w:r>
        <w:t>Gaat ŋa̱ckɛ ŋɔani kɛ lät tin la̱tkɛ ni ciaŋ ciëëni ce̱tkɛ tha̱t, puɔ̱cdiɛn kɛ wi̱c tharbëdä, la̱k ŋɔani, wuɔ̱cdiɛn kɛ bieeynikiɛn kɛnɛ kuak ŋarädiɛn, amäni yuɔ̱pdiɛn kɛ jiɛn kɛnɛ ley tin te ciëëni. Deri gatdu luäk kɛ ŋi̱i̱c kɛ thiecnidu kɛ jɛ kɛ thieecni, ce̱tkɛ ‘</w:t>
      </w:r>
      <w:r>
        <w:rPr>
          <w:i/>
          <w:iCs/>
        </w:rPr>
        <w:t>Kɛ kothni da̱ŋdi go̱o̱r kɔn kɛ mɔ kä nup?’</w:t>
      </w:r>
      <w:r>
        <w:t xml:space="preserve"> kiɛ ‘</w:t>
      </w:r>
      <w:r>
        <w:rPr>
          <w:i/>
          <w:iCs/>
        </w:rPr>
        <w:t>deri curaapni tin lotrɔ̱ ŋic?’</w:t>
      </w:r>
    </w:p>
    <w:p w14:paraId="282AA322" w14:textId="2098A69E" w:rsidR="00446A98" w:rsidRDefault="00446A98" w:rsidP="00446A98">
      <w:pPr>
        <w:pStyle w:val="ListParagraph"/>
        <w:numPr>
          <w:ilvl w:val="0"/>
          <w:numId w:val="18"/>
        </w:numPr>
        <w:ind w:left="714" w:hanging="357"/>
        <w:contextualSpacing w:val="0"/>
        <w:jc w:val="both"/>
      </w:pPr>
      <w:r w:rsidRPr="000143F3">
        <w:rPr>
          <w:b/>
          <w:color w:val="86189C" w:themeColor="accent2"/>
        </w:rPr>
        <w:t>Ŋa̱a̱ri</w:t>
      </w:r>
      <w:r w:rsidRPr="000143F3">
        <w:rPr>
          <w:b/>
          <w:bCs/>
          <w:color w:val="86189C" w:themeColor="accent2"/>
        </w:rPr>
        <w:t>:</w:t>
      </w:r>
      <w:r>
        <w:rPr>
          <w:b/>
          <w:bCs/>
          <w:color w:val="86189C" w:themeColor="accent2"/>
        </w:rPr>
        <w:t xml:space="preserve"> </w:t>
      </w:r>
      <w:r>
        <w:t xml:space="preserve">Ŋar ŋaari ti pual puaal ce̱tkɛ UNO, Snap, Memory, I Spy, kɛ Kumda Kuany luäk kɛn gatdu kɛ ŋäc ŋɔani kä ŋi̱i̱c kɛn kɛ kɛ ta̱a̱ in dee kɛn ruac kɛ rɔ̱ kɛ jɛ gua̱a̱th in guääl kɛn rieet.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rPr>
        <w:t>Dööl tin ta̱a̱th kɛ duël:</w:t>
      </w:r>
      <w:r>
        <w:rPr>
          <w:color w:val="86189C" w:themeColor="accent2"/>
        </w:rPr>
        <w:t xml:space="preserve"> </w:t>
      </w:r>
      <w:r>
        <w:t xml:space="preserve">Ta̱th kɛ pääm ce̱tkɛ LEGO, dööl jiɛɛn kiɛ thundukni katöni reepɛ raan kɛ ti̱thkiili ti dee raan rɔ tit kɛ kɛ kä bɛ gatdu kɛ ŋäc ŋɔani amäni luäŋdɛ kɛ riali ikä kɛ rik. </w:t>
      </w:r>
    </w:p>
    <w:p w14:paraId="17EF7CF0" w14:textId="2D94B5AA" w:rsidR="009D4850" w:rsidRPr="00865FD7" w:rsidRDefault="009D4850" w:rsidP="00446A98">
      <w:pPr>
        <w:pStyle w:val="ListParagraph"/>
        <w:numPr>
          <w:ilvl w:val="0"/>
          <w:numId w:val="18"/>
        </w:numPr>
        <w:ind w:left="714" w:hanging="357"/>
        <w:contextualSpacing w:val="0"/>
        <w:jc w:val="both"/>
      </w:pPr>
      <w:r>
        <w:rPr>
          <w:b/>
          <w:bCs/>
          <w:color w:val="86189C" w:themeColor="accent2"/>
        </w:rPr>
        <w:t>Ta̱th kuakni kɛnɛ rialidiɛn ikä kɛ tet</w:t>
      </w:r>
      <w:r>
        <w:rPr>
          <w:color w:val="86189C" w:themeColor="accent2"/>
        </w:rPr>
        <w:t xml:space="preserve">: </w:t>
      </w:r>
      <w:r>
        <w:t xml:space="preserve">Ta̱th kuakni kɛnɛ rialidiɛn ikä kɛ tet bä reepɛ ca̱r ŋäcä ŋɔani mi gɔa kä luäkɛ kɛ tiet in dee raan rɔ tit kɛ jɛ amäni luäŋ kɛ riali rikni ikä. </w:t>
      </w:r>
    </w:p>
    <w:p w14:paraId="3953859F" w14:textId="166F6648" w:rsidR="00446A98" w:rsidRDefault="00446A98" w:rsidP="00446A98">
      <w:pPr>
        <w:pStyle w:val="ListParagraph"/>
        <w:numPr>
          <w:ilvl w:val="0"/>
          <w:numId w:val="18"/>
        </w:numPr>
        <w:ind w:left="714" w:hanging="357"/>
        <w:contextualSpacing w:val="0"/>
        <w:jc w:val="both"/>
      </w:pPr>
      <w:r>
        <w:rPr>
          <w:b/>
          <w:bCs/>
          <w:color w:val="86189C" w:themeColor="accent2"/>
        </w:rPr>
        <w:t>Läthni bieeyni</w:t>
      </w:r>
      <w:r>
        <w:t xml:space="preserve">: Muɔ̱c ran kɛ rɔ kɛ bieeyni ti ci dɔŋ kä bi raan rɔ moc ca̱a̱p ɛn ɣöö ɛ ram mi dɔ̱ŋ reepɛ ca̱r ŋäcä wuɔ̱thni nath kɛnɛ thok in ruac kɛ naath.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rPr>
        <w:t>Tuar, muaaŋni amäni döny:</w:t>
      </w:r>
      <w:r>
        <w:t xml:space="preserve"> Kuën, lat muaaŋni, lieŋ kɛnɛ döny tuaari, amäni ‘gör rieŋä’ kɛ gör kuakni gekä duëël kiɛ rɛy kakä kɛn diaal cikɛ gatdu luäŋ kɛ bendɛ nhial kɛ ŋäc thuɔk.</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rPr>
        <w:t>Ŋar raar:</w:t>
      </w:r>
      <w:r>
        <w:rPr>
          <w:color w:val="86189C" w:themeColor="accent2"/>
        </w:rPr>
        <w:t xml:space="preserve"> </w:t>
      </w:r>
      <w:r>
        <w:t xml:space="preserve">Ja̱l, köt, gër ɣa̱ny-jɛlɛkä kiɛ muɔntɔr, wä tɔ̱ɔ̱rä ŋarä, ta̱th duëli ŋarä, yor kɛnɛ ka̱p kurɛkä, kuët kurɛni ti kɔ̱a̱c kɔ̱a̱a̱c tin la nyin tëni̱thä kiɛ yɔ̱ɔ̱t in la yɔ̱a̱tkɛ kurɛ ki̱ri̱kɛdä, pieth rɛy watha̱gɛni kɛnɛ tuäk – kɛn ti diaal ɛti̱ luäk kɛn gatdu kɛ ŋäc ŋɔani kɛnɛ pieth.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rPr>
        <w:t xml:space="preserve">Go̱r luɔtdɛ kä thiec thieecni: </w:t>
      </w:r>
      <w:r>
        <w:t xml:space="preserve">Gua̱a̱th in ŋar gatdu, thiec thieecni ce̱tkɛ </w:t>
      </w:r>
      <w:r>
        <w:rPr>
          <w:i/>
          <w:iCs/>
        </w:rPr>
        <w:t>'Deri luäŋ kɛ mi latdiɛ…?'</w:t>
      </w:r>
      <w:r>
        <w:t xml:space="preserve">, </w:t>
      </w:r>
      <w:r>
        <w:rPr>
          <w:i/>
          <w:iCs/>
        </w:rPr>
        <w:t xml:space="preserve">'Ga̱a̱cä kɛ min dee tuɔɔk mi…?', 'Deri thiec ɛmɔ loc i̱di...?'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rPr>
        <w:t>Rial lätni ikä:</w:t>
      </w:r>
      <w:r>
        <w:rPr>
          <w:color w:val="86189C" w:themeColor="accent2"/>
        </w:rPr>
        <w:t xml:space="preserve"> </w:t>
      </w:r>
      <w:r>
        <w:t xml:space="preserve">Lätni ŋɔani kɛ thaak mi cäät rɛy ni̱ni̱ jakɛ gatdu kä ɣöö bɛ min go̱rɛ ŋa̱c kä luäkɛ kɛ kɛ ta̱a̱ in dee kɛn cärkiɛn tit kɛ jɛ. Rial lätni ikä luäkɛ gaat kɛ ciaandiɛn duel gɔ̱rä. Gɔaɛ ɛlɔ̱ŋ </w:t>
      </w:r>
      <w:r>
        <w:lastRenderedPageBreak/>
        <w:t xml:space="preserve">ɛn ɣöö bi rɔ moc lɔ̱a̱ŋ kɛ ɣöö deri jɔkdu la catdi, ce̱tkɛ: mi̱thni kɛ kua̱n thiaŋ kä puaakni, läthni bieeyni, toth lɛcku, kuɛn buɔkni, kä bi cu wä tɔ̱ɔ̱c. </w:t>
      </w:r>
    </w:p>
    <w:p w14:paraId="7908C430" w14:textId="5CA48307" w:rsidR="00446A98" w:rsidRDefault="002665C6" w:rsidP="00446A98">
      <w:pPr>
        <w:pStyle w:val="Heading2"/>
        <w:spacing w:before="240"/>
        <w:jc w:val="both"/>
      </w:pPr>
      <w:r>
        <w:rPr>
          <w:bCs/>
        </w:rPr>
        <w:t>Jakni duel gɔ̱rä kä bi la gua̱a̱th mi bi ŋa̱c</w:t>
      </w:r>
    </w:p>
    <w:p w14:paraId="39FC0BB5" w14:textId="1548F21C" w:rsidR="00074240" w:rsidRDefault="00074240" w:rsidP="00074240">
      <w:pPr>
        <w:jc w:val="both"/>
      </w:pPr>
      <w:r>
        <w:t>Ɛn ɣöö ‘bi raan rɔ rialikä kɛ duel gɔ̱rä’ /cɛ lotni ɣöö bi te ŋäc gɔ̱rä, ɛni ɣöö ɛ lieŋdu kɛ ta̱a̱ in bi te kɛ duel gɔ̱rä kɛnɛ ɣöö bi tekɛ cär ti gɔw ti bi car ɛn ɣöö bi tuɔɔk. Ti̱ti̱ kɛ tha̱a̱ŋ ŋɔani tin deri la̱th lät kɛ luäkdu kɛ gatdu:</w:t>
      </w:r>
    </w:p>
    <w:p w14:paraId="4E213A4A" w14:textId="4B78FB95" w:rsidR="00405072" w:rsidRPr="00776966" w:rsidRDefault="00405072" w:rsidP="00446A98">
      <w:pPr>
        <w:pStyle w:val="ListParagraph"/>
        <w:numPr>
          <w:ilvl w:val="0"/>
          <w:numId w:val="20"/>
        </w:numPr>
        <w:jc w:val="both"/>
      </w:pPr>
      <w:r>
        <w:t xml:space="preserve">Bi rɔ mat kä lät matdä diaal kɛ wä nath nhiam tin ŋuɔ̱nkɛ ɛ duel gɔ̱rä gan gatdu kiɛ duel gɔ̱rä in di̱i̱t. </w:t>
      </w:r>
    </w:p>
    <w:p w14:paraId="2B0F9081" w14:textId="487519D9" w:rsidR="00446A98" w:rsidRPr="008910BA" w:rsidRDefault="00446A98" w:rsidP="00446A98">
      <w:pPr>
        <w:pStyle w:val="ListParagraph"/>
        <w:numPr>
          <w:ilvl w:val="0"/>
          <w:numId w:val="20"/>
        </w:numPr>
        <w:jc w:val="both"/>
      </w:pPr>
      <w:r>
        <w:t>Ŋi̱i̱cni rɔ kɛ ja̱l kɛ wädu kɛnɛ lunydu jɔk duel gɔ̱rä.</w:t>
      </w:r>
    </w:p>
    <w:p w14:paraId="0F2776D7" w14:textId="44A1C96A" w:rsidR="00446A98" w:rsidRPr="008910BA" w:rsidRDefault="006C0E3B" w:rsidP="00446A98">
      <w:pPr>
        <w:pStyle w:val="ListParagraph"/>
        <w:numPr>
          <w:ilvl w:val="0"/>
          <w:numId w:val="20"/>
        </w:numPr>
        <w:jc w:val="both"/>
      </w:pPr>
      <w:r>
        <w:t>Jakni gatdu kä ŋar kɛ gaat tin kɔ̱kiɛn tin wä duel gɔ̱rä kɛl kɛ jɛ</w:t>
      </w:r>
    </w:p>
    <w:p w14:paraId="7806BEA3" w14:textId="052CB8CE" w:rsidR="00446A98" w:rsidRPr="008910BA" w:rsidRDefault="00446A98" w:rsidP="00446A98">
      <w:pPr>
        <w:pStyle w:val="ListParagraph"/>
        <w:numPr>
          <w:ilvl w:val="0"/>
          <w:numId w:val="20"/>
        </w:numPr>
        <w:jc w:val="both"/>
      </w:pPr>
      <w:r>
        <w:t xml:space="preserve">Rɔmni ɣöö bi raan rɔ luäŋ kä rɔa thi̱n kɛ ŋi̱i̱cdu kɛ gatdu kɛ läth bieeyni, wädɛ kä paka̱n, la̱kdɛ kɛ tetkɛ, läthdɛ kɛ neeni, kɛ gueriɛn kɛnɛ ka̱pdiɛn kɛ bɛ̈k duël gɔ̱rädiɛn. </w:t>
      </w:r>
    </w:p>
    <w:p w14:paraId="35CC7DAF" w14:textId="5FF793AA" w:rsidR="00446A98" w:rsidRPr="00776966" w:rsidRDefault="006C0E3B" w:rsidP="00446A98">
      <w:pPr>
        <w:pStyle w:val="ListParagraph"/>
        <w:numPr>
          <w:ilvl w:val="0"/>
          <w:numId w:val="20"/>
        </w:numPr>
        <w:jc w:val="both"/>
      </w:pPr>
      <w:r>
        <w:t xml:space="preserve">Ruacni kɛ kui tukä duël gɔ̱rä. Jakni lɔc gatdu kä tɛth kä ruacni kɛ kui̱ kä min dee diɛɛr kɛ kɛ. </w:t>
      </w:r>
    </w:p>
    <w:p w14:paraId="00FE6FD4" w14:textId="1C8C373F" w:rsidR="00446A98" w:rsidRPr="008910BA" w:rsidRDefault="006048F5" w:rsidP="00446A98">
      <w:pPr>
        <w:pStyle w:val="ListParagraph"/>
        <w:numPr>
          <w:ilvl w:val="0"/>
          <w:numId w:val="20"/>
        </w:numPr>
        <w:jc w:val="both"/>
      </w:pPr>
      <w:r>
        <w:t>Kuɛn buɔkni kiɛ lar muaaŋni ti ruac kɛ tuk duel gɔ̱rä.</w:t>
      </w:r>
    </w:p>
    <w:p w14:paraId="3C14D5E8" w14:textId="13BF798E" w:rsidR="00446A98" w:rsidRPr="00776966" w:rsidRDefault="00446A98" w:rsidP="00446A98">
      <w:pPr>
        <w:pStyle w:val="ListParagraph"/>
        <w:numPr>
          <w:ilvl w:val="0"/>
          <w:numId w:val="20"/>
        </w:numPr>
        <w:jc w:val="both"/>
      </w:pPr>
      <w:r>
        <w:t xml:space="preserve">Ruacni kä läthni min bi tuɔɔk kɛ kɔr duël gɔ̱rä lät. </w:t>
      </w:r>
    </w:p>
    <w:p w14:paraId="065F0079" w14:textId="7F8965F4" w:rsidR="00446A98" w:rsidRPr="00776966" w:rsidRDefault="00227954" w:rsidP="00446A98">
      <w:pPr>
        <w:pStyle w:val="ListParagraph"/>
        <w:numPr>
          <w:ilvl w:val="0"/>
          <w:numId w:val="20"/>
        </w:numPr>
        <w:jc w:val="both"/>
      </w:pPr>
      <w:r>
        <w:t>Riali rɔ ikä kɛ gua̱a̱th ka̱p kɛnɛ käm piny kɛ ŋäcdu kɛ thaakni duel gɔ̱rä tin tuɔɔk kɛ gɔ̱a̱r kɛnɛ thaakni tin jɔak kä bi gua̱a̱th in dëë gatdu ka̱m piny thi̱n ŋa̱c amäni gua̱a̱th in deri jɛ wä lor thi̱n.</w:t>
      </w:r>
    </w:p>
    <w:p w14:paraId="05A1E313" w14:textId="097D6871" w:rsidR="00446A98" w:rsidRPr="008910BA" w:rsidRDefault="00227954" w:rsidP="00446A98">
      <w:pPr>
        <w:pStyle w:val="ListParagraph"/>
        <w:numPr>
          <w:ilvl w:val="0"/>
          <w:numId w:val="20"/>
        </w:numPr>
        <w:jc w:val="both"/>
      </w:pPr>
      <w:r>
        <w:t>Mi luäŋi jɛ, tokɛ kɛ ciöt ŋi̱i̱cädu.</w:t>
      </w:r>
    </w:p>
    <w:p w14:paraId="2E90FD76" w14:textId="259018FE" w:rsidR="00446A98" w:rsidRDefault="00D43A3D" w:rsidP="00446A98">
      <w:pPr>
        <w:pStyle w:val="Heading2"/>
        <w:spacing w:before="240"/>
        <w:jc w:val="both"/>
      </w:pPr>
      <w:r>
        <w:rPr>
          <w:bCs/>
        </w:rPr>
        <w:t>Ta̱a̱ in bi duel gɔ̱rä gan gatdu luäk kɛ jɛ</w:t>
      </w:r>
    </w:p>
    <w:p w14:paraId="4A3CEC30" w14:textId="5E224D1B" w:rsidR="001915B9" w:rsidRDefault="001915B9" w:rsidP="000877D1">
      <w:pPr>
        <w:jc w:val="both"/>
      </w:pPr>
      <w:r>
        <w:t xml:space="preserve">Duel gɔ̱rä gan luäkɛ gaat kɛ ɣöö bikɛ rɔ̱ rialikä kɛ tukdiɛn kɛ duel gɔ̱rä. Duel gɔ̱rä gan, gaat duɔ̱lkɛ rɔ̱ ti̱thkiili gua̱a̱th in ŋarkɛ, kä lätkɛ kɛɛl kɛ nɛy kɔ̱kiɛn amäni gua̱a̱th in lät kɛn määth kɛ jɛ. </w:t>
      </w:r>
    </w:p>
    <w:p w14:paraId="3D8D8D87" w14:textId="54DDAED2" w:rsidR="00AA0172" w:rsidRDefault="00F64B3E" w:rsidP="00446A98">
      <w:pPr>
        <w:jc w:val="both"/>
      </w:pPr>
      <w:r>
        <w:t>Ɛn ŋi̱i̱c gatdu min la ŋi̱i̱c gaat duel gɔ̱rä gan bɛ gatdu luäk kɛ jiɛɛndɛ duel gɔ̱rä gan wädɛ duel gɔ̱rä in di̱i̱t kɛ gɔ̱a̱rɛ kɛ</w:t>
      </w:r>
      <w:r>
        <w:rPr>
          <w:b/>
          <w:bCs/>
        </w:rPr>
        <w:t xml:space="preserve"> Wargak ka̱p kɛnɛ Pieth (Wargak kapä nhiam)</w:t>
      </w:r>
      <w:r>
        <w:t>. Ɛn wargak in wee kɛ naath nhiam la ka̱mkɛ jɛ duel gɔ̱rä min guɛckɛ ɛn ɣöö dee gatdu wä thi̱n kɛ gua̱a̱th in te nhiam. Nyoothɛ tin luäŋ gatdu kɛ, buɔ̱m, kɛnɛ tin nhɔkɛ kɛ lɔcdɛ amäni ta̱a̱ in dee kɛn ŋɔak ŋa̱c kɛ jɛ ɛ gɔa. Ba ji̱ thiec kɛ ɣöö deri gatdu luäk kɛ thieŋnidɛ kɛ wargak in wee kɛ naath nhiam, kä dee gatdu cärkɛ kɛnɛ ta̱a̱ in jekɛ cu nyuak kɛ naath kɛɛl bä.</w:t>
      </w:r>
    </w:p>
    <w:p w14:paraId="3DECCD93" w14:textId="094EA67B" w:rsidR="00AB1A90" w:rsidRPr="00AB1A90" w:rsidRDefault="00CC5FBE" w:rsidP="00557A38">
      <w:pPr>
        <w:tabs>
          <w:tab w:val="left" w:pos="3465"/>
        </w:tabs>
        <w:jc w:val="both"/>
      </w:pPr>
      <w:r>
        <w:t>Kɛ gör lääri ti ŋuan kɛ kui̱ lääri tin wee kɛ naath nhiam, liɛmä ji̱ ɛn ɣöö gui̱l wɛb-thaay muktäbä (nɛnɛ piny).</w:t>
      </w:r>
    </w:p>
    <w:p w14:paraId="2611A1BE" w14:textId="06E5D0C1" w:rsidR="00446A98" w:rsidRDefault="00461862" w:rsidP="00446A98">
      <w:pPr>
        <w:pStyle w:val="Heading2"/>
        <w:spacing w:before="240"/>
        <w:jc w:val="both"/>
      </w:pPr>
      <w:r>
        <w:rPr>
          <w:bCs/>
        </w:rPr>
        <w:t>Go̱r lääri ti ŋuan</w:t>
      </w:r>
    </w:p>
    <w:p w14:paraId="0D76AC33" w14:textId="273FF7B8" w:rsidR="00446A98" w:rsidRPr="004660F2" w:rsidRDefault="000143F3" w:rsidP="00446A98">
      <w:pPr>
        <w:pStyle w:val="ListParagraph"/>
        <w:numPr>
          <w:ilvl w:val="0"/>
          <w:numId w:val="19"/>
        </w:numPr>
      </w:pPr>
      <w:hyperlink r:id="rId12" w:history="1">
        <w:r w:rsidR="000B4FD1">
          <w:rPr>
            <w:rStyle w:val="Hyperlink"/>
          </w:rPr>
          <w:t>Ca̱a̱p tin la tuɔkɛ duel gɔ̱rä (education.vic.gov.au)</w:t>
        </w:r>
      </w:hyperlink>
    </w:p>
    <w:p w14:paraId="1CB8E085" w14:textId="27BF7AA7" w:rsidR="00446A98" w:rsidRPr="004660F2" w:rsidRDefault="000143F3" w:rsidP="00446A98">
      <w:pPr>
        <w:pStyle w:val="ListParagraph"/>
        <w:numPr>
          <w:ilvl w:val="0"/>
          <w:numId w:val="19"/>
        </w:numPr>
      </w:pPr>
      <w:hyperlink r:id="rId13" w:history="1">
        <w:r w:rsidR="000B4FD1">
          <w:rPr>
            <w:rStyle w:val="Hyperlink"/>
          </w:rPr>
          <w:t>Jiɛɛn duel gɔ̱rä gan wä nath duel gɔ̱rä in di̱i̱t (education.vic.gov.au)</w:t>
        </w:r>
      </w:hyperlink>
    </w:p>
    <w:p w14:paraId="7B8A066F" w14:textId="7D11F8A6" w:rsidR="00446A98" w:rsidRDefault="000143F3" w:rsidP="00446A98">
      <w:pPr>
        <w:pStyle w:val="ListParagraph"/>
        <w:numPr>
          <w:ilvl w:val="0"/>
          <w:numId w:val="19"/>
        </w:numPr>
      </w:pPr>
      <w:hyperlink r:id="rId14" w:history="1">
        <w:r w:rsidR="000B4FD1">
          <w:rPr>
            <w:rStyle w:val="Hyperlink"/>
          </w:rPr>
          <w:t>Ta̱a̱ in dëë kuanyni duel gɔ̱rä kɛnɛ wä rɛc (education.vic.gov.au)</w:t>
        </w:r>
      </w:hyperlink>
    </w:p>
    <w:p w14:paraId="7925D266" w14:textId="354E5527" w:rsidR="00446A98" w:rsidRPr="004660F2" w:rsidRDefault="000143F3" w:rsidP="00446A98">
      <w:pPr>
        <w:pStyle w:val="ListParagraph"/>
        <w:numPr>
          <w:ilvl w:val="0"/>
          <w:numId w:val="19"/>
        </w:numPr>
      </w:pPr>
      <w:hyperlink r:id="rId15" w:history="1">
        <w:r w:rsidR="000B4FD1">
          <w:rPr>
            <w:rStyle w:val="Hyperlink"/>
          </w:rPr>
          <w:t>Tuɔ̱k duël gɔ̱rä: riali gatdu ikä | Kap nɛt-wäkä gan nhial</w:t>
        </w:r>
      </w:hyperlink>
    </w:p>
    <w:p w14:paraId="3B05797B" w14:textId="3D44010B" w:rsidR="00446A98" w:rsidRPr="009F58A6" w:rsidRDefault="000143F3" w:rsidP="00446A98">
      <w:pPr>
        <w:pStyle w:val="ListParagraph"/>
        <w:numPr>
          <w:ilvl w:val="0"/>
          <w:numId w:val="19"/>
        </w:numPr>
        <w:rPr>
          <w:rStyle w:val="Hyperlink"/>
          <w:color w:val="auto"/>
          <w:u w:val="none"/>
        </w:rPr>
      </w:pPr>
      <w:hyperlink r:id="rId16" w:history="1">
        <w:r w:rsidR="000B4FD1">
          <w:rPr>
            <w:rStyle w:val="Hyperlink"/>
          </w:rPr>
          <w:t>Tuk duël gɔ̱rä kɛ pual pua̱a̱ny – Canɛli Puɔlä Pua̱a̱ny ti lotrɔ̱</w:t>
        </w:r>
      </w:hyperlink>
    </w:p>
    <w:p w14:paraId="6245601F" w14:textId="6AB94257" w:rsidR="009F58A6" w:rsidRPr="004660F2" w:rsidRDefault="000143F3" w:rsidP="00446A98">
      <w:pPr>
        <w:pStyle w:val="ListParagraph"/>
        <w:numPr>
          <w:ilvl w:val="0"/>
          <w:numId w:val="19"/>
        </w:numPr>
      </w:pPr>
      <w:hyperlink r:id="rId17" w:anchor="link87" w:history="1">
        <w:r w:rsidR="000B4FD1">
          <w:rPr>
            <w:rStyle w:val="Hyperlink"/>
          </w:rPr>
          <w:t>Kuak gɔ̱rä dho̱ri tin tuɔɔk kɛ gɔ̱a̱r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B4B60" w14:textId="77777777" w:rsidR="000B4FD1" w:rsidRDefault="000B4FD1" w:rsidP="003967DD">
      <w:pPr>
        <w:spacing w:after="0"/>
      </w:pPr>
      <w:r>
        <w:separator/>
      </w:r>
    </w:p>
  </w:endnote>
  <w:endnote w:type="continuationSeparator" w:id="0">
    <w:p w14:paraId="4991B2FD" w14:textId="77777777" w:rsidR="000B4FD1" w:rsidRDefault="000B4FD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143F3">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B4A00" w14:textId="77777777" w:rsidR="000B4FD1" w:rsidRDefault="000B4FD1" w:rsidP="003967DD">
      <w:pPr>
        <w:spacing w:after="0"/>
      </w:pPr>
      <w:r>
        <w:separator/>
      </w:r>
    </w:p>
  </w:footnote>
  <w:footnote w:type="continuationSeparator" w:id="0">
    <w:p w14:paraId="276F30C3" w14:textId="77777777" w:rsidR="000B4FD1" w:rsidRDefault="000B4FD1"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http://schemas.openxmlformats.org/wordprocessingml/2006/main" xmlns:w10="urn:schemas-microsoft-com:office:word" xmlns:v="urn:schemas-microsoft-com:vml" xmlns:o="urn:schemas-microsoft-com:office:offic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http://schemas.openxmlformats.org/wordprocessingml/2006/main" xmlns:w10="urn:schemas-microsoft-com:office:word" xmlns:v="urn:schemas-microsoft-com:vml" xmlns:o="urn:schemas-microsoft-com:office:offic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143F3"/>
    <w:rsid w:val="000230DE"/>
    <w:rsid w:val="000256E2"/>
    <w:rsid w:val="00025C1E"/>
    <w:rsid w:val="00030164"/>
    <w:rsid w:val="00074240"/>
    <w:rsid w:val="00080DA9"/>
    <w:rsid w:val="00081E66"/>
    <w:rsid w:val="000861DD"/>
    <w:rsid w:val="000877D1"/>
    <w:rsid w:val="000A47D4"/>
    <w:rsid w:val="000B4173"/>
    <w:rsid w:val="000B4FD1"/>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DE776A"/>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Nuer_Transition_to_School_Factsheet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A9F5-D1FB-4BC6-8A97-9E07560C3FCB}"/>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3BE85A40-3C8D-4F6F-AC31-AAF6C4F44ACB}">
  <ds:schemaRefs>
    <ds:schemaRef ds:uri="2cb12009-40d9-454b-bd16-8fe8fc19de2f"/>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office/2006/documentManagement/types"/>
    <ds:schemaRef ds:uri="f67e20a8-1684-4456-b768-e2d0e3d145ff"/>
    <ds:schemaRef ds:uri="http://purl.org/dc/elements/1.1/"/>
    <ds:schemaRef ds:uri="http://purl.org/dc/dcmitype/"/>
    <ds:schemaRef ds:uri="http://schemas.microsoft.com/Sharepoint/v3"/>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D60B7C-9A36-465A-994D-4DFD1362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{4abf73ef-437e-4d02-8909-5163eef24181}</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2022-05-19T14:09:29.3331733+10:00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