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t>BERSIAP UNTUK MULAI SEKOLAH</w:t>
      </w:r>
    </w:p>
    <w:p w14:paraId="072D8FF3" w14:textId="502F06A0" w:rsidR="00D04563" w:rsidRDefault="00D04563" w:rsidP="00D04563">
      <w:pPr>
        <w:pStyle w:val="Intro"/>
        <w:spacing w:after="60"/>
        <w:jc w:val="both"/>
      </w:pPr>
      <w:bookmarkStart w:id="0" w:name="_Hlk83805152"/>
      <w:r>
        <w:t xml:space="preserve">Masuk sekolah adalah perubahan besar bagi anak-anak dan keluarga. Membiasakan diri dengan orang lain, tempat, dan rutinitas baru bisa menjadi hal yang menyenangkan  dan menantang. </w:t>
      </w:r>
      <w:bookmarkEnd w:id="0"/>
      <w:r>
        <w:t>Ada banyak hal yang dapat Anda lakukan untuk membantu anak Anda memulai sekolah dengan baik.</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Apa saja hal yang baik untuk mengawali masuk sekolah?</w:t>
      </w:r>
    </w:p>
    <w:p w14:paraId="6D26FC73" w14:textId="7B5CB7F7" w:rsidR="007172EB" w:rsidRDefault="007172EB" w:rsidP="00074240">
      <w:pPr>
        <w:jc w:val="both"/>
      </w:pPr>
      <w:r>
        <w:t>Keluarga dan pengasuh adalah guru pertama anak-anak mereka. Hal-hal yang Anda lakukan di rumah bersama anak And</w:t>
      </w:r>
      <w:bookmarkStart w:id="1" w:name="_GoBack"/>
      <w:bookmarkEnd w:id="1"/>
      <w:r>
        <w:t xml:space="preserve">a membantu pembelajaran dan perkembangan mereka dan mempersiapkan mereka untuk sekolah. Cara terbaik untuk mendukung pembelajaran dan perkembangan anak Anda adalah melalui </w:t>
      </w:r>
      <w:r w:rsidRPr="00557A38">
        <w:rPr>
          <w:b/>
          <w:bCs/>
          <w:color w:val="86189C" w:themeColor="accent2"/>
        </w:rPr>
        <w:t>bermain</w:t>
      </w:r>
      <w:r>
        <w:t xml:space="preserve">. </w:t>
      </w:r>
    </w:p>
    <w:p w14:paraId="27321963" w14:textId="1C9A0EE2" w:rsidR="00F64B3E" w:rsidRPr="00074240" w:rsidRDefault="00F64B3E" w:rsidP="00074240">
      <w:pPr>
        <w:jc w:val="both"/>
      </w:pPr>
      <w:r>
        <w:t xml:space="preserve">Awal yang baik saat masuk sekolah akan membantu anak-anak belajar dengan baik dan merasa lebih bahagia. Dan ketika anak-anak senang di sekolah, mereka jadi ingin terus belajar. Sekolah anak akan bekerja keras memenuhi kebutuhan individu anak Anda dan memberi dukungan ekstra jika diperlukan. Anda juga dapat mendukung anak Anda dengan melakukan hal-hal yang membantu mereka beradaptasi di sekolah dan merasa aman, percaya diri, dan terhubung. </w:t>
      </w:r>
    </w:p>
    <w:p w14:paraId="437BE2B1" w14:textId="104257F0" w:rsidR="00446A98" w:rsidRDefault="00D256C5" w:rsidP="00446A98">
      <w:pPr>
        <w:pStyle w:val="Heading2"/>
        <w:spacing w:before="240"/>
        <w:jc w:val="both"/>
      </w:pPr>
      <w:r>
        <w:t>Bermain dan belajar di rumah</w:t>
      </w:r>
    </w:p>
    <w:p w14:paraId="3AB8561B" w14:textId="3CD5572F" w:rsidR="00865FD7" w:rsidRPr="00865FD7" w:rsidRDefault="00865FD7" w:rsidP="00AA0172">
      <w:pPr>
        <w:jc w:val="both"/>
      </w:pPr>
      <w:r>
        <w:t>Bermain adalah cara terbaik untuk membantu anak Anda belajar. Bermain akan mengembangkan keterampilan seumur hidup dalam matematika, seperti menghitung, menyortir, mengelompokkan, dan mengukur. Bermain akan membantu anak Anda mengenal alam dan sains dan memungkinkan mereka menjadi kreatif. Ketika anak Anda bermain, mereka juga belajar tentang emosi dan mengembangkan keterampilan bahasa dan literasi mereka. Berikut ini adalah hal-hal yang dapat Anda lakukan di rumah:</w:t>
      </w:r>
    </w:p>
    <w:p w14:paraId="62BA826E" w14:textId="5BC58488" w:rsidR="00446A98" w:rsidRPr="00865FD7" w:rsidRDefault="00446A98" w:rsidP="00446A98">
      <w:pPr>
        <w:pStyle w:val="ListParagraph"/>
        <w:numPr>
          <w:ilvl w:val="0"/>
          <w:numId w:val="18"/>
        </w:numPr>
        <w:ind w:left="714" w:hanging="357"/>
        <w:contextualSpacing w:val="0"/>
        <w:jc w:val="both"/>
      </w:pPr>
      <w:r>
        <w:rPr>
          <w:b/>
          <w:color w:val="86189C" w:themeColor="accent2"/>
        </w:rPr>
        <w:t>Aktivitas Sehari-hari:</w:t>
      </w:r>
      <w:r>
        <w:t xml:space="preserve"> Anak-anak belajar melalui aktivitas sehari-hari seperti memasak, membantu menata dan membersihkan meja, menyortir cucian, menyimpan pakaian dan mainan, serta merawat tanaman dan hewan peliharaan. Anda dapat membantu anak Anda belajar dengan mengajukan pertanyaan, seperti '</w:t>
      </w:r>
      <w:r>
        <w:rPr>
          <w:i/>
        </w:rPr>
        <w:t>Berapa cangkir tepung yang dibutuhkan?</w:t>
      </w:r>
      <w:r>
        <w:t>' atau '</w:t>
      </w:r>
      <w:r>
        <w:rPr>
          <w:i/>
        </w:rPr>
        <w:t>Bisa cari pasangan kaus kaki ini?</w:t>
      </w:r>
      <w:r>
        <w:t>'</w:t>
      </w:r>
    </w:p>
    <w:p w14:paraId="282AA322" w14:textId="2098A69E" w:rsidR="00446A98" w:rsidRDefault="00446A98" w:rsidP="00446A98">
      <w:pPr>
        <w:pStyle w:val="ListParagraph"/>
        <w:numPr>
          <w:ilvl w:val="0"/>
          <w:numId w:val="18"/>
        </w:numPr>
        <w:ind w:left="714" w:hanging="357"/>
        <w:contextualSpacing w:val="0"/>
        <w:jc w:val="both"/>
      </w:pPr>
      <w:r>
        <w:rPr>
          <w:b/>
          <w:color w:val="86189C" w:themeColor="accent2"/>
        </w:rPr>
        <w:t xml:space="preserve">Permainan: </w:t>
      </w:r>
      <w:r>
        <w:t xml:space="preserve">Memainkan permainan sederhana seperti UNO, Snap, Memory, I Spy, dan Hide and Seek akan membantu anak Anda belajar dan mengajari mereka tentang menunggu giliran. </w:t>
      </w:r>
    </w:p>
    <w:p w14:paraId="06C11BC8" w14:textId="3F0E432F" w:rsidR="00446A98" w:rsidRDefault="00EE582E" w:rsidP="00B02BA4">
      <w:pPr>
        <w:pStyle w:val="ListParagraph"/>
        <w:numPr>
          <w:ilvl w:val="0"/>
          <w:numId w:val="18"/>
        </w:numPr>
        <w:ind w:left="714" w:hanging="357"/>
        <w:contextualSpacing w:val="0"/>
        <w:jc w:val="both"/>
      </w:pPr>
      <w:r>
        <w:rPr>
          <w:b/>
          <w:color w:val="86189C" w:themeColor="accent2"/>
        </w:rPr>
        <w:t>Blok bangunan:</w:t>
      </w:r>
      <w:r>
        <w:t xml:space="preserve"> Membangun mainan balok seperti LEGO, balok kayu atau kotak kardus akan mengembangkan keterampilan motorik halus dan memungkinkan anak Anda berkreasi dan memecahkan masalah. </w:t>
      </w:r>
    </w:p>
    <w:p w14:paraId="17EF7CF0" w14:textId="2D94B5AA" w:rsidR="009D4850" w:rsidRPr="00865FD7" w:rsidRDefault="009D4850" w:rsidP="00446A98">
      <w:pPr>
        <w:pStyle w:val="ListParagraph"/>
        <w:numPr>
          <w:ilvl w:val="0"/>
          <w:numId w:val="18"/>
        </w:numPr>
        <w:ind w:left="714" w:hanging="357"/>
        <w:contextualSpacing w:val="0"/>
        <w:jc w:val="both"/>
      </w:pPr>
      <w:r>
        <w:rPr>
          <w:b/>
          <w:color w:val="86189C" w:themeColor="accent2"/>
        </w:rPr>
        <w:t>Seni dan kerajinan</w:t>
      </w:r>
      <w:r>
        <w:rPr>
          <w:color w:val="86189C" w:themeColor="accent2"/>
        </w:rPr>
        <w:t xml:space="preserve">: </w:t>
      </w:r>
      <w:r>
        <w:t xml:space="preserve">Kegiatan seni dan kerajinan juga akan meningkatkan kreativitas dan membangun keterampilan motorik halus dan pemecahan masalah. </w:t>
      </w:r>
    </w:p>
    <w:p w14:paraId="3953859F" w14:textId="166F6648" w:rsidR="00446A98" w:rsidRDefault="00446A98" w:rsidP="00446A98">
      <w:pPr>
        <w:pStyle w:val="ListParagraph"/>
        <w:numPr>
          <w:ilvl w:val="0"/>
          <w:numId w:val="18"/>
        </w:numPr>
        <w:ind w:left="714" w:hanging="357"/>
        <w:contextualSpacing w:val="0"/>
        <w:jc w:val="both"/>
      </w:pPr>
      <w:r>
        <w:rPr>
          <w:b/>
          <w:color w:val="86189C" w:themeColor="accent2"/>
        </w:rPr>
        <w:t>Berdandan</w:t>
      </w:r>
      <w:r>
        <w:t xml:space="preserve">: Mengenakan pakaian lama dan berpura-pura menjadi orang lain akan membangun kreativitas dan keterampilan bahasa. </w:t>
      </w:r>
    </w:p>
    <w:p w14:paraId="543A06EB" w14:textId="7EAE5389" w:rsidR="00446A98" w:rsidRDefault="00446A98" w:rsidP="00446A98">
      <w:pPr>
        <w:pStyle w:val="ListParagraph"/>
        <w:numPr>
          <w:ilvl w:val="0"/>
          <w:numId w:val="18"/>
        </w:numPr>
        <w:ind w:left="714" w:hanging="357"/>
        <w:contextualSpacing w:val="0"/>
        <w:jc w:val="both"/>
      </w:pPr>
      <w:r>
        <w:rPr>
          <w:b/>
          <w:color w:val="86189C" w:themeColor="accent2"/>
        </w:rPr>
        <w:t xml:space="preserve">Musik, cerita, dan tarian: </w:t>
      </w:r>
      <w:r>
        <w:t>Membaca , bercerita, mendengarkan dan menari mengikuti musik, dan 'berburu harta karun' untuk menemukan benda-benda di sekitar rumah atau taman akan membangun keterampilan bahasa anak Anda.</w:t>
      </w:r>
    </w:p>
    <w:p w14:paraId="51283D43" w14:textId="1B93A58D" w:rsidR="00446A98" w:rsidRPr="00905DC5" w:rsidRDefault="00B80876" w:rsidP="00446A98">
      <w:pPr>
        <w:pStyle w:val="ListParagraph"/>
        <w:numPr>
          <w:ilvl w:val="0"/>
          <w:numId w:val="18"/>
        </w:numPr>
        <w:ind w:left="714" w:hanging="357"/>
        <w:contextualSpacing w:val="0"/>
        <w:jc w:val="both"/>
      </w:pPr>
      <w:r>
        <w:rPr>
          <w:b/>
          <w:color w:val="86189C" w:themeColor="accent2"/>
        </w:rPr>
        <w:lastRenderedPageBreak/>
        <w:t xml:space="preserve">Bermain di luar: </w:t>
      </w:r>
      <w:r>
        <w:t xml:space="preserve">Berjalan, memanjat, mengendarai sepeda atau skuter, pergi ke taman bermain, membangun kotak-kotak, melempar dan menangkap bola, memukul bola lunak dengan raket tenis atau pemukul kriket lunak, menggali tanah dan lumpur – semua ini akan membantu anak Anda belajar dan berkembang.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color w:val="86189C" w:themeColor="accent2"/>
        </w:rPr>
        <w:t xml:space="preserve">Investigasi dan ajukan pertanyaan: </w:t>
      </w:r>
      <w:r>
        <w:t xml:space="preserve">Ketika anak Anda sedang bermain, ajukan pertanyaan seperti </w:t>
      </w:r>
      <w:r>
        <w:rPr>
          <w:i/>
        </w:rPr>
        <w:t>'Bisa jelaskan tidak...?</w:t>
      </w:r>
      <w:r>
        <w:t>',</w:t>
      </w:r>
      <w:r>
        <w:rPr>
          <w:i/>
        </w:rPr>
        <w:t xml:space="preserve"> 'Kira-kira apa yang akan terjadi jika...?</w:t>
      </w:r>
      <w:r>
        <w:t>'</w:t>
      </w:r>
      <w:r>
        <w:rPr>
          <w:i/>
        </w:rPr>
        <w:t>, 'Apa jawaban pertanyaan itu...?'</w:t>
      </w:r>
      <w:r>
        <w:t xml:space="preserve"> </w:t>
      </w:r>
    </w:p>
    <w:p w14:paraId="1DDAE8B6" w14:textId="6FBB7B89" w:rsidR="002665C6" w:rsidRPr="002665C6" w:rsidRDefault="002665C6" w:rsidP="002665C6">
      <w:pPr>
        <w:pStyle w:val="ListParagraph"/>
        <w:numPr>
          <w:ilvl w:val="0"/>
          <w:numId w:val="18"/>
        </w:numPr>
        <w:ind w:left="714" w:hanging="357"/>
        <w:contextualSpacing w:val="0"/>
        <w:jc w:val="both"/>
      </w:pPr>
      <w:r>
        <w:rPr>
          <w:b/>
          <w:color w:val="86189C" w:themeColor="accent2"/>
        </w:rPr>
        <w:t>Rutinitas:</w:t>
      </w:r>
      <w:r>
        <w:t xml:space="preserve"> Melakukan sesuatu pada waktu yang sama setiap hari akan membuat anak Anda tahu apa yang bisa mereka harapkan dan membantu mereka menangani perasaan mereka. Rutinitas akan membantu anak-anak beradaptasi dengan sekolah. Anak-anak sangat penting melakukan rutinitas sebelum tidur, misalnya: makan malam dan mandi, memakai piyama, menyikat gigi, membaca buku, dan kemudian pergi tidur. </w:t>
      </w:r>
    </w:p>
    <w:p w14:paraId="7908C430" w14:textId="5CA48307" w:rsidR="00446A98" w:rsidRDefault="002665C6" w:rsidP="00446A98">
      <w:pPr>
        <w:pStyle w:val="Heading2"/>
        <w:spacing w:before="240"/>
        <w:jc w:val="both"/>
      </w:pPr>
      <w:r>
        <w:t>Jadikan sekolah tempat yang biasa</w:t>
      </w:r>
    </w:p>
    <w:p w14:paraId="39FC0BB5" w14:textId="1548F21C" w:rsidR="00074240" w:rsidRDefault="00074240" w:rsidP="00074240">
      <w:pPr>
        <w:jc w:val="both"/>
      </w:pPr>
      <w:r>
        <w:t>Menjadi 'siap untuk sekolah' bukan tentang pembelajaran akademis, tetapi tentang memahami seperti apa sekolah itu dan memiliki harapan positif. Berikut adalah beberapa hal yang dapat Anda lakukan untuk membantu anak Anda:</w:t>
      </w:r>
    </w:p>
    <w:p w14:paraId="4E213A4A" w14:textId="4B78FB95" w:rsidR="00405072" w:rsidRPr="00776966" w:rsidRDefault="00405072" w:rsidP="00446A98">
      <w:pPr>
        <w:pStyle w:val="ListParagraph"/>
        <w:numPr>
          <w:ilvl w:val="0"/>
          <w:numId w:val="20"/>
        </w:numPr>
        <w:jc w:val="both"/>
      </w:pPr>
      <w:r>
        <w:t xml:space="preserve">Ikut dalam program transisi apa pun ke sekolah yang ditawarkan oleh taman kanak-kanak atau sekolah anak Anda. </w:t>
      </w:r>
    </w:p>
    <w:p w14:paraId="2B0F9081" w14:textId="487519D9" w:rsidR="00446A98" w:rsidRPr="008910BA" w:rsidRDefault="00446A98" w:rsidP="00446A98">
      <w:pPr>
        <w:pStyle w:val="ListParagraph"/>
        <w:numPr>
          <w:ilvl w:val="0"/>
          <w:numId w:val="20"/>
        </w:numPr>
        <w:jc w:val="both"/>
      </w:pPr>
      <w:r>
        <w:t>Berlatih pergi ke dan dari sekolah.</w:t>
      </w:r>
    </w:p>
    <w:p w14:paraId="0F2776D7" w14:textId="44A1C96A" w:rsidR="00446A98" w:rsidRPr="008910BA" w:rsidRDefault="006C0E3B" w:rsidP="00446A98">
      <w:pPr>
        <w:pStyle w:val="ListParagraph"/>
        <w:numPr>
          <w:ilvl w:val="0"/>
          <w:numId w:val="20"/>
        </w:numPr>
        <w:jc w:val="both"/>
      </w:pPr>
      <w:r>
        <w:t>Beri izin anak Anda bermain dengan anak lain yang akan bersekolah di sekolah yang sama.</w:t>
      </w:r>
    </w:p>
    <w:p w14:paraId="7806BEA3" w14:textId="052CB8CE" w:rsidR="00446A98" w:rsidRPr="008910BA" w:rsidRDefault="00446A98" w:rsidP="00446A98">
      <w:pPr>
        <w:pStyle w:val="ListParagraph"/>
        <w:numPr>
          <w:ilvl w:val="0"/>
          <w:numId w:val="20"/>
        </w:numPr>
        <w:jc w:val="both"/>
      </w:pPr>
      <w:r>
        <w:t xml:space="preserve">Membantu kemandirian dengan mengajari anak Anda cara berpakaian, pergi ke WC, mencuci tangan, memakai tabir surya, dan mengemas serta membawa tas sekolah mereka. </w:t>
      </w:r>
    </w:p>
    <w:p w14:paraId="35CC7DAF" w14:textId="5FF793AA" w:rsidR="00446A98" w:rsidRPr="00776966" w:rsidRDefault="006C0E3B" w:rsidP="00446A98">
      <w:pPr>
        <w:pStyle w:val="ListParagraph"/>
        <w:numPr>
          <w:ilvl w:val="0"/>
          <w:numId w:val="20"/>
        </w:numPr>
        <w:jc w:val="both"/>
      </w:pPr>
      <w:r>
        <w:t xml:space="preserve">Diskusikan soal mulai masuk sekolah dengan mereka. Buat anak Anda bersemangat masuk sekolah dan diskusikan jika mereka memiliki rasa khawatir. </w:t>
      </w:r>
    </w:p>
    <w:p w14:paraId="00FE6FD4" w14:textId="1C8C373F" w:rsidR="00446A98" w:rsidRPr="008910BA" w:rsidRDefault="006048F5" w:rsidP="00446A98">
      <w:pPr>
        <w:pStyle w:val="ListParagraph"/>
        <w:numPr>
          <w:ilvl w:val="0"/>
          <w:numId w:val="20"/>
        </w:numPr>
        <w:jc w:val="both"/>
      </w:pPr>
      <w:r>
        <w:t>Baca buku atau berceritalah tentang masuk sekolah.</w:t>
      </w:r>
    </w:p>
    <w:p w14:paraId="3C14D5E8" w14:textId="13BF798E" w:rsidR="00446A98" w:rsidRPr="00776966" w:rsidRDefault="00446A98" w:rsidP="00446A98">
      <w:pPr>
        <w:pStyle w:val="ListParagraph"/>
        <w:numPr>
          <w:ilvl w:val="0"/>
          <w:numId w:val="20"/>
        </w:numPr>
        <w:jc w:val="both"/>
      </w:pPr>
      <w:r>
        <w:t xml:space="preserve">Bicarakan dan praktikkan apa yang akan terjadi sepulang sekolah. </w:t>
      </w:r>
    </w:p>
    <w:p w14:paraId="065F0079" w14:textId="7F8965F4" w:rsidR="00446A98" w:rsidRPr="00776966" w:rsidRDefault="00227954" w:rsidP="00446A98">
      <w:pPr>
        <w:pStyle w:val="ListParagraph"/>
        <w:numPr>
          <w:ilvl w:val="0"/>
          <w:numId w:val="20"/>
        </w:numPr>
        <w:jc w:val="both"/>
      </w:pPr>
      <w:r>
        <w:t>Bersiaplah untuk menjemput dan mengantar dengan memeriksa jam masuk dan keluar sekolah dan mencari tahu di mana harus mengantar dan menjemput anak Anda.</w:t>
      </w:r>
    </w:p>
    <w:p w14:paraId="05A1E313" w14:textId="097D6871" w:rsidR="00446A98" w:rsidRPr="008910BA" w:rsidRDefault="00227954" w:rsidP="00446A98">
      <w:pPr>
        <w:pStyle w:val="ListParagraph"/>
        <w:numPr>
          <w:ilvl w:val="0"/>
          <w:numId w:val="20"/>
        </w:numPr>
        <w:jc w:val="both"/>
      </w:pPr>
      <w:r>
        <w:t>Mulailah menggunakan nama guru jika bisa.</w:t>
      </w:r>
    </w:p>
    <w:p w14:paraId="2E90FD76" w14:textId="259018FE" w:rsidR="00446A98" w:rsidRDefault="00D43A3D" w:rsidP="00446A98">
      <w:pPr>
        <w:pStyle w:val="Heading2"/>
        <w:spacing w:before="240"/>
        <w:jc w:val="both"/>
      </w:pPr>
      <w:r>
        <w:t>Bagaimana taman kanak-kanak anak Anda akan membantu</w:t>
      </w:r>
    </w:p>
    <w:p w14:paraId="4A3CEC30" w14:textId="5E224D1B" w:rsidR="001915B9" w:rsidRDefault="001915B9" w:rsidP="000877D1">
      <w:pPr>
        <w:jc w:val="both"/>
      </w:pPr>
      <w:r>
        <w:t xml:space="preserve">TK juga membantu anak-anak bersiap-siap untuk mulai sekolah. Di taman kanak-kanak, anak-anak mengembangkan keterampilan melalui bermain, bekerja dengan orang lain, dan berteman. </w:t>
      </w:r>
    </w:p>
    <w:p w14:paraId="3D8D8D87" w14:textId="54DDAED2" w:rsidR="00AA0172" w:rsidRDefault="00F64B3E" w:rsidP="00446A98">
      <w:pPr>
        <w:jc w:val="both"/>
      </w:pPr>
      <w:r>
        <w:t xml:space="preserve">Guru TK anak Anda akan membantu anak Anda berpindah dari TK ke sekolah dengan menulis </w:t>
      </w:r>
      <w:r>
        <w:rPr>
          <w:b/>
        </w:rPr>
        <w:t>Pernyataan  Pembelajaran dan Perkembangan Transisi atau Transition Learning and Development Statement (Pernyataan Transisi)</w:t>
      </w:r>
      <w:r>
        <w:t>. Pernyataan Transisi akan diberikan kepada sekolah masa depan anak Anda. Pernyataan ini berisi rincian kemampuan, kekuatan, dan minat anak Anda dan bagaimana mereka belajar dengan baik. Anda akan diminta untuk membantu mengisi Pernyataan Transisi anak Anda, dan anak Anda juga dapat memasukkan pemikiran dan perasaan Anda.</w:t>
      </w:r>
    </w:p>
    <w:p w14:paraId="3DECCD93" w14:textId="094EA67B" w:rsidR="00AB1A90" w:rsidRPr="00AB1A90" w:rsidRDefault="00CC5FBE" w:rsidP="00557A38">
      <w:pPr>
        <w:tabs>
          <w:tab w:val="left" w:pos="3465"/>
        </w:tabs>
        <w:jc w:val="both"/>
      </w:pPr>
      <w:r>
        <w:t>Untuk informasi lebih lanjut tentang Pernyataan Transisi, silakan kunjungi situs web Departemen (lihat di bawah).</w:t>
      </w:r>
    </w:p>
    <w:p w14:paraId="2611A1BE" w14:textId="06E5D0C1" w:rsidR="00446A98" w:rsidRDefault="00461862" w:rsidP="00446A98">
      <w:pPr>
        <w:pStyle w:val="Heading2"/>
        <w:spacing w:before="240"/>
        <w:jc w:val="both"/>
      </w:pPr>
      <w:r>
        <w:lastRenderedPageBreak/>
        <w:t>Informasi lebih lanjut</w:t>
      </w:r>
    </w:p>
    <w:p w14:paraId="0D76AC33" w14:textId="273FF7B8" w:rsidR="00446A98" w:rsidRPr="004660F2" w:rsidRDefault="00CB553F" w:rsidP="00446A98">
      <w:pPr>
        <w:pStyle w:val="ListParagraph"/>
        <w:numPr>
          <w:ilvl w:val="0"/>
          <w:numId w:val="19"/>
        </w:numPr>
      </w:pPr>
      <w:hyperlink r:id="rId12" w:history="1">
        <w:r w:rsidR="00B02BA4">
          <w:rPr>
            <w:rStyle w:val="Hyperlink"/>
          </w:rPr>
          <w:t>Kiat untuk memulai sekolah (education.vic.gov.au)</w:t>
        </w:r>
      </w:hyperlink>
    </w:p>
    <w:p w14:paraId="1CB8E085" w14:textId="27BF7AA7" w:rsidR="00446A98" w:rsidRPr="004660F2" w:rsidRDefault="00CB553F" w:rsidP="00446A98">
      <w:pPr>
        <w:pStyle w:val="ListParagraph"/>
        <w:numPr>
          <w:ilvl w:val="0"/>
          <w:numId w:val="19"/>
        </w:numPr>
      </w:pPr>
      <w:hyperlink r:id="rId13" w:history="1">
        <w:r w:rsidR="00B02BA4">
          <w:rPr>
            <w:rStyle w:val="Hyperlink"/>
          </w:rPr>
          <w:t>Pindah dari TK ke sekolah (education.vic.gov.au)</w:t>
        </w:r>
      </w:hyperlink>
    </w:p>
    <w:p w14:paraId="7B8A066F" w14:textId="7D11F8A6" w:rsidR="00446A98" w:rsidRDefault="00CB553F" w:rsidP="00446A98">
      <w:pPr>
        <w:pStyle w:val="ListParagraph"/>
        <w:numPr>
          <w:ilvl w:val="0"/>
          <w:numId w:val="19"/>
        </w:numPr>
      </w:pPr>
      <w:hyperlink r:id="rId14" w:history="1">
        <w:r w:rsidR="00B02BA4">
          <w:rPr>
            <w:rStyle w:val="Hyperlink"/>
          </w:rPr>
          <w:t>Bagaimana cara memilih sekolah dan mendaftar (education.vic.gov.au)</w:t>
        </w:r>
      </w:hyperlink>
    </w:p>
    <w:p w14:paraId="7925D266" w14:textId="354E5527" w:rsidR="00446A98" w:rsidRPr="004660F2" w:rsidRDefault="00CB553F" w:rsidP="00446A98">
      <w:pPr>
        <w:pStyle w:val="ListParagraph"/>
        <w:numPr>
          <w:ilvl w:val="0"/>
          <w:numId w:val="19"/>
        </w:numPr>
      </w:pPr>
      <w:hyperlink r:id="rId15" w:history="1">
        <w:r w:rsidR="00B02BA4">
          <w:rPr>
            <w:rStyle w:val="Hyperlink"/>
          </w:rPr>
          <w:t>Memulai sekolah: mempersiapkan anak Anda | Membesarkan Jaringan Anak</w:t>
        </w:r>
      </w:hyperlink>
    </w:p>
    <w:p w14:paraId="3B05797B" w14:textId="3D44010B" w:rsidR="00446A98" w:rsidRPr="009F58A6" w:rsidRDefault="00CB553F" w:rsidP="00446A98">
      <w:pPr>
        <w:pStyle w:val="ListParagraph"/>
        <w:numPr>
          <w:ilvl w:val="0"/>
          <w:numId w:val="19"/>
        </w:numPr>
        <w:rPr>
          <w:rStyle w:val="Hyperlink"/>
          <w:color w:val="auto"/>
          <w:u w:val="none"/>
        </w:rPr>
      </w:pPr>
      <w:hyperlink r:id="rId16" w:history="1">
        <w:r w:rsidR="00B02BA4">
          <w:rPr>
            <w:rStyle w:val="Hyperlink"/>
          </w:rPr>
          <w:t>Awal yang Sehat untuk Mulai Sekolah - Saluran Kesehatan yang Lebih Baik</w:t>
        </w:r>
      </w:hyperlink>
    </w:p>
    <w:p w14:paraId="6245601F" w14:textId="6AB94257" w:rsidR="009F58A6" w:rsidRPr="004660F2" w:rsidRDefault="00CB553F" w:rsidP="00446A98">
      <w:pPr>
        <w:pStyle w:val="ListParagraph"/>
        <w:numPr>
          <w:ilvl w:val="0"/>
          <w:numId w:val="19"/>
        </w:numPr>
      </w:pPr>
      <w:hyperlink r:id="rId17" w:anchor="link87" w:history="1">
        <w:r w:rsidR="00B02BA4">
          <w:rPr>
            <w:rStyle w:val="Hyperlink"/>
          </w:rPr>
          <w:t>Transisi ke sumber daya sekolah untuk keluarga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B553F">
      <w:rPr>
        <w:rStyle w:val="PageNumber"/>
        <w:noProof/>
      </w:rPr>
      <w:t>3</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553F"/>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id-ID"/>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Indonesian_Transition_to_School_Factsheet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2.xml><?xml version="1.0" encoding="utf-8"?>
<ds:datastoreItem xmlns:ds="http://schemas.openxmlformats.org/officeDocument/2006/customXml" ds:itemID="{A7CC266C-C55D-4559-8806-FA40F7CD7942}"/>
</file>

<file path=customXml/itemProps3.xml><?xml version="1.0" encoding="utf-8"?>
<ds:datastoreItem xmlns:ds="http://schemas.openxmlformats.org/officeDocument/2006/customXml" ds:itemID="{3BE85A40-3C8D-4F6F-AC31-AAF6C4F44ACB}">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2cb12009-40d9-454b-bd16-8fe8fc19de2f"/>
    <ds:schemaRef ds:uri="http://purl.org/dc/dcmitype/"/>
    <ds:schemaRef ds:uri="http://schemas.microsoft.com/sharepoint/v3"/>
    <ds:schemaRef ds:uri="f67e20a8-1684-4456-b768-e2d0e3d145ff"/>
    <ds:schemaRef ds:uri="http://schemas.microsoft.com/office/2006/documentManagement/types"/>
    <ds:schemaRef ds:uri="http://schemas.microsoft.com/sharepoint/v4"/>
    <ds:schemaRef ds:uri="http://schemas.microsoft.com/Sharepoint/v3"/>
    <ds:schemaRef ds:uri="http://purl.org/dc/terms/"/>
  </ds:schemaRefs>
</ds:datastoreItem>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8665AF2B-7F56-4A7F-B390-40498C10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{5a3221e7-036b-48f0-a214-23e639f0a09f}</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R20220291810</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2022-05-19T14:07:05.0801224+10:00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