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t>স্কুল শুরু করার জন্য প্রস্তুত হওয়া</w:t>
      </w:r>
      <w:bookmarkStart w:id="0" w:name="_GoBack"/>
      <w:bookmarkEnd w:id="0"/>
    </w:p>
    <w:p w14:paraId="072D8FF3" w14:textId="502F06A0" w:rsidR="00D04563" w:rsidRDefault="00D04563" w:rsidP="00D04563">
      <w:pPr>
        <w:pStyle w:val="Intro"/>
        <w:spacing w:after="60"/>
        <w:jc w:val="both"/>
      </w:pPr>
      <w:bookmarkStart w:id="1" w:name="_Hlk83805152"/>
      <w:r>
        <w:t xml:space="preserve">স্কুল শুরু করা শিশু ও পরিবারের জন্য একটি বড় পরিবর্তন। নতুন মানুষ, স্থান ও রুটিনে অভ্যস্ত হওয়া উত্তেজনাপূর্ণ </w:t>
      </w:r>
      <w:r>
        <w:rPr>
          <w:rFonts w:ascii="Symbol" w:hAnsi="Symbol"/>
        </w:rPr>
        <w:t></w:t>
      </w:r>
      <w:r>
        <w:t xml:space="preserve"> এবং চ্যালেঞ্জিং হতে পারে। </w:t>
      </w:r>
      <w:bookmarkEnd w:id="1"/>
      <w:r>
        <w:t>স্কুলে একটি ভালো শুরুতে সাহায্য করতে আপনার সন্তানের জন্য আপনি অনেক কিছু করতে পারেন।</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স্কুলে একটি ভালো শুরু কী?</w:t>
      </w:r>
    </w:p>
    <w:p w14:paraId="6D26FC73" w14:textId="7B5CB7F7" w:rsidR="007172EB" w:rsidRDefault="007172EB" w:rsidP="00074240">
      <w:pPr>
        <w:jc w:val="both"/>
      </w:pPr>
      <w:r>
        <w:t xml:space="preserve">পরিবার ও কেয়ারারগণ শিশুদের প্রথম শিক্ষক। আপনি আপনার সন্তানের সাথে বাড়িতে যা করেন তা তাদের শেখার ও বিকাশে সহায়তা করে এবং তাকে স্কুলের জন্য প্রস্তুত করে। আপনার সন্তানের শিক্ষণের ও বেড়ে ওঠাকে সহায়তা করার সর্বোত্তম উপায় হল </w:t>
      </w:r>
      <w:r>
        <w:rPr>
          <w:b/>
          <w:bCs/>
          <w:color w:val="86189C" w:themeColor="accent2"/>
        </w:rPr>
        <w:t>খেলা</w:t>
      </w:r>
      <w:r>
        <w:t xml:space="preserve">। </w:t>
      </w:r>
    </w:p>
    <w:p w14:paraId="27321963" w14:textId="1C9A0EE2" w:rsidR="00F64B3E" w:rsidRPr="00074240" w:rsidRDefault="00F64B3E" w:rsidP="00074240">
      <w:pPr>
        <w:jc w:val="both"/>
      </w:pPr>
      <w:r>
        <w:t xml:space="preserve">স্কুলে একটি ভালো শুরু শিশুদের ভালোভাবে শিখতে ও অধিক হাসিখুশি বোধ করতে সাহায্য করে। আর শিশুরা যখন স্কুলে খুশি হয়, তাদের শেখার আগ্রহ অব্যাহত থাকে। প্রয়োজন হলে অতিরিক্ত সহায়তাসহ আপনার সন্তানের স্কুল আপনার সন্তানের ব্যক্তিগত চাহিদা পূরণ করতে কঠোর পরিশ্রম করবে। এছাড়াও আপনি আপনার সন্তানকে এমন কিছু করার মাধ্যমে সহায়তা করতে পারেন যা তাকে স্কুলে স্থায়ী হতে এবং নিরাপদ, আত্মবিশ্বাসী ও সংযুক্ত বোধ করতে সহায়তা করে। </w:t>
      </w:r>
    </w:p>
    <w:p w14:paraId="437BE2B1" w14:textId="104257F0" w:rsidR="00446A98" w:rsidRDefault="00D256C5" w:rsidP="00446A98">
      <w:pPr>
        <w:pStyle w:val="Heading2"/>
        <w:spacing w:before="240"/>
        <w:jc w:val="both"/>
      </w:pPr>
      <w:r>
        <w:t>বাড়িতে খেলুন ও শিখুন</w:t>
      </w:r>
    </w:p>
    <w:p w14:paraId="3AB8561B" w14:textId="3CD5572F" w:rsidR="00865FD7" w:rsidRPr="00865FD7" w:rsidRDefault="00865FD7" w:rsidP="00AA0172">
      <w:pPr>
        <w:jc w:val="both"/>
      </w:pPr>
      <w:r>
        <w:t>আপনার সন্তানকে শিখতে সাহায্য করার সর্বোত্তম উপায় হল খেলা। গণনা, বাছাই, গ্রুপিং করা ও আকার নির্ণয় করার মতো গণিতে খেলা আজীবন স্থায়ী দক্ষতা বিকাশ করে। খেলা আপনার সন্তানকে প্রকৃতি ও বিজ্ঞান আবিষ্কার করতে সাহায্য করে এবং তার সৃজনশীল হওয়ার সুযোগ প্রদান করে। খেলার সময় আপনার সন্তান আবেগ সম্পর্কেও শিখছে এবং তার ভাষা ও সাক্ষরতার দক্ষতা বিকাশ করছে। কিছু কিছু জিনিস যা আপনি বাড়িতে করতে পারেন:</w:t>
      </w:r>
    </w:p>
    <w:p w14:paraId="62BA826E" w14:textId="5BC58488" w:rsidR="00446A98" w:rsidRPr="00865FD7" w:rsidRDefault="00446A98" w:rsidP="00446A98">
      <w:pPr>
        <w:pStyle w:val="ListParagraph"/>
        <w:numPr>
          <w:ilvl w:val="0"/>
          <w:numId w:val="18"/>
        </w:numPr>
        <w:ind w:left="714" w:hanging="357"/>
        <w:contextualSpacing w:val="0"/>
        <w:jc w:val="both"/>
      </w:pPr>
      <w:r>
        <w:rPr>
          <w:b/>
          <w:bCs/>
          <w:color w:val="86189C" w:themeColor="accent2"/>
        </w:rPr>
        <w:t>দৈনন্দিন কার্যক্রম:</w:t>
      </w:r>
      <w:r>
        <w:rPr>
          <w:color w:val="86189C" w:themeColor="accent2"/>
        </w:rPr>
        <w:t xml:space="preserve"> </w:t>
      </w:r>
      <w:r>
        <w:t>রান্না করা, টেবিল সেট ও পরিষ্কার করতে সাহায্য করা, ধোয়ার কাপড় বাছাই করা, জামাকাপড় ও খেলনা গুছিয়ে রাখা এবং গাছপালা ও পোষা প্রাণীর যত্ন নেওয়ার মতো দৈনন্দিন কাজের মাধ্যমে শিশুরা শেখে। আপনি ‘</w:t>
      </w:r>
      <w:r>
        <w:rPr>
          <w:i/>
        </w:rPr>
        <w:t>আমাদের কয় কাপ আটা লাগবে?</w:t>
      </w:r>
      <w:r>
        <w:t>’ বা ‘তু</w:t>
      </w:r>
      <w:r>
        <w:rPr>
          <w:i/>
        </w:rPr>
        <w:t>মি কি একইরকম দেখতে মোজা খুঁজে বের করতে পারবে</w:t>
      </w:r>
      <w:r>
        <w:rPr>
          <w:i/>
          <w:iCs/>
        </w:rPr>
        <w:t>?</w:t>
      </w:r>
      <w:r>
        <w:t>’ ধরনের প্রশ্ন করে আপনার শিশুকে শিখতে সহায়তা করতে পারেন।</w:t>
      </w:r>
    </w:p>
    <w:p w14:paraId="282AA322" w14:textId="2098A69E" w:rsidR="00446A98" w:rsidRDefault="00446A98" w:rsidP="00446A98">
      <w:pPr>
        <w:pStyle w:val="ListParagraph"/>
        <w:numPr>
          <w:ilvl w:val="0"/>
          <w:numId w:val="18"/>
        </w:numPr>
        <w:ind w:left="714" w:hanging="357"/>
        <w:contextualSpacing w:val="0"/>
        <w:jc w:val="both"/>
      </w:pPr>
      <w:r>
        <w:rPr>
          <w:b/>
          <w:bCs/>
          <w:color w:val="86189C" w:themeColor="accent2"/>
        </w:rPr>
        <w:t xml:space="preserve">গেমস: </w:t>
      </w:r>
      <w:r>
        <w:t xml:space="preserve">ইউএনও, স্ন্যাপ, মেমরি, আই স্পাই এবং হাইড অ্যান্ড সিক-এর মতো সাধারণ গেম খেলা আপনার সন্তানকে শিখতে সাহায্য করে এবং তাকে পালা নেওয়ার বিষয়ে শেখায়। </w:t>
      </w:r>
    </w:p>
    <w:p w14:paraId="06C11BC8" w14:textId="3F0E432F" w:rsidR="00446A98" w:rsidRDefault="00EE582E" w:rsidP="00B02BA4">
      <w:pPr>
        <w:pStyle w:val="ListParagraph"/>
        <w:numPr>
          <w:ilvl w:val="0"/>
          <w:numId w:val="18"/>
        </w:numPr>
        <w:ind w:left="714" w:hanging="357"/>
        <w:contextualSpacing w:val="0"/>
        <w:jc w:val="both"/>
      </w:pPr>
      <w:r>
        <w:rPr>
          <w:b/>
          <w:bCs/>
          <w:color w:val="86189C" w:themeColor="accent2"/>
        </w:rPr>
        <w:lastRenderedPageBreak/>
        <w:t>ব্লক নির্মাণের খেলা:</w:t>
      </w:r>
      <w:r>
        <w:rPr>
          <w:color w:val="86189C" w:themeColor="accent2"/>
        </w:rPr>
        <w:t xml:space="preserve"> </w:t>
      </w:r>
      <w:r>
        <w:t xml:space="preserve">LEGO, কাঠের ব্লক বা কার্ডবোর্ডের বাক্সের মতো ব্লক দিয়ে নির্মাণের কাজ করা সূক্ষ্ম অঙ্গসঞ্চালন দক্ষতা বিকাশ করে এবং আপনার সন্তানকে সৃজনশীল ও সমস্যার সমাধান করার সুযোগ প্রদান করে। </w:t>
      </w:r>
    </w:p>
    <w:p w14:paraId="17EF7CF0" w14:textId="2D94B5AA" w:rsidR="009D4850" w:rsidRPr="00865FD7" w:rsidRDefault="009D4850" w:rsidP="00446A98">
      <w:pPr>
        <w:pStyle w:val="ListParagraph"/>
        <w:numPr>
          <w:ilvl w:val="0"/>
          <w:numId w:val="18"/>
        </w:numPr>
        <w:ind w:left="714" w:hanging="357"/>
        <w:contextualSpacing w:val="0"/>
        <w:jc w:val="both"/>
      </w:pPr>
      <w:r>
        <w:rPr>
          <w:b/>
          <w:bCs/>
          <w:color w:val="86189C" w:themeColor="accent2"/>
        </w:rPr>
        <w:t>চারু ও কারুশিল্প</w:t>
      </w:r>
      <w:r>
        <w:rPr>
          <w:color w:val="86189C" w:themeColor="accent2"/>
        </w:rPr>
        <w:t xml:space="preserve">: </w:t>
      </w:r>
      <w:r>
        <w:t xml:space="preserve">চারু ও কারুশিল্প বিষয়ক কার্যাবলী সৃজনশীলতার অগ্রগতিতে সহায়তা করে এবং সূক্ষ্ম অঙ্গসঞ্চালন সংশ্লিষ্ট পেশি ও সমস্যা সমাধানের দক্ষতা তৈরি করে। </w:t>
      </w:r>
    </w:p>
    <w:p w14:paraId="3953859F" w14:textId="166F6648" w:rsidR="00446A98" w:rsidRDefault="00446A98" w:rsidP="00446A98">
      <w:pPr>
        <w:pStyle w:val="ListParagraph"/>
        <w:numPr>
          <w:ilvl w:val="0"/>
          <w:numId w:val="18"/>
        </w:numPr>
        <w:ind w:left="714" w:hanging="357"/>
        <w:contextualSpacing w:val="0"/>
        <w:jc w:val="both"/>
      </w:pPr>
      <w:r>
        <w:rPr>
          <w:b/>
          <w:bCs/>
          <w:color w:val="86189C" w:themeColor="accent2"/>
        </w:rPr>
        <w:t>পোশাক পরিধান করা</w:t>
      </w:r>
      <w:r>
        <w:t xml:space="preserve">: পুরনো পোশাক পরে বিভিন্ন চরিত্রের ভান করা সৃজনশীলতা ও ভাষার দক্ষতা তৈরি করে। </w:t>
      </w:r>
    </w:p>
    <w:p w14:paraId="543A06EB" w14:textId="7EAE5389" w:rsidR="00446A98" w:rsidRDefault="00446A98" w:rsidP="00446A98">
      <w:pPr>
        <w:pStyle w:val="ListParagraph"/>
        <w:numPr>
          <w:ilvl w:val="0"/>
          <w:numId w:val="18"/>
        </w:numPr>
        <w:ind w:left="714" w:hanging="357"/>
        <w:contextualSpacing w:val="0"/>
        <w:jc w:val="both"/>
      </w:pPr>
      <w:r>
        <w:rPr>
          <w:b/>
          <w:bCs/>
          <w:color w:val="86189C" w:themeColor="accent2"/>
        </w:rPr>
        <w:t>গান, গল্প ও নৃত্য:</w:t>
      </w:r>
      <w:r>
        <w:t xml:space="preserve"> পড়া, গল্প বলা, গান শোনা ও নাচ করা এবং ঘর বা বাগানের চারপাশে বস্তু খুঁজে বের করার জন্য ‘গুপ্তধনের সন্ধান’ সবই আপনার সন্তানের ভাষার দক্ষতা তৈরি করে।</w:t>
      </w:r>
    </w:p>
    <w:p w14:paraId="51283D43" w14:textId="1B93A58D" w:rsidR="00446A98" w:rsidRPr="00905DC5" w:rsidRDefault="00B80876" w:rsidP="00446A98">
      <w:pPr>
        <w:pStyle w:val="ListParagraph"/>
        <w:numPr>
          <w:ilvl w:val="0"/>
          <w:numId w:val="18"/>
        </w:numPr>
        <w:ind w:left="714" w:hanging="357"/>
        <w:contextualSpacing w:val="0"/>
        <w:jc w:val="both"/>
      </w:pPr>
      <w:r>
        <w:rPr>
          <w:b/>
          <w:bCs/>
          <w:color w:val="86189C" w:themeColor="accent2"/>
        </w:rPr>
        <w:t>বাইরে খেলা:</w:t>
      </w:r>
      <w:r>
        <w:rPr>
          <w:color w:val="86189C" w:themeColor="accent2"/>
        </w:rPr>
        <w:t xml:space="preserve"> </w:t>
      </w:r>
      <w:r>
        <w:t xml:space="preserve">হাঁটা, গাছে ওঠা, বাইক বা স্কুটার চালানো, খেলার মাঠে যাওয়া, কিউবি তৈরি করা, বল ছুঁড়ে মারা ও ধরা, টেনিস র‍্যাকেট বা নরম ক্রিকেট ব্যাট দিয়ে সফটবলে আঘাত করা, ময়লা-কাদা খনন করা – এই সবই আপনার শিশুকে শিখতে ও বেড়ে উঠতে সাহায্য করে।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bCs/>
          <w:color w:val="86189C" w:themeColor="accent2"/>
        </w:rPr>
        <w:t xml:space="preserve">তদন্ত করুন এবং প্রশ্ন জিজ্ঞাসা করুন: </w:t>
      </w:r>
      <w:r>
        <w:t xml:space="preserve">আপনার শিশু খেলার </w:t>
      </w:r>
      <w:r>
        <w:rPr>
          <w:i/>
        </w:rPr>
        <w:t>'আমাকে কি ব্যাখ্যা করে বলতে পারো…?</w:t>
      </w:r>
      <w:r>
        <w:t xml:space="preserve">', </w:t>
      </w:r>
      <w:r>
        <w:rPr>
          <w:i/>
        </w:rPr>
        <w:t>'আমার জানতে ইচ্ছে হয় কী হবে যদি…?</w:t>
      </w:r>
      <w:r>
        <w:t>'</w:t>
      </w:r>
      <w:r>
        <w:rPr>
          <w:i/>
        </w:rPr>
        <w:t xml:space="preserve">, 'এই </w:t>
      </w:r>
      <w:r>
        <w:rPr>
          <w:i/>
          <w:iCs/>
        </w:rPr>
        <w:t>প্র</w:t>
      </w:r>
      <w:r>
        <w:rPr>
          <w:i/>
        </w:rPr>
        <w:t xml:space="preserve">শ্নের উত্তর তুমি কিভাবে দিবে...?' </w:t>
      </w:r>
    </w:p>
    <w:p w14:paraId="1DDAE8B6" w14:textId="6FBB7B89" w:rsidR="002665C6" w:rsidRPr="002665C6" w:rsidRDefault="002665C6" w:rsidP="002665C6">
      <w:pPr>
        <w:pStyle w:val="ListParagraph"/>
        <w:numPr>
          <w:ilvl w:val="0"/>
          <w:numId w:val="18"/>
        </w:numPr>
        <w:ind w:left="714" w:hanging="357"/>
        <w:contextualSpacing w:val="0"/>
        <w:jc w:val="both"/>
      </w:pPr>
      <w:r>
        <w:rPr>
          <w:b/>
          <w:bCs/>
          <w:color w:val="86189C" w:themeColor="accent2"/>
        </w:rPr>
        <w:t>রুটিন:</w:t>
      </w:r>
      <w:r>
        <w:rPr>
          <w:color w:val="86189C" w:themeColor="accent2"/>
        </w:rPr>
        <w:t xml:space="preserve"> </w:t>
      </w:r>
      <w:r>
        <w:t xml:space="preserve">প্রতিদিন একই সময়ে কাজ করা আপনার সন্তানকে কী আশা করতে হবে তা জানার সুযোগ দেয় ও তাদের অনুভূতি পরিচালনা করতে সহায়তা করে। রুটিন শিশুদের স্কুলের সাথে মানিয়ে নিতে সাহায্য করে। শোবার সময় রুটিন করা বিশেষভাবে গুরুত্বপূর্ণ, উদাহরণস্বরূপ: রাতের খাবার খাওয়া ও গোসল করা, পায়জামা পরা, দাঁত ব্রাশ করা, বই পড়া ও তারপরে বিছানায় যাওয়া। </w:t>
      </w:r>
    </w:p>
    <w:p w14:paraId="7908C430" w14:textId="5CA48307" w:rsidR="00446A98" w:rsidRDefault="002665C6" w:rsidP="00446A98">
      <w:pPr>
        <w:pStyle w:val="Heading2"/>
        <w:spacing w:before="240"/>
        <w:jc w:val="both"/>
      </w:pPr>
      <w:r>
        <w:t>স্কুলকে একটি পরিচিত জায়গা করে তুলুন</w:t>
      </w:r>
    </w:p>
    <w:p w14:paraId="39FC0BB5" w14:textId="1548F21C" w:rsidR="00074240" w:rsidRDefault="00074240" w:rsidP="00074240">
      <w:pPr>
        <w:jc w:val="both"/>
      </w:pPr>
      <w:r>
        <w:t>'স্কুলের জন্য প্রস্তুত' হওয়ার অর্থ অ্যাকাডেমিক শেখার বিষয়ে নয় বরঞ্চ স্কুল কেমন হবে তা বোঝা এবং ইতিবাচক প্রত্যাশা থাকা। আপনার সন্তানকে সাহায্য করার জন্য কিছু কিছু জিনিস আপনি করতে পারেন:</w:t>
      </w:r>
    </w:p>
    <w:p w14:paraId="4E213A4A" w14:textId="4B78FB95" w:rsidR="00405072" w:rsidRPr="00776966" w:rsidRDefault="00405072" w:rsidP="00446A98">
      <w:pPr>
        <w:pStyle w:val="ListParagraph"/>
        <w:numPr>
          <w:ilvl w:val="0"/>
          <w:numId w:val="20"/>
        </w:numPr>
        <w:jc w:val="both"/>
      </w:pPr>
      <w:r>
        <w:t xml:space="preserve">আপনার সন্তানের কিন্ডারগার্টেন বা স্কুল কর্তৃক প্রদত্ত স্কুলে স্থানান্তরিত হওয়ার মধ্যবর্তীকালীন যেকোনো প্রোগ্রামে অংশগ্রহণ করুন। </w:t>
      </w:r>
    </w:p>
    <w:p w14:paraId="2B0F9081" w14:textId="487519D9" w:rsidR="00446A98" w:rsidRPr="008910BA" w:rsidRDefault="00446A98" w:rsidP="00446A98">
      <w:pPr>
        <w:pStyle w:val="ListParagraph"/>
        <w:numPr>
          <w:ilvl w:val="0"/>
          <w:numId w:val="20"/>
        </w:numPr>
        <w:jc w:val="both"/>
      </w:pPr>
      <w:r>
        <w:t>স্কুলে যাওয়া-আসার অনুশীলন করুন।</w:t>
      </w:r>
    </w:p>
    <w:p w14:paraId="0F2776D7" w14:textId="44A1C96A" w:rsidR="00446A98" w:rsidRPr="008910BA" w:rsidRDefault="006C0E3B" w:rsidP="00446A98">
      <w:pPr>
        <w:pStyle w:val="ListParagraph"/>
        <w:numPr>
          <w:ilvl w:val="0"/>
          <w:numId w:val="20"/>
        </w:numPr>
        <w:jc w:val="both"/>
      </w:pPr>
      <w:r>
        <w:t>একই স্কুলে যাবে এমন অন্যান্য শিশুদের সাথে আপনার শিশুকে খেলতে দিন।</w:t>
      </w:r>
    </w:p>
    <w:p w14:paraId="7806BEA3" w14:textId="052CB8CE" w:rsidR="00446A98" w:rsidRPr="008910BA" w:rsidRDefault="00446A98" w:rsidP="00446A98">
      <w:pPr>
        <w:pStyle w:val="ListParagraph"/>
        <w:numPr>
          <w:ilvl w:val="0"/>
          <w:numId w:val="20"/>
        </w:numPr>
        <w:jc w:val="both"/>
      </w:pPr>
      <w:r>
        <w:t xml:space="preserve">আপনার সন্তানকে কিভাবে পোশাক পরতে হয়, টয়লেটে যেতে হয়, তাদের হাত ধোয়া, সানস্ক্রিন লাগানো এবং তাদের স্কুলের ব্যাগ প্যাক করা ও বহন করা শিখিয়ে স্বাধীনচেতা হওয়াকে উৎসাহিত করুন। </w:t>
      </w:r>
    </w:p>
    <w:p w14:paraId="35CC7DAF" w14:textId="5FF793AA" w:rsidR="00446A98" w:rsidRPr="00776966" w:rsidRDefault="006C0E3B" w:rsidP="00446A98">
      <w:pPr>
        <w:pStyle w:val="ListParagraph"/>
        <w:numPr>
          <w:ilvl w:val="0"/>
          <w:numId w:val="20"/>
        </w:numPr>
        <w:jc w:val="both"/>
      </w:pPr>
      <w:r>
        <w:t xml:space="preserve">স্কুল শুরু করার বিষয়ে কথা বলুন। আপনার সন্তানকে স্কুল সম্পর্কে উদ্দীপ্ত করুন এবং তাদের যেকোনো উদ্বেগ সম্পর্কে কথা বলুন। </w:t>
      </w:r>
    </w:p>
    <w:p w14:paraId="00FE6FD4" w14:textId="1C8C373F" w:rsidR="00446A98" w:rsidRPr="008910BA" w:rsidRDefault="006048F5" w:rsidP="00446A98">
      <w:pPr>
        <w:pStyle w:val="ListParagraph"/>
        <w:numPr>
          <w:ilvl w:val="0"/>
          <w:numId w:val="20"/>
        </w:numPr>
        <w:jc w:val="both"/>
      </w:pPr>
      <w:r>
        <w:lastRenderedPageBreak/>
        <w:t>স্কুল শুরু করার বিষয়ক বই পড়ুন বা গল্প বলুন।</w:t>
      </w:r>
    </w:p>
    <w:p w14:paraId="3C14D5E8" w14:textId="13BF798E" w:rsidR="00446A98" w:rsidRPr="00776966" w:rsidRDefault="00446A98" w:rsidP="00446A98">
      <w:pPr>
        <w:pStyle w:val="ListParagraph"/>
        <w:numPr>
          <w:ilvl w:val="0"/>
          <w:numId w:val="20"/>
        </w:numPr>
        <w:jc w:val="both"/>
      </w:pPr>
      <w:r>
        <w:t xml:space="preserve">স্কুলের পরে কী ঘটবে সে সম্পর্কে কথা বলুন এবং অনুশীলন করুন। </w:t>
      </w:r>
    </w:p>
    <w:p w14:paraId="065F0079" w14:textId="7F8965F4" w:rsidR="00446A98" w:rsidRPr="00776966" w:rsidRDefault="00227954" w:rsidP="00446A98">
      <w:pPr>
        <w:pStyle w:val="ListParagraph"/>
        <w:numPr>
          <w:ilvl w:val="0"/>
          <w:numId w:val="20"/>
        </w:numPr>
        <w:jc w:val="both"/>
      </w:pPr>
      <w:r>
        <w:t>স্কুলের শুরু ও শেষের সময় এবং আপনার সন্তানকে কোথায় নামাতে হবে ও কোথা থেকে ওঠাতে হবে তা নিশ্চিত হয়ে ওঠানো ও নামানোর জন্য প্রস্তুত হন।</w:t>
      </w:r>
    </w:p>
    <w:p w14:paraId="05A1E313" w14:textId="097D6871" w:rsidR="00446A98" w:rsidRPr="008910BA" w:rsidRDefault="00227954" w:rsidP="00446A98">
      <w:pPr>
        <w:pStyle w:val="ListParagraph"/>
        <w:numPr>
          <w:ilvl w:val="0"/>
          <w:numId w:val="20"/>
        </w:numPr>
        <w:jc w:val="both"/>
      </w:pPr>
      <w:r>
        <w:t>পারলে শিক্ষকের নাম ব্যবহার করা শুরু করুন।</w:t>
      </w:r>
    </w:p>
    <w:p w14:paraId="2E90FD76" w14:textId="259018FE" w:rsidR="00446A98" w:rsidRDefault="00D43A3D" w:rsidP="00446A98">
      <w:pPr>
        <w:pStyle w:val="Heading2"/>
        <w:spacing w:before="240"/>
        <w:jc w:val="both"/>
      </w:pPr>
      <w:r>
        <w:t>আপনার সন্তানের কিন্ডারগার্টেন যেভাবে সাহায্য করবে</w:t>
      </w:r>
    </w:p>
    <w:p w14:paraId="4A3CEC30" w14:textId="5E224D1B" w:rsidR="001915B9" w:rsidRDefault="001915B9" w:rsidP="000877D1">
      <w:pPr>
        <w:jc w:val="both"/>
      </w:pPr>
      <w:r>
        <w:t xml:space="preserve">স্কুল শুরু করার জন্য কিন্ডারগার্টেন শিশুদের প্রস্তুত হতেও সাহায্য করে। কিন্ডারগার্টেনে, শিশুরা খেলাধুলা, অন্যদের সাথে কাজ ও বন্ধুত্বের মাধ্যমে দক্ষতা বিকাশ করে। </w:t>
      </w:r>
    </w:p>
    <w:p w14:paraId="3D8D8D87" w14:textId="54DDAED2" w:rsidR="00AA0172" w:rsidRDefault="00F64B3E" w:rsidP="00446A98">
      <w:pPr>
        <w:jc w:val="both"/>
      </w:pPr>
      <w:r>
        <w:t xml:space="preserve">আপনার সন্তানের কিন্ডারগার্টেন শিক্ষক একটি </w:t>
      </w:r>
      <w:r>
        <w:rPr>
          <w:b/>
          <w:bCs/>
        </w:rPr>
        <w:t>ট্রানজিশন লার্নিং অ্যান্ড ডেভেলপমেন্ট স্টেটমেন্ট (ট্রানজিশন স্টেটমেন্ট)</w:t>
      </w:r>
      <w:r>
        <w:t xml:space="preserve"> লিখে কিন্ডারগার্টেন থেকে স্কুলে যেতে সাহায্য করবেন। ট্রানজিশন স্টেটমেন্ট আপনার সন্তানের ভবিষ্যৎ স্কুলে দেওয়া হয়। এটি আপনার সন্তানের ক্ষমতা, শক্তি, আগ্রহ এবং কিভাবে তারা সবচেয়ে ভালো শেখে তা বর্ণনা করে। আপনাকে আপনার সন্তানের ট্রানজিশন স্টেটমেন্ট পূরণ করতে সাহায্য করতে বলা হবে এবং আপনার সন্তানও তাদের চিন্তাভাবনা ও অনুভূতি শেয়ার করতে পারে।</w:t>
      </w:r>
    </w:p>
    <w:p w14:paraId="3DECCD93" w14:textId="094EA67B" w:rsidR="00AB1A90" w:rsidRPr="00AB1A90" w:rsidRDefault="00CC5FBE" w:rsidP="00557A38">
      <w:pPr>
        <w:tabs>
          <w:tab w:val="left" w:pos="3465"/>
        </w:tabs>
        <w:jc w:val="both"/>
      </w:pPr>
      <w:r>
        <w:t>ট্রানজিশন স্টেটমেন্ট সম্পর্কে আরও তথ্যের জন্য অনুগ্রহ করে বিভাগগুলোর ওয়েবসাইট দেখুন (নিচে দেখুন)।</w:t>
      </w:r>
    </w:p>
    <w:p w14:paraId="2611A1BE" w14:textId="06E5D0C1" w:rsidR="00446A98" w:rsidRDefault="00461862" w:rsidP="00446A98">
      <w:pPr>
        <w:pStyle w:val="Heading2"/>
        <w:spacing w:before="240"/>
        <w:jc w:val="both"/>
      </w:pPr>
      <w:r>
        <w:t>আরও খুঁজুন</w:t>
      </w:r>
    </w:p>
    <w:p w14:paraId="0D76AC33" w14:textId="273FF7B8" w:rsidR="00446A98" w:rsidRPr="004660F2" w:rsidRDefault="009945A1" w:rsidP="00446A98">
      <w:pPr>
        <w:pStyle w:val="ListParagraph"/>
        <w:numPr>
          <w:ilvl w:val="0"/>
          <w:numId w:val="19"/>
        </w:numPr>
      </w:pPr>
      <w:hyperlink r:id="rId12" w:history="1">
        <w:r w:rsidR="00B02BA4">
          <w:rPr>
            <w:rStyle w:val="Hyperlink"/>
          </w:rPr>
          <w:t>স্কুল শুরু করার পরামর্শ (education.vic.gov.au)</w:t>
        </w:r>
      </w:hyperlink>
    </w:p>
    <w:p w14:paraId="1CB8E085" w14:textId="27BF7AA7" w:rsidR="00446A98" w:rsidRPr="004660F2" w:rsidRDefault="009945A1" w:rsidP="00446A98">
      <w:pPr>
        <w:pStyle w:val="ListParagraph"/>
        <w:numPr>
          <w:ilvl w:val="0"/>
          <w:numId w:val="19"/>
        </w:numPr>
      </w:pPr>
      <w:hyperlink r:id="rId13" w:history="1">
        <w:r w:rsidR="00B02BA4">
          <w:rPr>
            <w:rStyle w:val="Hyperlink"/>
          </w:rPr>
          <w:t>কিন্ডারগার্টেন থেকে স্কুলে যাওয়া (education.vic.gov.au)</w:t>
        </w:r>
      </w:hyperlink>
    </w:p>
    <w:p w14:paraId="7B8A066F" w14:textId="7D11F8A6" w:rsidR="00446A98" w:rsidRDefault="009945A1" w:rsidP="00446A98">
      <w:pPr>
        <w:pStyle w:val="ListParagraph"/>
        <w:numPr>
          <w:ilvl w:val="0"/>
          <w:numId w:val="19"/>
        </w:numPr>
      </w:pPr>
      <w:hyperlink r:id="rId14" w:history="1">
        <w:r w:rsidR="00B02BA4">
          <w:rPr>
            <w:rStyle w:val="Hyperlink"/>
          </w:rPr>
          <w:t>কিভাবে একটি স্কুল নির্বাচন করতে হয় ও ভর্তি হতে হয় (education.vic.gov.au)</w:t>
        </w:r>
      </w:hyperlink>
    </w:p>
    <w:p w14:paraId="7925D266" w14:textId="354E5527" w:rsidR="00446A98" w:rsidRPr="004660F2" w:rsidRDefault="009945A1" w:rsidP="00446A98">
      <w:pPr>
        <w:pStyle w:val="ListParagraph"/>
        <w:numPr>
          <w:ilvl w:val="0"/>
          <w:numId w:val="19"/>
        </w:numPr>
      </w:pPr>
      <w:hyperlink r:id="rId15" w:history="1">
        <w:r w:rsidR="00B02BA4">
          <w:rPr>
            <w:rStyle w:val="Hyperlink"/>
          </w:rPr>
          <w:t>স্কুল শুরু করা: আপনার সন্তানকে প্রস্তুত করা | শিশু লালনপালনের নেটওয়ার্ক</w:t>
        </w:r>
      </w:hyperlink>
    </w:p>
    <w:p w14:paraId="3B05797B" w14:textId="3D44010B" w:rsidR="00446A98" w:rsidRPr="009F58A6" w:rsidRDefault="009945A1" w:rsidP="00446A98">
      <w:pPr>
        <w:pStyle w:val="ListParagraph"/>
        <w:numPr>
          <w:ilvl w:val="0"/>
          <w:numId w:val="19"/>
        </w:numPr>
        <w:rPr>
          <w:rStyle w:val="Hyperlink"/>
          <w:color w:val="auto"/>
          <w:u w:val="none"/>
        </w:rPr>
      </w:pPr>
      <w:hyperlink r:id="rId16" w:history="1">
        <w:r w:rsidR="00B02BA4">
          <w:rPr>
            <w:rStyle w:val="Hyperlink"/>
          </w:rPr>
          <w:t>স্কুলে একটি নিখুঁত শুরু - উন্নত স্বাস্থ্য চ্যানেল</w:t>
        </w:r>
      </w:hyperlink>
    </w:p>
    <w:p w14:paraId="6245601F" w14:textId="6AB94257" w:rsidR="009F58A6" w:rsidRPr="004660F2" w:rsidRDefault="009945A1" w:rsidP="00446A98">
      <w:pPr>
        <w:pStyle w:val="ListParagraph"/>
        <w:numPr>
          <w:ilvl w:val="0"/>
          <w:numId w:val="19"/>
        </w:numPr>
      </w:pPr>
      <w:hyperlink r:id="rId17" w:anchor="link87" w:history="1">
        <w:r w:rsidR="00B02BA4">
          <w:rPr>
            <w:rStyle w:val="Hyperlink"/>
          </w:rPr>
          <w:t>পরিবারবর্গের জন্য স্কুলের সংস্থানসমূহে রূপান্তর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945A1">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945A1"/>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b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bn-IN"/>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Bengali_Transition_to_School_Factsheet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5A40-3C8D-4F6F-AC31-AAF6C4F44ACB}">
  <ds:schemaRefs>
    <ds:schemaRef ds:uri="http://schemas.microsoft.com/sharepoint/v4"/>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f67e20a8-1684-4456-b768-e2d0e3d145ff"/>
    <ds:schemaRef ds:uri="2cb12009-40d9-454b-bd16-8fe8fc19de2f"/>
    <ds:schemaRef ds:uri="http://www.w3.org/XML/1998/namespace"/>
    <ds:schemaRef ds:uri="http://purl.org/dc/dcmityp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F66692AD-F35A-46A0-8276-ABD8BC4386A6}"/>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352EF-58F1-4F1A-935A-A102FC62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{289380ba-7f27-4acd-b39f-e03761fe8b9b}</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R20220291800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2022-05-19T14:03:14.3721438+10:00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