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441B24E" w:rsidR="00624A55" w:rsidRPr="005C05E6" w:rsidRDefault="000630EE" w:rsidP="008F3D35">
      <w:pPr>
        <w:pStyle w:val="Heading1"/>
        <w:rPr>
          <w:sz w:val="44"/>
          <w:szCs w:val="30"/>
        </w:rPr>
      </w:pPr>
      <w:r w:rsidRPr="005C05E6">
        <w:rPr>
          <w:sz w:val="44"/>
          <w:szCs w:val="30"/>
          <w:lang w:val="en-AU"/>
        </w:rPr>
        <w:t xml:space="preserve">Early Years Assessment and Learning Tool </w:t>
      </w:r>
      <w:r w:rsidR="005C05E6" w:rsidRPr="005C05E6">
        <w:rPr>
          <w:sz w:val="44"/>
          <w:szCs w:val="30"/>
          <w:lang w:val="en-AU"/>
        </w:rPr>
        <w:t>and</w:t>
      </w:r>
      <w:r w:rsidR="005C05E6">
        <w:rPr>
          <w:sz w:val="44"/>
          <w:szCs w:val="30"/>
          <w:lang w:val="en-AU"/>
        </w:rPr>
        <w:t xml:space="preserve"> </w:t>
      </w:r>
      <w:r w:rsidRPr="005C05E6">
        <w:rPr>
          <w:sz w:val="44"/>
          <w:szCs w:val="30"/>
          <w:lang w:val="en-AU"/>
        </w:rPr>
        <w:t>Transition Learning and Development Statement</w:t>
      </w:r>
      <w:r w:rsidR="008E54E3" w:rsidRPr="005C05E6">
        <w:rPr>
          <w:sz w:val="44"/>
          <w:szCs w:val="30"/>
          <w:lang w:val="en-AU"/>
        </w:rPr>
        <w:t>s</w:t>
      </w:r>
    </w:p>
    <w:p w14:paraId="39428484" w14:textId="0A9C0B6E" w:rsidR="005C05E6" w:rsidRDefault="007F2319" w:rsidP="00DF5070">
      <w:pPr>
        <w:pStyle w:val="Intro"/>
        <w:jc w:val="center"/>
      </w:pPr>
      <w:r>
        <w:t xml:space="preserve">This fact sheet is for </w:t>
      </w:r>
      <w:r w:rsidR="005C05E6">
        <w:t xml:space="preserve">kindergarten teachers </w:t>
      </w:r>
      <w:r>
        <w:t>implementing the Early Years Assessment and Learning Tool (the Tool) in 2023</w:t>
      </w:r>
    </w:p>
    <w:p w14:paraId="7D101E54" w14:textId="67621813" w:rsidR="00624A55" w:rsidRPr="00DF5070" w:rsidRDefault="00E46E7B" w:rsidP="005C05E6">
      <w:pPr>
        <w:pStyle w:val="Subtitle"/>
        <w:rPr>
          <w:rFonts w:cstheme="minorHAnsi"/>
        </w:rPr>
      </w:pPr>
      <w:r w:rsidRPr="00DF5070">
        <w:rPr>
          <w:rFonts w:cstheme="minorHAnsi"/>
          <w:sz w:val="20"/>
          <w:szCs w:val="20"/>
        </w:rPr>
        <w:t xml:space="preserve">Early childhood teachers </w:t>
      </w:r>
      <w:r w:rsidR="007F2319" w:rsidRPr="00DF5070">
        <w:rPr>
          <w:rFonts w:cstheme="minorHAnsi"/>
          <w:sz w:val="20"/>
          <w:szCs w:val="20"/>
        </w:rPr>
        <w:t xml:space="preserve">should </w:t>
      </w:r>
      <w:r w:rsidRPr="00DF5070">
        <w:rPr>
          <w:rFonts w:cstheme="minorHAnsi"/>
          <w:sz w:val="20"/>
          <w:szCs w:val="20"/>
        </w:rPr>
        <w:t xml:space="preserve">use relevant information from the Tool to </w:t>
      </w:r>
      <w:r w:rsidR="00E0569D" w:rsidRPr="00DF5070">
        <w:rPr>
          <w:rFonts w:cstheme="minorHAnsi"/>
          <w:sz w:val="20"/>
          <w:szCs w:val="20"/>
        </w:rPr>
        <w:t xml:space="preserve">complete parts of the Transition Learning and Development Statement (the TLDS). This </w:t>
      </w:r>
      <w:r w:rsidR="007F2319" w:rsidRPr="00DF5070">
        <w:rPr>
          <w:rFonts w:cstheme="minorHAnsi"/>
          <w:sz w:val="20"/>
          <w:szCs w:val="20"/>
        </w:rPr>
        <w:t xml:space="preserve">fact sheet </w:t>
      </w:r>
      <w:r w:rsidR="00E0569D" w:rsidRPr="00DF5070">
        <w:rPr>
          <w:rFonts w:cstheme="minorHAnsi"/>
          <w:sz w:val="20"/>
          <w:szCs w:val="20"/>
        </w:rPr>
        <w:t>outlines how you can do that efficiently with the use of the Tool</w:t>
      </w:r>
      <w:r w:rsidR="00112AFF" w:rsidRPr="00DF5070">
        <w:rPr>
          <w:rFonts w:cstheme="minorHAnsi"/>
          <w:sz w:val="20"/>
          <w:szCs w:val="20"/>
        </w:rPr>
        <w:t>’</w:t>
      </w:r>
      <w:r w:rsidR="00E0569D" w:rsidRPr="00DF5070">
        <w:rPr>
          <w:rFonts w:cstheme="minorHAnsi"/>
          <w:sz w:val="20"/>
          <w:szCs w:val="20"/>
        </w:rPr>
        <w:t xml:space="preserve">s </w:t>
      </w:r>
      <w:r w:rsidR="00E630AF" w:rsidRPr="00DF5070">
        <w:rPr>
          <w:rFonts w:cstheme="minorHAnsi"/>
          <w:sz w:val="20"/>
          <w:szCs w:val="20"/>
        </w:rPr>
        <w:t>‘</w:t>
      </w:r>
      <w:r w:rsidR="00E0569D" w:rsidRPr="00DF5070">
        <w:rPr>
          <w:rFonts w:cstheme="minorHAnsi"/>
          <w:sz w:val="20"/>
          <w:szCs w:val="20"/>
        </w:rPr>
        <w:t>Learning Reports</w:t>
      </w:r>
      <w:r w:rsidR="00E630AF" w:rsidRPr="00DF5070">
        <w:rPr>
          <w:rFonts w:cstheme="minorHAnsi"/>
          <w:sz w:val="20"/>
          <w:szCs w:val="20"/>
        </w:rPr>
        <w:t>’</w:t>
      </w:r>
      <w:r w:rsidR="00E0569D" w:rsidRPr="00DF5070">
        <w:rPr>
          <w:rFonts w:cstheme="minorHAnsi"/>
          <w:sz w:val="20"/>
          <w:szCs w:val="20"/>
        </w:rPr>
        <w:t xml:space="preserve"> for each child.</w:t>
      </w:r>
      <w:r w:rsidR="00E0569D" w:rsidRPr="00DF5070">
        <w:rPr>
          <w:rFonts w:cstheme="minorHAnsi"/>
        </w:rPr>
        <w:t xml:space="preserve"> </w:t>
      </w:r>
    </w:p>
    <w:p w14:paraId="6E6868DC" w14:textId="22C7581A" w:rsidR="00624A55" w:rsidRPr="002A0E92" w:rsidRDefault="005C05E6" w:rsidP="00624A55">
      <w:pPr>
        <w:pStyle w:val="Heading2"/>
        <w:rPr>
          <w:sz w:val="28"/>
          <w:szCs w:val="24"/>
          <w:lang w:val="en-AU"/>
        </w:rPr>
      </w:pPr>
      <w:r>
        <w:rPr>
          <w:sz w:val="28"/>
          <w:szCs w:val="24"/>
          <w:lang w:val="en-AU"/>
        </w:rPr>
        <w:t>T</w:t>
      </w:r>
      <w:r w:rsidR="0055339E" w:rsidRPr="002A0E92">
        <w:rPr>
          <w:sz w:val="28"/>
          <w:szCs w:val="24"/>
          <w:lang w:val="en-AU"/>
        </w:rPr>
        <w:t>he Tool and the TLDS</w:t>
      </w:r>
    </w:p>
    <w:p w14:paraId="71301CA2" w14:textId="77777777" w:rsidR="005C05E6" w:rsidRPr="005C05E6" w:rsidRDefault="005C05E6" w:rsidP="005C05E6">
      <w:pPr>
        <w:jc w:val="center"/>
        <w:rPr>
          <w:rStyle w:val="Emphasis"/>
        </w:rPr>
      </w:pPr>
      <w:r w:rsidRPr="005C05E6">
        <w:rPr>
          <w:rStyle w:val="Emphasis"/>
        </w:rPr>
        <w:t>Both assessments aim to support continuity of learning for children as they learn and grow across a range of education settings.</w:t>
      </w:r>
    </w:p>
    <w:p w14:paraId="39066D41" w14:textId="77777777" w:rsidR="005C05E6" w:rsidRDefault="00A409D1" w:rsidP="00E0569D">
      <w:pPr>
        <w:rPr>
          <w:sz w:val="20"/>
          <w:szCs w:val="22"/>
          <w:lang w:val="en-AU"/>
        </w:rPr>
      </w:pPr>
      <w:r w:rsidRPr="00A409D1">
        <w:rPr>
          <w:sz w:val="20"/>
          <w:szCs w:val="22"/>
          <w:lang w:val="en-AU"/>
        </w:rPr>
        <w:t xml:space="preserve">The Tool </w:t>
      </w:r>
      <w:r>
        <w:rPr>
          <w:sz w:val="20"/>
          <w:szCs w:val="22"/>
          <w:lang w:val="en-AU"/>
        </w:rPr>
        <w:t>i</w:t>
      </w:r>
      <w:r w:rsidRPr="00A409D1">
        <w:rPr>
          <w:sz w:val="20"/>
          <w:szCs w:val="22"/>
          <w:lang w:val="en-AU"/>
        </w:rPr>
        <w:t xml:space="preserve">s </w:t>
      </w:r>
      <w:r w:rsidR="005C05E6">
        <w:rPr>
          <w:sz w:val="20"/>
          <w:szCs w:val="22"/>
          <w:lang w:val="en-AU"/>
        </w:rPr>
        <w:t xml:space="preserve">intended to be </w:t>
      </w:r>
      <w:r w:rsidRPr="00A409D1">
        <w:rPr>
          <w:sz w:val="20"/>
          <w:szCs w:val="22"/>
          <w:lang w:val="en-AU"/>
        </w:rPr>
        <w:t xml:space="preserve">used by </w:t>
      </w:r>
      <w:r w:rsidR="005C05E6">
        <w:rPr>
          <w:sz w:val="20"/>
          <w:szCs w:val="22"/>
          <w:lang w:val="en-AU"/>
        </w:rPr>
        <w:t xml:space="preserve">kindergarten </w:t>
      </w:r>
      <w:r w:rsidRPr="00A409D1">
        <w:rPr>
          <w:sz w:val="20"/>
          <w:szCs w:val="22"/>
          <w:lang w:val="en-AU"/>
        </w:rPr>
        <w:t xml:space="preserve">teaching teams </w:t>
      </w:r>
      <w:r>
        <w:rPr>
          <w:sz w:val="20"/>
          <w:szCs w:val="22"/>
          <w:lang w:val="en-AU"/>
        </w:rPr>
        <w:t xml:space="preserve">twice a year </w:t>
      </w:r>
      <w:r w:rsidRPr="00A409D1">
        <w:rPr>
          <w:sz w:val="20"/>
          <w:szCs w:val="22"/>
          <w:lang w:val="en-AU"/>
        </w:rPr>
        <w:t xml:space="preserve">to improve understanding of individual children's strengths, </w:t>
      </w:r>
      <w:proofErr w:type="gramStart"/>
      <w:r w:rsidRPr="00A409D1">
        <w:rPr>
          <w:sz w:val="20"/>
          <w:szCs w:val="22"/>
          <w:lang w:val="en-AU"/>
        </w:rPr>
        <w:t>interests</w:t>
      </w:r>
      <w:proofErr w:type="gramEnd"/>
      <w:r w:rsidRPr="00A409D1">
        <w:rPr>
          <w:sz w:val="20"/>
          <w:szCs w:val="22"/>
          <w:lang w:val="en-AU"/>
        </w:rPr>
        <w:t xml:space="preserve"> and abilities</w:t>
      </w:r>
      <w:r w:rsidR="00114D27">
        <w:rPr>
          <w:sz w:val="20"/>
          <w:szCs w:val="22"/>
          <w:lang w:val="en-AU"/>
        </w:rPr>
        <w:t xml:space="preserve">. </w:t>
      </w:r>
    </w:p>
    <w:p w14:paraId="1976C15A" w14:textId="761583B3" w:rsidR="003E4410" w:rsidRDefault="005C05E6" w:rsidP="00E0569D">
      <w:pPr>
        <w:rPr>
          <w:sz w:val="20"/>
          <w:szCs w:val="22"/>
          <w:lang w:val="en-AU"/>
        </w:rPr>
      </w:pPr>
      <w:r>
        <w:rPr>
          <w:sz w:val="20"/>
          <w:szCs w:val="22"/>
          <w:lang w:val="en-AU"/>
        </w:rPr>
        <w:t xml:space="preserve">The Tool has been designed to help and </w:t>
      </w:r>
      <w:r w:rsidR="00A409D1" w:rsidRPr="00A409D1">
        <w:rPr>
          <w:sz w:val="20"/>
          <w:szCs w:val="22"/>
          <w:lang w:val="en-AU"/>
        </w:rPr>
        <w:t>empower kindergarten teaching teams to identify suitable next steps in children’s learning</w:t>
      </w:r>
      <w:r w:rsidR="00A409D1">
        <w:rPr>
          <w:sz w:val="20"/>
          <w:szCs w:val="22"/>
          <w:lang w:val="en-AU"/>
        </w:rPr>
        <w:t xml:space="preserve"> by providing </w:t>
      </w:r>
      <w:r>
        <w:rPr>
          <w:sz w:val="20"/>
          <w:szCs w:val="22"/>
          <w:lang w:val="en-AU"/>
        </w:rPr>
        <w:t xml:space="preserve">information on where a child is at in their learning and evidence-based </w:t>
      </w:r>
      <w:r w:rsidR="00A409D1">
        <w:rPr>
          <w:sz w:val="20"/>
          <w:szCs w:val="22"/>
          <w:lang w:val="en-AU"/>
        </w:rPr>
        <w:t xml:space="preserve">intentional teaching strategies </w:t>
      </w:r>
      <w:r>
        <w:rPr>
          <w:sz w:val="20"/>
          <w:szCs w:val="22"/>
          <w:lang w:val="en-AU"/>
        </w:rPr>
        <w:t xml:space="preserve">linked to that point of learning </w:t>
      </w:r>
      <w:r w:rsidR="00A409D1">
        <w:rPr>
          <w:sz w:val="20"/>
          <w:szCs w:val="22"/>
          <w:lang w:val="en-AU"/>
        </w:rPr>
        <w:t>that teachers can use in their programming</w:t>
      </w:r>
      <w:r w:rsidR="00A409D1" w:rsidRPr="00A409D1">
        <w:rPr>
          <w:sz w:val="20"/>
          <w:szCs w:val="22"/>
          <w:lang w:val="en-AU"/>
        </w:rPr>
        <w:t xml:space="preserve">. The Tool draws on </w:t>
      </w:r>
      <w:r>
        <w:rPr>
          <w:sz w:val="20"/>
          <w:szCs w:val="22"/>
          <w:lang w:val="en-AU"/>
        </w:rPr>
        <w:t xml:space="preserve">teaching teams’ </w:t>
      </w:r>
      <w:r w:rsidR="00A409D1" w:rsidRPr="00A409D1">
        <w:rPr>
          <w:sz w:val="20"/>
          <w:szCs w:val="22"/>
          <w:lang w:val="en-AU"/>
        </w:rPr>
        <w:t>observations of children.</w:t>
      </w:r>
      <w:r w:rsidR="00A409D1">
        <w:rPr>
          <w:sz w:val="20"/>
          <w:szCs w:val="22"/>
          <w:lang w:val="en-AU"/>
        </w:rPr>
        <w:t xml:space="preserve"> </w:t>
      </w:r>
    </w:p>
    <w:p w14:paraId="1930426E" w14:textId="62EE2664" w:rsidR="00624A55" w:rsidRDefault="00B40F04" w:rsidP="00E0569D">
      <w:pPr>
        <w:rPr>
          <w:sz w:val="20"/>
          <w:szCs w:val="22"/>
          <w:lang w:val="en-AU"/>
        </w:rPr>
      </w:pPr>
      <w:r w:rsidRPr="002A0E92">
        <w:rPr>
          <w:sz w:val="20"/>
          <w:szCs w:val="22"/>
          <w:lang w:val="en-AU"/>
        </w:rPr>
        <w:t xml:space="preserve">The Tool contains </w:t>
      </w:r>
      <w:r w:rsidR="00DD20FC">
        <w:rPr>
          <w:sz w:val="20"/>
          <w:szCs w:val="22"/>
          <w:lang w:val="en-AU"/>
        </w:rPr>
        <w:t>8</w:t>
      </w:r>
      <w:r w:rsidRPr="002A0E92">
        <w:rPr>
          <w:sz w:val="20"/>
          <w:szCs w:val="22"/>
          <w:lang w:val="en-AU"/>
        </w:rPr>
        <w:t xml:space="preserve"> assessment modules. For each module, teaching teams respond to a series of questions which draw on their observations and existing knowledge of the child. The Tool’s </w:t>
      </w:r>
      <w:r w:rsidR="00DD20FC">
        <w:rPr>
          <w:sz w:val="20"/>
          <w:szCs w:val="22"/>
          <w:lang w:val="en-AU"/>
        </w:rPr>
        <w:t>8</w:t>
      </w:r>
      <w:r w:rsidRPr="002A0E92">
        <w:rPr>
          <w:sz w:val="20"/>
          <w:szCs w:val="22"/>
          <w:lang w:val="en-AU"/>
        </w:rPr>
        <w:t xml:space="preserve"> modules align to one or more of the following Victorian Early </w:t>
      </w:r>
      <w:r w:rsidR="00112AFF">
        <w:rPr>
          <w:sz w:val="20"/>
          <w:szCs w:val="22"/>
          <w:lang w:val="en-AU"/>
        </w:rPr>
        <w:t xml:space="preserve">Years </w:t>
      </w:r>
      <w:r w:rsidRPr="002A0E92">
        <w:rPr>
          <w:sz w:val="20"/>
          <w:szCs w:val="22"/>
          <w:lang w:val="en-AU"/>
        </w:rPr>
        <w:t>Learning and Development Framework (VEYLDF) Outcomes.</w:t>
      </w:r>
    </w:p>
    <w:p w14:paraId="28168FD6" w14:textId="77777777" w:rsidR="005B3C31" w:rsidRDefault="005B3C31" w:rsidP="00E0569D">
      <w:pPr>
        <w:rPr>
          <w:sz w:val="20"/>
          <w:szCs w:val="22"/>
          <w:lang w:val="en-AU"/>
        </w:rPr>
      </w:pPr>
    </w:p>
    <w:tbl>
      <w:tblPr>
        <w:tblStyle w:val="TableGrid"/>
        <w:tblW w:w="9918" w:type="dxa"/>
        <w:tblLook w:val="04A0" w:firstRow="1" w:lastRow="0" w:firstColumn="1" w:lastColumn="0" w:noHBand="0" w:noVBand="1"/>
      </w:tblPr>
      <w:tblGrid>
        <w:gridCol w:w="4815"/>
        <w:gridCol w:w="5103"/>
      </w:tblGrid>
      <w:tr w:rsidR="005B3C31" w14:paraId="2A008432" w14:textId="77777777" w:rsidTr="005B3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38E8011" w14:textId="7976E637" w:rsidR="005B3C31" w:rsidRPr="005B3C31" w:rsidRDefault="005B3C31" w:rsidP="005B3C31">
            <w:pPr>
              <w:jc w:val="center"/>
              <w:rPr>
                <w:b/>
                <w:bCs/>
                <w:sz w:val="18"/>
                <w:szCs w:val="20"/>
                <w:lang w:val="en-AU"/>
              </w:rPr>
            </w:pPr>
            <w:r w:rsidRPr="005B3C31">
              <w:rPr>
                <w:b/>
                <w:bCs/>
                <w:sz w:val="18"/>
                <w:szCs w:val="20"/>
                <w:lang w:val="en-AU"/>
              </w:rPr>
              <w:t>VEYLDF Outcomes</w:t>
            </w:r>
          </w:p>
        </w:tc>
        <w:tc>
          <w:tcPr>
            <w:tcW w:w="5103" w:type="dxa"/>
          </w:tcPr>
          <w:p w14:paraId="3CD3F23B" w14:textId="760937BB" w:rsidR="005B3C31" w:rsidRPr="005B3C31" w:rsidRDefault="005B3C31" w:rsidP="005B3C31">
            <w:pPr>
              <w:jc w:val="center"/>
              <w:cnfStyle w:val="100000000000" w:firstRow="1" w:lastRow="0" w:firstColumn="0" w:lastColumn="0" w:oddVBand="0" w:evenVBand="0" w:oddHBand="0" w:evenHBand="0" w:firstRowFirstColumn="0" w:firstRowLastColumn="0" w:lastRowFirstColumn="0" w:lastRowLastColumn="0"/>
              <w:rPr>
                <w:b/>
                <w:bCs/>
                <w:sz w:val="18"/>
                <w:szCs w:val="20"/>
                <w:lang w:val="en-AU"/>
              </w:rPr>
            </w:pPr>
            <w:r w:rsidRPr="005B3C31">
              <w:rPr>
                <w:b/>
                <w:bCs/>
                <w:sz w:val="18"/>
                <w:szCs w:val="20"/>
                <w:lang w:val="en-AU"/>
              </w:rPr>
              <w:t xml:space="preserve">Corresponding Tool </w:t>
            </w:r>
            <w:r w:rsidR="00DF5070">
              <w:rPr>
                <w:b/>
                <w:bCs/>
                <w:sz w:val="18"/>
                <w:szCs w:val="20"/>
                <w:lang w:val="en-AU"/>
              </w:rPr>
              <w:t>m</w:t>
            </w:r>
            <w:r w:rsidRPr="005B3C31">
              <w:rPr>
                <w:b/>
                <w:bCs/>
                <w:sz w:val="18"/>
                <w:szCs w:val="20"/>
                <w:lang w:val="en-AU"/>
              </w:rPr>
              <w:t>odules</w:t>
            </w:r>
          </w:p>
        </w:tc>
      </w:tr>
      <w:tr w:rsidR="005B3C31" w14:paraId="6C607596" w14:textId="77777777" w:rsidTr="005B3C31">
        <w:tc>
          <w:tcPr>
            <w:cnfStyle w:val="001000000000" w:firstRow="0" w:lastRow="0" w:firstColumn="1" w:lastColumn="0" w:oddVBand="0" w:evenVBand="0" w:oddHBand="0" w:evenHBand="0" w:firstRowFirstColumn="0" w:firstRowLastColumn="0" w:lastRowFirstColumn="0" w:lastRowLastColumn="0"/>
            <w:tcW w:w="4815" w:type="dxa"/>
          </w:tcPr>
          <w:p w14:paraId="70DC45EE" w14:textId="2FEE9F4A" w:rsidR="005B3C31" w:rsidRPr="00DF5070" w:rsidRDefault="005B3C31" w:rsidP="00E0569D">
            <w:pPr>
              <w:rPr>
                <w:sz w:val="20"/>
                <w:szCs w:val="20"/>
                <w:lang w:val="en-AU"/>
              </w:rPr>
            </w:pPr>
            <w:r w:rsidRPr="00DF5070">
              <w:rPr>
                <w:sz w:val="20"/>
                <w:szCs w:val="20"/>
                <w:lang w:val="en-AU"/>
              </w:rPr>
              <w:t>Outcome 1 – Children have a strong sense of identity</w:t>
            </w:r>
          </w:p>
        </w:tc>
        <w:tc>
          <w:tcPr>
            <w:tcW w:w="5103" w:type="dxa"/>
          </w:tcPr>
          <w:p w14:paraId="2C8CFD3C" w14:textId="77777777" w:rsidR="005B3C31" w:rsidRPr="00DF5070" w:rsidRDefault="005B3C31" w:rsidP="005B3C3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Identity and Community – Social</w:t>
            </w:r>
          </w:p>
          <w:p w14:paraId="4D73BE83" w14:textId="4A72B649" w:rsidR="005B3C31" w:rsidRPr="00DF5070" w:rsidRDefault="005B3C31" w:rsidP="005B3C31">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Learning and Identity - Thinking Skills</w:t>
            </w:r>
          </w:p>
        </w:tc>
      </w:tr>
      <w:tr w:rsidR="005B3C31" w14:paraId="25BE32B7" w14:textId="77777777" w:rsidTr="005B3C31">
        <w:tc>
          <w:tcPr>
            <w:cnfStyle w:val="001000000000" w:firstRow="0" w:lastRow="0" w:firstColumn="1" w:lastColumn="0" w:oddVBand="0" w:evenVBand="0" w:oddHBand="0" w:evenHBand="0" w:firstRowFirstColumn="0" w:firstRowLastColumn="0" w:lastRowFirstColumn="0" w:lastRowLastColumn="0"/>
            <w:tcW w:w="4815" w:type="dxa"/>
          </w:tcPr>
          <w:p w14:paraId="4B8BFF11" w14:textId="2068A527" w:rsidR="005B3C31" w:rsidRPr="00DF5070" w:rsidRDefault="005B3C31" w:rsidP="00E0569D">
            <w:pPr>
              <w:rPr>
                <w:sz w:val="20"/>
                <w:szCs w:val="20"/>
                <w:lang w:val="en-AU"/>
              </w:rPr>
            </w:pPr>
            <w:r w:rsidRPr="00DF5070">
              <w:rPr>
                <w:sz w:val="20"/>
                <w:szCs w:val="20"/>
                <w:lang w:val="en-AU"/>
              </w:rPr>
              <w:t>Outcome 2 – Children are connected with and contribute to their world</w:t>
            </w:r>
          </w:p>
        </w:tc>
        <w:tc>
          <w:tcPr>
            <w:tcW w:w="5103" w:type="dxa"/>
          </w:tcPr>
          <w:p w14:paraId="54C50784" w14:textId="37DBC475"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Identity and Community – Social</w:t>
            </w:r>
          </w:p>
        </w:tc>
      </w:tr>
      <w:tr w:rsidR="005B3C31" w14:paraId="19C07396" w14:textId="77777777" w:rsidTr="005B3C31">
        <w:tc>
          <w:tcPr>
            <w:cnfStyle w:val="001000000000" w:firstRow="0" w:lastRow="0" w:firstColumn="1" w:lastColumn="0" w:oddVBand="0" w:evenVBand="0" w:oddHBand="0" w:evenHBand="0" w:firstRowFirstColumn="0" w:firstRowLastColumn="0" w:lastRowFirstColumn="0" w:lastRowLastColumn="0"/>
            <w:tcW w:w="4815" w:type="dxa"/>
          </w:tcPr>
          <w:p w14:paraId="0CAC4F34" w14:textId="36008D06" w:rsidR="005B3C31" w:rsidRPr="00DF5070" w:rsidRDefault="005B3C31" w:rsidP="00E0569D">
            <w:pPr>
              <w:rPr>
                <w:sz w:val="20"/>
                <w:szCs w:val="20"/>
                <w:lang w:val="en-AU"/>
              </w:rPr>
            </w:pPr>
            <w:r w:rsidRPr="00DF5070">
              <w:rPr>
                <w:sz w:val="20"/>
                <w:szCs w:val="20"/>
                <w:lang w:val="en-AU"/>
              </w:rPr>
              <w:t>Outcome 3 – Children have a strong sense of wellbeing</w:t>
            </w:r>
          </w:p>
        </w:tc>
        <w:tc>
          <w:tcPr>
            <w:tcW w:w="5103" w:type="dxa"/>
          </w:tcPr>
          <w:p w14:paraId="69660FC9" w14:textId="289D4844"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Wellbeing – Emotion</w:t>
            </w:r>
          </w:p>
          <w:p w14:paraId="4967449F" w14:textId="34EA1146"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Wellbeing - Movement</w:t>
            </w:r>
          </w:p>
        </w:tc>
      </w:tr>
      <w:tr w:rsidR="005B3C31" w14:paraId="64A8A445" w14:textId="77777777" w:rsidTr="005B3C31">
        <w:tc>
          <w:tcPr>
            <w:cnfStyle w:val="001000000000" w:firstRow="0" w:lastRow="0" w:firstColumn="1" w:lastColumn="0" w:oddVBand="0" w:evenVBand="0" w:oddHBand="0" w:evenHBand="0" w:firstRowFirstColumn="0" w:firstRowLastColumn="0" w:lastRowFirstColumn="0" w:lastRowLastColumn="0"/>
            <w:tcW w:w="4815" w:type="dxa"/>
          </w:tcPr>
          <w:p w14:paraId="071F0395" w14:textId="6275EB51" w:rsidR="005B3C31" w:rsidRPr="00DF5070" w:rsidRDefault="005B3C31" w:rsidP="00E0569D">
            <w:pPr>
              <w:rPr>
                <w:sz w:val="20"/>
                <w:szCs w:val="20"/>
                <w:lang w:val="en-AU"/>
              </w:rPr>
            </w:pPr>
            <w:r w:rsidRPr="00DF5070">
              <w:rPr>
                <w:sz w:val="20"/>
                <w:szCs w:val="20"/>
                <w:lang w:val="en-AU"/>
              </w:rPr>
              <w:t>Outcome 4- Children are confident and involved leaners</w:t>
            </w:r>
          </w:p>
        </w:tc>
        <w:tc>
          <w:tcPr>
            <w:tcW w:w="5103" w:type="dxa"/>
          </w:tcPr>
          <w:p w14:paraId="01713FAC" w14:textId="77777777"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Learning Dispositions</w:t>
            </w:r>
          </w:p>
          <w:p w14:paraId="6B68C93A" w14:textId="500F4E06"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Learning and Communication – Numeracy</w:t>
            </w:r>
          </w:p>
          <w:p w14:paraId="4BD9268C" w14:textId="76312779"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Learning and Identity - Thinking Skills</w:t>
            </w:r>
          </w:p>
        </w:tc>
      </w:tr>
      <w:tr w:rsidR="005B3C31" w14:paraId="4F5FD55B" w14:textId="77777777" w:rsidTr="005B3C31">
        <w:tc>
          <w:tcPr>
            <w:cnfStyle w:val="001000000000" w:firstRow="0" w:lastRow="0" w:firstColumn="1" w:lastColumn="0" w:oddVBand="0" w:evenVBand="0" w:oddHBand="0" w:evenHBand="0" w:firstRowFirstColumn="0" w:firstRowLastColumn="0" w:lastRowFirstColumn="0" w:lastRowLastColumn="0"/>
            <w:tcW w:w="4815" w:type="dxa"/>
          </w:tcPr>
          <w:p w14:paraId="34B2DBFC" w14:textId="25165A55" w:rsidR="005B3C31" w:rsidRPr="00DF5070" w:rsidRDefault="005B3C31" w:rsidP="00E0569D">
            <w:pPr>
              <w:rPr>
                <w:sz w:val="20"/>
                <w:szCs w:val="20"/>
                <w:lang w:val="en-AU"/>
              </w:rPr>
            </w:pPr>
            <w:r w:rsidRPr="00DF5070">
              <w:rPr>
                <w:sz w:val="20"/>
                <w:szCs w:val="20"/>
                <w:lang w:val="en-AU"/>
              </w:rPr>
              <w:t>Outcome 5 – Children are effective communicators</w:t>
            </w:r>
          </w:p>
        </w:tc>
        <w:tc>
          <w:tcPr>
            <w:tcW w:w="5103" w:type="dxa"/>
          </w:tcPr>
          <w:p w14:paraId="15C80682" w14:textId="7F046197"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Communication – Interactions</w:t>
            </w:r>
          </w:p>
          <w:p w14:paraId="3DA3DB2E" w14:textId="77777777"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Communication - Symbols &amp; Text</w:t>
            </w:r>
          </w:p>
          <w:p w14:paraId="4CAE221F" w14:textId="521C3CB1" w:rsidR="005B3C31" w:rsidRPr="00DF5070" w:rsidRDefault="005B3C31" w:rsidP="005B3C3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DF5070">
              <w:rPr>
                <w:rFonts w:cstheme="minorHAnsi"/>
                <w:sz w:val="20"/>
                <w:szCs w:val="20"/>
                <w:lang w:val="en-US"/>
              </w:rPr>
              <w:t>Learning and Communication - Numeracy</w:t>
            </w:r>
          </w:p>
        </w:tc>
      </w:tr>
    </w:tbl>
    <w:p w14:paraId="4CCA04BA" w14:textId="2838439A" w:rsidR="008F5DC6" w:rsidRDefault="008F5DC6" w:rsidP="008F5DC6">
      <w:pPr>
        <w:tabs>
          <w:tab w:val="left" w:pos="1027"/>
        </w:tabs>
        <w:rPr>
          <w:sz w:val="20"/>
          <w:szCs w:val="22"/>
          <w:lang w:val="en-AU"/>
        </w:rPr>
      </w:pPr>
    </w:p>
    <w:p w14:paraId="2DD5142A" w14:textId="77777777" w:rsidR="00DF5070" w:rsidRDefault="00DF5070" w:rsidP="008F5DC6">
      <w:pPr>
        <w:tabs>
          <w:tab w:val="left" w:pos="1027"/>
        </w:tabs>
        <w:rPr>
          <w:sz w:val="20"/>
          <w:szCs w:val="22"/>
          <w:lang w:val="en-AU"/>
        </w:rPr>
      </w:pPr>
    </w:p>
    <w:p w14:paraId="7DF6149D" w14:textId="1B25AF8C" w:rsidR="005C05E6" w:rsidRDefault="005C05E6" w:rsidP="005C05E6">
      <w:pPr>
        <w:rPr>
          <w:sz w:val="20"/>
          <w:szCs w:val="22"/>
          <w:lang w:val="en-AU"/>
        </w:rPr>
      </w:pPr>
      <w:r>
        <w:rPr>
          <w:sz w:val="20"/>
          <w:szCs w:val="22"/>
          <w:lang w:val="en-AU"/>
        </w:rPr>
        <w:lastRenderedPageBreak/>
        <w:t xml:space="preserve">The TLDS has been designed to support the sharing of information between kindergarten and Prep/Foundation teachers to enable children’s continuity of learning </w:t>
      </w:r>
      <w:r w:rsidRPr="00A409D1">
        <w:rPr>
          <w:sz w:val="20"/>
          <w:szCs w:val="22"/>
          <w:lang w:val="en-AU"/>
        </w:rPr>
        <w:t>as they start school</w:t>
      </w:r>
      <w:r w:rsidRPr="00DF5070">
        <w:rPr>
          <w:sz w:val="20"/>
          <w:szCs w:val="20"/>
          <w:lang w:val="en-AU"/>
        </w:rPr>
        <w:t xml:space="preserve">. It provides a kindergarten teacher’s </w:t>
      </w:r>
      <w:r w:rsidR="00427BC8">
        <w:rPr>
          <w:sz w:val="20"/>
          <w:szCs w:val="22"/>
          <w:lang w:val="en-AU"/>
        </w:rPr>
        <w:t>assessment</w:t>
      </w:r>
      <w:r>
        <w:rPr>
          <w:sz w:val="20"/>
          <w:szCs w:val="22"/>
          <w:lang w:val="en-AU"/>
        </w:rPr>
        <w:t xml:space="preserve"> of a child’s learning</w:t>
      </w:r>
      <w:r w:rsidRPr="00A409D1">
        <w:rPr>
          <w:sz w:val="20"/>
          <w:szCs w:val="22"/>
          <w:lang w:val="en-AU"/>
        </w:rPr>
        <w:t xml:space="preserve"> and </w:t>
      </w:r>
      <w:r>
        <w:rPr>
          <w:sz w:val="20"/>
          <w:szCs w:val="22"/>
          <w:lang w:val="en-AU"/>
        </w:rPr>
        <w:t>examples of effective teaching strategies that have supported th</w:t>
      </w:r>
      <w:r w:rsidR="00427BC8">
        <w:rPr>
          <w:sz w:val="20"/>
          <w:szCs w:val="22"/>
          <w:lang w:val="en-AU"/>
        </w:rPr>
        <w:t>at</w:t>
      </w:r>
      <w:r>
        <w:rPr>
          <w:sz w:val="20"/>
          <w:szCs w:val="22"/>
          <w:lang w:val="en-AU"/>
        </w:rPr>
        <w:t xml:space="preserve"> child’s individual </w:t>
      </w:r>
      <w:r w:rsidR="00427BC8">
        <w:rPr>
          <w:sz w:val="20"/>
          <w:szCs w:val="22"/>
          <w:lang w:val="en-AU"/>
        </w:rPr>
        <w:t xml:space="preserve">learning </w:t>
      </w:r>
      <w:r w:rsidRPr="00A409D1">
        <w:rPr>
          <w:sz w:val="20"/>
          <w:szCs w:val="22"/>
          <w:lang w:val="en-AU"/>
        </w:rPr>
        <w:t xml:space="preserve">approach </w:t>
      </w:r>
      <w:r>
        <w:rPr>
          <w:sz w:val="20"/>
          <w:szCs w:val="22"/>
          <w:lang w:val="en-AU"/>
        </w:rPr>
        <w:t>in the early years</w:t>
      </w:r>
      <w:r w:rsidRPr="00A409D1">
        <w:rPr>
          <w:sz w:val="20"/>
          <w:szCs w:val="22"/>
          <w:lang w:val="en-AU"/>
        </w:rPr>
        <w:t>. It is</w:t>
      </w:r>
      <w:r>
        <w:rPr>
          <w:sz w:val="20"/>
          <w:szCs w:val="22"/>
          <w:lang w:val="en-AU"/>
        </w:rPr>
        <w:t xml:space="preserve"> completed in partnership with a child’s family</w:t>
      </w:r>
      <w:r w:rsidRPr="00A409D1">
        <w:rPr>
          <w:sz w:val="20"/>
          <w:szCs w:val="22"/>
          <w:lang w:val="en-AU"/>
        </w:rPr>
        <w:t>.</w:t>
      </w:r>
      <w:r>
        <w:rPr>
          <w:sz w:val="20"/>
          <w:szCs w:val="22"/>
          <w:lang w:val="en-AU"/>
        </w:rPr>
        <w:t xml:space="preserve"> </w:t>
      </w:r>
    </w:p>
    <w:p w14:paraId="6B714828" w14:textId="474B807F" w:rsidR="00624A55" w:rsidRPr="002A0E92" w:rsidRDefault="0055339E" w:rsidP="00624A55">
      <w:pPr>
        <w:pStyle w:val="Heading2"/>
        <w:rPr>
          <w:sz w:val="28"/>
          <w:szCs w:val="24"/>
          <w:lang w:val="en-AU"/>
        </w:rPr>
      </w:pPr>
      <w:r w:rsidRPr="002A0E92">
        <w:rPr>
          <w:sz w:val="28"/>
          <w:szCs w:val="24"/>
          <w:lang w:val="en-AU"/>
        </w:rPr>
        <w:t>How to use the information generated from the Tool to inform TLDS</w:t>
      </w:r>
    </w:p>
    <w:p w14:paraId="28F0A9AB" w14:textId="367FD780" w:rsidR="005C05E6" w:rsidRPr="005C05E6" w:rsidRDefault="005C05E6" w:rsidP="005C05E6">
      <w:pPr>
        <w:jc w:val="center"/>
        <w:rPr>
          <w:rStyle w:val="Emphasis"/>
        </w:rPr>
      </w:pPr>
      <w:r w:rsidRPr="005C05E6">
        <w:rPr>
          <w:rStyle w:val="Emphasis"/>
        </w:rPr>
        <w:t>I</w:t>
      </w:r>
      <w:r w:rsidR="00997404" w:rsidRPr="005C05E6">
        <w:rPr>
          <w:rStyle w:val="Emphasis"/>
        </w:rPr>
        <w:t xml:space="preserve">nformation from the Tool </w:t>
      </w:r>
      <w:r w:rsidRPr="005C05E6">
        <w:rPr>
          <w:rStyle w:val="Emphasis"/>
        </w:rPr>
        <w:t xml:space="preserve">makes it easier for a kindergarten teacher to complete </w:t>
      </w:r>
      <w:r w:rsidR="0068185E" w:rsidRPr="005C05E6">
        <w:rPr>
          <w:rStyle w:val="Emphasis"/>
        </w:rPr>
        <w:t xml:space="preserve">Section 1.1 of the </w:t>
      </w:r>
      <w:r w:rsidR="00997404" w:rsidRPr="005C05E6">
        <w:rPr>
          <w:rStyle w:val="Emphasis"/>
        </w:rPr>
        <w:t>TLDS</w:t>
      </w:r>
      <w:r w:rsidRPr="005C05E6">
        <w:rPr>
          <w:rStyle w:val="Emphasis"/>
        </w:rPr>
        <w:t>.</w:t>
      </w:r>
    </w:p>
    <w:p w14:paraId="3847B4C0" w14:textId="24BE45D5" w:rsidR="00E630AF" w:rsidRDefault="00427BC8" w:rsidP="00B63F42">
      <w:pPr>
        <w:rPr>
          <w:sz w:val="20"/>
          <w:szCs w:val="22"/>
          <w:lang w:val="en-AU"/>
        </w:rPr>
      </w:pPr>
      <w:r>
        <w:rPr>
          <w:sz w:val="20"/>
          <w:szCs w:val="22"/>
          <w:lang w:val="en-AU"/>
        </w:rPr>
        <w:t>Information</w:t>
      </w:r>
      <w:r w:rsidR="00997404" w:rsidRPr="002A0E92">
        <w:rPr>
          <w:sz w:val="20"/>
          <w:szCs w:val="22"/>
          <w:lang w:val="en-AU"/>
        </w:rPr>
        <w:t xml:space="preserve"> from </w:t>
      </w:r>
      <w:r>
        <w:rPr>
          <w:sz w:val="20"/>
          <w:szCs w:val="22"/>
          <w:lang w:val="en-AU"/>
        </w:rPr>
        <w:t xml:space="preserve">the Tool’s </w:t>
      </w:r>
      <w:r w:rsidR="00997404" w:rsidRPr="002A0E92">
        <w:rPr>
          <w:sz w:val="20"/>
          <w:szCs w:val="22"/>
          <w:lang w:val="en-AU"/>
        </w:rPr>
        <w:t>Learning Report</w:t>
      </w:r>
      <w:r>
        <w:rPr>
          <w:sz w:val="20"/>
          <w:szCs w:val="22"/>
          <w:lang w:val="en-AU"/>
        </w:rPr>
        <w:t>s</w:t>
      </w:r>
      <w:r w:rsidR="009417F4" w:rsidRPr="002A0E92">
        <w:rPr>
          <w:sz w:val="20"/>
          <w:szCs w:val="22"/>
          <w:lang w:val="en-AU"/>
        </w:rPr>
        <w:t xml:space="preserve"> </w:t>
      </w:r>
      <w:r>
        <w:rPr>
          <w:sz w:val="20"/>
          <w:szCs w:val="22"/>
          <w:lang w:val="en-AU"/>
        </w:rPr>
        <w:t>for a child can be copied into Section 1.1 of the online TLDS</w:t>
      </w:r>
      <w:r w:rsidR="00207774" w:rsidRPr="002A0E92">
        <w:rPr>
          <w:sz w:val="20"/>
          <w:szCs w:val="22"/>
          <w:lang w:val="en-AU"/>
        </w:rPr>
        <w:t xml:space="preserve">. </w:t>
      </w:r>
      <w:r>
        <w:rPr>
          <w:sz w:val="20"/>
          <w:szCs w:val="22"/>
          <w:lang w:val="en-AU"/>
        </w:rPr>
        <w:t xml:space="preserve">A </w:t>
      </w:r>
      <w:r w:rsidR="00A409D1">
        <w:rPr>
          <w:sz w:val="20"/>
          <w:szCs w:val="22"/>
          <w:lang w:val="en-AU"/>
        </w:rPr>
        <w:t xml:space="preserve">Learning Report is generated </w:t>
      </w:r>
      <w:r>
        <w:rPr>
          <w:sz w:val="20"/>
          <w:szCs w:val="22"/>
          <w:lang w:val="en-AU"/>
        </w:rPr>
        <w:t>for each m</w:t>
      </w:r>
      <w:r w:rsidR="00A409D1">
        <w:rPr>
          <w:sz w:val="20"/>
          <w:szCs w:val="22"/>
          <w:lang w:val="en-AU"/>
        </w:rPr>
        <w:t>odule</w:t>
      </w:r>
      <w:r>
        <w:rPr>
          <w:sz w:val="20"/>
          <w:szCs w:val="22"/>
          <w:lang w:val="en-AU"/>
        </w:rPr>
        <w:t xml:space="preserve"> a teacher has completed for a child in the Tool</w:t>
      </w:r>
      <w:r w:rsidR="00A409D1">
        <w:rPr>
          <w:sz w:val="20"/>
          <w:szCs w:val="22"/>
          <w:lang w:val="en-AU"/>
        </w:rPr>
        <w:t>.</w:t>
      </w:r>
    </w:p>
    <w:p w14:paraId="60AD00CD" w14:textId="4D89FD6F" w:rsidR="00624A55" w:rsidRPr="002A0E92" w:rsidRDefault="00201F82" w:rsidP="00B63F42">
      <w:pPr>
        <w:rPr>
          <w:sz w:val="20"/>
          <w:szCs w:val="22"/>
          <w:lang w:val="en-AU"/>
        </w:rPr>
      </w:pPr>
      <w:r>
        <w:rPr>
          <w:sz w:val="20"/>
          <w:szCs w:val="22"/>
          <w:lang w:val="en-AU"/>
        </w:rPr>
        <w:t xml:space="preserve">You can use </w:t>
      </w:r>
      <w:r w:rsidR="0068185E">
        <w:rPr>
          <w:sz w:val="20"/>
          <w:szCs w:val="22"/>
          <w:lang w:val="en-AU"/>
        </w:rPr>
        <w:t>key</w:t>
      </w:r>
      <w:r>
        <w:rPr>
          <w:sz w:val="20"/>
          <w:szCs w:val="22"/>
          <w:lang w:val="en-AU"/>
        </w:rPr>
        <w:t xml:space="preserve"> information from the Learning Report to </w:t>
      </w:r>
      <w:r w:rsidR="00427BC8">
        <w:rPr>
          <w:sz w:val="20"/>
          <w:szCs w:val="22"/>
          <w:lang w:val="en-AU"/>
        </w:rPr>
        <w:t>complete</w:t>
      </w:r>
      <w:r>
        <w:rPr>
          <w:sz w:val="20"/>
          <w:szCs w:val="22"/>
          <w:lang w:val="en-AU"/>
        </w:rPr>
        <w:t xml:space="preserve"> the TLDS by following these steps:</w:t>
      </w:r>
    </w:p>
    <w:p w14:paraId="0C46D68D" w14:textId="244015EB" w:rsidR="00A409D1" w:rsidRDefault="00B63F42" w:rsidP="00A409D1">
      <w:pPr>
        <w:pStyle w:val="ListParagraph"/>
        <w:numPr>
          <w:ilvl w:val="0"/>
          <w:numId w:val="21"/>
        </w:numPr>
        <w:ind w:hanging="357"/>
        <w:contextualSpacing w:val="0"/>
        <w:rPr>
          <w:sz w:val="20"/>
          <w:szCs w:val="22"/>
          <w:lang w:val="en-AU"/>
        </w:rPr>
      </w:pPr>
      <w:r w:rsidRPr="002A0E92">
        <w:rPr>
          <w:sz w:val="20"/>
          <w:szCs w:val="22"/>
          <w:lang w:val="en-AU"/>
        </w:rPr>
        <w:t xml:space="preserve">Sign into </w:t>
      </w:r>
      <w:r w:rsidR="00A7180E" w:rsidRPr="002A0E92">
        <w:rPr>
          <w:sz w:val="20"/>
          <w:szCs w:val="22"/>
          <w:lang w:val="en-AU"/>
        </w:rPr>
        <w:t xml:space="preserve">the </w:t>
      </w:r>
      <w:r w:rsidR="00A7180E" w:rsidRPr="003E4410">
        <w:rPr>
          <w:b/>
          <w:bCs/>
          <w:sz w:val="20"/>
          <w:szCs w:val="22"/>
          <w:lang w:val="en-AU"/>
        </w:rPr>
        <w:t xml:space="preserve">Early Years Assessment and Learning </w:t>
      </w:r>
      <w:r w:rsidR="008D78DB" w:rsidRPr="003E4410">
        <w:rPr>
          <w:b/>
          <w:bCs/>
          <w:sz w:val="20"/>
          <w:szCs w:val="22"/>
          <w:lang w:val="en-AU"/>
        </w:rPr>
        <w:t>Tool</w:t>
      </w:r>
      <w:r w:rsidR="00D90B7A">
        <w:rPr>
          <w:sz w:val="20"/>
          <w:szCs w:val="22"/>
          <w:lang w:val="en-AU"/>
        </w:rPr>
        <w:t xml:space="preserve"> via the </w:t>
      </w:r>
      <w:r w:rsidR="00A409D1">
        <w:rPr>
          <w:sz w:val="20"/>
          <w:szCs w:val="22"/>
          <w:lang w:val="en-AU"/>
        </w:rPr>
        <w:t xml:space="preserve">website - </w:t>
      </w:r>
      <w:hyperlink r:id="rId8" w:history="1">
        <w:r w:rsidR="00A409D1" w:rsidRPr="008F3A43">
          <w:rPr>
            <w:rStyle w:val="Hyperlink"/>
            <w:sz w:val="20"/>
            <w:szCs w:val="22"/>
            <w:lang w:val="en-AU"/>
          </w:rPr>
          <w:t>https://eyalt.arcassess.education/account/login</w:t>
        </w:r>
      </w:hyperlink>
      <w:r w:rsidR="00A409D1">
        <w:rPr>
          <w:sz w:val="20"/>
          <w:szCs w:val="22"/>
          <w:lang w:val="en-AU"/>
        </w:rPr>
        <w:t>.</w:t>
      </w:r>
    </w:p>
    <w:p w14:paraId="5C7DAB58" w14:textId="237CB71E" w:rsidR="00095B24" w:rsidRPr="00114D27" w:rsidRDefault="00A7180E" w:rsidP="003E4410">
      <w:pPr>
        <w:pStyle w:val="ListParagraph"/>
        <w:numPr>
          <w:ilvl w:val="0"/>
          <w:numId w:val="21"/>
        </w:numPr>
        <w:ind w:hanging="357"/>
        <w:contextualSpacing w:val="0"/>
        <w:rPr>
          <w:sz w:val="20"/>
          <w:szCs w:val="22"/>
          <w:lang w:val="en-AU"/>
        </w:rPr>
      </w:pPr>
      <w:r w:rsidRPr="00993867">
        <w:rPr>
          <w:sz w:val="20"/>
          <w:szCs w:val="22"/>
          <w:lang w:val="en-AU"/>
        </w:rPr>
        <w:t xml:space="preserve">Navigate to </w:t>
      </w:r>
      <w:r w:rsidR="00D90B7A" w:rsidRPr="00114D27">
        <w:rPr>
          <w:sz w:val="20"/>
          <w:szCs w:val="22"/>
          <w:lang w:val="en-AU"/>
        </w:rPr>
        <w:t xml:space="preserve">the </w:t>
      </w:r>
      <w:r w:rsidR="00A409D1">
        <w:rPr>
          <w:sz w:val="20"/>
          <w:szCs w:val="22"/>
          <w:lang w:val="en-AU"/>
        </w:rPr>
        <w:t>reports section</w:t>
      </w:r>
      <w:r w:rsidR="00207774" w:rsidRPr="00993867">
        <w:rPr>
          <w:sz w:val="20"/>
          <w:szCs w:val="22"/>
          <w:lang w:val="en-AU"/>
        </w:rPr>
        <w:t xml:space="preserve"> – by clicking </w:t>
      </w:r>
      <w:r w:rsidR="00112AFF" w:rsidRPr="003E4410">
        <w:rPr>
          <w:b/>
          <w:bCs/>
          <w:sz w:val="20"/>
          <w:szCs w:val="22"/>
          <w:lang w:val="en-AU"/>
        </w:rPr>
        <w:t>‘</w:t>
      </w:r>
      <w:r w:rsidR="00207774" w:rsidRPr="003E4410">
        <w:rPr>
          <w:b/>
          <w:bCs/>
          <w:sz w:val="20"/>
          <w:szCs w:val="22"/>
          <w:lang w:val="en-AU"/>
        </w:rPr>
        <w:t>Reports</w:t>
      </w:r>
      <w:r w:rsidR="00112AFF" w:rsidRPr="003E4410">
        <w:rPr>
          <w:b/>
          <w:bCs/>
          <w:sz w:val="20"/>
          <w:szCs w:val="22"/>
          <w:lang w:val="en-AU"/>
        </w:rPr>
        <w:t>’</w:t>
      </w:r>
      <w:r w:rsidR="00207774" w:rsidRPr="00993867">
        <w:rPr>
          <w:sz w:val="20"/>
          <w:szCs w:val="22"/>
          <w:lang w:val="en-AU"/>
        </w:rPr>
        <w:t xml:space="preserve"> on the left</w:t>
      </w:r>
      <w:r w:rsidR="00522ECB" w:rsidRPr="00114D27">
        <w:rPr>
          <w:sz w:val="20"/>
          <w:szCs w:val="22"/>
          <w:lang w:val="en-AU"/>
        </w:rPr>
        <w:t>-</w:t>
      </w:r>
      <w:r w:rsidR="00207774" w:rsidRPr="00114D27">
        <w:rPr>
          <w:sz w:val="20"/>
          <w:szCs w:val="22"/>
          <w:lang w:val="en-AU"/>
        </w:rPr>
        <w:t xml:space="preserve">hand </w:t>
      </w:r>
      <w:r w:rsidR="00C07336" w:rsidRPr="00114D27">
        <w:rPr>
          <w:sz w:val="20"/>
          <w:szCs w:val="22"/>
          <w:lang w:val="en-AU"/>
        </w:rPr>
        <w:t>menu or on the home page</w:t>
      </w:r>
      <w:r w:rsidR="00522ECB" w:rsidRPr="00114D27">
        <w:rPr>
          <w:sz w:val="20"/>
          <w:szCs w:val="22"/>
          <w:lang w:val="en-AU"/>
        </w:rPr>
        <w:t>.</w:t>
      </w:r>
    </w:p>
    <w:p w14:paraId="11F9C8D3" w14:textId="0289BBFD" w:rsidR="0008585E" w:rsidRPr="002A0E92" w:rsidRDefault="0008585E" w:rsidP="003E4410">
      <w:pPr>
        <w:pStyle w:val="ListParagraph"/>
        <w:numPr>
          <w:ilvl w:val="0"/>
          <w:numId w:val="21"/>
        </w:numPr>
        <w:ind w:hanging="357"/>
        <w:contextualSpacing w:val="0"/>
        <w:rPr>
          <w:sz w:val="20"/>
          <w:szCs w:val="22"/>
          <w:lang w:val="en-AU"/>
        </w:rPr>
      </w:pPr>
      <w:r w:rsidRPr="002A0E92">
        <w:rPr>
          <w:sz w:val="20"/>
          <w:szCs w:val="22"/>
          <w:lang w:val="en-AU"/>
        </w:rPr>
        <w:t xml:space="preserve">Select </w:t>
      </w:r>
      <w:r w:rsidR="00112AFF" w:rsidRPr="003E4410">
        <w:rPr>
          <w:b/>
          <w:bCs/>
          <w:sz w:val="20"/>
          <w:szCs w:val="22"/>
          <w:lang w:val="en-AU"/>
        </w:rPr>
        <w:t>‘</w:t>
      </w:r>
      <w:r w:rsidRPr="003E4410">
        <w:rPr>
          <w:b/>
          <w:bCs/>
          <w:sz w:val="20"/>
          <w:szCs w:val="22"/>
          <w:lang w:val="en-AU"/>
        </w:rPr>
        <w:t>Learning Report</w:t>
      </w:r>
      <w:r w:rsidR="00112AFF" w:rsidRPr="003E4410">
        <w:rPr>
          <w:b/>
          <w:bCs/>
          <w:sz w:val="20"/>
          <w:szCs w:val="22"/>
          <w:lang w:val="en-AU"/>
        </w:rPr>
        <w:t>’</w:t>
      </w:r>
      <w:r w:rsidRPr="002A0E92">
        <w:rPr>
          <w:sz w:val="20"/>
          <w:szCs w:val="22"/>
          <w:lang w:val="en-AU"/>
        </w:rPr>
        <w:t xml:space="preserve">, and confirm the </w:t>
      </w:r>
      <w:r w:rsidRPr="003E4410">
        <w:rPr>
          <w:b/>
          <w:bCs/>
          <w:sz w:val="20"/>
          <w:szCs w:val="22"/>
          <w:lang w:val="en-AU"/>
        </w:rPr>
        <w:t>Group, Module, Assessment</w:t>
      </w:r>
      <w:r w:rsidRPr="002A0E92">
        <w:rPr>
          <w:sz w:val="20"/>
          <w:szCs w:val="22"/>
          <w:lang w:val="en-AU"/>
        </w:rPr>
        <w:t xml:space="preserve"> </w:t>
      </w:r>
      <w:r w:rsidRPr="003E4410">
        <w:rPr>
          <w:b/>
          <w:bCs/>
          <w:sz w:val="20"/>
          <w:szCs w:val="22"/>
          <w:lang w:val="en-AU"/>
        </w:rPr>
        <w:t>period</w:t>
      </w:r>
      <w:r w:rsidRPr="002A0E92">
        <w:rPr>
          <w:sz w:val="20"/>
          <w:szCs w:val="22"/>
          <w:lang w:val="en-AU"/>
        </w:rPr>
        <w:t xml:space="preserve">, and the </w:t>
      </w:r>
      <w:r w:rsidRPr="00E135AA">
        <w:rPr>
          <w:b/>
          <w:bCs/>
          <w:sz w:val="20"/>
          <w:szCs w:val="22"/>
          <w:lang w:val="en-AU"/>
        </w:rPr>
        <w:t>child</w:t>
      </w:r>
      <w:r w:rsidRPr="002A0E92">
        <w:rPr>
          <w:sz w:val="20"/>
          <w:szCs w:val="22"/>
          <w:lang w:val="en-AU"/>
        </w:rPr>
        <w:t xml:space="preserve"> whose reports you would like to view. </w:t>
      </w:r>
      <w:r w:rsidR="00435175" w:rsidRPr="002A0E92">
        <w:rPr>
          <w:sz w:val="20"/>
          <w:szCs w:val="22"/>
          <w:lang w:val="en-AU"/>
        </w:rPr>
        <w:t xml:space="preserve">Click </w:t>
      </w:r>
      <w:r w:rsidR="00112AFF" w:rsidRPr="00E135AA">
        <w:rPr>
          <w:b/>
          <w:bCs/>
          <w:sz w:val="20"/>
          <w:szCs w:val="22"/>
          <w:lang w:val="en-AU"/>
        </w:rPr>
        <w:t>‘</w:t>
      </w:r>
      <w:r w:rsidR="00435175" w:rsidRPr="00E135AA">
        <w:rPr>
          <w:b/>
          <w:bCs/>
          <w:sz w:val="20"/>
          <w:szCs w:val="22"/>
          <w:lang w:val="en-AU"/>
        </w:rPr>
        <w:t>View</w:t>
      </w:r>
      <w:r w:rsidR="00112AFF" w:rsidRPr="00E135AA">
        <w:rPr>
          <w:b/>
          <w:bCs/>
          <w:sz w:val="20"/>
          <w:szCs w:val="22"/>
          <w:lang w:val="en-AU"/>
        </w:rPr>
        <w:t>’</w:t>
      </w:r>
      <w:r w:rsidR="00522ECB" w:rsidRPr="002A0E92">
        <w:rPr>
          <w:sz w:val="20"/>
          <w:szCs w:val="22"/>
          <w:lang w:val="en-AU"/>
        </w:rPr>
        <w:t>.</w:t>
      </w:r>
    </w:p>
    <w:p w14:paraId="6D65E9FB" w14:textId="0375DF33" w:rsidR="00946DA8" w:rsidRPr="002A0E92" w:rsidRDefault="00435175" w:rsidP="003E4410">
      <w:pPr>
        <w:pStyle w:val="ListParagraph"/>
        <w:numPr>
          <w:ilvl w:val="0"/>
          <w:numId w:val="21"/>
        </w:numPr>
        <w:ind w:hanging="357"/>
        <w:contextualSpacing w:val="0"/>
        <w:rPr>
          <w:sz w:val="20"/>
          <w:szCs w:val="22"/>
          <w:lang w:val="en-AU"/>
        </w:rPr>
      </w:pPr>
      <w:r w:rsidRPr="002A0E92">
        <w:rPr>
          <w:sz w:val="20"/>
          <w:szCs w:val="22"/>
          <w:lang w:val="en-AU"/>
        </w:rPr>
        <w:t xml:space="preserve">You will then see the </w:t>
      </w:r>
      <w:r w:rsidRPr="003E4410">
        <w:rPr>
          <w:b/>
          <w:bCs/>
          <w:sz w:val="20"/>
          <w:szCs w:val="22"/>
          <w:lang w:val="en-AU"/>
        </w:rPr>
        <w:t xml:space="preserve">Learning Report(s) </w:t>
      </w:r>
      <w:r w:rsidRPr="002A0E92">
        <w:rPr>
          <w:sz w:val="20"/>
          <w:szCs w:val="22"/>
          <w:lang w:val="en-AU"/>
        </w:rPr>
        <w:t xml:space="preserve">for the child that you selected. </w:t>
      </w:r>
      <w:r w:rsidR="00981689">
        <w:rPr>
          <w:sz w:val="20"/>
          <w:szCs w:val="22"/>
          <w:lang w:val="en-AU"/>
        </w:rPr>
        <w:t>Th</w:t>
      </w:r>
      <w:r w:rsidR="003E4410">
        <w:rPr>
          <w:sz w:val="20"/>
          <w:szCs w:val="22"/>
          <w:lang w:val="en-AU"/>
        </w:rPr>
        <w:t>e</w:t>
      </w:r>
      <w:r w:rsidR="00981689">
        <w:rPr>
          <w:sz w:val="20"/>
          <w:szCs w:val="22"/>
          <w:lang w:val="en-AU"/>
        </w:rPr>
        <w:t xml:space="preserve"> Learning Report</w:t>
      </w:r>
      <w:r w:rsidR="003E4410">
        <w:rPr>
          <w:sz w:val="20"/>
          <w:szCs w:val="22"/>
          <w:lang w:val="en-AU"/>
        </w:rPr>
        <w:t>(s)</w:t>
      </w:r>
      <w:r w:rsidR="00981689">
        <w:rPr>
          <w:sz w:val="20"/>
          <w:szCs w:val="22"/>
          <w:lang w:val="en-AU"/>
        </w:rPr>
        <w:t xml:space="preserve"> contains valuable descriptive information about the child’s current level of learning.</w:t>
      </w:r>
    </w:p>
    <w:p w14:paraId="50313E59" w14:textId="422FDBF0" w:rsidR="009772AD" w:rsidRPr="002A0E92" w:rsidRDefault="00946DA8" w:rsidP="003E4410">
      <w:pPr>
        <w:pStyle w:val="ListParagraph"/>
        <w:numPr>
          <w:ilvl w:val="0"/>
          <w:numId w:val="21"/>
        </w:numPr>
        <w:ind w:hanging="357"/>
        <w:contextualSpacing w:val="0"/>
        <w:rPr>
          <w:sz w:val="20"/>
          <w:szCs w:val="22"/>
          <w:lang w:val="en-AU"/>
        </w:rPr>
      </w:pPr>
      <w:r w:rsidRPr="00DF5070">
        <w:rPr>
          <w:sz w:val="20"/>
          <w:szCs w:val="20"/>
          <w:lang w:val="en-AU"/>
        </w:rPr>
        <w:t xml:space="preserve">To help populate the TLDS, </w:t>
      </w:r>
      <w:r w:rsidR="009772AD" w:rsidRPr="002A0E92">
        <w:rPr>
          <w:sz w:val="20"/>
          <w:szCs w:val="22"/>
          <w:lang w:val="en-AU"/>
        </w:rPr>
        <w:t xml:space="preserve">scroll to </w:t>
      </w:r>
      <w:r w:rsidR="009772AD" w:rsidRPr="003E4410">
        <w:rPr>
          <w:b/>
          <w:bCs/>
          <w:sz w:val="20"/>
          <w:szCs w:val="22"/>
          <w:lang w:val="en-AU"/>
        </w:rPr>
        <w:t>P</w:t>
      </w:r>
      <w:r w:rsidR="00C77FE6" w:rsidRPr="003E4410">
        <w:rPr>
          <w:b/>
          <w:bCs/>
          <w:sz w:val="20"/>
          <w:szCs w:val="22"/>
          <w:lang w:val="en-AU"/>
        </w:rPr>
        <w:t>age 2</w:t>
      </w:r>
      <w:r w:rsidR="00C77FE6">
        <w:rPr>
          <w:b/>
          <w:sz w:val="20"/>
          <w:szCs w:val="22"/>
          <w:lang w:val="en-AU"/>
        </w:rPr>
        <w:t xml:space="preserve"> </w:t>
      </w:r>
      <w:r w:rsidR="00981689">
        <w:rPr>
          <w:b/>
          <w:bCs/>
          <w:sz w:val="20"/>
          <w:szCs w:val="22"/>
          <w:lang w:val="en-AU"/>
        </w:rPr>
        <w:t>(The Learning Outcome Statement)</w:t>
      </w:r>
      <w:r w:rsidR="00C77FE6" w:rsidRPr="003E4410">
        <w:rPr>
          <w:b/>
          <w:bCs/>
          <w:sz w:val="20"/>
          <w:szCs w:val="22"/>
          <w:lang w:val="en-AU"/>
        </w:rPr>
        <w:t xml:space="preserve"> and 3</w:t>
      </w:r>
      <w:r w:rsidR="00C77FE6">
        <w:rPr>
          <w:b/>
          <w:sz w:val="20"/>
          <w:szCs w:val="22"/>
          <w:lang w:val="en-AU"/>
        </w:rPr>
        <w:t xml:space="preserve"> </w:t>
      </w:r>
      <w:r w:rsidR="00981689">
        <w:rPr>
          <w:b/>
          <w:bCs/>
          <w:sz w:val="20"/>
          <w:szCs w:val="22"/>
          <w:lang w:val="en-AU"/>
        </w:rPr>
        <w:t>(Teaching and Learning Strategies)</w:t>
      </w:r>
      <w:r w:rsidR="00C77FE6" w:rsidRPr="003E4410">
        <w:rPr>
          <w:b/>
          <w:bCs/>
          <w:sz w:val="20"/>
          <w:szCs w:val="22"/>
          <w:lang w:val="en-AU"/>
        </w:rPr>
        <w:t xml:space="preserve"> of the Learning Report</w:t>
      </w:r>
      <w:r w:rsidR="003E4410">
        <w:rPr>
          <w:b/>
          <w:bCs/>
          <w:sz w:val="20"/>
          <w:szCs w:val="22"/>
          <w:lang w:val="en-AU"/>
        </w:rPr>
        <w:t>(s)</w:t>
      </w:r>
      <w:r w:rsidR="00C77FE6" w:rsidRPr="002A0E92">
        <w:rPr>
          <w:sz w:val="20"/>
          <w:szCs w:val="22"/>
          <w:lang w:val="en-AU"/>
        </w:rPr>
        <w:t>.</w:t>
      </w:r>
    </w:p>
    <w:p w14:paraId="412E1D5C" w14:textId="77777777" w:rsidR="00DF5070" w:rsidRDefault="00BE6DC5" w:rsidP="00DF5070">
      <w:pPr>
        <w:pStyle w:val="ListParagraph"/>
        <w:numPr>
          <w:ilvl w:val="0"/>
          <w:numId w:val="21"/>
        </w:numPr>
      </w:pPr>
      <w:r w:rsidRPr="002A0E92">
        <w:rPr>
          <w:sz w:val="20"/>
          <w:szCs w:val="22"/>
          <w:lang w:val="en-AU"/>
        </w:rPr>
        <w:t xml:space="preserve">Log into the </w:t>
      </w:r>
      <w:r w:rsidRPr="00D616C3">
        <w:rPr>
          <w:b/>
          <w:bCs/>
          <w:sz w:val="20"/>
          <w:szCs w:val="22"/>
          <w:lang w:val="en-AU"/>
        </w:rPr>
        <w:t>Online TLDS</w:t>
      </w:r>
      <w:r w:rsidR="00D90B7A">
        <w:rPr>
          <w:sz w:val="20"/>
          <w:szCs w:val="22"/>
          <w:lang w:val="en-AU"/>
        </w:rPr>
        <w:t xml:space="preserve"> via</w:t>
      </w:r>
      <w:r w:rsidR="11A08A71" w:rsidRPr="00DF5070">
        <w:rPr>
          <w:sz w:val="20"/>
          <w:szCs w:val="20"/>
          <w:lang w:val="en-AU"/>
        </w:rPr>
        <w:t xml:space="preserve"> the website - </w:t>
      </w:r>
      <w:hyperlink r:id="rId9" w:history="1">
        <w:r w:rsidR="00DF5070" w:rsidRPr="00B04778">
          <w:rPr>
            <w:rStyle w:val="Hyperlink"/>
            <w:sz w:val="20"/>
            <w:szCs w:val="20"/>
          </w:rPr>
          <w:t>https://www.vcaa.vic.edu.au/assessment/f-10assessment/insight/Pages/login.aspx</w:t>
        </w:r>
      </w:hyperlink>
      <w:r w:rsidR="11A08A71" w:rsidRPr="00DF5070">
        <w:rPr>
          <w:sz w:val="20"/>
          <w:szCs w:val="20"/>
        </w:rPr>
        <w:t>.</w:t>
      </w:r>
    </w:p>
    <w:p w14:paraId="6A0B2C7A" w14:textId="21291F86" w:rsidR="00DF5070" w:rsidRDefault="00DF5070" w:rsidP="00DF5070">
      <w:pPr>
        <w:pStyle w:val="ListParagraph"/>
      </w:pPr>
    </w:p>
    <w:p w14:paraId="62ED34D4" w14:textId="289DE2E6" w:rsidR="00BE6DC5" w:rsidRPr="002A0E92" w:rsidRDefault="009D6F82" w:rsidP="003E4410">
      <w:pPr>
        <w:pStyle w:val="ListParagraph"/>
        <w:numPr>
          <w:ilvl w:val="0"/>
          <w:numId w:val="21"/>
        </w:numPr>
        <w:ind w:hanging="357"/>
        <w:contextualSpacing w:val="0"/>
        <w:rPr>
          <w:sz w:val="20"/>
          <w:szCs w:val="22"/>
          <w:lang w:val="en-AU"/>
        </w:rPr>
      </w:pPr>
      <w:r w:rsidRPr="002A0E92">
        <w:rPr>
          <w:sz w:val="20"/>
          <w:szCs w:val="22"/>
          <w:lang w:val="en-AU"/>
        </w:rPr>
        <w:t xml:space="preserve">Navigate to </w:t>
      </w:r>
      <w:r w:rsidRPr="00D616C3">
        <w:rPr>
          <w:b/>
          <w:bCs/>
          <w:sz w:val="20"/>
          <w:szCs w:val="22"/>
          <w:lang w:val="en-AU"/>
        </w:rPr>
        <w:t>Section 1.1</w:t>
      </w:r>
      <w:r w:rsidRPr="002A0E92">
        <w:rPr>
          <w:sz w:val="20"/>
          <w:szCs w:val="22"/>
          <w:lang w:val="en-AU"/>
        </w:rPr>
        <w:t xml:space="preserve"> of the child’s TLDS</w:t>
      </w:r>
      <w:r w:rsidR="00D97898" w:rsidRPr="002A0E92">
        <w:rPr>
          <w:sz w:val="20"/>
          <w:szCs w:val="22"/>
          <w:lang w:val="en-AU"/>
        </w:rPr>
        <w:t>.</w:t>
      </w:r>
    </w:p>
    <w:p w14:paraId="09C03C92" w14:textId="77777777" w:rsidR="00981689" w:rsidRDefault="004F01D5">
      <w:pPr>
        <w:pStyle w:val="ListParagraph"/>
        <w:numPr>
          <w:ilvl w:val="0"/>
          <w:numId w:val="21"/>
        </w:numPr>
        <w:ind w:hanging="357"/>
        <w:contextualSpacing w:val="0"/>
        <w:rPr>
          <w:sz w:val="20"/>
          <w:szCs w:val="22"/>
          <w:lang w:val="en-AU"/>
        </w:rPr>
      </w:pPr>
      <w:r w:rsidRPr="002A0E92">
        <w:rPr>
          <w:sz w:val="20"/>
          <w:szCs w:val="22"/>
          <w:lang w:val="en-AU"/>
        </w:rPr>
        <w:t xml:space="preserve">You can either click on a </w:t>
      </w:r>
      <w:r w:rsidRPr="00D616C3">
        <w:rPr>
          <w:b/>
          <w:bCs/>
          <w:sz w:val="20"/>
          <w:szCs w:val="22"/>
          <w:lang w:val="en-AU"/>
        </w:rPr>
        <w:t>Learning and Development Outcome</w:t>
      </w:r>
      <w:r w:rsidRPr="002A0E92">
        <w:rPr>
          <w:sz w:val="20"/>
          <w:szCs w:val="22"/>
          <w:lang w:val="en-AU"/>
        </w:rPr>
        <w:t xml:space="preserve"> (</w:t>
      </w:r>
      <w:proofErr w:type="gramStart"/>
      <w:r w:rsidRPr="002A0E92">
        <w:rPr>
          <w:sz w:val="20"/>
          <w:szCs w:val="22"/>
          <w:lang w:val="en-AU"/>
        </w:rPr>
        <w:t>i.e.</w:t>
      </w:r>
      <w:proofErr w:type="gramEnd"/>
      <w:r w:rsidRPr="002A0E92">
        <w:rPr>
          <w:sz w:val="20"/>
          <w:szCs w:val="22"/>
          <w:lang w:val="en-AU"/>
        </w:rPr>
        <w:t xml:space="preserve"> Identity) and choose from the pre-existing options, or, you may choose to double click on the empty </w:t>
      </w:r>
      <w:r w:rsidRPr="00D616C3">
        <w:rPr>
          <w:b/>
          <w:bCs/>
          <w:sz w:val="20"/>
          <w:szCs w:val="22"/>
          <w:lang w:val="en-AU"/>
        </w:rPr>
        <w:t xml:space="preserve">Learning and Development </w:t>
      </w:r>
      <w:r w:rsidR="00D90B7A" w:rsidRPr="00D616C3">
        <w:rPr>
          <w:b/>
          <w:bCs/>
          <w:sz w:val="20"/>
          <w:szCs w:val="22"/>
          <w:lang w:val="en-AU"/>
        </w:rPr>
        <w:t xml:space="preserve">column </w:t>
      </w:r>
      <w:r w:rsidRPr="00D616C3">
        <w:rPr>
          <w:b/>
          <w:bCs/>
          <w:sz w:val="20"/>
          <w:szCs w:val="22"/>
          <w:lang w:val="en-AU"/>
        </w:rPr>
        <w:t>text box</w:t>
      </w:r>
      <w:r w:rsidR="00C77FE6" w:rsidRPr="002A0E92">
        <w:rPr>
          <w:sz w:val="20"/>
          <w:szCs w:val="22"/>
          <w:lang w:val="en-AU"/>
        </w:rPr>
        <w:t xml:space="preserve">. </w:t>
      </w:r>
    </w:p>
    <w:p w14:paraId="6B82145A" w14:textId="35398152" w:rsidR="00522ECB" w:rsidRPr="002A0E92" w:rsidRDefault="00D616C3" w:rsidP="003E4410">
      <w:pPr>
        <w:pStyle w:val="ListParagraph"/>
        <w:numPr>
          <w:ilvl w:val="0"/>
          <w:numId w:val="21"/>
        </w:numPr>
        <w:ind w:hanging="357"/>
        <w:contextualSpacing w:val="0"/>
        <w:rPr>
          <w:sz w:val="20"/>
          <w:szCs w:val="22"/>
          <w:lang w:val="en-AU"/>
        </w:rPr>
      </w:pPr>
      <w:r>
        <w:rPr>
          <w:sz w:val="20"/>
          <w:szCs w:val="22"/>
          <w:lang w:val="en-AU"/>
        </w:rPr>
        <w:t>D</w:t>
      </w:r>
      <w:r w:rsidR="00246B8F" w:rsidRPr="002A0E92">
        <w:rPr>
          <w:sz w:val="20"/>
          <w:szCs w:val="22"/>
          <w:lang w:val="en-AU"/>
        </w:rPr>
        <w:t>escriptors</w:t>
      </w:r>
      <w:r w:rsidR="00C77FE6" w:rsidRPr="002A0E92">
        <w:rPr>
          <w:sz w:val="20"/>
          <w:szCs w:val="22"/>
          <w:lang w:val="en-AU"/>
        </w:rPr>
        <w:t xml:space="preserve"> </w:t>
      </w:r>
      <w:r>
        <w:rPr>
          <w:sz w:val="20"/>
          <w:szCs w:val="22"/>
          <w:lang w:val="en-AU"/>
        </w:rPr>
        <w:t xml:space="preserve">of </w:t>
      </w:r>
      <w:r w:rsidRPr="002A0E92">
        <w:rPr>
          <w:sz w:val="20"/>
          <w:szCs w:val="22"/>
          <w:lang w:val="en-AU"/>
        </w:rPr>
        <w:t xml:space="preserve">the child’s learning progress </w:t>
      </w:r>
      <w:r w:rsidR="00C77FE6" w:rsidRPr="002A0E92">
        <w:rPr>
          <w:sz w:val="20"/>
          <w:szCs w:val="22"/>
          <w:lang w:val="en-AU"/>
        </w:rPr>
        <w:t>can be selected</w:t>
      </w:r>
      <w:r>
        <w:rPr>
          <w:sz w:val="20"/>
          <w:szCs w:val="22"/>
          <w:lang w:val="en-AU"/>
        </w:rPr>
        <w:t xml:space="preserve"> and</w:t>
      </w:r>
      <w:r w:rsidR="00C77FE6" w:rsidRPr="002A0E92">
        <w:rPr>
          <w:sz w:val="20"/>
          <w:szCs w:val="22"/>
          <w:lang w:val="en-AU"/>
        </w:rPr>
        <w:t xml:space="preserve"> copied</w:t>
      </w:r>
      <w:r w:rsidRPr="00D616C3">
        <w:rPr>
          <w:sz w:val="20"/>
          <w:szCs w:val="22"/>
          <w:lang w:val="en-AU"/>
        </w:rPr>
        <w:t xml:space="preserve"> </w:t>
      </w:r>
      <w:r w:rsidRPr="002A0E92">
        <w:rPr>
          <w:sz w:val="20"/>
          <w:szCs w:val="22"/>
          <w:lang w:val="en-AU"/>
        </w:rPr>
        <w:t xml:space="preserve">from </w:t>
      </w:r>
      <w:r w:rsidRPr="00D616C3">
        <w:rPr>
          <w:b/>
          <w:bCs/>
          <w:sz w:val="20"/>
          <w:szCs w:val="22"/>
          <w:lang w:val="en-AU"/>
        </w:rPr>
        <w:t>Page 2 of the child’s Tool Learning Report</w:t>
      </w:r>
      <w:r>
        <w:rPr>
          <w:b/>
          <w:bCs/>
          <w:sz w:val="20"/>
          <w:szCs w:val="22"/>
          <w:lang w:val="en-AU"/>
        </w:rPr>
        <w:t xml:space="preserve"> </w:t>
      </w:r>
      <w:r>
        <w:rPr>
          <w:sz w:val="20"/>
          <w:szCs w:val="22"/>
          <w:lang w:val="en-AU"/>
        </w:rPr>
        <w:t>then</w:t>
      </w:r>
      <w:r w:rsidR="00A263C7" w:rsidRPr="002A0E92">
        <w:rPr>
          <w:sz w:val="20"/>
          <w:szCs w:val="22"/>
          <w:lang w:val="en-AU"/>
        </w:rPr>
        <w:t xml:space="preserve"> pasted </w:t>
      </w:r>
      <w:r>
        <w:rPr>
          <w:sz w:val="20"/>
          <w:szCs w:val="22"/>
          <w:lang w:val="en-AU"/>
        </w:rPr>
        <w:t xml:space="preserve">into the </w:t>
      </w:r>
      <w:r w:rsidRPr="00D616C3">
        <w:rPr>
          <w:b/>
          <w:bCs/>
          <w:sz w:val="20"/>
          <w:szCs w:val="22"/>
          <w:lang w:val="en-AU"/>
        </w:rPr>
        <w:t>Learning and Development column text box</w:t>
      </w:r>
      <w:r w:rsidRPr="002A0E92">
        <w:rPr>
          <w:sz w:val="20"/>
          <w:szCs w:val="22"/>
          <w:lang w:val="en-AU"/>
        </w:rPr>
        <w:t xml:space="preserve"> </w:t>
      </w:r>
      <w:r w:rsidR="00A263C7" w:rsidRPr="002A0E92">
        <w:rPr>
          <w:sz w:val="20"/>
          <w:szCs w:val="22"/>
          <w:lang w:val="en-AU"/>
        </w:rPr>
        <w:t>and personalised.</w:t>
      </w:r>
    </w:p>
    <w:p w14:paraId="25ACB518" w14:textId="16EE193E" w:rsidR="00147E17" w:rsidRPr="002A0E92" w:rsidRDefault="00147E17" w:rsidP="003E4410">
      <w:pPr>
        <w:pStyle w:val="ListParagraph"/>
        <w:numPr>
          <w:ilvl w:val="1"/>
          <w:numId w:val="21"/>
        </w:numPr>
        <w:ind w:hanging="357"/>
        <w:contextualSpacing w:val="0"/>
        <w:rPr>
          <w:sz w:val="20"/>
          <w:szCs w:val="22"/>
          <w:lang w:val="en-AU"/>
        </w:rPr>
      </w:pPr>
      <w:proofErr w:type="gramStart"/>
      <w:r w:rsidRPr="002A0E92">
        <w:rPr>
          <w:sz w:val="20"/>
          <w:szCs w:val="22"/>
          <w:lang w:val="en-AU"/>
        </w:rPr>
        <w:t>e.g.</w:t>
      </w:r>
      <w:proofErr w:type="gramEnd"/>
      <w:r w:rsidRPr="002A0E92">
        <w:rPr>
          <w:sz w:val="20"/>
          <w:szCs w:val="22"/>
          <w:lang w:val="en-AU"/>
        </w:rPr>
        <w:t xml:space="preserve"> A teacher copies and pastes “</w:t>
      </w:r>
      <w:r w:rsidR="00981689" w:rsidRPr="00981689">
        <w:rPr>
          <w:sz w:val="20"/>
          <w:szCs w:val="22"/>
          <w:lang w:val="en-AU"/>
        </w:rPr>
        <w:t>Provide opportunities for the child to participate or lead small and large group discussions, and to present ideas and opinions to a small group.</w:t>
      </w:r>
      <w:r w:rsidR="00981689">
        <w:rPr>
          <w:sz w:val="20"/>
          <w:szCs w:val="22"/>
          <w:lang w:val="en-AU"/>
        </w:rPr>
        <w:t>”</w:t>
      </w:r>
      <w:r w:rsidR="00304753" w:rsidRPr="00304753" w:rsidDel="00304753">
        <w:rPr>
          <w:strike/>
          <w:sz w:val="20"/>
          <w:szCs w:val="22"/>
          <w:lang w:val="en-AU"/>
        </w:rPr>
        <w:t xml:space="preserve"> </w:t>
      </w:r>
      <w:r w:rsidRPr="002A0E92">
        <w:rPr>
          <w:sz w:val="20"/>
          <w:szCs w:val="22"/>
          <w:lang w:val="en-AU"/>
        </w:rPr>
        <w:t xml:space="preserve">They then edit </w:t>
      </w:r>
      <w:r w:rsidR="008A43AF" w:rsidRPr="002A0E92">
        <w:rPr>
          <w:sz w:val="20"/>
          <w:szCs w:val="22"/>
          <w:lang w:val="en-AU"/>
        </w:rPr>
        <w:t xml:space="preserve">this sentence to </w:t>
      </w:r>
      <w:r w:rsidR="00304753">
        <w:rPr>
          <w:sz w:val="20"/>
          <w:szCs w:val="22"/>
          <w:lang w:val="en-AU"/>
        </w:rPr>
        <w:t>include</w:t>
      </w:r>
      <w:r w:rsidR="00304753" w:rsidRPr="002A0E92">
        <w:rPr>
          <w:sz w:val="20"/>
          <w:szCs w:val="22"/>
          <w:lang w:val="en-AU"/>
        </w:rPr>
        <w:t xml:space="preserve"> </w:t>
      </w:r>
      <w:r w:rsidR="008A43AF" w:rsidRPr="002A0E92">
        <w:rPr>
          <w:sz w:val="20"/>
          <w:szCs w:val="22"/>
          <w:lang w:val="en-AU"/>
        </w:rPr>
        <w:t xml:space="preserve">“[Name of child] </w:t>
      </w:r>
      <w:r w:rsidR="00981689">
        <w:rPr>
          <w:sz w:val="20"/>
          <w:szCs w:val="22"/>
          <w:lang w:val="en-AU"/>
        </w:rPr>
        <w:t>can participate in or lead</w:t>
      </w:r>
      <w:r w:rsidR="00304753">
        <w:rPr>
          <w:sz w:val="20"/>
          <w:szCs w:val="22"/>
          <w:lang w:val="en-AU"/>
        </w:rPr>
        <w:t>…</w:t>
      </w:r>
      <w:r w:rsidR="00981689">
        <w:rPr>
          <w:sz w:val="20"/>
          <w:szCs w:val="22"/>
          <w:lang w:val="en-AU"/>
        </w:rPr>
        <w:t>”</w:t>
      </w:r>
      <w:r w:rsidR="00304753">
        <w:rPr>
          <w:sz w:val="20"/>
          <w:szCs w:val="22"/>
          <w:lang w:val="en-AU"/>
        </w:rPr>
        <w:t xml:space="preserve"> and personalise other details </w:t>
      </w:r>
      <w:r w:rsidR="00D616C3">
        <w:rPr>
          <w:sz w:val="20"/>
          <w:szCs w:val="22"/>
          <w:lang w:val="en-AU"/>
        </w:rPr>
        <w:t>as/</w:t>
      </w:r>
      <w:r w:rsidR="00304753">
        <w:rPr>
          <w:sz w:val="20"/>
          <w:szCs w:val="22"/>
          <w:lang w:val="en-AU"/>
        </w:rPr>
        <w:t>if applicable</w:t>
      </w:r>
      <w:r w:rsidR="00981689">
        <w:rPr>
          <w:sz w:val="20"/>
          <w:szCs w:val="22"/>
          <w:lang w:val="en-AU"/>
        </w:rPr>
        <w:t>.</w:t>
      </w:r>
    </w:p>
    <w:p w14:paraId="4C703464" w14:textId="071A1E60" w:rsidR="003861F1" w:rsidRPr="002A0E92" w:rsidRDefault="00F13ADD" w:rsidP="003E4410">
      <w:pPr>
        <w:pStyle w:val="ListParagraph"/>
        <w:numPr>
          <w:ilvl w:val="0"/>
          <w:numId w:val="21"/>
        </w:numPr>
        <w:ind w:hanging="357"/>
        <w:contextualSpacing w:val="0"/>
        <w:rPr>
          <w:sz w:val="20"/>
          <w:szCs w:val="22"/>
          <w:lang w:val="en-AU"/>
        </w:rPr>
      </w:pPr>
      <w:r w:rsidRPr="002A0E92">
        <w:rPr>
          <w:sz w:val="20"/>
          <w:szCs w:val="22"/>
          <w:lang w:val="en-AU"/>
        </w:rPr>
        <w:t xml:space="preserve">A similar copy, paste, and personalise process can happen with information from </w:t>
      </w:r>
      <w:r w:rsidRPr="00D616C3">
        <w:rPr>
          <w:b/>
          <w:bCs/>
          <w:sz w:val="20"/>
          <w:szCs w:val="22"/>
          <w:lang w:val="en-AU"/>
        </w:rPr>
        <w:t>Page 3 of the child’s Tool Learning Report</w:t>
      </w:r>
      <w:r w:rsidR="00DF68EF" w:rsidRPr="002A0E92">
        <w:rPr>
          <w:sz w:val="20"/>
          <w:szCs w:val="22"/>
          <w:lang w:val="en-AU"/>
        </w:rPr>
        <w:t xml:space="preserve"> </w:t>
      </w:r>
      <w:r w:rsidR="00D90B7A">
        <w:rPr>
          <w:sz w:val="20"/>
          <w:szCs w:val="22"/>
          <w:lang w:val="en-AU"/>
        </w:rPr>
        <w:t xml:space="preserve">to </w:t>
      </w:r>
      <w:r w:rsidR="00DF68EF" w:rsidRPr="002A0E92">
        <w:rPr>
          <w:sz w:val="20"/>
          <w:szCs w:val="22"/>
          <w:lang w:val="en-AU"/>
        </w:rPr>
        <w:t xml:space="preserve">inform the </w:t>
      </w:r>
      <w:r w:rsidR="00DF68EF" w:rsidRPr="00D616C3">
        <w:rPr>
          <w:b/>
          <w:bCs/>
          <w:sz w:val="20"/>
          <w:szCs w:val="22"/>
          <w:lang w:val="en-AU"/>
        </w:rPr>
        <w:t>Intentional Teaching Strategies</w:t>
      </w:r>
      <w:r w:rsidR="00DF68EF" w:rsidRPr="002A0E92">
        <w:rPr>
          <w:sz w:val="20"/>
          <w:szCs w:val="22"/>
          <w:lang w:val="en-AU"/>
        </w:rPr>
        <w:t xml:space="preserve"> column of the TLDS Section 1.1</w:t>
      </w:r>
      <w:r w:rsidR="003861F1" w:rsidRPr="002A0E92">
        <w:rPr>
          <w:sz w:val="20"/>
          <w:szCs w:val="22"/>
          <w:lang w:val="en-AU"/>
        </w:rPr>
        <w:t xml:space="preserve"> (see </w:t>
      </w:r>
      <w:r w:rsidR="00D97898" w:rsidRPr="002A0E92">
        <w:rPr>
          <w:sz w:val="20"/>
          <w:szCs w:val="22"/>
          <w:lang w:val="en-AU"/>
        </w:rPr>
        <w:t>below)</w:t>
      </w:r>
      <w:r w:rsidR="008D6C73">
        <w:rPr>
          <w:sz w:val="20"/>
          <w:szCs w:val="22"/>
          <w:lang w:val="en-AU"/>
        </w:rPr>
        <w:t>.</w:t>
      </w:r>
    </w:p>
    <w:p w14:paraId="7FC63F85" w14:textId="2A4DA351" w:rsidR="00B63F42" w:rsidRPr="002A0E92" w:rsidRDefault="00FF1024" w:rsidP="00B63F42">
      <w:pPr>
        <w:rPr>
          <w:sz w:val="20"/>
          <w:szCs w:val="22"/>
          <w:lang w:val="en-AU"/>
        </w:rPr>
      </w:pPr>
      <w:r w:rsidRPr="002A0E92">
        <w:rPr>
          <w:noProof/>
          <w:sz w:val="20"/>
          <w:szCs w:val="22"/>
          <w:lang w:val="en-AU"/>
        </w:rPr>
        <w:drawing>
          <wp:inline distT="0" distB="0" distL="0" distR="0" wp14:anchorId="7F7F3097" wp14:editId="19328707">
            <wp:extent cx="6116320" cy="967740"/>
            <wp:effectExtent l="0" t="0" r="0" b="3810"/>
            <wp:docPr id="11" name="Picture 1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low confidence"/>
                    <pic:cNvPicPr/>
                  </pic:nvPicPr>
                  <pic:blipFill>
                    <a:blip r:embed="rId10"/>
                    <a:stretch>
                      <a:fillRect/>
                    </a:stretch>
                  </pic:blipFill>
                  <pic:spPr>
                    <a:xfrm>
                      <a:off x="0" y="0"/>
                      <a:ext cx="6116320" cy="967740"/>
                    </a:xfrm>
                    <a:prstGeom prst="rect">
                      <a:avLst/>
                    </a:prstGeom>
                  </pic:spPr>
                </pic:pic>
              </a:graphicData>
            </a:graphic>
          </wp:inline>
        </w:drawing>
      </w:r>
    </w:p>
    <w:p w14:paraId="618A8EAB" w14:textId="0C9E11D0" w:rsidR="00DF68EF" w:rsidRPr="00E135AA" w:rsidRDefault="00DF68EF" w:rsidP="00E135AA">
      <w:pPr>
        <w:spacing w:after="0"/>
        <w:jc w:val="center"/>
        <w:rPr>
          <w:sz w:val="12"/>
          <w:szCs w:val="14"/>
          <w:lang w:val="en-AU"/>
        </w:rPr>
      </w:pPr>
    </w:p>
    <w:p w14:paraId="016D9A49" w14:textId="116E3028" w:rsidR="00DF68EF" w:rsidRPr="00201F82" w:rsidRDefault="008F5DC6" w:rsidP="00E135AA">
      <w:pPr>
        <w:pStyle w:val="ListParagraph"/>
        <w:numPr>
          <w:ilvl w:val="0"/>
          <w:numId w:val="21"/>
        </w:numPr>
        <w:ind w:hanging="357"/>
        <w:contextualSpacing w:val="0"/>
        <w:rPr>
          <w:sz w:val="20"/>
          <w:szCs w:val="22"/>
          <w:lang w:val="en-AU"/>
        </w:rPr>
      </w:pPr>
      <w:r w:rsidRPr="00201F82">
        <w:rPr>
          <w:sz w:val="20"/>
          <w:szCs w:val="22"/>
          <w:lang w:val="en-AU"/>
        </w:rPr>
        <w:lastRenderedPageBreak/>
        <w:t xml:space="preserve">A copy of the child’s </w:t>
      </w:r>
      <w:r w:rsidRPr="00E135AA">
        <w:rPr>
          <w:b/>
          <w:bCs/>
          <w:sz w:val="20"/>
          <w:szCs w:val="22"/>
          <w:lang w:val="en-AU"/>
        </w:rPr>
        <w:t>Learning Report</w:t>
      </w:r>
      <w:r w:rsidRPr="00201F82">
        <w:rPr>
          <w:sz w:val="20"/>
          <w:szCs w:val="22"/>
          <w:lang w:val="en-AU"/>
        </w:rPr>
        <w:t xml:space="preserve"> can also be identified as part of </w:t>
      </w:r>
      <w:r w:rsidRPr="00E135AA">
        <w:rPr>
          <w:b/>
          <w:bCs/>
          <w:sz w:val="20"/>
          <w:szCs w:val="22"/>
          <w:lang w:val="en-AU"/>
        </w:rPr>
        <w:t>Section 1.2</w:t>
      </w:r>
      <w:r w:rsidRPr="00201F82">
        <w:rPr>
          <w:sz w:val="20"/>
          <w:szCs w:val="22"/>
          <w:lang w:val="en-AU"/>
        </w:rPr>
        <w:t xml:space="preserve"> – where teachers may list additional information that is available about a child which may be shared with the child’s Foundation teacher via the Online TLDS with parent/carer permission to do so.</w:t>
      </w:r>
    </w:p>
    <w:p w14:paraId="32226C6F" w14:textId="234135AF" w:rsidR="00A409D1" w:rsidRPr="00E135AA" w:rsidRDefault="00E135AA" w:rsidP="00E135AA">
      <w:pPr>
        <w:ind w:left="363"/>
        <w:rPr>
          <w:sz w:val="20"/>
          <w:szCs w:val="22"/>
          <w:lang w:val="en-AU"/>
        </w:rPr>
      </w:pPr>
      <w:r>
        <w:rPr>
          <w:sz w:val="20"/>
          <w:szCs w:val="22"/>
          <w:lang w:val="en-AU"/>
        </w:rPr>
        <w:t xml:space="preserve">Note: </w:t>
      </w:r>
      <w:r w:rsidR="00A409D1" w:rsidRPr="00E135AA">
        <w:rPr>
          <w:sz w:val="20"/>
          <w:szCs w:val="22"/>
          <w:lang w:val="en-AU"/>
        </w:rPr>
        <w:t>To save time</w:t>
      </w:r>
      <w:r w:rsidR="00981689" w:rsidRPr="00E135AA">
        <w:rPr>
          <w:sz w:val="20"/>
          <w:szCs w:val="22"/>
          <w:lang w:val="en-AU"/>
        </w:rPr>
        <w:t xml:space="preserve"> at Step 3</w:t>
      </w:r>
      <w:r w:rsidR="00A409D1" w:rsidRPr="00E135AA">
        <w:rPr>
          <w:sz w:val="20"/>
          <w:szCs w:val="22"/>
          <w:lang w:val="en-AU"/>
        </w:rPr>
        <w:t xml:space="preserve">, after </w:t>
      </w:r>
      <w:r w:rsidR="00981689" w:rsidRPr="00E135AA">
        <w:rPr>
          <w:sz w:val="20"/>
          <w:szCs w:val="22"/>
          <w:lang w:val="en-AU"/>
        </w:rPr>
        <w:t>a Module</w:t>
      </w:r>
      <w:r w:rsidR="00A409D1" w:rsidRPr="00E135AA">
        <w:rPr>
          <w:sz w:val="20"/>
          <w:szCs w:val="22"/>
          <w:lang w:val="en-AU"/>
        </w:rPr>
        <w:t xml:space="preserve"> ha</w:t>
      </w:r>
      <w:r w:rsidR="00981689" w:rsidRPr="00E135AA">
        <w:rPr>
          <w:sz w:val="20"/>
          <w:szCs w:val="22"/>
          <w:lang w:val="en-AU"/>
        </w:rPr>
        <w:t xml:space="preserve">s </w:t>
      </w:r>
      <w:r w:rsidR="00A409D1" w:rsidRPr="00E135AA">
        <w:rPr>
          <w:sz w:val="20"/>
          <w:szCs w:val="22"/>
          <w:lang w:val="en-AU"/>
        </w:rPr>
        <w:t>been completed for a number of children, you can select ‘all children’</w:t>
      </w:r>
      <w:r w:rsidR="00981689" w:rsidRPr="00E135AA">
        <w:rPr>
          <w:sz w:val="20"/>
          <w:szCs w:val="22"/>
          <w:lang w:val="en-AU"/>
        </w:rPr>
        <w:t xml:space="preserve"> and a report will be generated which contains all of the Learning Reports for that group of children per that Module.</w:t>
      </w:r>
    </w:p>
    <w:p w14:paraId="1F4F24E8" w14:textId="4912BD5D" w:rsidR="00016949" w:rsidRDefault="00791D96" w:rsidP="00016949">
      <w:pPr>
        <w:pStyle w:val="Heading2"/>
        <w:rPr>
          <w:sz w:val="28"/>
          <w:szCs w:val="24"/>
          <w:lang w:val="en-AU"/>
        </w:rPr>
      </w:pPr>
      <w:r>
        <w:rPr>
          <w:sz w:val="28"/>
          <w:szCs w:val="24"/>
          <w:lang w:val="en-AU"/>
        </w:rPr>
        <w:t xml:space="preserve">Sharing the Tool’s </w:t>
      </w:r>
      <w:r w:rsidR="00016949">
        <w:rPr>
          <w:sz w:val="28"/>
          <w:szCs w:val="24"/>
          <w:lang w:val="en-AU"/>
        </w:rPr>
        <w:t xml:space="preserve">Learning Reports </w:t>
      </w:r>
      <w:r>
        <w:rPr>
          <w:sz w:val="28"/>
          <w:szCs w:val="24"/>
          <w:lang w:val="en-AU"/>
        </w:rPr>
        <w:t>with</w:t>
      </w:r>
      <w:r w:rsidR="00016949">
        <w:rPr>
          <w:sz w:val="28"/>
          <w:szCs w:val="24"/>
          <w:lang w:val="en-AU"/>
        </w:rPr>
        <w:t xml:space="preserve"> Foundation/Prep teachers</w:t>
      </w:r>
    </w:p>
    <w:p w14:paraId="55653F1F" w14:textId="77777777" w:rsidR="008450B7" w:rsidRDefault="005B3C31" w:rsidP="00016949">
      <w:r w:rsidRPr="005B3C31">
        <w:t xml:space="preserve">Consistent with current and best practice to support children’s learning and development, teachers and educators may deem it appropriate to share the Learning Reports with Foundation teachers as part of supporting children’s continuity of learning and transition to school. A follow up discussion with a Foundation teacher where relevant is recommended. </w:t>
      </w:r>
    </w:p>
    <w:p w14:paraId="472FB12A" w14:textId="092A091C" w:rsidR="005B3C31" w:rsidRDefault="005B3C31" w:rsidP="00016949">
      <w:pPr>
        <w:rPr>
          <w:lang w:val="en-AU"/>
        </w:rPr>
      </w:pPr>
      <w:r w:rsidRPr="005B3C31">
        <w:t>In these situations, and in line with current practice, they need to seek separate permission from parents and carers prior to sharing the Learning Reports. It is important to ensure parents and carers are made aware of what and when information about their child is shared with another professional prior to this occurring. For related and up to date advice about completing the transition to primary school, including the online TLDS</w:t>
      </w:r>
      <w:r w:rsidR="11A08A71" w:rsidRPr="005B3C31">
        <w:t>,</w:t>
      </w:r>
      <w:r w:rsidRPr="005B3C31">
        <w:t xml:space="preserve"> please visit the Department’s website at: </w:t>
      </w:r>
      <w:r w:rsidR="008450B7" w:rsidRPr="008450B7">
        <w:t>https://www.vic.gov.au/moving-primary-school</w:t>
      </w:r>
      <w:r w:rsidR="008450B7">
        <w:t>.</w:t>
      </w:r>
    </w:p>
    <w:p w14:paraId="25A5F5B3" w14:textId="77777777" w:rsidR="00791D96" w:rsidRPr="00D351CD" w:rsidRDefault="00791D96" w:rsidP="00791D96">
      <w:pPr>
        <w:spacing w:line="259" w:lineRule="auto"/>
      </w:pPr>
      <w:r w:rsidRPr="00B26D40">
        <w:t xml:space="preserve">Appropriate and safe information sharing ensures that Victorian education and care </w:t>
      </w:r>
      <w:r w:rsidRPr="00D351CD">
        <w:t>professionals have the knowledge and information needed to promote and respond to child wellbeing or safety needs and risks.  Information about child</w:t>
      </w:r>
      <w:r>
        <w:t>ren</w:t>
      </w:r>
      <w:r w:rsidRPr="00B26D40">
        <w:t xml:space="preserve"> and famil</w:t>
      </w:r>
      <w:r>
        <w:t>ies</w:t>
      </w:r>
      <w:r w:rsidRPr="00B26D40">
        <w:t xml:space="preserve"> may be shared as required, including where sharing is necessary for the early childhood service to meet its duty of care, anti-discrimination, occupational health and safety and child wellbeing and safety obligations. For more information, visit </w:t>
      </w:r>
      <w:hyperlink r:id="rId11" w:history="1">
        <w:r w:rsidRPr="00D351CD">
          <w:rPr>
            <w:rStyle w:val="Hyperlink"/>
          </w:rPr>
          <w:t>https://www.vic.gov.au/information-sharing-schemes-and-the-maram-framework</w:t>
        </w:r>
      </w:hyperlink>
      <w:r w:rsidRPr="00B26D40">
        <w:t xml:space="preserve">. </w:t>
      </w:r>
    </w:p>
    <w:p w14:paraId="6047F5CC" w14:textId="371AE58E" w:rsidR="0001263B" w:rsidRPr="002A0E92" w:rsidRDefault="004B2413" w:rsidP="0001263B">
      <w:pPr>
        <w:pStyle w:val="Heading2"/>
        <w:rPr>
          <w:sz w:val="28"/>
          <w:szCs w:val="24"/>
          <w:lang w:val="en-AU"/>
        </w:rPr>
      </w:pPr>
      <w:r>
        <w:rPr>
          <w:sz w:val="28"/>
          <w:szCs w:val="24"/>
          <w:lang w:val="en-AU"/>
        </w:rPr>
        <w:t>Future plans to integrate TLDS and the Tool</w:t>
      </w:r>
    </w:p>
    <w:p w14:paraId="43AD733E" w14:textId="7E032F7C" w:rsidR="0001263B" w:rsidRDefault="004B2413" w:rsidP="0001263B">
      <w:pPr>
        <w:rPr>
          <w:sz w:val="20"/>
          <w:szCs w:val="22"/>
          <w:lang w:val="en-AU"/>
        </w:rPr>
      </w:pPr>
      <w:r>
        <w:rPr>
          <w:sz w:val="20"/>
          <w:szCs w:val="22"/>
          <w:lang w:val="en-AU"/>
        </w:rPr>
        <w:t>The</w:t>
      </w:r>
      <w:r w:rsidR="0001263B">
        <w:rPr>
          <w:sz w:val="20"/>
          <w:szCs w:val="22"/>
          <w:lang w:val="en-AU"/>
        </w:rPr>
        <w:t xml:space="preserve"> department is working to integrate</w:t>
      </w:r>
      <w:r w:rsidR="009203EC">
        <w:rPr>
          <w:sz w:val="20"/>
          <w:szCs w:val="22"/>
          <w:lang w:val="en-AU"/>
        </w:rPr>
        <w:t xml:space="preserve"> the</w:t>
      </w:r>
      <w:r w:rsidR="0001263B">
        <w:rPr>
          <w:sz w:val="20"/>
          <w:szCs w:val="22"/>
          <w:lang w:val="en-AU"/>
        </w:rPr>
        <w:t xml:space="preserve"> online TLDS with </w:t>
      </w:r>
      <w:r w:rsidR="0001263B" w:rsidRPr="00DF5070">
        <w:rPr>
          <w:sz w:val="20"/>
          <w:szCs w:val="20"/>
          <w:lang w:val="en-AU"/>
        </w:rPr>
        <w:t>th</w:t>
      </w:r>
      <w:r w:rsidR="11A08A71" w:rsidRPr="00DF5070">
        <w:rPr>
          <w:sz w:val="20"/>
          <w:szCs w:val="20"/>
          <w:lang w:val="en-AU"/>
        </w:rPr>
        <w:t xml:space="preserve">e </w:t>
      </w:r>
      <w:r w:rsidR="009203EC">
        <w:rPr>
          <w:sz w:val="20"/>
          <w:szCs w:val="22"/>
          <w:lang w:val="en-AU"/>
        </w:rPr>
        <w:t>Tool</w:t>
      </w:r>
      <w:r w:rsidR="0001263B">
        <w:rPr>
          <w:sz w:val="20"/>
          <w:szCs w:val="22"/>
          <w:lang w:val="en-AU"/>
        </w:rPr>
        <w:t xml:space="preserve">, which will </w:t>
      </w:r>
      <w:r w:rsidR="009203EC">
        <w:rPr>
          <w:sz w:val="20"/>
          <w:szCs w:val="22"/>
          <w:lang w:val="en-AU"/>
        </w:rPr>
        <w:t xml:space="preserve">aim to </w:t>
      </w:r>
      <w:r w:rsidR="0001263B">
        <w:rPr>
          <w:sz w:val="20"/>
          <w:szCs w:val="22"/>
          <w:lang w:val="en-AU"/>
        </w:rPr>
        <w:t>further reduce the time to complete the TLDS for kindergarten teachers.</w:t>
      </w:r>
    </w:p>
    <w:p w14:paraId="6E12F2CB" w14:textId="1C3F82E9" w:rsidR="008F5DC6" w:rsidRPr="002A0E92" w:rsidRDefault="008F5DC6" w:rsidP="008F5DC6">
      <w:pPr>
        <w:pStyle w:val="Heading2"/>
        <w:rPr>
          <w:sz w:val="28"/>
          <w:szCs w:val="24"/>
          <w:lang w:val="en-AU"/>
        </w:rPr>
      </w:pPr>
      <w:r w:rsidRPr="002A0E92">
        <w:rPr>
          <w:sz w:val="28"/>
          <w:szCs w:val="24"/>
          <w:lang w:val="en-AU"/>
        </w:rPr>
        <w:t>Further resources</w:t>
      </w:r>
    </w:p>
    <w:p w14:paraId="29FF898E" w14:textId="6E5C40F6" w:rsidR="00F9170A" w:rsidRPr="00F9170A" w:rsidRDefault="00000000" w:rsidP="00F9170A">
      <w:pPr>
        <w:pStyle w:val="ListParagraph"/>
        <w:numPr>
          <w:ilvl w:val="0"/>
          <w:numId w:val="20"/>
        </w:numPr>
        <w:rPr>
          <w:sz w:val="20"/>
          <w:szCs w:val="20"/>
          <w:lang w:val="en-AU"/>
        </w:rPr>
      </w:pPr>
      <w:hyperlink r:id="rId12" w:history="1">
        <w:r w:rsidR="00F9170A" w:rsidRPr="00F9170A">
          <w:rPr>
            <w:rStyle w:val="Hyperlink"/>
            <w:sz w:val="20"/>
            <w:szCs w:val="20"/>
          </w:rPr>
          <w:t>Early Years Assessment and Learning Tool | Victorian Government (www.vic.gov.au)</w:t>
        </w:r>
      </w:hyperlink>
    </w:p>
    <w:p w14:paraId="62086A22" w14:textId="3DF2DFA6" w:rsidR="00F9170A" w:rsidRPr="00F9170A" w:rsidRDefault="00F9170A" w:rsidP="00F9170A">
      <w:pPr>
        <w:pStyle w:val="ListParagraph"/>
        <w:numPr>
          <w:ilvl w:val="0"/>
          <w:numId w:val="20"/>
        </w:numPr>
        <w:rPr>
          <w:sz w:val="20"/>
          <w:szCs w:val="20"/>
          <w:lang w:val="en-AU"/>
        </w:rPr>
      </w:pPr>
      <w:r w:rsidRPr="00F9170A">
        <w:rPr>
          <w:sz w:val="20"/>
          <w:szCs w:val="20"/>
        </w:rPr>
        <w:t xml:space="preserve">The </w:t>
      </w:r>
      <w:hyperlink r:id="rId13" w:history="1">
        <w:r w:rsidRPr="00E135AA">
          <w:rPr>
            <w:rStyle w:val="Hyperlink"/>
            <w:sz w:val="20"/>
            <w:szCs w:val="20"/>
          </w:rPr>
          <w:t>Early Years Assessment and Learning Tool</w:t>
        </w:r>
      </w:hyperlink>
      <w:r w:rsidRPr="00F9170A">
        <w:rPr>
          <w:sz w:val="20"/>
          <w:szCs w:val="20"/>
        </w:rPr>
        <w:t xml:space="preserve"> – User Handbook and other supporting resources (located under Guidance materials in the Tool)</w:t>
      </w:r>
    </w:p>
    <w:p w14:paraId="5CB57D61" w14:textId="77777777" w:rsidR="00E135AA" w:rsidRPr="00F9170A" w:rsidRDefault="00000000" w:rsidP="00E135AA">
      <w:pPr>
        <w:pStyle w:val="ListParagraph"/>
        <w:numPr>
          <w:ilvl w:val="0"/>
          <w:numId w:val="20"/>
        </w:numPr>
        <w:rPr>
          <w:sz w:val="20"/>
          <w:szCs w:val="20"/>
          <w:lang w:val="en-AU"/>
        </w:rPr>
      </w:pPr>
      <w:hyperlink r:id="rId14" w:history="1">
        <w:r w:rsidR="00E135AA" w:rsidRPr="00F9170A">
          <w:rPr>
            <w:rStyle w:val="Hyperlink"/>
            <w:sz w:val="20"/>
            <w:szCs w:val="20"/>
          </w:rPr>
          <w:t>Transition to school resource kit | Victorian Government (www.vic.gov.au)</w:t>
        </w:r>
      </w:hyperlink>
    </w:p>
    <w:p w14:paraId="35A75EF6" w14:textId="6425744C" w:rsidR="008F5DC6" w:rsidRPr="00427BC8" w:rsidRDefault="00000000" w:rsidP="00F9170A">
      <w:pPr>
        <w:pStyle w:val="ListParagraph"/>
        <w:numPr>
          <w:ilvl w:val="0"/>
          <w:numId w:val="20"/>
        </w:numPr>
        <w:rPr>
          <w:rStyle w:val="Hyperlink"/>
          <w:color w:val="auto"/>
          <w:sz w:val="20"/>
          <w:szCs w:val="20"/>
          <w:u w:val="none"/>
          <w:lang w:val="en-AU"/>
        </w:rPr>
      </w:pPr>
      <w:hyperlink w:history="1">
        <w:r w:rsidR="00F9170A" w:rsidRPr="00F9170A">
          <w:rPr>
            <w:rStyle w:val="Hyperlink"/>
            <w:sz w:val="20"/>
            <w:szCs w:val="20"/>
          </w:rPr>
          <w:t>Victorian Early Years Learning and Development Framework (VEYLDF) | Victorian Government (www.vic.gov.au)</w:t>
        </w:r>
      </w:hyperlink>
    </w:p>
    <w:p w14:paraId="765B57B2" w14:textId="62985A06" w:rsidR="00016949" w:rsidRPr="00016949" w:rsidRDefault="00000000" w:rsidP="00F9170A">
      <w:pPr>
        <w:pStyle w:val="ListParagraph"/>
        <w:numPr>
          <w:ilvl w:val="0"/>
          <w:numId w:val="20"/>
        </w:numPr>
        <w:rPr>
          <w:sz w:val="20"/>
          <w:szCs w:val="20"/>
          <w:lang w:val="en-AU"/>
        </w:rPr>
      </w:pPr>
      <w:hyperlink r:id="rId15" w:history="1">
        <w:r w:rsidR="00016949" w:rsidRPr="00DF5070">
          <w:rPr>
            <w:rStyle w:val="Hyperlink"/>
            <w:sz w:val="20"/>
            <w:szCs w:val="20"/>
          </w:rPr>
          <w:t>Complete an online Transition Learning and Development Statement | Victorian Government (www.vic.gov.au)</w:t>
        </w:r>
      </w:hyperlink>
    </w:p>
    <w:p w14:paraId="4C32561F" w14:textId="646AF58F" w:rsidR="00427BC8" w:rsidRPr="00F9170A" w:rsidRDefault="00000000" w:rsidP="00F9170A">
      <w:pPr>
        <w:pStyle w:val="ListParagraph"/>
        <w:numPr>
          <w:ilvl w:val="0"/>
          <w:numId w:val="20"/>
        </w:numPr>
        <w:rPr>
          <w:sz w:val="20"/>
          <w:szCs w:val="20"/>
          <w:lang w:val="en-AU"/>
        </w:rPr>
      </w:pPr>
      <w:hyperlink r:id="rId16" w:history="1">
        <w:r w:rsidR="00427BC8" w:rsidRPr="00DF5070">
          <w:rPr>
            <w:rStyle w:val="Hyperlink"/>
            <w:sz w:val="20"/>
            <w:szCs w:val="20"/>
          </w:rPr>
          <w:t>TLDS – Kindergarten IT Program</w:t>
        </w:r>
      </w:hyperlink>
      <w:r w:rsidR="00427BC8" w:rsidRPr="00DF5070">
        <w:rPr>
          <w:sz w:val="20"/>
          <w:szCs w:val="20"/>
        </w:rPr>
        <w:t xml:space="preserve"> - support page for the Online Transition Learning and Development Statement</w:t>
      </w:r>
    </w:p>
    <w:p w14:paraId="3950F060" w14:textId="0B759AF1" w:rsidR="00122369" w:rsidRPr="002A0E92" w:rsidRDefault="00122369" w:rsidP="00C975F7">
      <w:pPr>
        <w:pStyle w:val="Copyrighttext"/>
        <w:rPr>
          <w:rFonts w:cstheme="minorHAnsi"/>
          <w:sz w:val="10"/>
          <w:szCs w:val="10"/>
        </w:rPr>
      </w:pPr>
    </w:p>
    <w:sectPr w:rsidR="00122369" w:rsidRPr="002A0E92" w:rsidSect="00DF5070">
      <w:headerReference w:type="default" r:id="rId17"/>
      <w:footerReference w:type="even" r:id="rId18"/>
      <w:footerReference w:type="default" r:id="rId19"/>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50A0" w14:textId="77777777" w:rsidR="00FE54FF" w:rsidRDefault="00FE54FF" w:rsidP="003967DD">
      <w:pPr>
        <w:spacing w:after="0"/>
      </w:pPr>
      <w:r>
        <w:separator/>
      </w:r>
    </w:p>
  </w:endnote>
  <w:endnote w:type="continuationSeparator" w:id="0">
    <w:p w14:paraId="63D808ED" w14:textId="77777777" w:rsidR="00FE54FF" w:rsidRDefault="00FE54FF" w:rsidP="003967DD">
      <w:pPr>
        <w:spacing w:after="0"/>
      </w:pPr>
      <w:r>
        <w:continuationSeparator/>
      </w:r>
    </w:p>
  </w:endnote>
  <w:endnote w:type="continuationNotice" w:id="1">
    <w:p w14:paraId="059DC846" w14:textId="77777777" w:rsidR="00FE54FF" w:rsidRDefault="00FE54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860850777"/>
      <w:docPartObj>
        <w:docPartGallery w:val="Page Numbers (Bottom of Page)"/>
        <w:docPartUnique/>
      </w:docPartObj>
    </w:sdtPr>
    <w:sdtEndPr>
      <w:rPr>
        <w:noProof/>
      </w:rPr>
    </w:sdtEndPr>
    <w:sdtContent>
      <w:p w14:paraId="2107E601" w14:textId="64A0B471" w:rsidR="008F5DC6" w:rsidRPr="008F5DC6" w:rsidRDefault="008F5DC6" w:rsidP="008F5DC6">
        <w:pPr>
          <w:pStyle w:val="Copyrighttext"/>
        </w:pPr>
        <w:r w:rsidRPr="001105FA">
          <w:t>© State of Victoria (Department of Education</w:t>
        </w:r>
        <w:r w:rsidRPr="008F5DC6">
          <w:t>) 2023.</w:t>
        </w:r>
        <w:r>
          <w:t xml:space="preserve"> </w:t>
        </w:r>
        <w:r w:rsidRPr="00E34721">
          <w:rPr>
            <w:rFonts w:cstheme="minorHAnsi"/>
            <w:color w:val="000000"/>
          </w:rPr>
          <w:t>Except where otherwise </w:t>
        </w:r>
        <w:hyperlink r:id="rId1" w:history="1">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br/>
        </w:r>
        <w:r w:rsidRPr="00E34721">
          <w:rPr>
            <w:rFonts w:cstheme="minorHAnsi"/>
            <w:color w:val="000000"/>
          </w:rPr>
          <w:t> </w:t>
        </w:r>
        <w:hyperlink r:id="rId2" w:history="1">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r:id="rId3" w:history="1">
          <w:r w:rsidRPr="00E34721">
            <w:rPr>
              <w:rStyle w:val="Hyperlink"/>
              <w:rFonts w:cstheme="minorHAnsi"/>
            </w:rPr>
            <w:t>copyright notice </w:t>
          </w:r>
        </w:hyperlink>
      </w:p>
      <w:p w14:paraId="4C65AFD0" w14:textId="470F672A" w:rsidR="008F5DC6" w:rsidRDefault="008F5D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11EF" w14:textId="77777777" w:rsidR="00FE54FF" w:rsidRDefault="00FE54FF" w:rsidP="003967DD">
      <w:pPr>
        <w:spacing w:after="0"/>
      </w:pPr>
      <w:r>
        <w:separator/>
      </w:r>
    </w:p>
  </w:footnote>
  <w:footnote w:type="continuationSeparator" w:id="0">
    <w:p w14:paraId="681605FC" w14:textId="77777777" w:rsidR="00FE54FF" w:rsidRDefault="00FE54FF" w:rsidP="003967DD">
      <w:pPr>
        <w:spacing w:after="0"/>
      </w:pPr>
      <w:r>
        <w:continuationSeparator/>
      </w:r>
    </w:p>
  </w:footnote>
  <w:footnote w:type="continuationNotice" w:id="1">
    <w:p w14:paraId="36F29030" w14:textId="77777777" w:rsidR="00FE54FF" w:rsidRDefault="00FE54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344792"/>
    <w:multiLevelType w:val="hybridMultilevel"/>
    <w:tmpl w:val="4D18DFF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3D7CFE"/>
    <w:multiLevelType w:val="hybridMultilevel"/>
    <w:tmpl w:val="E8BE73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FC235A"/>
    <w:multiLevelType w:val="hybridMultilevel"/>
    <w:tmpl w:val="E65CEB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637BA"/>
    <w:multiLevelType w:val="hybridMultilevel"/>
    <w:tmpl w:val="38F43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C806BC"/>
    <w:multiLevelType w:val="hybridMultilevel"/>
    <w:tmpl w:val="3168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583359"/>
    <w:multiLevelType w:val="hybridMultilevel"/>
    <w:tmpl w:val="24869C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75347"/>
    <w:multiLevelType w:val="hybridMultilevel"/>
    <w:tmpl w:val="8D241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AC08F2"/>
    <w:multiLevelType w:val="hybridMultilevel"/>
    <w:tmpl w:val="29BA0FD2"/>
    <w:lvl w:ilvl="0" w:tplc="31D642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7"/>
  </w:num>
  <w:num w:numId="13" w16cid:durableId="1838034210">
    <w:abstractNumId w:val="21"/>
  </w:num>
  <w:num w:numId="14" w16cid:durableId="1297906892">
    <w:abstractNumId w:val="22"/>
  </w:num>
  <w:num w:numId="15" w16cid:durableId="1309285767">
    <w:abstractNumId w:val="14"/>
  </w:num>
  <w:num w:numId="16" w16cid:durableId="1078794174">
    <w:abstractNumId w:val="18"/>
  </w:num>
  <w:num w:numId="17" w16cid:durableId="1611740289">
    <w:abstractNumId w:val="16"/>
  </w:num>
  <w:num w:numId="18" w16cid:durableId="1477379092">
    <w:abstractNumId w:val="11"/>
  </w:num>
  <w:num w:numId="19" w16cid:durableId="770051261">
    <w:abstractNumId w:val="19"/>
  </w:num>
  <w:num w:numId="20" w16cid:durableId="1538010931">
    <w:abstractNumId w:val="13"/>
  </w:num>
  <w:num w:numId="21" w16cid:durableId="543296637">
    <w:abstractNumId w:val="12"/>
  </w:num>
  <w:num w:numId="22" w16cid:durableId="1217162723">
    <w:abstractNumId w:val="20"/>
  </w:num>
  <w:num w:numId="23" w16cid:durableId="1079055276">
    <w:abstractNumId w:val="24"/>
  </w:num>
  <w:num w:numId="24" w16cid:durableId="1128209667">
    <w:abstractNumId w:val="15"/>
  </w:num>
  <w:num w:numId="25" w16cid:durableId="5188132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263B"/>
    <w:rsid w:val="00013339"/>
    <w:rsid w:val="00016949"/>
    <w:rsid w:val="000256E2"/>
    <w:rsid w:val="00047E06"/>
    <w:rsid w:val="000630EE"/>
    <w:rsid w:val="00080DA9"/>
    <w:rsid w:val="0008585E"/>
    <w:rsid w:val="000861DD"/>
    <w:rsid w:val="00095B24"/>
    <w:rsid w:val="0009613B"/>
    <w:rsid w:val="000A47D4"/>
    <w:rsid w:val="000C208B"/>
    <w:rsid w:val="000C600E"/>
    <w:rsid w:val="00112AFF"/>
    <w:rsid w:val="00114D27"/>
    <w:rsid w:val="001218D5"/>
    <w:rsid w:val="00122274"/>
    <w:rsid w:val="00122369"/>
    <w:rsid w:val="00147E17"/>
    <w:rsid w:val="00150E0F"/>
    <w:rsid w:val="00157212"/>
    <w:rsid w:val="0016287D"/>
    <w:rsid w:val="001812F8"/>
    <w:rsid w:val="001A43E0"/>
    <w:rsid w:val="001D0D94"/>
    <w:rsid w:val="001D13F9"/>
    <w:rsid w:val="001D1DE4"/>
    <w:rsid w:val="001F39DD"/>
    <w:rsid w:val="00201F82"/>
    <w:rsid w:val="00207774"/>
    <w:rsid w:val="00246B8F"/>
    <w:rsid w:val="002512BE"/>
    <w:rsid w:val="0026310E"/>
    <w:rsid w:val="00275FB8"/>
    <w:rsid w:val="002978C6"/>
    <w:rsid w:val="002A0E92"/>
    <w:rsid w:val="002A4A96"/>
    <w:rsid w:val="002B573A"/>
    <w:rsid w:val="002D2BE6"/>
    <w:rsid w:val="002E21A7"/>
    <w:rsid w:val="002E3BED"/>
    <w:rsid w:val="002F6115"/>
    <w:rsid w:val="00304753"/>
    <w:rsid w:val="00312720"/>
    <w:rsid w:val="00321A01"/>
    <w:rsid w:val="00333DCC"/>
    <w:rsid w:val="00343AFC"/>
    <w:rsid w:val="0034745C"/>
    <w:rsid w:val="003737B8"/>
    <w:rsid w:val="003861F1"/>
    <w:rsid w:val="003967DD"/>
    <w:rsid w:val="003A4C39"/>
    <w:rsid w:val="003C5867"/>
    <w:rsid w:val="003E1E67"/>
    <w:rsid w:val="003E4410"/>
    <w:rsid w:val="00422429"/>
    <w:rsid w:val="0042333B"/>
    <w:rsid w:val="00427BC8"/>
    <w:rsid w:val="00435175"/>
    <w:rsid w:val="00455B93"/>
    <w:rsid w:val="004B2413"/>
    <w:rsid w:val="004B2ED6"/>
    <w:rsid w:val="004C3881"/>
    <w:rsid w:val="004D2184"/>
    <w:rsid w:val="004F01D5"/>
    <w:rsid w:val="00500ADA"/>
    <w:rsid w:val="00512BBA"/>
    <w:rsid w:val="00522ECB"/>
    <w:rsid w:val="0055339E"/>
    <w:rsid w:val="00555277"/>
    <w:rsid w:val="00567CF0"/>
    <w:rsid w:val="005837FE"/>
    <w:rsid w:val="00584366"/>
    <w:rsid w:val="005A4F12"/>
    <w:rsid w:val="005B3C31"/>
    <w:rsid w:val="005C05E6"/>
    <w:rsid w:val="005C4A1B"/>
    <w:rsid w:val="005C79FE"/>
    <w:rsid w:val="005E0713"/>
    <w:rsid w:val="0062438E"/>
    <w:rsid w:val="00624A55"/>
    <w:rsid w:val="00634E3C"/>
    <w:rsid w:val="006671CE"/>
    <w:rsid w:val="0068185E"/>
    <w:rsid w:val="006A1F8A"/>
    <w:rsid w:val="006A25AC"/>
    <w:rsid w:val="006C45C0"/>
    <w:rsid w:val="006E2B9A"/>
    <w:rsid w:val="00702F6A"/>
    <w:rsid w:val="00710CED"/>
    <w:rsid w:val="00735566"/>
    <w:rsid w:val="0074637B"/>
    <w:rsid w:val="00753A0B"/>
    <w:rsid w:val="00767573"/>
    <w:rsid w:val="00791D96"/>
    <w:rsid w:val="007957E1"/>
    <w:rsid w:val="007B556E"/>
    <w:rsid w:val="007D0CE5"/>
    <w:rsid w:val="007D3E38"/>
    <w:rsid w:val="007F2319"/>
    <w:rsid w:val="00804571"/>
    <w:rsid w:val="008065DA"/>
    <w:rsid w:val="00837A67"/>
    <w:rsid w:val="008405D1"/>
    <w:rsid w:val="008450B7"/>
    <w:rsid w:val="00855DD0"/>
    <w:rsid w:val="0088474D"/>
    <w:rsid w:val="008900E9"/>
    <w:rsid w:val="00890680"/>
    <w:rsid w:val="00892E24"/>
    <w:rsid w:val="008A43AF"/>
    <w:rsid w:val="008B1737"/>
    <w:rsid w:val="008B6878"/>
    <w:rsid w:val="008D6C73"/>
    <w:rsid w:val="008D78DB"/>
    <w:rsid w:val="008E54E3"/>
    <w:rsid w:val="008F3D35"/>
    <w:rsid w:val="008F5DC6"/>
    <w:rsid w:val="00906682"/>
    <w:rsid w:val="009203EC"/>
    <w:rsid w:val="009417F4"/>
    <w:rsid w:val="00946DA8"/>
    <w:rsid w:val="00952690"/>
    <w:rsid w:val="00973590"/>
    <w:rsid w:val="009772AD"/>
    <w:rsid w:val="00981689"/>
    <w:rsid w:val="00993867"/>
    <w:rsid w:val="00997404"/>
    <w:rsid w:val="009C0934"/>
    <w:rsid w:val="009D13EF"/>
    <w:rsid w:val="009D6F82"/>
    <w:rsid w:val="009F4C67"/>
    <w:rsid w:val="009F6A77"/>
    <w:rsid w:val="00A263C7"/>
    <w:rsid w:val="00A31926"/>
    <w:rsid w:val="00A409D1"/>
    <w:rsid w:val="00A710DF"/>
    <w:rsid w:val="00A7180E"/>
    <w:rsid w:val="00AF68AB"/>
    <w:rsid w:val="00B21562"/>
    <w:rsid w:val="00B40F04"/>
    <w:rsid w:val="00B63F42"/>
    <w:rsid w:val="00B66DF6"/>
    <w:rsid w:val="00BA12B6"/>
    <w:rsid w:val="00BE2752"/>
    <w:rsid w:val="00BE6DC5"/>
    <w:rsid w:val="00C02749"/>
    <w:rsid w:val="00C07336"/>
    <w:rsid w:val="00C539BB"/>
    <w:rsid w:val="00C77FE6"/>
    <w:rsid w:val="00C975F7"/>
    <w:rsid w:val="00CC112D"/>
    <w:rsid w:val="00CC5AA8"/>
    <w:rsid w:val="00CD5993"/>
    <w:rsid w:val="00CD7D71"/>
    <w:rsid w:val="00D14311"/>
    <w:rsid w:val="00D379B7"/>
    <w:rsid w:val="00D616C3"/>
    <w:rsid w:val="00D90B7A"/>
    <w:rsid w:val="00D9777A"/>
    <w:rsid w:val="00D97898"/>
    <w:rsid w:val="00DC4D0D"/>
    <w:rsid w:val="00DD20FC"/>
    <w:rsid w:val="00DF5070"/>
    <w:rsid w:val="00DF68EF"/>
    <w:rsid w:val="00E0569D"/>
    <w:rsid w:val="00E135AA"/>
    <w:rsid w:val="00E34263"/>
    <w:rsid w:val="00E34721"/>
    <w:rsid w:val="00E4317E"/>
    <w:rsid w:val="00E46E7B"/>
    <w:rsid w:val="00E5030B"/>
    <w:rsid w:val="00E53775"/>
    <w:rsid w:val="00E56210"/>
    <w:rsid w:val="00E6222E"/>
    <w:rsid w:val="00E630AF"/>
    <w:rsid w:val="00E64758"/>
    <w:rsid w:val="00E77EB9"/>
    <w:rsid w:val="00EC1950"/>
    <w:rsid w:val="00EE12F6"/>
    <w:rsid w:val="00F05099"/>
    <w:rsid w:val="00F13ADD"/>
    <w:rsid w:val="00F5271F"/>
    <w:rsid w:val="00F9170A"/>
    <w:rsid w:val="00F94715"/>
    <w:rsid w:val="00FA47DB"/>
    <w:rsid w:val="00FB5B63"/>
    <w:rsid w:val="00FE54FF"/>
    <w:rsid w:val="00FF1024"/>
    <w:rsid w:val="11A08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B63F42"/>
    <w:pPr>
      <w:ind w:left="720"/>
      <w:contextualSpacing/>
    </w:pPr>
  </w:style>
  <w:style w:type="character" w:styleId="CommentReference">
    <w:name w:val="annotation reference"/>
    <w:basedOn w:val="DefaultParagraphFont"/>
    <w:uiPriority w:val="99"/>
    <w:semiHidden/>
    <w:unhideWhenUsed/>
    <w:rsid w:val="008F5DC6"/>
    <w:rPr>
      <w:sz w:val="16"/>
      <w:szCs w:val="16"/>
    </w:rPr>
  </w:style>
  <w:style w:type="paragraph" w:styleId="CommentText">
    <w:name w:val="annotation text"/>
    <w:basedOn w:val="Normal"/>
    <w:link w:val="CommentTextChar"/>
    <w:uiPriority w:val="99"/>
    <w:unhideWhenUsed/>
    <w:rsid w:val="008F5DC6"/>
    <w:rPr>
      <w:sz w:val="20"/>
      <w:szCs w:val="20"/>
    </w:rPr>
  </w:style>
  <w:style w:type="character" w:customStyle="1" w:styleId="CommentTextChar">
    <w:name w:val="Comment Text Char"/>
    <w:basedOn w:val="DefaultParagraphFont"/>
    <w:link w:val="CommentText"/>
    <w:uiPriority w:val="99"/>
    <w:rsid w:val="008F5DC6"/>
    <w:rPr>
      <w:sz w:val="20"/>
      <w:szCs w:val="20"/>
    </w:rPr>
  </w:style>
  <w:style w:type="paragraph" w:styleId="CommentSubject">
    <w:name w:val="annotation subject"/>
    <w:basedOn w:val="CommentText"/>
    <w:next w:val="CommentText"/>
    <w:link w:val="CommentSubjectChar"/>
    <w:uiPriority w:val="99"/>
    <w:semiHidden/>
    <w:unhideWhenUsed/>
    <w:rsid w:val="008F5DC6"/>
    <w:rPr>
      <w:b/>
      <w:bCs/>
    </w:rPr>
  </w:style>
  <w:style w:type="character" w:customStyle="1" w:styleId="CommentSubjectChar">
    <w:name w:val="Comment Subject Char"/>
    <w:basedOn w:val="CommentTextChar"/>
    <w:link w:val="CommentSubject"/>
    <w:uiPriority w:val="99"/>
    <w:semiHidden/>
    <w:rsid w:val="008F5DC6"/>
    <w:rPr>
      <w:b/>
      <w:bCs/>
      <w:sz w:val="20"/>
      <w:szCs w:val="20"/>
    </w:rPr>
  </w:style>
  <w:style w:type="paragraph" w:styleId="Revision">
    <w:name w:val="Revision"/>
    <w:hidden/>
    <w:uiPriority w:val="99"/>
    <w:semiHidden/>
    <w:rsid w:val="00112AFF"/>
    <w:rPr>
      <w:sz w:val="22"/>
    </w:rPr>
  </w:style>
  <w:style w:type="character" w:styleId="Emphasis">
    <w:name w:val="Emphasis"/>
    <w:basedOn w:val="DefaultParagraphFont"/>
    <w:uiPriority w:val="20"/>
    <w:qFormat/>
    <w:rsid w:val="005C0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0037251">
      <w:bodyDiv w:val="1"/>
      <w:marLeft w:val="0"/>
      <w:marRight w:val="0"/>
      <w:marTop w:val="0"/>
      <w:marBottom w:val="0"/>
      <w:divBdr>
        <w:top w:val="none" w:sz="0" w:space="0" w:color="auto"/>
        <w:left w:val="none" w:sz="0" w:space="0" w:color="auto"/>
        <w:bottom w:val="none" w:sz="0" w:space="0" w:color="auto"/>
        <w:right w:val="none" w:sz="0" w:space="0" w:color="auto"/>
      </w:divBdr>
      <w:divsChild>
        <w:div w:id="776679970">
          <w:marLeft w:val="0"/>
          <w:marRight w:val="0"/>
          <w:marTop w:val="0"/>
          <w:marBottom w:val="0"/>
          <w:divBdr>
            <w:top w:val="none" w:sz="0" w:space="0" w:color="auto"/>
            <w:left w:val="none" w:sz="0" w:space="0" w:color="auto"/>
            <w:bottom w:val="none" w:sz="0" w:space="0" w:color="auto"/>
            <w:right w:val="none" w:sz="0" w:space="0" w:color="auto"/>
          </w:divBdr>
        </w:div>
        <w:div w:id="1201356678">
          <w:marLeft w:val="0"/>
          <w:marRight w:val="0"/>
          <w:marTop w:val="0"/>
          <w:marBottom w:val="0"/>
          <w:divBdr>
            <w:top w:val="none" w:sz="0" w:space="0" w:color="auto"/>
            <w:left w:val="none" w:sz="0" w:space="0" w:color="auto"/>
            <w:bottom w:val="none" w:sz="0" w:space="0" w:color="auto"/>
            <w:right w:val="none" w:sz="0" w:space="0" w:color="auto"/>
          </w:divBdr>
        </w:div>
        <w:div w:id="502740504">
          <w:marLeft w:val="0"/>
          <w:marRight w:val="0"/>
          <w:marTop w:val="0"/>
          <w:marBottom w:val="0"/>
          <w:divBdr>
            <w:top w:val="none" w:sz="0" w:space="0" w:color="auto"/>
            <w:left w:val="none" w:sz="0" w:space="0" w:color="auto"/>
            <w:bottom w:val="none" w:sz="0" w:space="0" w:color="auto"/>
            <w:right w:val="none" w:sz="0" w:space="0" w:color="auto"/>
          </w:divBdr>
        </w:div>
        <w:div w:id="1832062981">
          <w:marLeft w:val="0"/>
          <w:marRight w:val="0"/>
          <w:marTop w:val="0"/>
          <w:marBottom w:val="0"/>
          <w:divBdr>
            <w:top w:val="none" w:sz="0" w:space="0" w:color="auto"/>
            <w:left w:val="none" w:sz="0" w:space="0" w:color="auto"/>
            <w:bottom w:val="none" w:sz="0" w:space="0" w:color="auto"/>
            <w:right w:val="none" w:sz="0" w:space="0" w:color="auto"/>
          </w:divBdr>
        </w:div>
        <w:div w:id="909844702">
          <w:marLeft w:val="0"/>
          <w:marRight w:val="0"/>
          <w:marTop w:val="0"/>
          <w:marBottom w:val="0"/>
          <w:divBdr>
            <w:top w:val="none" w:sz="0" w:space="0" w:color="auto"/>
            <w:left w:val="none" w:sz="0" w:space="0" w:color="auto"/>
            <w:bottom w:val="none" w:sz="0" w:space="0" w:color="auto"/>
            <w:right w:val="none" w:sz="0" w:space="0" w:color="auto"/>
          </w:divBdr>
        </w:div>
        <w:div w:id="1995452152">
          <w:marLeft w:val="0"/>
          <w:marRight w:val="0"/>
          <w:marTop w:val="0"/>
          <w:marBottom w:val="0"/>
          <w:divBdr>
            <w:top w:val="none" w:sz="0" w:space="0" w:color="auto"/>
            <w:left w:val="none" w:sz="0" w:space="0" w:color="auto"/>
            <w:bottom w:val="none" w:sz="0" w:space="0" w:color="auto"/>
            <w:right w:val="none" w:sz="0" w:space="0" w:color="auto"/>
          </w:divBdr>
        </w:div>
        <w:div w:id="1350568842">
          <w:marLeft w:val="0"/>
          <w:marRight w:val="0"/>
          <w:marTop w:val="0"/>
          <w:marBottom w:val="0"/>
          <w:divBdr>
            <w:top w:val="none" w:sz="0" w:space="0" w:color="auto"/>
            <w:left w:val="none" w:sz="0" w:space="0" w:color="auto"/>
            <w:bottom w:val="none" w:sz="0" w:space="0" w:color="auto"/>
            <w:right w:val="none" w:sz="0" w:space="0" w:color="auto"/>
          </w:divBdr>
        </w:div>
        <w:div w:id="384833892">
          <w:marLeft w:val="0"/>
          <w:marRight w:val="0"/>
          <w:marTop w:val="0"/>
          <w:marBottom w:val="0"/>
          <w:divBdr>
            <w:top w:val="none" w:sz="0" w:space="0" w:color="auto"/>
            <w:left w:val="none" w:sz="0" w:space="0" w:color="auto"/>
            <w:bottom w:val="none" w:sz="0" w:space="0" w:color="auto"/>
            <w:right w:val="none" w:sz="0" w:space="0" w:color="auto"/>
          </w:divBdr>
        </w:div>
        <w:div w:id="372117868">
          <w:marLeft w:val="0"/>
          <w:marRight w:val="0"/>
          <w:marTop w:val="0"/>
          <w:marBottom w:val="0"/>
          <w:divBdr>
            <w:top w:val="none" w:sz="0" w:space="0" w:color="auto"/>
            <w:left w:val="none" w:sz="0" w:space="0" w:color="auto"/>
            <w:bottom w:val="none" w:sz="0" w:space="0" w:color="auto"/>
            <w:right w:val="none" w:sz="0" w:space="0" w:color="auto"/>
          </w:divBdr>
        </w:div>
        <w:div w:id="999773654">
          <w:marLeft w:val="0"/>
          <w:marRight w:val="0"/>
          <w:marTop w:val="0"/>
          <w:marBottom w:val="0"/>
          <w:divBdr>
            <w:top w:val="none" w:sz="0" w:space="0" w:color="auto"/>
            <w:left w:val="none" w:sz="0" w:space="0" w:color="auto"/>
            <w:bottom w:val="none" w:sz="0" w:space="0" w:color="auto"/>
            <w:right w:val="none" w:sz="0" w:space="0" w:color="auto"/>
          </w:divBdr>
        </w:div>
        <w:div w:id="314644926">
          <w:marLeft w:val="0"/>
          <w:marRight w:val="0"/>
          <w:marTop w:val="0"/>
          <w:marBottom w:val="0"/>
          <w:divBdr>
            <w:top w:val="none" w:sz="0" w:space="0" w:color="auto"/>
            <w:left w:val="none" w:sz="0" w:space="0" w:color="auto"/>
            <w:bottom w:val="none" w:sz="0" w:space="0" w:color="auto"/>
            <w:right w:val="none" w:sz="0" w:space="0" w:color="auto"/>
          </w:divBdr>
        </w:div>
        <w:div w:id="827013343">
          <w:marLeft w:val="0"/>
          <w:marRight w:val="0"/>
          <w:marTop w:val="0"/>
          <w:marBottom w:val="0"/>
          <w:divBdr>
            <w:top w:val="none" w:sz="0" w:space="0" w:color="auto"/>
            <w:left w:val="none" w:sz="0" w:space="0" w:color="auto"/>
            <w:bottom w:val="none" w:sz="0" w:space="0" w:color="auto"/>
            <w:right w:val="none" w:sz="0" w:space="0" w:color="auto"/>
          </w:divBdr>
        </w:div>
        <w:div w:id="1257639817">
          <w:marLeft w:val="0"/>
          <w:marRight w:val="0"/>
          <w:marTop w:val="0"/>
          <w:marBottom w:val="0"/>
          <w:divBdr>
            <w:top w:val="none" w:sz="0" w:space="0" w:color="auto"/>
            <w:left w:val="none" w:sz="0" w:space="0" w:color="auto"/>
            <w:bottom w:val="none" w:sz="0" w:space="0" w:color="auto"/>
            <w:right w:val="none" w:sz="0" w:space="0" w:color="auto"/>
          </w:divBdr>
        </w:div>
        <w:div w:id="2088915929">
          <w:marLeft w:val="0"/>
          <w:marRight w:val="0"/>
          <w:marTop w:val="0"/>
          <w:marBottom w:val="0"/>
          <w:divBdr>
            <w:top w:val="none" w:sz="0" w:space="0" w:color="auto"/>
            <w:left w:val="none" w:sz="0" w:space="0" w:color="auto"/>
            <w:bottom w:val="none" w:sz="0" w:space="0" w:color="auto"/>
            <w:right w:val="none" w:sz="0" w:space="0" w:color="auto"/>
          </w:divBdr>
        </w:div>
        <w:div w:id="1563905107">
          <w:marLeft w:val="0"/>
          <w:marRight w:val="0"/>
          <w:marTop w:val="0"/>
          <w:marBottom w:val="0"/>
          <w:divBdr>
            <w:top w:val="none" w:sz="0" w:space="0" w:color="auto"/>
            <w:left w:val="none" w:sz="0" w:space="0" w:color="auto"/>
            <w:bottom w:val="none" w:sz="0" w:space="0" w:color="auto"/>
            <w:right w:val="none" w:sz="0" w:space="0" w:color="auto"/>
          </w:divBdr>
        </w:div>
        <w:div w:id="604459660">
          <w:marLeft w:val="0"/>
          <w:marRight w:val="0"/>
          <w:marTop w:val="0"/>
          <w:marBottom w:val="0"/>
          <w:divBdr>
            <w:top w:val="none" w:sz="0" w:space="0" w:color="auto"/>
            <w:left w:val="none" w:sz="0" w:space="0" w:color="auto"/>
            <w:bottom w:val="none" w:sz="0" w:space="0" w:color="auto"/>
            <w:right w:val="none" w:sz="0" w:space="0" w:color="auto"/>
          </w:divBdr>
        </w:div>
        <w:div w:id="1869371988">
          <w:marLeft w:val="0"/>
          <w:marRight w:val="0"/>
          <w:marTop w:val="0"/>
          <w:marBottom w:val="0"/>
          <w:divBdr>
            <w:top w:val="none" w:sz="0" w:space="0" w:color="auto"/>
            <w:left w:val="none" w:sz="0" w:space="0" w:color="auto"/>
            <w:bottom w:val="none" w:sz="0" w:space="0" w:color="auto"/>
            <w:right w:val="none" w:sz="0" w:space="0" w:color="auto"/>
          </w:divBdr>
        </w:div>
        <w:div w:id="2113819747">
          <w:marLeft w:val="0"/>
          <w:marRight w:val="0"/>
          <w:marTop w:val="0"/>
          <w:marBottom w:val="0"/>
          <w:divBdr>
            <w:top w:val="none" w:sz="0" w:space="0" w:color="auto"/>
            <w:left w:val="none" w:sz="0" w:space="0" w:color="auto"/>
            <w:bottom w:val="none" w:sz="0" w:space="0" w:color="auto"/>
            <w:right w:val="none" w:sz="0" w:space="0" w:color="auto"/>
          </w:divBdr>
        </w:div>
        <w:div w:id="1855999313">
          <w:marLeft w:val="0"/>
          <w:marRight w:val="0"/>
          <w:marTop w:val="0"/>
          <w:marBottom w:val="0"/>
          <w:divBdr>
            <w:top w:val="none" w:sz="0" w:space="0" w:color="auto"/>
            <w:left w:val="none" w:sz="0" w:space="0" w:color="auto"/>
            <w:bottom w:val="none" w:sz="0" w:space="0" w:color="auto"/>
            <w:right w:val="none" w:sz="0" w:space="0" w:color="auto"/>
          </w:divBdr>
        </w:div>
        <w:div w:id="1142574129">
          <w:marLeft w:val="0"/>
          <w:marRight w:val="0"/>
          <w:marTop w:val="0"/>
          <w:marBottom w:val="0"/>
          <w:divBdr>
            <w:top w:val="none" w:sz="0" w:space="0" w:color="auto"/>
            <w:left w:val="none" w:sz="0" w:space="0" w:color="auto"/>
            <w:bottom w:val="none" w:sz="0" w:space="0" w:color="auto"/>
            <w:right w:val="none" w:sz="0" w:space="0" w:color="auto"/>
          </w:divBdr>
        </w:div>
        <w:div w:id="332732577">
          <w:marLeft w:val="0"/>
          <w:marRight w:val="0"/>
          <w:marTop w:val="0"/>
          <w:marBottom w:val="0"/>
          <w:divBdr>
            <w:top w:val="none" w:sz="0" w:space="0" w:color="auto"/>
            <w:left w:val="none" w:sz="0" w:space="0" w:color="auto"/>
            <w:bottom w:val="none" w:sz="0" w:space="0" w:color="auto"/>
            <w:right w:val="none" w:sz="0" w:space="0" w:color="auto"/>
          </w:divBdr>
        </w:div>
        <w:div w:id="961423197">
          <w:marLeft w:val="0"/>
          <w:marRight w:val="0"/>
          <w:marTop w:val="0"/>
          <w:marBottom w:val="0"/>
          <w:divBdr>
            <w:top w:val="none" w:sz="0" w:space="0" w:color="auto"/>
            <w:left w:val="none" w:sz="0" w:space="0" w:color="auto"/>
            <w:bottom w:val="none" w:sz="0" w:space="0" w:color="auto"/>
            <w:right w:val="none" w:sz="0" w:space="0" w:color="auto"/>
          </w:divBdr>
        </w:div>
        <w:div w:id="912279143">
          <w:marLeft w:val="0"/>
          <w:marRight w:val="0"/>
          <w:marTop w:val="0"/>
          <w:marBottom w:val="0"/>
          <w:divBdr>
            <w:top w:val="none" w:sz="0" w:space="0" w:color="auto"/>
            <w:left w:val="none" w:sz="0" w:space="0" w:color="auto"/>
            <w:bottom w:val="none" w:sz="0" w:space="0" w:color="auto"/>
            <w:right w:val="none" w:sz="0" w:space="0" w:color="auto"/>
          </w:divBdr>
        </w:div>
        <w:div w:id="1789079831">
          <w:marLeft w:val="0"/>
          <w:marRight w:val="0"/>
          <w:marTop w:val="0"/>
          <w:marBottom w:val="0"/>
          <w:divBdr>
            <w:top w:val="none" w:sz="0" w:space="0" w:color="auto"/>
            <w:left w:val="none" w:sz="0" w:space="0" w:color="auto"/>
            <w:bottom w:val="none" w:sz="0" w:space="0" w:color="auto"/>
            <w:right w:val="none" w:sz="0" w:space="0" w:color="auto"/>
          </w:divBdr>
        </w:div>
        <w:div w:id="838236035">
          <w:marLeft w:val="0"/>
          <w:marRight w:val="0"/>
          <w:marTop w:val="0"/>
          <w:marBottom w:val="0"/>
          <w:divBdr>
            <w:top w:val="none" w:sz="0" w:space="0" w:color="auto"/>
            <w:left w:val="none" w:sz="0" w:space="0" w:color="auto"/>
            <w:bottom w:val="none" w:sz="0" w:space="0" w:color="auto"/>
            <w:right w:val="none" w:sz="0" w:space="0" w:color="auto"/>
          </w:divBdr>
        </w:div>
        <w:div w:id="317077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alt.arcassess.education/account/login" TargetMode="External"/><Relationship Id="rId13" Type="http://schemas.openxmlformats.org/officeDocument/2006/relationships/hyperlink" Target="https://eyalt.arcassess.education/account/log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ic.gov.au/early-years-assessment-and-learning-too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indergarten.vic.gov.au/tl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information-sharing-schemes-and-the-maram-framework"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vic.gov.au/complete-online-transition-learning-and-development-statement" TargetMode="External"/><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vcaa.vic.edu.au/assessment/f-10assessment/insight/Pages/login.aspx" TargetMode="External"/><Relationship Id="rId14" Type="http://schemas.openxmlformats.org/officeDocument/2006/relationships/hyperlink" Target="https://www.vic.gov.au/transition-school-resource-kit"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s://www.education.vic.gov.au/Pages/copyright.aspx" TargetMode="External"/><Relationship Id="rId2" Type="http://schemas.openxmlformats.org/officeDocument/2006/relationships/hyperlink" Target="https://creativecommons.org/licenses/by/4.0/" TargetMode="External"/><Relationship Id="rId1"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EYALT_TLDS_2023_Factsheet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A851D7F1-2209-437C-857E-FE914A7224F8}"/>
</file>

<file path=customXml/itemProps3.xml><?xml version="1.0" encoding="utf-8"?>
<ds:datastoreItem xmlns:ds="http://schemas.openxmlformats.org/officeDocument/2006/customXml" ds:itemID="{A0BD5CA5-7F3D-4157-8C1B-7699F1EFC8C0}"/>
</file>

<file path=customXml/itemProps4.xml><?xml version="1.0" encoding="utf-8"?>
<ds:datastoreItem xmlns:ds="http://schemas.openxmlformats.org/officeDocument/2006/customXml" ds:itemID="{4C036E71-49CB-44AD-9993-C8121133B5A8}"/>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EYALT_TLDS_2023_Factsheet</dc:title>
  <dc:subject/>
  <dc:creator/>
  <cp:keywords/>
  <dc:description/>
  <cp:lastModifiedBy/>
  <cp:revision>1</cp:revision>
  <dcterms:created xsi:type="dcterms:W3CDTF">2023-07-31T05:35:00Z</dcterms:created>
  <dcterms:modified xsi:type="dcterms:W3CDTF">2023-07-31T05:35:00Z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